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Default Extension="png" ContentType="image/png"/>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Default Extension="jpeg" ContentType="image/jpeg"/>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19.xml" ContentType="application/vnd.openxmlformats-officedocument.wordprocessingml.header+xml"/>
  <Override PartName="/word/footer53.xml" ContentType="application/vnd.openxmlformats-officedocument.wordprocessingml.footer+xml"/>
  <Override PartName="/word/header2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2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26.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91.xml" ContentType="application/vnd.openxmlformats-officedocument.wordprocessingml.footer+xml"/>
  <Override PartName="/word/header32.xml" ContentType="application/vnd.openxmlformats-officedocument.wordprocessingml.header+xml"/>
  <Override PartName="/word/footer92.xml" ContentType="application/vnd.openxmlformats-officedocument.wordprocessingml.footer+xml"/>
  <Override PartName="/word/header33.xml" ContentType="application/vnd.openxmlformats-officedocument.wordprocessingml.header+xml"/>
  <Override PartName="/word/footer93.xml" ContentType="application/vnd.openxmlformats-officedocument.wordprocessingml.footer+xml"/>
  <Override PartName="/word/header3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35.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36.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header37.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header38.xml" ContentType="application/vnd.openxmlformats-officedocument.wordprocessingml.header+xml"/>
  <Override PartName="/word/footer10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0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0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10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before="37"/>
        <w:ind w:left="3187"/>
        <w:rPr>
          <w:rFonts w:ascii="Calibri" w:hAnsi="Calibri"/>
        </w:rPr>
      </w:pPr>
      <w:r>
        <w:rPr>
          <w:rFonts w:ascii="Calibri" w:hAnsi="Calibri"/>
        </w:rPr>
        <w:t>SAM – REVISION SUMMARY 440</w:t>
      </w:r>
    </w:p>
    <w:p>
      <w:pPr>
        <w:pStyle w:val="BodyText"/>
        <w:rPr>
          <w:rFonts w:ascii="Calibri"/>
          <w:b/>
          <w:sz w:val="20"/>
        </w:rPr>
      </w:pPr>
    </w:p>
    <w:p>
      <w:pPr>
        <w:pStyle w:val="BodyText"/>
        <w:spacing w:before="10"/>
        <w:rPr>
          <w:rFonts w:ascii="Calibri"/>
          <w:b/>
        </w:rPr>
      </w:pPr>
    </w:p>
    <w:p>
      <w:pPr>
        <w:spacing w:line="259" w:lineRule="auto" w:before="94"/>
        <w:ind w:left="120" w:right="602" w:hanging="1"/>
        <w:jc w:val="left"/>
        <w:rPr>
          <w:sz w:val="22"/>
        </w:rPr>
      </w:pPr>
      <w:r>
        <w:rPr>
          <w:sz w:val="22"/>
        </w:rPr>
        <w:t>Revisions to SAM sections are provided after the summary table below, and are indicated with the “track changes” display through the revised text on all revised SAM pages. Highlighted content indicates newly added information to the SAM chapter. “Track Changes” are not inserted for format changes.</w:t>
      </w:r>
    </w:p>
    <w:p>
      <w:pPr>
        <w:spacing w:before="161"/>
        <w:ind w:left="2589" w:right="0" w:firstLine="0"/>
        <w:jc w:val="left"/>
        <w:rPr>
          <w:rFonts w:ascii="Calibri"/>
          <w:b/>
          <w:i/>
          <w:sz w:val="22"/>
        </w:rPr>
      </w:pPr>
      <w:r>
        <w:rPr>
          <w:rFonts w:ascii="Calibri"/>
          <w:b/>
          <w:i/>
          <w:sz w:val="22"/>
        </w:rPr>
        <w:t>** Follow the link to the revised SAM Chapter **</w:t>
      </w:r>
    </w:p>
    <w:p>
      <w:pPr>
        <w:pStyle w:val="BodyText"/>
        <w:rPr>
          <w:rFonts w:ascii="Calibri"/>
          <w:b/>
          <w:i/>
          <w:sz w:val="20"/>
        </w:rPr>
      </w:pPr>
    </w:p>
    <w:p>
      <w:pPr>
        <w:pStyle w:val="BodyText"/>
        <w:rPr>
          <w:rFonts w:ascii="Calibri"/>
          <w:b/>
          <w:i/>
          <w:sz w:val="20"/>
        </w:rPr>
      </w:pPr>
    </w:p>
    <w:p>
      <w:pPr>
        <w:pStyle w:val="BodyText"/>
        <w:spacing w:before="12"/>
        <w:rPr>
          <w:rFonts w:ascii="Calibri"/>
          <w:b/>
          <w:i/>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9"/>
        <w:gridCol w:w="7294"/>
      </w:tblGrid>
      <w:tr>
        <w:trPr>
          <w:trHeight w:val="794" w:hRule="exact"/>
        </w:trPr>
        <w:tc>
          <w:tcPr>
            <w:tcW w:w="2359" w:type="dxa"/>
            <w:shd w:val="clear" w:color="auto" w:fill="DADADA"/>
          </w:tcPr>
          <w:p>
            <w:pPr>
              <w:pStyle w:val="TableParagraph"/>
              <w:spacing w:line="259" w:lineRule="auto" w:before="115"/>
              <w:ind w:left="686" w:right="594" w:hanging="75"/>
              <w:rPr>
                <w:b/>
                <w:sz w:val="22"/>
              </w:rPr>
            </w:pPr>
            <w:r>
              <w:rPr>
                <w:b/>
                <w:sz w:val="22"/>
              </w:rPr>
              <w:t>CHAPTER/ SECTION</w:t>
            </w:r>
          </w:p>
        </w:tc>
        <w:tc>
          <w:tcPr>
            <w:tcW w:w="7294" w:type="dxa"/>
            <w:shd w:val="clear" w:color="auto" w:fill="DADADA"/>
          </w:tcPr>
          <w:p>
            <w:pPr>
              <w:pStyle w:val="TableParagraph"/>
              <w:spacing w:before="192"/>
              <w:ind w:left="3053" w:right="3054"/>
              <w:jc w:val="center"/>
              <w:rPr>
                <w:b/>
                <w:sz w:val="22"/>
              </w:rPr>
            </w:pPr>
            <w:r>
              <w:rPr>
                <w:b/>
                <w:sz w:val="22"/>
              </w:rPr>
              <w:t>SUMMARY</w:t>
            </w:r>
          </w:p>
        </w:tc>
      </w:tr>
      <w:tr>
        <w:trPr>
          <w:trHeight w:val="403" w:hRule="exact"/>
        </w:trPr>
        <w:tc>
          <w:tcPr>
            <w:tcW w:w="9653" w:type="dxa"/>
            <w:gridSpan w:val="2"/>
          </w:tcPr>
          <w:p>
            <w:pPr>
              <w:pStyle w:val="TableParagraph"/>
              <w:spacing w:before="57"/>
              <w:ind w:left="103"/>
              <w:rPr>
                <w:b/>
                <w:sz w:val="22"/>
              </w:rPr>
            </w:pPr>
            <w:hyperlink r:id="rId5">
              <w:r>
                <w:rPr>
                  <w:b/>
                  <w:color w:val="0000FF"/>
                  <w:sz w:val="22"/>
                  <w:u w:val="thick" w:color="0000FF"/>
                </w:rPr>
                <w:t>CHAPTER 1800</w:t>
              </w:r>
            </w:hyperlink>
          </w:p>
        </w:tc>
      </w:tr>
      <w:tr>
        <w:trPr>
          <w:trHeight w:val="677" w:hRule="exact"/>
        </w:trPr>
        <w:tc>
          <w:tcPr>
            <w:tcW w:w="2359" w:type="dxa"/>
          </w:tcPr>
          <w:p>
            <w:pPr>
              <w:pStyle w:val="TableParagraph"/>
              <w:spacing w:before="192"/>
              <w:ind w:left="463" w:right="463"/>
              <w:jc w:val="center"/>
              <w:rPr>
                <w:b/>
                <w:sz w:val="22"/>
              </w:rPr>
            </w:pPr>
            <w:r>
              <w:rPr>
                <w:b/>
                <w:sz w:val="22"/>
              </w:rPr>
              <w:t>1815.31</w:t>
            </w:r>
          </w:p>
        </w:tc>
        <w:tc>
          <w:tcPr>
            <w:tcW w:w="7294" w:type="dxa"/>
          </w:tcPr>
          <w:p>
            <w:pPr>
              <w:pStyle w:val="TableParagraph"/>
              <w:spacing w:line="259" w:lineRule="auto" w:before="57"/>
              <w:ind w:left="100" w:right="438"/>
              <w:rPr>
                <w:sz w:val="22"/>
              </w:rPr>
            </w:pPr>
            <w:r>
              <w:rPr>
                <w:sz w:val="22"/>
              </w:rPr>
              <w:t>Creates a new SAM section for Zero Net Energy for new and existing buildings.</w:t>
            </w:r>
          </w:p>
        </w:tc>
      </w:tr>
      <w:tr>
        <w:trPr>
          <w:trHeight w:val="509" w:hRule="exact"/>
        </w:trPr>
        <w:tc>
          <w:tcPr>
            <w:tcW w:w="9653" w:type="dxa"/>
            <w:gridSpan w:val="2"/>
          </w:tcPr>
          <w:p>
            <w:pPr>
              <w:pStyle w:val="TableParagraph"/>
              <w:spacing w:before="115"/>
              <w:ind w:left="103"/>
              <w:rPr>
                <w:b/>
                <w:sz w:val="22"/>
              </w:rPr>
            </w:pPr>
            <w:hyperlink r:id="rId6">
              <w:r>
                <w:rPr>
                  <w:b/>
                  <w:color w:val="0000FF"/>
                  <w:sz w:val="22"/>
                  <w:u w:val="thick" w:color="0000FF"/>
                </w:rPr>
                <w:t>CHAPTER 4100</w:t>
              </w:r>
            </w:hyperlink>
          </w:p>
        </w:tc>
      </w:tr>
      <w:tr>
        <w:trPr>
          <w:trHeight w:val="677" w:hRule="exact"/>
        </w:trPr>
        <w:tc>
          <w:tcPr>
            <w:tcW w:w="2359" w:type="dxa"/>
          </w:tcPr>
          <w:p>
            <w:pPr>
              <w:pStyle w:val="TableParagraph"/>
              <w:spacing w:before="3"/>
              <w:rPr>
                <w:rFonts w:ascii="Calibri"/>
                <w:b/>
                <w:i/>
                <w:sz w:val="19"/>
              </w:rPr>
            </w:pPr>
          </w:p>
          <w:p>
            <w:pPr>
              <w:pStyle w:val="TableParagraph"/>
              <w:ind w:left="463" w:right="463"/>
              <w:jc w:val="center"/>
              <w:rPr>
                <w:b/>
                <w:sz w:val="22"/>
              </w:rPr>
            </w:pPr>
            <w:r>
              <w:rPr>
                <w:b/>
                <w:sz w:val="22"/>
              </w:rPr>
              <w:t>4126</w:t>
            </w:r>
          </w:p>
        </w:tc>
        <w:tc>
          <w:tcPr>
            <w:tcW w:w="7294" w:type="dxa"/>
          </w:tcPr>
          <w:p>
            <w:pPr>
              <w:pStyle w:val="TableParagraph"/>
              <w:spacing w:line="259" w:lineRule="auto" w:before="57"/>
              <w:ind w:left="100" w:right="658"/>
              <w:rPr>
                <w:sz w:val="22"/>
              </w:rPr>
            </w:pPr>
            <w:r>
              <w:rPr>
                <w:sz w:val="22"/>
              </w:rPr>
              <w:t>Revision to the Replacement Schedule Criteria discussing age and mileage thresholds for state-owned fleet assets.</w:t>
            </w:r>
          </w:p>
        </w:tc>
      </w:tr>
      <w:tr>
        <w:trPr>
          <w:trHeight w:val="509" w:hRule="exact"/>
        </w:trPr>
        <w:tc>
          <w:tcPr>
            <w:tcW w:w="9653" w:type="dxa"/>
            <w:gridSpan w:val="2"/>
          </w:tcPr>
          <w:p>
            <w:pPr>
              <w:pStyle w:val="TableParagraph"/>
              <w:spacing w:before="115"/>
              <w:ind w:left="103"/>
              <w:rPr>
                <w:b/>
                <w:sz w:val="22"/>
              </w:rPr>
            </w:pPr>
            <w:hyperlink r:id="rId7">
              <w:r>
                <w:rPr>
                  <w:b/>
                  <w:color w:val="0000FF"/>
                  <w:sz w:val="22"/>
                  <w:u w:val="thick" w:color="0000FF"/>
                </w:rPr>
                <w:t>CHAPTER 4800</w:t>
              </w:r>
            </w:hyperlink>
          </w:p>
        </w:tc>
      </w:tr>
      <w:tr>
        <w:trPr>
          <w:trHeight w:val="674" w:hRule="exact"/>
        </w:trPr>
        <w:tc>
          <w:tcPr>
            <w:tcW w:w="2359" w:type="dxa"/>
          </w:tcPr>
          <w:p>
            <w:pPr>
              <w:pStyle w:val="TableParagraph"/>
              <w:spacing w:before="3"/>
              <w:rPr>
                <w:rFonts w:ascii="Calibri"/>
                <w:b/>
                <w:i/>
                <w:sz w:val="19"/>
              </w:rPr>
            </w:pPr>
          </w:p>
          <w:p>
            <w:pPr>
              <w:pStyle w:val="TableParagraph"/>
              <w:ind w:left="463" w:right="463"/>
              <w:jc w:val="center"/>
              <w:rPr>
                <w:b/>
                <w:sz w:val="22"/>
              </w:rPr>
            </w:pPr>
            <w:r>
              <w:rPr>
                <w:b/>
                <w:sz w:val="22"/>
              </w:rPr>
              <w:t>4833</w:t>
            </w:r>
          </w:p>
        </w:tc>
        <w:tc>
          <w:tcPr>
            <w:tcW w:w="7294" w:type="dxa"/>
          </w:tcPr>
          <w:p>
            <w:pPr>
              <w:pStyle w:val="TableParagraph"/>
              <w:spacing w:line="259" w:lineRule="auto" w:before="57"/>
              <w:ind w:left="100" w:right="290"/>
              <w:rPr>
                <w:sz w:val="22"/>
              </w:rPr>
            </w:pPr>
            <w:r>
              <w:rPr>
                <w:sz w:val="22"/>
              </w:rPr>
              <w:t>Revision date change from 06/2015 to 10/2017 and Gov. Code section change from 11135 to 7105.</w:t>
            </w:r>
          </w:p>
        </w:tc>
      </w:tr>
      <w:tr>
        <w:trPr>
          <w:trHeight w:val="600" w:hRule="exact"/>
        </w:trPr>
        <w:tc>
          <w:tcPr>
            <w:tcW w:w="9653" w:type="dxa"/>
            <w:gridSpan w:val="2"/>
          </w:tcPr>
          <w:p>
            <w:pPr>
              <w:pStyle w:val="TableParagraph"/>
              <w:spacing w:before="57"/>
              <w:ind w:left="103"/>
              <w:rPr>
                <w:b/>
                <w:sz w:val="22"/>
              </w:rPr>
            </w:pPr>
            <w:hyperlink r:id="rId8">
              <w:r>
                <w:rPr>
                  <w:b/>
                  <w:color w:val="0000FF"/>
                  <w:sz w:val="22"/>
                  <w:u w:val="thick" w:color="0000FF"/>
                </w:rPr>
                <w:t>CHAPTER 6000</w:t>
              </w:r>
            </w:hyperlink>
          </w:p>
        </w:tc>
      </w:tr>
      <w:tr>
        <w:trPr>
          <w:trHeight w:val="1222" w:hRule="exact"/>
        </w:trPr>
        <w:tc>
          <w:tcPr>
            <w:tcW w:w="2359" w:type="dxa"/>
          </w:tcPr>
          <w:p>
            <w:pPr>
              <w:pStyle w:val="TableParagraph"/>
              <w:spacing w:before="3"/>
              <w:rPr>
                <w:rFonts w:ascii="Calibri"/>
                <w:b/>
                <w:i/>
                <w:sz w:val="19"/>
              </w:rPr>
            </w:pPr>
          </w:p>
          <w:p>
            <w:pPr>
              <w:pStyle w:val="TableParagraph"/>
              <w:ind w:left="463" w:right="463"/>
              <w:jc w:val="center"/>
              <w:rPr>
                <w:b/>
                <w:sz w:val="22"/>
              </w:rPr>
            </w:pPr>
            <w:r>
              <w:rPr>
                <w:b/>
                <w:sz w:val="22"/>
              </w:rPr>
              <w:t>Chapter 6000</w:t>
            </w:r>
          </w:p>
        </w:tc>
        <w:tc>
          <w:tcPr>
            <w:tcW w:w="7294" w:type="dxa"/>
          </w:tcPr>
          <w:p>
            <w:pPr>
              <w:pStyle w:val="TableParagraph"/>
              <w:spacing w:line="259" w:lineRule="auto" w:before="57"/>
              <w:ind w:left="100" w:right="119"/>
              <w:rPr>
                <w:sz w:val="22"/>
              </w:rPr>
            </w:pPr>
            <w:r>
              <w:rPr>
                <w:sz w:val="22"/>
              </w:rPr>
              <w:t>This is a re-write of the entire chapter incorporating changes in processes, forms, names and responsibilities. These updates also eliminated sections that no longer apply, providing links instead of actual forms, and clarifying responsibilities.</w:t>
            </w:r>
          </w:p>
        </w:tc>
      </w:tr>
      <w:tr>
        <w:trPr>
          <w:trHeight w:val="600" w:hRule="exact"/>
        </w:trPr>
        <w:tc>
          <w:tcPr>
            <w:tcW w:w="9653" w:type="dxa"/>
            <w:gridSpan w:val="2"/>
          </w:tcPr>
          <w:p>
            <w:pPr>
              <w:pStyle w:val="TableParagraph"/>
              <w:spacing w:before="55"/>
              <w:ind w:left="103"/>
              <w:rPr>
                <w:b/>
                <w:sz w:val="22"/>
              </w:rPr>
            </w:pPr>
            <w:hyperlink r:id="rId9">
              <w:r>
                <w:rPr>
                  <w:b/>
                  <w:color w:val="0000FF"/>
                  <w:sz w:val="22"/>
                  <w:u w:val="thick" w:color="0000FF"/>
                </w:rPr>
                <w:t>CHAPTER 8400</w:t>
              </w:r>
            </w:hyperlink>
          </w:p>
        </w:tc>
      </w:tr>
      <w:tr>
        <w:trPr>
          <w:trHeight w:val="600" w:hRule="exact"/>
        </w:trPr>
        <w:tc>
          <w:tcPr>
            <w:tcW w:w="2359" w:type="dxa"/>
          </w:tcPr>
          <w:p>
            <w:pPr>
              <w:pStyle w:val="TableParagraph"/>
              <w:spacing w:before="3"/>
              <w:rPr>
                <w:rFonts w:ascii="Calibri"/>
                <w:b/>
                <w:i/>
                <w:sz w:val="19"/>
              </w:rPr>
            </w:pPr>
          </w:p>
          <w:p>
            <w:pPr>
              <w:pStyle w:val="TableParagraph"/>
              <w:ind w:left="463" w:right="463"/>
              <w:jc w:val="center"/>
              <w:rPr>
                <w:b/>
                <w:sz w:val="22"/>
              </w:rPr>
            </w:pPr>
            <w:r>
              <w:rPr>
                <w:b/>
                <w:sz w:val="22"/>
              </w:rPr>
              <w:t>8422.190</w:t>
            </w:r>
          </w:p>
        </w:tc>
        <w:tc>
          <w:tcPr>
            <w:tcW w:w="7294" w:type="dxa"/>
          </w:tcPr>
          <w:p>
            <w:pPr>
              <w:pStyle w:val="TableParagraph"/>
              <w:spacing w:before="57"/>
              <w:ind w:left="100"/>
              <w:rPr>
                <w:sz w:val="22"/>
              </w:rPr>
            </w:pPr>
            <w:r>
              <w:rPr>
                <w:sz w:val="22"/>
              </w:rPr>
              <w:t>This revision allows electronic signature on the STD 204 form.</w:t>
            </w:r>
          </w:p>
        </w:tc>
      </w:tr>
    </w:tbl>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spacing w:before="3"/>
        <w:rPr>
          <w:rFonts w:ascii="Calibri"/>
          <w:b/>
          <w:i/>
          <w:sz w:val="16"/>
        </w:rPr>
      </w:pPr>
    </w:p>
    <w:p>
      <w:pPr>
        <w:spacing w:before="59"/>
        <w:ind w:left="3086" w:right="3386" w:firstLine="0"/>
        <w:jc w:val="center"/>
        <w:rPr>
          <w:rFonts w:ascii="Calibri"/>
          <w:b/>
          <w:sz w:val="20"/>
        </w:rPr>
      </w:pPr>
      <w:r>
        <w:rPr>
          <w:rFonts w:ascii="Calibri"/>
          <w:b/>
          <w:sz w:val="20"/>
        </w:rPr>
        <w:t>Rev. 440</w:t>
      </w:r>
    </w:p>
    <w:p>
      <w:pPr>
        <w:pStyle w:val="BodyText"/>
        <w:spacing w:before="9"/>
        <w:rPr>
          <w:rFonts w:ascii="Calibri"/>
          <w:b/>
          <w:sz w:val="14"/>
        </w:rPr>
      </w:pPr>
    </w:p>
    <w:p>
      <w:pPr>
        <w:spacing w:before="1"/>
        <w:ind w:left="2896" w:right="3386" w:firstLine="0"/>
        <w:jc w:val="center"/>
        <w:rPr>
          <w:rFonts w:ascii="Calibri"/>
          <w:b/>
          <w:sz w:val="20"/>
        </w:rPr>
      </w:pPr>
      <w:r>
        <w:rPr>
          <w:rFonts w:ascii="Calibri"/>
          <w:b/>
          <w:sz w:val="20"/>
        </w:rPr>
        <w:t>Page 1</w:t>
      </w:r>
    </w:p>
    <w:p>
      <w:pPr>
        <w:spacing w:after="0"/>
        <w:jc w:val="center"/>
        <w:rPr>
          <w:rFonts w:ascii="Calibri"/>
          <w:sz w:val="20"/>
        </w:rPr>
        <w:sectPr>
          <w:type w:val="continuous"/>
          <w:pgSz w:w="12240" w:h="15840"/>
          <w:pgMar w:top="560" w:bottom="280" w:left="1320" w:right="1020"/>
        </w:sectPr>
      </w:pPr>
    </w:p>
    <w:p>
      <w:pPr>
        <w:pStyle w:val="BodyText"/>
        <w:rPr>
          <w:rFonts w:ascii="Calibri"/>
          <w:b/>
          <w:sz w:val="18"/>
        </w:rPr>
      </w:pPr>
    </w:p>
    <w:p>
      <w:pPr>
        <w:spacing w:before="92"/>
        <w:ind w:left="3474" w:right="0" w:firstLine="0"/>
        <w:jc w:val="left"/>
        <w:rPr>
          <w:b/>
          <w:sz w:val="24"/>
        </w:rPr>
      </w:pPr>
      <w:r>
        <w:rPr/>
        <w:pict>
          <v:line style="position:absolute;mso-position-horizontal-relative:page;mso-position-vertical-relative:paragraph;z-index:1096" from="36.360001pt,.856879pt" to="36.360001pt,318.255879pt" stroked="true" strokeweight=".72pt" strokecolor="#000000">
            <v:stroke dashstyle="solid"/>
            <w10:wrap type="none"/>
          </v:line>
        </w:pict>
      </w:r>
      <w:bookmarkStart w:name="SAM—TRANSPORTATION SERVICES" w:id="1"/>
      <w:bookmarkEnd w:id="1"/>
      <w:r>
        <w:rPr/>
      </w:r>
      <w:r>
        <w:rPr>
          <w:b/>
          <w:strike/>
          <w:color w:val="F37E43"/>
          <w:sz w:val="24"/>
        </w:rPr>
        <w:t>SAM—TRANSPORTATION SERVICES</w:t>
      </w:r>
    </w:p>
    <w:p>
      <w:pPr>
        <w:pStyle w:val="BodyText"/>
        <w:spacing w:before="7"/>
        <w:rPr>
          <w:b/>
          <w:sz w:val="21"/>
        </w:rPr>
      </w:pPr>
    </w:p>
    <w:p>
      <w:pPr>
        <w:spacing w:line="275" w:lineRule="exact" w:before="0"/>
        <w:ind w:left="940" w:right="0" w:firstLine="0"/>
        <w:jc w:val="left"/>
        <w:rPr>
          <w:b/>
          <w:sz w:val="24"/>
        </w:rPr>
      </w:pPr>
      <w:r>
        <w:rPr>
          <w:b/>
          <w:strike/>
          <w:color w:val="2C6234"/>
          <w:sz w:val="24"/>
        </w:rPr>
        <w:t>REPLACEMENT SCHEDULE CRITERIA4126</w:t>
      </w:r>
    </w:p>
    <w:p>
      <w:pPr>
        <w:spacing w:line="243" w:lineRule="exact" w:before="0"/>
        <w:ind w:left="820" w:right="0" w:firstLine="0"/>
        <w:jc w:val="left"/>
        <w:rPr>
          <w:rFonts w:ascii="Calibri"/>
          <w:sz w:val="20"/>
        </w:rPr>
      </w:pPr>
      <w:r>
        <w:rPr>
          <w:rFonts w:ascii="Calibri"/>
          <w:strike/>
          <w:color w:val="F37E43"/>
          <w:sz w:val="20"/>
        </w:rPr>
        <w:t>(New 2/2016</w:t>
      </w:r>
    </w:p>
    <w:p>
      <w:pPr>
        <w:pStyle w:val="BodyText"/>
        <w:spacing w:line="276" w:lineRule="exact"/>
        <w:ind w:left="820"/>
      </w:pPr>
      <w:r>
        <w:rPr/>
        <w:pict>
          <v:shape style="position:absolute;margin-left:72pt;margin-top:7.825155pt;width:4pt;height:1.2pt;mso-position-horizontal-relative:page;mso-position-vertical-relative:paragraph;z-index:-471640" coordorigin="1440,157" coordsize="80,24" path="m1440,181l1519,181m1440,157l1519,157e" filled="false" stroked="true" strokeweight=".6pt" strokecolor="#2c6234">
            <v:path arrowok="t"/>
            <v:stroke dashstyle="solid"/>
            <w10:wrap type="none"/>
          </v:shape>
        </w:pict>
      </w:r>
      <w:r>
        <w:rPr>
          <w:color w:val="2C6234"/>
          <w:w w:val="99"/>
        </w:rPr>
        <w:t>)</w:t>
      </w:r>
    </w:p>
    <w:p>
      <w:pPr>
        <w:pStyle w:val="BodyText"/>
        <w:spacing w:before="2"/>
        <w:rPr>
          <w:sz w:val="22"/>
        </w:rPr>
      </w:pPr>
    </w:p>
    <w:p>
      <w:pPr>
        <w:pStyle w:val="BodyText"/>
        <w:spacing w:line="274" w:lineRule="exact" w:before="98"/>
        <w:ind w:left="940" w:right="814"/>
      </w:pPr>
      <w:r>
        <w:rPr/>
        <w:pict>
          <v:group style="position:absolute;margin-left:77.699997pt;margin-top:12.140495pt;width:433pt;height:1.8pt;mso-position-horizontal-relative:page;mso-position-vertical-relative:paragraph;z-index:-471616" coordorigin="1554,243" coordsize="8660,36">
            <v:line style="position:absolute" from="1560,273" to="1908,273" stroked="true" strokeweight=".6pt" strokecolor="#2c6234">
              <v:stroke dashstyle="solid"/>
            </v:line>
            <v:line style="position:absolute" from="1560,249" to="1908,249" stroked="true" strokeweight=".599pt" strokecolor="#2c6234">
              <v:stroke dashstyle="solid"/>
            </v:line>
            <v:line style="position:absolute" from="1908,261" to="10207,261" stroked="true" strokeweight=".6pt" strokecolor="#f37e43">
              <v:stroke dashstyle="solid"/>
            </v:line>
            <w10:wrap type="none"/>
          </v:group>
        </w:pict>
      </w:r>
      <w:r>
        <w:rPr>
          <w:color w:val="2C6234"/>
        </w:rPr>
        <w:t>To </w:t>
      </w:r>
      <w:r>
        <w:rPr>
          <w:color w:val="F37E43"/>
        </w:rPr>
        <w:t>assist agencies with determining replacement schedules and budgeting needs </w:t>
      </w:r>
      <w:r>
        <w:rPr>
          <w:strike/>
          <w:color w:val="F37E43"/>
        </w:rPr>
        <w:t>for state-owned vehicles, the following schedule may be used:</w:t>
      </w:r>
    </w:p>
    <w:p>
      <w:pPr>
        <w:pStyle w:val="BodyText"/>
        <w:rPr>
          <w:sz w:val="20"/>
        </w:rPr>
      </w:pPr>
    </w:p>
    <w:p>
      <w:pPr>
        <w:pStyle w:val="BodyText"/>
        <w:spacing w:before="7"/>
        <w:rPr>
          <w:sz w:val="22"/>
        </w:rPr>
      </w:pPr>
    </w:p>
    <w:tbl>
      <w:tblPr>
        <w:tblW w:w="0" w:type="auto"/>
        <w:jc w:val="left"/>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19"/>
        <w:gridCol w:w="2562"/>
      </w:tblGrid>
      <w:tr>
        <w:trPr>
          <w:trHeight w:val="1112" w:hRule="exact"/>
        </w:trPr>
        <w:tc>
          <w:tcPr>
            <w:tcW w:w="6919" w:type="dxa"/>
            <w:tcBorders>
              <w:top w:val="nil"/>
              <w:left w:val="nil"/>
              <w:right w:val="nil"/>
            </w:tcBorders>
          </w:tcPr>
          <w:p>
            <w:pPr>
              <w:pStyle w:val="TableParagraph"/>
              <w:spacing w:line="252" w:lineRule="exact" w:before="15"/>
              <w:ind w:left="103" w:right="-19"/>
              <w:rPr>
                <w:sz w:val="24"/>
              </w:rPr>
            </w:pPr>
            <w:r>
              <w:rPr>
                <w:b/>
                <w:color w:val="2C6234"/>
                <w:sz w:val="24"/>
                <w:u w:val="thick" w:color="2C6234"/>
              </w:rPr>
              <w:t>REPLACEMENT SCHEDULE CRITERIA</w:t>
            </w:r>
            <w:r>
              <w:rPr>
                <w:strike/>
                <w:color w:val="F37E43"/>
                <w:sz w:val="24"/>
              </w:rPr>
              <w:t>Authorized emergency vehicles as defined in Section</w:t>
            </w:r>
          </w:p>
          <w:p>
            <w:pPr>
              <w:pStyle w:val="TableParagraph"/>
              <w:spacing w:before="1"/>
              <w:ind w:right="28"/>
              <w:rPr>
                <w:rFonts w:ascii="Calibri"/>
                <w:sz w:val="24"/>
              </w:rPr>
            </w:pPr>
            <w:r>
              <w:rPr>
                <w:rFonts w:ascii="Calibri"/>
                <w:strike/>
                <w:color w:val="F37E43"/>
                <w:sz w:val="24"/>
              </w:rPr>
              <w:t>of the Vehicle Code, that are equipped with emergency lamps or lights described in Section of the Vehicle Code</w:t>
            </w:r>
          </w:p>
        </w:tc>
        <w:tc>
          <w:tcPr>
            <w:tcW w:w="2562" w:type="dxa"/>
            <w:tcBorders>
              <w:top w:val="nil"/>
              <w:left w:val="nil"/>
              <w:right w:val="nil"/>
            </w:tcBorders>
          </w:tcPr>
          <w:p>
            <w:pPr>
              <w:pStyle w:val="TableParagraph"/>
              <w:rPr>
                <w:sz w:val="26"/>
              </w:rPr>
            </w:pPr>
          </w:p>
          <w:p>
            <w:pPr>
              <w:pStyle w:val="TableParagraph"/>
              <w:spacing w:before="5"/>
              <w:rPr>
                <w:sz w:val="20"/>
              </w:rPr>
            </w:pPr>
          </w:p>
          <w:p>
            <w:pPr>
              <w:pStyle w:val="TableParagraph"/>
              <w:ind w:left="-1"/>
              <w:rPr>
                <w:b/>
                <w:sz w:val="24"/>
              </w:rPr>
            </w:pPr>
            <w:r>
              <w:rPr>
                <w:b/>
                <w:color w:val="2C6234"/>
                <w:sz w:val="24"/>
                <w:u w:val="thick" w:color="2C6234"/>
              </w:rPr>
              <w:t>4126</w:t>
            </w:r>
          </w:p>
          <w:p>
            <w:pPr>
              <w:pStyle w:val="TableParagraph"/>
              <w:spacing w:before="3"/>
              <w:ind w:left="1202" w:right="-2"/>
              <w:rPr>
                <w:rFonts w:ascii="Calibri"/>
                <w:sz w:val="24"/>
              </w:rPr>
            </w:pPr>
            <w:r>
              <w:rPr>
                <w:rFonts w:ascii="Calibri"/>
                <w:strike/>
                <w:color w:val="F37E43"/>
                <w:sz w:val="24"/>
              </w:rPr>
              <w:t>100,000</w:t>
            </w:r>
            <w:r>
              <w:rPr>
                <w:rFonts w:ascii="Calibri"/>
                <w:strike/>
                <w:color w:val="F37E43"/>
                <w:spacing w:val="-4"/>
                <w:sz w:val="24"/>
              </w:rPr>
              <w:t> </w:t>
            </w:r>
            <w:r>
              <w:rPr>
                <w:rFonts w:ascii="Calibri"/>
                <w:strike/>
                <w:color w:val="F37E43"/>
                <w:sz w:val="24"/>
              </w:rPr>
              <w:t>miles</w:t>
            </w:r>
          </w:p>
        </w:tc>
      </w:tr>
      <w:tr>
        <w:trPr>
          <w:trHeight w:val="874" w:hRule="exact"/>
        </w:trPr>
        <w:tc>
          <w:tcPr>
            <w:tcW w:w="6919" w:type="dxa"/>
            <w:tcBorders>
              <w:left w:val="nil"/>
            </w:tcBorders>
          </w:tcPr>
          <w:p>
            <w:pPr>
              <w:pStyle w:val="TableParagraph"/>
              <w:spacing w:line="196" w:lineRule="auto" w:before="91"/>
              <w:ind w:left="103" w:right="187"/>
              <w:rPr>
                <w:sz w:val="24"/>
              </w:rPr>
            </w:pPr>
            <w:r>
              <w:rPr>
                <w:strike/>
                <w:color w:val="F37E43"/>
                <w:sz w:val="24"/>
              </w:rPr>
              <w:t>Sedans, station wagons, vans and light duty trucks or vehicles having a gross vehicle weight rating (GVWR) or 8500 pounds or less</w:t>
            </w:r>
          </w:p>
        </w:tc>
        <w:tc>
          <w:tcPr>
            <w:tcW w:w="2562" w:type="dxa"/>
            <w:tcBorders>
              <w:right w:val="nil"/>
            </w:tcBorders>
          </w:tcPr>
          <w:p>
            <w:pPr>
              <w:pStyle w:val="TableParagraph"/>
              <w:spacing w:before="7"/>
              <w:rPr>
                <w:sz w:val="23"/>
              </w:rPr>
            </w:pPr>
          </w:p>
          <w:p>
            <w:pPr>
              <w:pStyle w:val="TableParagraph"/>
              <w:ind w:left="511" w:right="511"/>
              <w:jc w:val="center"/>
              <w:rPr>
                <w:sz w:val="24"/>
              </w:rPr>
            </w:pPr>
            <w:r>
              <w:rPr>
                <w:strike/>
                <w:color w:val="F37E43"/>
                <w:sz w:val="24"/>
              </w:rPr>
              <w:t>120,000 miles</w:t>
            </w:r>
          </w:p>
        </w:tc>
      </w:tr>
      <w:tr>
        <w:trPr>
          <w:trHeight w:val="874" w:hRule="exact"/>
        </w:trPr>
        <w:tc>
          <w:tcPr>
            <w:tcW w:w="6919" w:type="dxa"/>
            <w:tcBorders>
              <w:left w:val="nil"/>
            </w:tcBorders>
          </w:tcPr>
          <w:p>
            <w:pPr>
              <w:pStyle w:val="TableParagraph"/>
              <w:spacing w:line="199" w:lineRule="auto" w:before="82"/>
              <w:ind w:left="103" w:right="521"/>
              <w:rPr>
                <w:sz w:val="24"/>
              </w:rPr>
            </w:pPr>
            <w:r>
              <w:rPr>
                <w:strike/>
                <w:color w:val="F37E43"/>
                <w:sz w:val="24"/>
              </w:rPr>
              <w:t>Heavy duty trucks or vehicles (Class 3 and under) having a gross vehicle weight rating (GVWR) of 8501 pounds or more</w:t>
            </w:r>
          </w:p>
        </w:tc>
        <w:tc>
          <w:tcPr>
            <w:tcW w:w="2562" w:type="dxa"/>
            <w:tcBorders>
              <w:right w:val="nil"/>
            </w:tcBorders>
          </w:tcPr>
          <w:p>
            <w:pPr>
              <w:pStyle w:val="TableParagraph"/>
              <w:spacing w:before="7"/>
              <w:rPr>
                <w:sz w:val="23"/>
              </w:rPr>
            </w:pPr>
          </w:p>
          <w:p>
            <w:pPr>
              <w:pStyle w:val="TableParagraph"/>
              <w:ind w:left="511" w:right="511"/>
              <w:jc w:val="center"/>
              <w:rPr>
                <w:sz w:val="24"/>
              </w:rPr>
            </w:pPr>
            <w:r>
              <w:rPr>
                <w:strike/>
                <w:color w:val="F37E43"/>
                <w:sz w:val="24"/>
              </w:rPr>
              <w:t>150,000 miles</w:t>
            </w:r>
          </w:p>
        </w:tc>
      </w:tr>
      <w:tr>
        <w:trPr>
          <w:trHeight w:val="866" w:hRule="exact"/>
        </w:trPr>
        <w:tc>
          <w:tcPr>
            <w:tcW w:w="6919" w:type="dxa"/>
            <w:tcBorders>
              <w:left w:val="nil"/>
              <w:bottom w:val="nil"/>
            </w:tcBorders>
          </w:tcPr>
          <w:p>
            <w:pPr>
              <w:pStyle w:val="TableParagraph"/>
              <w:spacing w:before="7"/>
              <w:rPr>
                <w:sz w:val="23"/>
              </w:rPr>
            </w:pPr>
          </w:p>
          <w:p>
            <w:pPr>
              <w:pStyle w:val="TableParagraph"/>
              <w:ind w:left="103"/>
              <w:rPr>
                <w:sz w:val="24"/>
              </w:rPr>
            </w:pPr>
            <w:r>
              <w:rPr>
                <w:strike/>
                <w:color w:val="F37E43"/>
                <w:sz w:val="24"/>
              </w:rPr>
              <w:t>4-wheel drive vehicles</w:t>
            </w:r>
          </w:p>
        </w:tc>
        <w:tc>
          <w:tcPr>
            <w:tcW w:w="2562" w:type="dxa"/>
            <w:tcBorders>
              <w:bottom w:val="nil"/>
              <w:right w:val="nil"/>
            </w:tcBorders>
          </w:tcPr>
          <w:p>
            <w:pPr>
              <w:pStyle w:val="TableParagraph"/>
              <w:spacing w:before="7"/>
              <w:rPr>
                <w:sz w:val="23"/>
              </w:rPr>
            </w:pPr>
          </w:p>
          <w:p>
            <w:pPr>
              <w:pStyle w:val="TableParagraph"/>
              <w:ind w:left="511" w:right="511"/>
              <w:jc w:val="center"/>
              <w:rPr>
                <w:sz w:val="24"/>
              </w:rPr>
            </w:pPr>
            <w:r>
              <w:rPr>
                <w:strike/>
                <w:color w:val="F37E43"/>
                <w:sz w:val="24"/>
              </w:rPr>
              <w:t>150,000 miles</w:t>
            </w:r>
          </w:p>
        </w:tc>
      </w:tr>
    </w:tbl>
    <w:p>
      <w:pPr>
        <w:pStyle w:val="BodyText"/>
        <w:spacing w:line="272" w:lineRule="exact"/>
        <w:ind w:left="820"/>
      </w:pPr>
      <w:r>
        <w:rPr/>
        <w:pict>
          <v:group style="position:absolute;margin-left:135.654999pt;margin-top:11.75pt;width:34.65pt;height:1.95pt;mso-position-horizontal-relative:page;mso-position-vertical-relative:paragraph;z-index:-471592" coordorigin="2713,235" coordsize="693,39">
            <v:line style="position:absolute" from="2722,256" to="3324,256" stroked="true" strokeweight=".84pt" strokecolor="#f37e43">
              <v:stroke dashstyle="solid"/>
            </v:line>
            <v:shape style="position:absolute;left:3324;top:240;width:77;height:29" coordorigin="3324,240" coordsize="77,29" path="m3324,240l3401,240m3324,269l3401,269e" filled="false" stroked="true" strokeweight=".48pt" strokecolor="#2c6234">
              <v:path arrowok="t"/>
              <v:stroke dashstyle="solid"/>
            </v:shape>
            <w10:wrap type="none"/>
          </v:group>
        </w:pict>
      </w:r>
      <w:r>
        <w:rPr/>
        <w:pict>
          <v:line style="position:absolute;mso-position-horizontal-relative:page;mso-position-vertical-relative:paragraph;z-index:1120" from="36.360001pt,.0pt" to="36.360001pt,351.72pt" stroked="true" strokeweight=".72pt" strokecolor="#000000">
            <v:stroke dashstyle="solid"/>
            <w10:wrap type="none"/>
          </v:line>
        </w:pict>
      </w:r>
      <w:r>
        <w:rPr>
          <w:color w:val="F37E43"/>
          <w:u w:val="single" w:color="F37E43"/>
        </w:rPr>
        <w:t>(Revised </w:t>
      </w:r>
      <w:r>
        <w:rPr/>
        <w:t>10</w:t>
      </w:r>
      <w:r>
        <w:rPr>
          <w:color w:val="F37E43"/>
        </w:rPr>
        <w:t>/2017</w:t>
      </w:r>
      <w:r>
        <w:rPr>
          <w:color w:val="2C6234"/>
        </w:rPr>
        <w:t>)</w:t>
      </w:r>
    </w:p>
    <w:p>
      <w:pPr>
        <w:pStyle w:val="BodyText"/>
        <w:spacing w:before="1"/>
        <w:rPr>
          <w:sz w:val="23"/>
        </w:rPr>
      </w:pPr>
    </w:p>
    <w:p>
      <w:pPr>
        <w:pStyle w:val="BodyText"/>
        <w:spacing w:before="92"/>
        <w:ind w:left="820"/>
      </w:pPr>
      <w:r>
        <w:rPr>
          <w:color w:val="2C6234"/>
          <w:u w:val="thick" w:color="2C6234"/>
        </w:rPr>
        <w:t>To</w:t>
      </w:r>
    </w:p>
    <w:p>
      <w:pPr>
        <w:spacing w:before="2"/>
        <w:ind w:left="820" w:right="406" w:firstLine="0"/>
        <w:jc w:val="left"/>
        <w:rPr>
          <w:rFonts w:ascii="Calibri"/>
          <w:sz w:val="24"/>
        </w:rPr>
      </w:pPr>
      <w:r>
        <w:rPr>
          <w:rFonts w:ascii="Calibri"/>
          <w:strike/>
          <w:color w:val="F37E43"/>
          <w:sz w:val="20"/>
        </w:rPr>
        <w:t>The schedule above is to be used as a guideline</w:t>
      </w:r>
      <w:r>
        <w:rPr>
          <w:strike w:val="0"/>
          <w:color w:val="F37E43"/>
          <w:sz w:val="24"/>
          <w:u w:val="single" w:color="F37E43"/>
        </w:rPr>
        <w:t>ensure that the state maximizes its resources </w:t>
      </w:r>
      <w:r>
        <w:rPr>
          <w:strike w:val="0"/>
          <w:sz w:val="24"/>
        </w:rPr>
        <w:t>and </w:t>
      </w:r>
      <w:r>
        <w:rPr>
          <w:rFonts w:ascii="Calibri"/>
          <w:strike/>
          <w:color w:val="F37E43"/>
          <w:sz w:val="20"/>
        </w:rPr>
        <w:t>not an absolute standard; OFAM may require additional justification for disposing of a</w:t>
      </w:r>
      <w:r>
        <w:rPr>
          <w:rFonts w:ascii="Calibri"/>
          <w:strike w:val="0"/>
          <w:color w:val="F37E43"/>
          <w:sz w:val="24"/>
          <w:u w:val="single" w:color="F37E43"/>
        </w:rPr>
        <w:t>that state-owned fleet </w:t>
      </w:r>
      <w:r>
        <w:rPr>
          <w:rFonts w:ascii="Calibri"/>
          <w:strike w:val="0"/>
          <w:sz w:val="24"/>
        </w:rPr>
        <w:t>vehicle </w:t>
      </w:r>
      <w:r>
        <w:rPr>
          <w:rFonts w:ascii="Calibri"/>
          <w:strike/>
          <w:color w:val="F37E43"/>
          <w:sz w:val="20"/>
        </w:rPr>
        <w:t>that meets these</w:t>
      </w:r>
      <w:r>
        <w:rPr>
          <w:rFonts w:ascii="Calibri"/>
          <w:strike w:val="0"/>
          <w:color w:val="F37E43"/>
          <w:sz w:val="24"/>
          <w:u w:val="single" w:color="F37E43"/>
        </w:rPr>
        <w:t>assets (fleet assets) are replaced at the most economical mileage and age thresholds, it is recommended that state agencies adhere to the following replacement criteria for fleet assets. These replacement </w:t>
      </w:r>
      <w:r>
        <w:rPr>
          <w:rFonts w:ascii="Calibri"/>
          <w:strike w:val="0"/>
          <w:sz w:val="24"/>
        </w:rPr>
        <w:t>standards </w:t>
      </w:r>
      <w:r>
        <w:rPr>
          <w:rFonts w:ascii="Calibri"/>
          <w:strike w:val="0"/>
          <w:color w:val="F37E43"/>
          <w:sz w:val="24"/>
          <w:u w:val="single" w:color="F37E43"/>
        </w:rPr>
        <w:t>are based upon optimum replacement threshold recommendations developed in a </w:t>
      </w:r>
      <w:hyperlink r:id="rId12">
        <w:r>
          <w:rPr>
            <w:rFonts w:ascii="Calibri"/>
            <w:strike w:val="0"/>
            <w:color w:val="0563C1"/>
            <w:sz w:val="24"/>
            <w:u w:val="single" w:color="F37E43"/>
          </w:rPr>
          <w:t>2016 Vehicle Replacement Methodology</w:t>
        </w:r>
      </w:hyperlink>
      <w:r>
        <w:rPr>
          <w:rFonts w:ascii="Calibri"/>
          <w:strike/>
          <w:color w:val="F37E43"/>
          <w:sz w:val="20"/>
        </w:rPr>
        <w:t>. A state- owned  </w:t>
      </w:r>
      <w:r>
        <w:rPr>
          <w:rFonts w:ascii="Calibri"/>
          <w:strike w:val="0"/>
          <w:color w:val="F37E43"/>
          <w:sz w:val="24"/>
          <w:u w:val="single" w:color="F37E43"/>
        </w:rPr>
        <w:t>report. Vehicle condition may also effect replacement.</w:t>
      </w:r>
    </w:p>
    <w:p>
      <w:pPr>
        <w:pStyle w:val="BodyText"/>
        <w:spacing w:before="8"/>
        <w:rPr>
          <w:rFonts w:ascii="Calibri"/>
          <w:sz w:val="14"/>
        </w:rPr>
      </w:pPr>
    </w:p>
    <w:p>
      <w:pPr>
        <w:pStyle w:val="BodyText"/>
        <w:spacing w:before="93"/>
        <w:ind w:left="820"/>
      </w:pPr>
      <w:r>
        <w:rPr>
          <w:color w:val="F37E43"/>
          <w:u w:val="single" w:color="F37E43"/>
        </w:rPr>
        <w:t>Age and Mileage</w:t>
      </w:r>
    </w:p>
    <w:p>
      <w:pPr>
        <w:pStyle w:val="BodyText"/>
        <w:spacing w:before="4"/>
        <w:ind w:left="820"/>
        <w:rPr>
          <w:rFonts w:ascii="Calibri"/>
        </w:rPr>
      </w:pPr>
      <w:r>
        <w:rPr>
          <w:color w:val="F37E43"/>
          <w:u w:val="single" w:color="F37E43"/>
        </w:rPr>
        <w:t>Fleet assets that fall within the listed </w:t>
      </w:r>
      <w:r>
        <w:rPr/>
        <w:t>vehicle </w:t>
      </w:r>
      <w:r>
        <w:rPr>
          <w:rFonts w:ascii="Calibri"/>
          <w:color w:val="F37E43"/>
          <w:u w:val="single" w:color="F37E43"/>
        </w:rPr>
        <w:t>categories below and meet the applicable age</w:t>
      </w:r>
    </w:p>
    <w:p>
      <w:pPr>
        <w:pStyle w:val="BodyText"/>
        <w:spacing w:before="2"/>
        <w:ind w:left="820"/>
        <w:rPr>
          <w:rFonts w:ascii="Calibri"/>
        </w:rPr>
      </w:pPr>
      <w:r>
        <w:rPr>
          <w:rFonts w:ascii="Calibri"/>
          <w:i/>
          <w:color w:val="F37E43"/>
          <w:u w:val="single" w:color="F37E43"/>
        </w:rPr>
        <w:t>or </w:t>
      </w:r>
      <w:r>
        <w:rPr>
          <w:rFonts w:ascii="Calibri"/>
          <w:color w:val="F37E43"/>
          <w:u w:val="single" w:color="F37E43"/>
        </w:rPr>
        <w:t>mileage threshold are eligible for replacement.</w:t>
      </w:r>
    </w:p>
    <w:p>
      <w:pPr>
        <w:pStyle w:val="BodyText"/>
        <w:spacing w:before="3"/>
        <w:rPr>
          <w:rFonts w:ascii="Calibri"/>
          <w:sz w:val="19"/>
        </w:rPr>
      </w:pPr>
    </w:p>
    <w:tbl>
      <w:tblPr>
        <w:tblW w:w="0" w:type="auto"/>
        <w:jc w:val="left"/>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6"/>
        <w:gridCol w:w="2880"/>
        <w:gridCol w:w="1848"/>
      </w:tblGrid>
      <w:tr>
        <w:trPr>
          <w:trHeight w:val="324" w:hRule="exact"/>
        </w:trPr>
        <w:tc>
          <w:tcPr>
            <w:tcW w:w="3146" w:type="dxa"/>
            <w:tcBorders>
              <w:bottom w:val="thinThickMediumGap" w:sz="15" w:space="0" w:color="F37E43"/>
            </w:tcBorders>
            <w:shd w:val="clear" w:color="auto" w:fill="818181"/>
          </w:tcPr>
          <w:p>
            <w:pPr>
              <w:pStyle w:val="TableParagraph"/>
              <w:spacing w:before="19"/>
              <w:ind w:left="-1"/>
              <w:rPr>
                <w:sz w:val="22"/>
              </w:rPr>
            </w:pPr>
            <w:r>
              <w:rPr>
                <w:color w:val="F37E43"/>
                <w:sz w:val="22"/>
              </w:rPr>
              <w:t>Vehicle Type</w:t>
            </w:r>
          </w:p>
        </w:tc>
        <w:tc>
          <w:tcPr>
            <w:tcW w:w="2880" w:type="dxa"/>
            <w:shd w:val="clear" w:color="auto" w:fill="818181"/>
          </w:tcPr>
          <w:p>
            <w:pPr>
              <w:pStyle w:val="TableParagraph"/>
              <w:spacing w:before="19"/>
              <w:ind w:left="124" w:right="125"/>
              <w:jc w:val="center"/>
              <w:rPr>
                <w:sz w:val="22"/>
              </w:rPr>
            </w:pPr>
            <w:r>
              <w:rPr>
                <w:color w:val="F37E43"/>
                <w:sz w:val="22"/>
                <w:u w:val="single" w:color="F37E43"/>
              </w:rPr>
              <w:t>Age of Vehicle (in months)</w:t>
            </w:r>
          </w:p>
        </w:tc>
        <w:tc>
          <w:tcPr>
            <w:tcW w:w="1848" w:type="dxa"/>
            <w:shd w:val="clear" w:color="auto" w:fill="818181"/>
          </w:tcPr>
          <w:p>
            <w:pPr>
              <w:pStyle w:val="TableParagraph"/>
              <w:spacing w:before="19"/>
              <w:ind w:left="122" w:right="122"/>
              <w:jc w:val="center"/>
              <w:rPr>
                <w:sz w:val="22"/>
              </w:rPr>
            </w:pPr>
            <w:r>
              <w:rPr>
                <w:color w:val="F37E43"/>
                <w:sz w:val="22"/>
                <w:u w:val="single" w:color="F37E43"/>
              </w:rPr>
              <w:t>Vehicle Mileage</w:t>
            </w:r>
          </w:p>
        </w:tc>
      </w:tr>
      <w:tr>
        <w:trPr>
          <w:trHeight w:val="293" w:hRule="exact"/>
        </w:trPr>
        <w:tc>
          <w:tcPr>
            <w:tcW w:w="7874" w:type="dxa"/>
            <w:gridSpan w:val="3"/>
            <w:tcBorders>
              <w:top w:val="single" w:sz="7" w:space="0" w:color="F37E43"/>
            </w:tcBorders>
            <w:shd w:val="clear" w:color="auto" w:fill="DADADA"/>
          </w:tcPr>
          <w:p>
            <w:pPr>
              <w:pStyle w:val="TableParagraph"/>
              <w:spacing w:before="20"/>
              <w:ind w:left="422"/>
              <w:rPr>
                <w:sz w:val="22"/>
              </w:rPr>
            </w:pPr>
            <w:r>
              <w:rPr>
                <w:color w:val="F37E43"/>
                <w:sz w:val="22"/>
                <w:u w:val="single" w:color="F37E43"/>
              </w:rPr>
              <w:t>Vehicles with Gross Vehicle Weight Rating (GVWR) up to 8,500 Pounds</w:t>
            </w:r>
          </w:p>
        </w:tc>
      </w:tr>
      <w:tr>
        <w:trPr>
          <w:trHeight w:val="305" w:hRule="exact"/>
        </w:trPr>
        <w:tc>
          <w:tcPr>
            <w:tcW w:w="3146" w:type="dxa"/>
            <w:tcBorders>
              <w:bottom w:val="thinThickMediumGap" w:sz="9" w:space="0" w:color="F37E43"/>
            </w:tcBorders>
          </w:tcPr>
          <w:p>
            <w:pPr>
              <w:pStyle w:val="TableParagraph"/>
              <w:spacing w:before="29"/>
              <w:ind w:left="-1"/>
              <w:rPr>
                <w:sz w:val="22"/>
              </w:rPr>
            </w:pPr>
            <w:r>
              <w:rPr>
                <w:color w:val="F37E43"/>
                <w:sz w:val="22"/>
              </w:rPr>
              <w:t>Law Enforcement Vehicles</w:t>
            </w:r>
          </w:p>
        </w:tc>
        <w:tc>
          <w:tcPr>
            <w:tcW w:w="2880" w:type="dxa"/>
          </w:tcPr>
          <w:p>
            <w:pPr>
              <w:pStyle w:val="TableParagraph"/>
              <w:spacing w:before="29"/>
              <w:ind w:left="124" w:right="124"/>
              <w:jc w:val="center"/>
              <w:rPr>
                <w:sz w:val="22"/>
              </w:rPr>
            </w:pPr>
            <w:r>
              <w:rPr>
                <w:color w:val="F37E43"/>
                <w:sz w:val="22"/>
                <w:u w:val="single" w:color="F37E43"/>
              </w:rPr>
              <w:t>60</w:t>
            </w:r>
          </w:p>
        </w:tc>
        <w:tc>
          <w:tcPr>
            <w:tcW w:w="1848" w:type="dxa"/>
          </w:tcPr>
          <w:p>
            <w:pPr>
              <w:pStyle w:val="TableParagraph"/>
              <w:spacing w:before="29"/>
              <w:ind w:left="122" w:right="122"/>
              <w:jc w:val="center"/>
              <w:rPr>
                <w:sz w:val="22"/>
              </w:rPr>
            </w:pPr>
            <w:r>
              <w:rPr>
                <w:color w:val="F37E43"/>
                <w:sz w:val="22"/>
                <w:u w:val="single" w:color="F37E43"/>
              </w:rPr>
              <w:t>100,000</w:t>
            </w:r>
          </w:p>
        </w:tc>
      </w:tr>
      <w:tr>
        <w:trPr>
          <w:trHeight w:val="298" w:hRule="exact"/>
        </w:trPr>
        <w:tc>
          <w:tcPr>
            <w:tcW w:w="3146" w:type="dxa"/>
            <w:tcBorders>
              <w:top w:val="thickThinMediumGap" w:sz="9" w:space="0" w:color="F37E43"/>
              <w:bottom w:val="single" w:sz="7" w:space="0" w:color="F37E43"/>
            </w:tcBorders>
          </w:tcPr>
          <w:p>
            <w:pPr>
              <w:pStyle w:val="TableParagraph"/>
              <w:spacing w:before="6"/>
              <w:ind w:left="-1"/>
              <w:rPr>
                <w:sz w:val="22"/>
              </w:rPr>
            </w:pPr>
            <w:r>
              <w:rPr>
                <w:color w:val="F37E43"/>
                <w:sz w:val="22"/>
              </w:rPr>
              <w:t>Sedans</w:t>
            </w:r>
          </w:p>
        </w:tc>
        <w:tc>
          <w:tcPr>
            <w:tcW w:w="2880" w:type="dxa"/>
          </w:tcPr>
          <w:p>
            <w:pPr>
              <w:pStyle w:val="TableParagraph"/>
              <w:spacing w:before="24"/>
              <w:ind w:left="124" w:right="124"/>
              <w:jc w:val="center"/>
              <w:rPr>
                <w:sz w:val="22"/>
              </w:rPr>
            </w:pPr>
            <w:r>
              <w:rPr>
                <w:color w:val="F37E43"/>
                <w:sz w:val="22"/>
                <w:u w:val="single" w:color="F37E43"/>
              </w:rPr>
              <w:t>72</w:t>
            </w:r>
          </w:p>
        </w:tc>
        <w:tc>
          <w:tcPr>
            <w:tcW w:w="1848" w:type="dxa"/>
          </w:tcPr>
          <w:p>
            <w:pPr>
              <w:pStyle w:val="TableParagraph"/>
              <w:spacing w:before="24"/>
              <w:ind w:left="122" w:right="120"/>
              <w:jc w:val="center"/>
              <w:rPr>
                <w:sz w:val="22"/>
              </w:rPr>
            </w:pPr>
            <w:r>
              <w:rPr>
                <w:color w:val="F37E43"/>
                <w:sz w:val="22"/>
                <w:u w:val="single" w:color="F37E43"/>
              </w:rPr>
              <w:t>65,000</w:t>
            </w:r>
          </w:p>
        </w:tc>
      </w:tr>
      <w:tr>
        <w:trPr>
          <w:trHeight w:val="300" w:hRule="exact"/>
        </w:trPr>
        <w:tc>
          <w:tcPr>
            <w:tcW w:w="3146" w:type="dxa"/>
            <w:tcBorders>
              <w:top w:val="single" w:sz="7" w:space="0" w:color="F37E43"/>
              <w:bottom w:val="thinThickMediumGap" w:sz="9" w:space="0" w:color="F37E43"/>
            </w:tcBorders>
          </w:tcPr>
          <w:p>
            <w:pPr>
              <w:pStyle w:val="TableParagraph"/>
              <w:spacing w:before="20"/>
              <w:ind w:left="-1"/>
              <w:rPr>
                <w:sz w:val="22"/>
              </w:rPr>
            </w:pPr>
            <w:r>
              <w:rPr>
                <w:color w:val="F37E43"/>
                <w:sz w:val="22"/>
              </w:rPr>
              <w:t>Mini Vans</w:t>
            </w:r>
          </w:p>
        </w:tc>
        <w:tc>
          <w:tcPr>
            <w:tcW w:w="2880" w:type="dxa"/>
          </w:tcPr>
          <w:p>
            <w:pPr>
              <w:pStyle w:val="TableParagraph"/>
              <w:spacing w:before="24"/>
              <w:ind w:left="124" w:right="124"/>
              <w:jc w:val="center"/>
              <w:rPr>
                <w:sz w:val="22"/>
              </w:rPr>
            </w:pPr>
            <w:r>
              <w:rPr>
                <w:color w:val="F37E43"/>
                <w:sz w:val="22"/>
                <w:u w:val="single" w:color="F37E43"/>
              </w:rPr>
              <w:t>96</w:t>
            </w:r>
          </w:p>
        </w:tc>
        <w:tc>
          <w:tcPr>
            <w:tcW w:w="1848" w:type="dxa"/>
          </w:tcPr>
          <w:p>
            <w:pPr>
              <w:pStyle w:val="TableParagraph"/>
              <w:spacing w:before="24"/>
              <w:ind w:left="122" w:right="120"/>
              <w:jc w:val="center"/>
              <w:rPr>
                <w:sz w:val="22"/>
              </w:rPr>
            </w:pPr>
            <w:r>
              <w:rPr>
                <w:color w:val="F37E43"/>
                <w:sz w:val="22"/>
                <w:u w:val="single" w:color="F37E43"/>
              </w:rPr>
              <w:t>80,000</w:t>
            </w:r>
          </w:p>
        </w:tc>
      </w:tr>
      <w:tr>
        <w:trPr>
          <w:trHeight w:val="298" w:hRule="exact"/>
        </w:trPr>
        <w:tc>
          <w:tcPr>
            <w:tcW w:w="3146" w:type="dxa"/>
            <w:tcBorders>
              <w:top w:val="thickThinMediumGap" w:sz="9" w:space="0" w:color="F37E43"/>
              <w:bottom w:val="thinThickMediumGap" w:sz="9" w:space="0" w:color="F37E43"/>
            </w:tcBorders>
          </w:tcPr>
          <w:p>
            <w:pPr>
              <w:pStyle w:val="TableParagraph"/>
              <w:spacing w:before="6"/>
              <w:ind w:left="-1"/>
              <w:rPr>
                <w:sz w:val="22"/>
              </w:rPr>
            </w:pPr>
            <w:r>
              <w:rPr>
                <w:color w:val="F37E43"/>
                <w:sz w:val="22"/>
              </w:rPr>
              <w:t>Cargo Vans</w:t>
            </w:r>
          </w:p>
        </w:tc>
        <w:tc>
          <w:tcPr>
            <w:tcW w:w="2880" w:type="dxa"/>
          </w:tcPr>
          <w:p>
            <w:pPr>
              <w:pStyle w:val="TableParagraph"/>
              <w:spacing w:before="24"/>
              <w:ind w:left="124" w:right="124"/>
              <w:jc w:val="center"/>
              <w:rPr>
                <w:sz w:val="22"/>
              </w:rPr>
            </w:pPr>
            <w:r>
              <w:rPr>
                <w:color w:val="F37E43"/>
                <w:sz w:val="22"/>
                <w:u w:val="single" w:color="F37E43"/>
              </w:rPr>
              <w:t>60</w:t>
            </w:r>
          </w:p>
        </w:tc>
        <w:tc>
          <w:tcPr>
            <w:tcW w:w="1848" w:type="dxa"/>
          </w:tcPr>
          <w:p>
            <w:pPr>
              <w:pStyle w:val="TableParagraph"/>
              <w:spacing w:before="24"/>
              <w:ind w:left="122" w:right="120"/>
              <w:jc w:val="center"/>
              <w:rPr>
                <w:sz w:val="22"/>
              </w:rPr>
            </w:pPr>
            <w:r>
              <w:rPr>
                <w:color w:val="F37E43"/>
                <w:sz w:val="22"/>
                <w:u w:val="single" w:color="F37E43"/>
              </w:rPr>
              <w:t>65,000</w:t>
            </w:r>
          </w:p>
        </w:tc>
      </w:tr>
      <w:tr>
        <w:trPr>
          <w:trHeight w:val="300" w:hRule="exact"/>
        </w:trPr>
        <w:tc>
          <w:tcPr>
            <w:tcW w:w="3146" w:type="dxa"/>
            <w:tcBorders>
              <w:top w:val="thickThinMediumGap" w:sz="9" w:space="0" w:color="F37E43"/>
              <w:bottom w:val="thinThickMediumGap" w:sz="9" w:space="0" w:color="F37E43"/>
            </w:tcBorders>
          </w:tcPr>
          <w:p>
            <w:pPr>
              <w:pStyle w:val="TableParagraph"/>
              <w:spacing w:before="9"/>
              <w:ind w:left="-1"/>
              <w:rPr>
                <w:sz w:val="22"/>
              </w:rPr>
            </w:pPr>
            <w:r>
              <w:rPr>
                <w:color w:val="F37E43"/>
                <w:sz w:val="22"/>
              </w:rPr>
              <w:t>Pickup Trucks</w:t>
            </w:r>
          </w:p>
        </w:tc>
        <w:tc>
          <w:tcPr>
            <w:tcW w:w="2880" w:type="dxa"/>
          </w:tcPr>
          <w:p>
            <w:pPr>
              <w:pStyle w:val="TableParagraph"/>
              <w:spacing w:before="26"/>
              <w:ind w:left="124" w:right="124"/>
              <w:jc w:val="center"/>
              <w:rPr>
                <w:sz w:val="22"/>
              </w:rPr>
            </w:pPr>
            <w:r>
              <w:rPr>
                <w:color w:val="F37E43"/>
                <w:sz w:val="22"/>
                <w:u w:val="single" w:color="F37E43"/>
              </w:rPr>
              <w:t>60</w:t>
            </w:r>
          </w:p>
        </w:tc>
        <w:tc>
          <w:tcPr>
            <w:tcW w:w="1848" w:type="dxa"/>
          </w:tcPr>
          <w:p>
            <w:pPr>
              <w:pStyle w:val="TableParagraph"/>
              <w:spacing w:before="26"/>
              <w:ind w:left="122" w:right="120"/>
              <w:jc w:val="center"/>
              <w:rPr>
                <w:sz w:val="22"/>
              </w:rPr>
            </w:pPr>
            <w:r>
              <w:rPr>
                <w:color w:val="F37E43"/>
                <w:sz w:val="22"/>
                <w:u w:val="single" w:color="F37E43"/>
              </w:rPr>
              <w:t>65,000</w:t>
            </w:r>
          </w:p>
        </w:tc>
      </w:tr>
      <w:tr>
        <w:trPr>
          <w:trHeight w:val="300" w:hRule="exact"/>
        </w:trPr>
        <w:tc>
          <w:tcPr>
            <w:tcW w:w="3146" w:type="dxa"/>
            <w:tcBorders>
              <w:top w:val="thickThinMediumGap" w:sz="9" w:space="0" w:color="F37E43"/>
              <w:bottom w:val="thinThickMediumGap" w:sz="9" w:space="0" w:color="F37E43"/>
            </w:tcBorders>
          </w:tcPr>
          <w:p>
            <w:pPr>
              <w:pStyle w:val="TableParagraph"/>
              <w:spacing w:before="7"/>
              <w:ind w:left="-1"/>
              <w:rPr>
                <w:sz w:val="22"/>
              </w:rPr>
            </w:pPr>
            <w:r>
              <w:rPr>
                <w:color w:val="F37E43"/>
                <w:sz w:val="22"/>
              </w:rPr>
              <w:t>Sport Utility Vehicles</w:t>
            </w:r>
          </w:p>
        </w:tc>
        <w:tc>
          <w:tcPr>
            <w:tcW w:w="2880" w:type="dxa"/>
          </w:tcPr>
          <w:p>
            <w:pPr>
              <w:pStyle w:val="TableParagraph"/>
              <w:spacing w:before="24"/>
              <w:ind w:left="124" w:right="124"/>
              <w:jc w:val="center"/>
              <w:rPr>
                <w:sz w:val="22"/>
              </w:rPr>
            </w:pPr>
            <w:r>
              <w:rPr>
                <w:color w:val="F37E43"/>
                <w:sz w:val="22"/>
                <w:u w:val="single" w:color="F37E43"/>
              </w:rPr>
              <w:t>84</w:t>
            </w:r>
          </w:p>
        </w:tc>
        <w:tc>
          <w:tcPr>
            <w:tcW w:w="1848" w:type="dxa"/>
          </w:tcPr>
          <w:p>
            <w:pPr>
              <w:pStyle w:val="TableParagraph"/>
              <w:spacing w:before="24"/>
              <w:ind w:left="122" w:right="120"/>
              <w:jc w:val="center"/>
              <w:rPr>
                <w:sz w:val="22"/>
              </w:rPr>
            </w:pPr>
            <w:r>
              <w:rPr>
                <w:color w:val="F37E43"/>
                <w:sz w:val="22"/>
                <w:u w:val="single" w:color="F37E43"/>
              </w:rPr>
              <w:t>85,000</w:t>
            </w:r>
          </w:p>
        </w:tc>
      </w:tr>
      <w:tr>
        <w:trPr>
          <w:trHeight w:val="298" w:hRule="exact"/>
        </w:trPr>
        <w:tc>
          <w:tcPr>
            <w:tcW w:w="7874" w:type="dxa"/>
            <w:gridSpan w:val="3"/>
            <w:tcBorders>
              <w:top w:val="single" w:sz="7" w:space="0" w:color="F37E43"/>
            </w:tcBorders>
            <w:shd w:val="clear" w:color="auto" w:fill="DADADA"/>
          </w:tcPr>
          <w:p>
            <w:pPr>
              <w:pStyle w:val="TableParagraph"/>
              <w:spacing w:before="20"/>
              <w:ind w:left="2030"/>
              <w:rPr>
                <w:sz w:val="22"/>
              </w:rPr>
            </w:pPr>
            <w:r>
              <w:rPr>
                <w:color w:val="F37E43"/>
                <w:sz w:val="22"/>
                <w:u w:val="single" w:color="F37E43"/>
              </w:rPr>
              <w:t>Vehicles with GVWR of 8,501 – 16,000</w:t>
            </w:r>
          </w:p>
        </w:tc>
      </w:tr>
    </w:tbl>
    <w:p>
      <w:pPr>
        <w:spacing w:after="0"/>
        <w:rPr>
          <w:sz w:val="22"/>
        </w:rPr>
        <w:sectPr>
          <w:headerReference w:type="default" r:id="rId10"/>
          <w:footerReference w:type="default" r:id="rId11"/>
          <w:pgSz w:w="12240" w:h="15840"/>
          <w:pgMar w:header="624" w:footer="650" w:top="900" w:bottom="840" w:left="620" w:right="1200"/>
        </w:sectPr>
      </w:pPr>
    </w:p>
    <w:p>
      <w:pPr>
        <w:pStyle w:val="BodyText"/>
        <w:spacing w:before="5"/>
        <w:rPr>
          <w:rFonts w:ascii="Calibri"/>
          <w:sz w:val="19"/>
        </w:rPr>
      </w:pPr>
    </w:p>
    <w:tbl>
      <w:tblPr>
        <w:tblW w:w="0" w:type="auto"/>
        <w:jc w:val="left"/>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6"/>
        <w:gridCol w:w="2880"/>
        <w:gridCol w:w="1848"/>
      </w:tblGrid>
      <w:tr>
        <w:trPr>
          <w:trHeight w:val="300" w:hRule="exact"/>
        </w:trPr>
        <w:tc>
          <w:tcPr>
            <w:tcW w:w="3146" w:type="dxa"/>
            <w:tcBorders>
              <w:bottom w:val="thinThickMediumGap" w:sz="9" w:space="0" w:color="F37E43"/>
            </w:tcBorders>
          </w:tcPr>
          <w:p>
            <w:pPr>
              <w:pStyle w:val="TableParagraph"/>
              <w:spacing w:before="24"/>
              <w:ind w:left="-1"/>
              <w:rPr>
                <w:sz w:val="22"/>
              </w:rPr>
            </w:pPr>
            <w:r>
              <w:rPr>
                <w:color w:val="F37E43"/>
                <w:sz w:val="22"/>
              </w:rPr>
              <w:t>Law Enforcement Vehicles</w:t>
            </w:r>
          </w:p>
        </w:tc>
        <w:tc>
          <w:tcPr>
            <w:tcW w:w="2880" w:type="dxa"/>
          </w:tcPr>
          <w:p>
            <w:pPr>
              <w:pStyle w:val="TableParagraph"/>
              <w:spacing w:before="24"/>
              <w:ind w:left="1312"/>
              <w:rPr>
                <w:sz w:val="22"/>
              </w:rPr>
            </w:pPr>
            <w:r>
              <w:rPr>
                <w:color w:val="F37E43"/>
                <w:sz w:val="22"/>
                <w:u w:val="single" w:color="F37E43"/>
              </w:rPr>
              <w:t>60</w:t>
            </w:r>
          </w:p>
        </w:tc>
        <w:tc>
          <w:tcPr>
            <w:tcW w:w="1848" w:type="dxa"/>
          </w:tcPr>
          <w:p>
            <w:pPr>
              <w:pStyle w:val="TableParagraph"/>
              <w:spacing w:before="24"/>
              <w:ind w:left="122" w:right="122"/>
              <w:jc w:val="center"/>
              <w:rPr>
                <w:sz w:val="22"/>
              </w:rPr>
            </w:pPr>
            <w:r>
              <w:rPr>
                <w:color w:val="F37E43"/>
                <w:sz w:val="22"/>
                <w:u w:val="single" w:color="F37E43"/>
              </w:rPr>
              <w:t>100,000</w:t>
            </w:r>
          </w:p>
        </w:tc>
      </w:tr>
      <w:tr>
        <w:trPr>
          <w:trHeight w:val="305" w:hRule="exact"/>
        </w:trPr>
        <w:tc>
          <w:tcPr>
            <w:tcW w:w="3146" w:type="dxa"/>
            <w:tcBorders>
              <w:top w:val="thickThinMediumGap" w:sz="9" w:space="0" w:color="F37E43"/>
              <w:bottom w:val="thinThickMediumGap" w:sz="10" w:space="0" w:color="F37E43"/>
            </w:tcBorders>
          </w:tcPr>
          <w:p>
            <w:pPr>
              <w:pStyle w:val="TableParagraph"/>
              <w:spacing w:before="8"/>
              <w:ind w:left="-1"/>
              <w:rPr>
                <w:sz w:val="22"/>
              </w:rPr>
            </w:pPr>
            <w:r>
              <w:rPr>
                <w:color w:val="F37E43"/>
                <w:sz w:val="22"/>
              </w:rPr>
              <w:t>All Trucks, Vans, and SUVs</w:t>
            </w:r>
          </w:p>
        </w:tc>
        <w:tc>
          <w:tcPr>
            <w:tcW w:w="2880" w:type="dxa"/>
          </w:tcPr>
          <w:p>
            <w:pPr>
              <w:pStyle w:val="TableParagraph"/>
              <w:spacing w:before="26"/>
              <w:ind w:left="1312"/>
              <w:rPr>
                <w:sz w:val="22"/>
              </w:rPr>
            </w:pPr>
            <w:r>
              <w:rPr>
                <w:color w:val="F37E43"/>
                <w:sz w:val="22"/>
                <w:u w:val="single" w:color="F37E43"/>
              </w:rPr>
              <w:t>72</w:t>
            </w:r>
          </w:p>
        </w:tc>
        <w:tc>
          <w:tcPr>
            <w:tcW w:w="1848" w:type="dxa"/>
          </w:tcPr>
          <w:p>
            <w:pPr>
              <w:pStyle w:val="TableParagraph"/>
              <w:spacing w:before="26"/>
              <w:ind w:left="122" w:right="120"/>
              <w:jc w:val="center"/>
              <w:rPr>
                <w:sz w:val="22"/>
              </w:rPr>
            </w:pPr>
            <w:r>
              <w:rPr>
                <w:color w:val="F37E43"/>
                <w:sz w:val="22"/>
                <w:u w:val="single" w:color="F37E43"/>
              </w:rPr>
              <w:t>70,000</w:t>
            </w:r>
          </w:p>
        </w:tc>
      </w:tr>
      <w:tr>
        <w:trPr>
          <w:trHeight w:val="293" w:hRule="exact"/>
        </w:trPr>
        <w:tc>
          <w:tcPr>
            <w:tcW w:w="7874" w:type="dxa"/>
            <w:gridSpan w:val="3"/>
            <w:tcBorders>
              <w:top w:val="single" w:sz="7" w:space="0" w:color="F37E43"/>
            </w:tcBorders>
            <w:shd w:val="clear" w:color="auto" w:fill="DADADA"/>
          </w:tcPr>
          <w:p>
            <w:pPr>
              <w:pStyle w:val="TableParagraph"/>
              <w:spacing w:before="20"/>
              <w:ind w:left="1967"/>
              <w:rPr>
                <w:sz w:val="22"/>
              </w:rPr>
            </w:pPr>
            <w:r>
              <w:rPr>
                <w:color w:val="F37E43"/>
                <w:sz w:val="22"/>
                <w:u w:val="single" w:color="F37E43"/>
              </w:rPr>
              <w:t>Vehicles with GVWR of 16,001 – 26,000</w:t>
            </w:r>
          </w:p>
        </w:tc>
      </w:tr>
      <w:tr>
        <w:trPr>
          <w:trHeight w:val="305" w:hRule="exact"/>
        </w:trPr>
        <w:tc>
          <w:tcPr>
            <w:tcW w:w="3146" w:type="dxa"/>
            <w:tcBorders>
              <w:bottom w:val="thinThickMediumGap" w:sz="9" w:space="0" w:color="F37E43"/>
            </w:tcBorders>
          </w:tcPr>
          <w:p>
            <w:pPr>
              <w:pStyle w:val="TableParagraph"/>
              <w:spacing w:before="31"/>
              <w:ind w:left="-1"/>
              <w:rPr>
                <w:sz w:val="22"/>
              </w:rPr>
            </w:pPr>
            <w:r>
              <w:rPr>
                <w:color w:val="F37E43"/>
                <w:sz w:val="22"/>
              </w:rPr>
              <w:t>All Trucks, Vans, and SUVs</w:t>
            </w:r>
          </w:p>
        </w:tc>
        <w:tc>
          <w:tcPr>
            <w:tcW w:w="2880" w:type="dxa"/>
          </w:tcPr>
          <w:p>
            <w:pPr>
              <w:pStyle w:val="TableParagraph"/>
              <w:spacing w:before="31"/>
              <w:ind w:left="1250"/>
              <w:rPr>
                <w:sz w:val="22"/>
              </w:rPr>
            </w:pPr>
            <w:r>
              <w:rPr>
                <w:color w:val="F37E43"/>
                <w:sz w:val="22"/>
                <w:u w:val="single" w:color="F37E43"/>
              </w:rPr>
              <w:t>132</w:t>
            </w:r>
          </w:p>
        </w:tc>
        <w:tc>
          <w:tcPr>
            <w:tcW w:w="1848" w:type="dxa"/>
          </w:tcPr>
          <w:p>
            <w:pPr>
              <w:pStyle w:val="TableParagraph"/>
              <w:spacing w:before="31"/>
              <w:ind w:left="122" w:right="122"/>
              <w:jc w:val="center"/>
              <w:rPr>
                <w:sz w:val="22"/>
              </w:rPr>
            </w:pPr>
            <w:r>
              <w:rPr>
                <w:color w:val="F37E43"/>
                <w:sz w:val="22"/>
                <w:u w:val="single" w:color="F37E43"/>
              </w:rPr>
              <w:t>115,000</w:t>
            </w:r>
          </w:p>
        </w:tc>
      </w:tr>
    </w:tbl>
    <w:p>
      <w:pPr>
        <w:pStyle w:val="BodyText"/>
        <w:spacing w:before="6"/>
        <w:rPr>
          <w:rFonts w:ascii="Calibri"/>
          <w:sz w:val="14"/>
        </w:rPr>
      </w:pPr>
    </w:p>
    <w:p>
      <w:pPr>
        <w:pStyle w:val="BodyText"/>
        <w:spacing w:before="92"/>
        <w:ind w:left="820"/>
      </w:pPr>
      <w:r>
        <w:rPr/>
        <w:pict>
          <v:line style="position:absolute;mso-position-horizontal-relative:page;mso-position-vertical-relative:paragraph;z-index:1144" from="36.360001pt,-69.824158pt" to="36.360001pt,175.575842pt" stroked="true" strokeweight=".72pt" strokecolor="#000000">
            <v:stroke dashstyle="solid"/>
            <w10:wrap type="none"/>
          </v:line>
        </w:pict>
      </w:r>
      <w:r>
        <w:rPr>
          <w:color w:val="F37E43"/>
          <w:u w:val="single" w:color="F37E43"/>
        </w:rPr>
        <w:t>Vehicle Condition</w:t>
      </w:r>
    </w:p>
    <w:p>
      <w:pPr>
        <w:spacing w:line="240" w:lineRule="auto" w:before="3"/>
        <w:ind w:left="820" w:right="72" w:firstLine="0"/>
        <w:jc w:val="left"/>
        <w:rPr>
          <w:rFonts w:ascii="Calibri" w:hAnsi="Calibri"/>
          <w:sz w:val="24"/>
        </w:rPr>
      </w:pPr>
      <w:r>
        <w:rPr>
          <w:color w:val="F37E43"/>
          <w:sz w:val="24"/>
          <w:u w:val="single" w:color="F37E43"/>
        </w:rPr>
        <w:t>A fleet asset </w:t>
      </w:r>
      <w:r>
        <w:rPr>
          <w:sz w:val="24"/>
        </w:rPr>
        <w:t>may be disposed of or replaced when it is determined that </w:t>
      </w:r>
      <w:r>
        <w:rPr>
          <w:rFonts w:ascii="Calibri" w:hAnsi="Calibri"/>
          <w:color w:val="F37E43"/>
          <w:sz w:val="24"/>
          <w:u w:val="single" w:color="F37E43"/>
        </w:rPr>
        <w:t>due to the asset’s condition </w:t>
      </w:r>
      <w:r>
        <w:rPr>
          <w:rFonts w:ascii="Calibri" w:hAnsi="Calibri"/>
          <w:sz w:val="24"/>
        </w:rPr>
        <w:t>it would be cost-effective to do so, regardless of age or mileage. </w:t>
      </w:r>
      <w:r>
        <w:rPr>
          <w:rFonts w:ascii="Calibri" w:hAnsi="Calibri"/>
          <w:strike/>
          <w:color w:val="F37E43"/>
          <w:sz w:val="20"/>
        </w:rPr>
        <w:t>All vehicles being disposed of require a Property Survey Report .  An OFA 6 shall also be submitted as applicable. An evaluation will be made by an Inspector of Automotive Equipment </w:t>
      </w:r>
      <w:r>
        <w:rPr>
          <w:rFonts w:ascii="Calibri" w:hAnsi="Calibri"/>
          <w:strike w:val="0"/>
          <w:sz w:val="24"/>
        </w:rPr>
        <w:t>To determine whether a </w:t>
      </w:r>
      <w:r>
        <w:rPr>
          <w:rFonts w:ascii="Calibri" w:hAnsi="Calibri"/>
          <w:strike/>
          <w:color w:val="F37E43"/>
          <w:sz w:val="20"/>
        </w:rPr>
        <w:t>vehicle</w:t>
      </w:r>
      <w:r>
        <w:rPr>
          <w:rFonts w:ascii="Calibri" w:hAnsi="Calibri"/>
          <w:strike w:val="0"/>
          <w:color w:val="F37E43"/>
          <w:sz w:val="24"/>
          <w:u w:val="single" w:color="F37E43"/>
        </w:rPr>
        <w:t>fleet asset </w:t>
      </w:r>
      <w:r>
        <w:rPr>
          <w:rFonts w:ascii="Calibri" w:hAnsi="Calibri"/>
          <w:strike w:val="0"/>
          <w:sz w:val="24"/>
        </w:rPr>
        <w:t>should be disposed of or can be safely and economically continued in service </w:t>
      </w:r>
      <w:r>
        <w:rPr>
          <w:rFonts w:ascii="Calibri" w:hAnsi="Calibri"/>
          <w:strike/>
          <w:color w:val="F37E43"/>
          <w:sz w:val="20"/>
        </w:rPr>
        <w:t>and an OFA 6</w:t>
      </w:r>
      <w:r>
        <w:rPr>
          <w:rFonts w:ascii="Calibri" w:hAnsi="Calibri"/>
          <w:strike w:val="0"/>
          <w:color w:val="F37E43"/>
          <w:sz w:val="24"/>
          <w:u w:val="single" w:color="F37E43"/>
        </w:rPr>
        <w:t>, an evaluation must be conducted by an Inspector of Automotive Equipment (IAE). If it is determined by the IAE that a fleet asset should be disposed of or replaced, an OFA-6: Inspection Survey Report form </w:t>
      </w:r>
      <w:r>
        <w:rPr>
          <w:rFonts w:ascii="Calibri" w:hAnsi="Calibri"/>
          <w:strike w:val="0"/>
          <w:sz w:val="24"/>
        </w:rPr>
        <w:t>shall be provided</w:t>
      </w:r>
      <w:r>
        <w:rPr>
          <w:rFonts w:ascii="Calibri" w:hAnsi="Calibri"/>
          <w:strike/>
          <w:color w:val="F37E43"/>
          <w:sz w:val="20"/>
        </w:rPr>
        <w:t>. </w:t>
      </w:r>
      <w:r>
        <w:rPr>
          <w:rFonts w:ascii="Calibri" w:hAnsi="Calibri"/>
          <w:strike w:val="0"/>
          <w:color w:val="F37E43"/>
          <w:sz w:val="24"/>
          <w:u w:val="single" w:color="F37E43"/>
        </w:rPr>
        <w:t>to the Department of General Services’, Office of Fleet and Asset Management.</w:t>
      </w:r>
    </w:p>
    <w:p>
      <w:pPr>
        <w:pStyle w:val="BodyText"/>
        <w:spacing w:before="8"/>
        <w:rPr>
          <w:rFonts w:ascii="Calibri"/>
          <w:sz w:val="14"/>
        </w:rPr>
      </w:pPr>
    </w:p>
    <w:p>
      <w:pPr>
        <w:pStyle w:val="BodyText"/>
        <w:spacing w:before="92"/>
        <w:ind w:left="820"/>
      </w:pPr>
      <w:r>
        <w:rPr>
          <w:color w:val="F37E43"/>
          <w:u w:val="single" w:color="F37E43"/>
        </w:rPr>
        <w:t>(Continued)</w:t>
      </w:r>
    </w:p>
    <w:p>
      <w:pPr>
        <w:spacing w:after="0"/>
        <w:sectPr>
          <w:pgSz w:w="12240" w:h="15840"/>
          <w:pgMar w:header="624" w:footer="650" w:top="900" w:bottom="840" w:left="620" w:right="1380"/>
        </w:sectPr>
      </w:pPr>
    </w:p>
    <w:p>
      <w:pPr>
        <w:pStyle w:val="BodyText"/>
        <w:spacing w:before="11"/>
        <w:rPr>
          <w:sz w:val="20"/>
        </w:rPr>
      </w:pPr>
    </w:p>
    <w:tbl>
      <w:tblPr>
        <w:tblW w:w="0" w:type="auto"/>
        <w:jc w:val="left"/>
        <w:tblInd w:w="6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32"/>
        <w:gridCol w:w="3291"/>
      </w:tblGrid>
      <w:tr>
        <w:trPr>
          <w:trHeight w:val="544" w:hRule="exact"/>
        </w:trPr>
        <w:tc>
          <w:tcPr>
            <w:tcW w:w="6132" w:type="dxa"/>
          </w:tcPr>
          <w:p>
            <w:pPr>
              <w:pStyle w:val="TableParagraph"/>
              <w:spacing w:line="268" w:lineRule="exact"/>
              <w:ind w:left="200"/>
              <w:rPr>
                <w:sz w:val="24"/>
              </w:rPr>
            </w:pPr>
            <w:r>
              <w:rPr>
                <w:color w:val="F37E43"/>
                <w:sz w:val="24"/>
                <w:u w:val="single" w:color="F37E43"/>
              </w:rPr>
              <w:t>(Continued)</w:t>
            </w:r>
          </w:p>
          <w:p>
            <w:pPr>
              <w:pStyle w:val="TableParagraph"/>
              <w:ind w:left="200"/>
              <w:rPr>
                <w:b/>
                <w:sz w:val="24"/>
              </w:rPr>
            </w:pPr>
            <w:r>
              <w:rPr>
                <w:b/>
                <w:color w:val="F37E43"/>
                <w:sz w:val="24"/>
                <w:u w:val="thick" w:color="F37E43"/>
              </w:rPr>
              <w:t>REPLACEMENT SCHEDULE CRITERIA</w:t>
            </w:r>
          </w:p>
        </w:tc>
        <w:tc>
          <w:tcPr>
            <w:tcW w:w="3291" w:type="dxa"/>
          </w:tcPr>
          <w:p>
            <w:pPr>
              <w:pStyle w:val="TableParagraph"/>
              <w:spacing w:before="3"/>
              <w:rPr>
                <w:sz w:val="23"/>
              </w:rPr>
            </w:pPr>
          </w:p>
          <w:p>
            <w:pPr>
              <w:pStyle w:val="TableParagraph"/>
              <w:ind w:left="1515"/>
              <w:rPr>
                <w:b/>
                <w:sz w:val="24"/>
              </w:rPr>
            </w:pPr>
            <w:r>
              <w:rPr>
                <w:b/>
                <w:color w:val="F37E43"/>
                <w:sz w:val="24"/>
                <w:u w:val="thick" w:color="F37E43"/>
              </w:rPr>
              <w:t>4126 (Cont. 1)</w:t>
            </w:r>
          </w:p>
        </w:tc>
      </w:tr>
    </w:tbl>
    <w:p>
      <w:pPr>
        <w:pStyle w:val="BodyText"/>
        <w:ind w:left="820"/>
      </w:pPr>
      <w:r>
        <w:rPr/>
        <w:pict>
          <v:line style="position:absolute;mso-position-horizontal-relative:page;mso-position-vertical-relative:paragraph;z-index:1192" from="36.360001pt,-27.384136pt" to="36.360001pt,45.335864pt" stroked="true" strokeweight=".72pt" strokecolor="#000000">
            <v:stroke dashstyle="solid"/>
            <w10:wrap type="none"/>
          </v:line>
        </w:pict>
      </w:r>
      <w:r>
        <w:rPr>
          <w:color w:val="F37E43"/>
          <w:u w:val="single" w:color="F37E43"/>
        </w:rPr>
        <w:t>(Revised </w:t>
      </w:r>
      <w:r>
        <w:rPr/>
        <w:t>10</w:t>
      </w:r>
      <w:r>
        <w:rPr>
          <w:color w:val="F37E43"/>
          <w:u w:val="single" w:color="F37E43"/>
        </w:rPr>
        <w:t>/2017)</w:t>
      </w:r>
    </w:p>
    <w:p>
      <w:pPr>
        <w:pStyle w:val="BodyText"/>
        <w:spacing w:before="5"/>
        <w:rPr>
          <w:sz w:val="22"/>
        </w:rPr>
      </w:pPr>
    </w:p>
    <w:p>
      <w:pPr>
        <w:pStyle w:val="BodyText"/>
        <w:spacing w:line="276" w:lineRule="exact" w:before="96"/>
        <w:ind w:left="820" w:right="171"/>
      </w:pPr>
      <w:r>
        <w:rPr/>
        <w:t>The decision whether to retain, reutilize, or dispose of any </w:t>
      </w:r>
      <w:r>
        <w:rPr>
          <w:rFonts w:ascii="Calibri"/>
          <w:strike/>
          <w:color w:val="F37E43"/>
          <w:sz w:val="20"/>
        </w:rPr>
        <w:t>vehicle</w:t>
      </w:r>
      <w:r>
        <w:rPr>
          <w:strike w:val="0"/>
          <w:color w:val="F37E43"/>
          <w:u w:val="single" w:color="F37E43"/>
        </w:rPr>
        <w:t>fleet asset </w:t>
      </w:r>
      <w:r>
        <w:rPr>
          <w:strike w:val="0"/>
        </w:rPr>
        <w:t>not meeting the minimum replacement criteria shall be based on an inspection of the following factors:</w:t>
      </w:r>
    </w:p>
    <w:p>
      <w:pPr>
        <w:pStyle w:val="BodyText"/>
        <w:spacing w:before="8"/>
        <w:rPr>
          <w:sz w:val="26"/>
        </w:rPr>
      </w:pPr>
    </w:p>
    <w:p>
      <w:pPr>
        <w:pStyle w:val="BodyText"/>
        <w:ind w:left="1180"/>
      </w:pPr>
      <w:r>
        <w:rPr>
          <w:rFonts w:ascii="Symbol" w:hAnsi="Symbol"/>
          <w:strike/>
          <w:color w:val="F37E43"/>
        </w:rPr>
        <w:t></w:t>
      </w:r>
      <w:r>
        <w:rPr>
          <w:strike w:val="0"/>
          <w:color w:val="F37E43"/>
          <w:u w:val="single" w:color="F37E43"/>
        </w:rPr>
        <w:t>•  </w:t>
      </w:r>
      <w:r>
        <w:rPr>
          <w:strike w:val="0"/>
        </w:rPr>
        <w:t>Current mechanical condition;</w:t>
      </w:r>
    </w:p>
    <w:p>
      <w:pPr>
        <w:pStyle w:val="BodyText"/>
        <w:spacing w:before="36"/>
        <w:ind w:left="1180"/>
      </w:pPr>
      <w:r>
        <w:rPr>
          <w:rFonts w:ascii="Symbol" w:hAnsi="Symbol"/>
          <w:strike/>
          <w:color w:val="F37E43"/>
        </w:rPr>
        <w:t></w:t>
      </w:r>
      <w:r>
        <w:rPr>
          <w:strike w:val="0"/>
          <w:color w:val="F37E43"/>
          <w:u w:val="single" w:color="F37E43"/>
        </w:rPr>
        <w:t>•  </w:t>
      </w:r>
      <w:r>
        <w:rPr>
          <w:strike w:val="0"/>
        </w:rPr>
        <w:t>Previous maintenance and repair record;</w:t>
      </w:r>
    </w:p>
    <w:p>
      <w:pPr>
        <w:pStyle w:val="BodyText"/>
        <w:spacing w:line="244" w:lineRule="auto" w:before="17"/>
        <w:ind w:left="1540" w:hanging="360"/>
      </w:pPr>
      <w:r>
        <w:rPr>
          <w:rFonts w:ascii="Symbol" w:hAnsi="Symbol"/>
          <w:strike/>
          <w:color w:val="F37E43"/>
        </w:rPr>
        <w:t></w:t>
      </w:r>
      <w:r>
        <w:rPr>
          <w:strike w:val="0"/>
          <w:color w:val="F37E43"/>
          <w:u w:val="single" w:color="F37E43"/>
        </w:rPr>
        <w:t>• </w:t>
      </w:r>
      <w:r>
        <w:rPr>
          <w:strike w:val="0"/>
        </w:rPr>
        <w:t>Extent of needed repairs and availability of parts and life expectancy of vehicle after repair;</w:t>
      </w:r>
    </w:p>
    <w:p>
      <w:pPr>
        <w:pStyle w:val="BodyText"/>
        <w:ind w:left="1180"/>
      </w:pPr>
      <w:r>
        <w:rPr>
          <w:rFonts w:ascii="Symbol" w:hAnsi="Symbol"/>
          <w:strike/>
          <w:color w:val="F37E43"/>
        </w:rPr>
        <w:t></w:t>
      </w:r>
      <w:r>
        <w:rPr>
          <w:strike w:val="0"/>
          <w:color w:val="F37E43"/>
          <w:u w:val="single" w:color="F37E43"/>
        </w:rPr>
        <w:t>•  </w:t>
      </w:r>
      <w:r>
        <w:rPr>
          <w:strike w:val="0"/>
        </w:rPr>
        <w:t>Current sale value;</w:t>
      </w:r>
    </w:p>
    <w:p>
      <w:pPr>
        <w:pStyle w:val="BodyText"/>
        <w:spacing w:before="16"/>
        <w:ind w:left="1180"/>
      </w:pPr>
      <w:r>
        <w:rPr>
          <w:rFonts w:ascii="Symbol" w:hAnsi="Symbol"/>
          <w:strike/>
          <w:color w:val="F37E43"/>
        </w:rPr>
        <w:t></w:t>
      </w:r>
      <w:r>
        <w:rPr>
          <w:strike w:val="0"/>
          <w:color w:val="F37E43"/>
          <w:u w:val="single" w:color="F37E43"/>
        </w:rPr>
        <w:t>•  </w:t>
      </w:r>
      <w:r>
        <w:rPr>
          <w:strike w:val="0"/>
        </w:rPr>
        <w:t>Cost and availability of replacement unit and accessories;</w:t>
      </w:r>
    </w:p>
    <w:p>
      <w:pPr>
        <w:pStyle w:val="BodyText"/>
        <w:spacing w:before="11"/>
        <w:ind w:left="1180"/>
      </w:pPr>
      <w:r>
        <w:rPr>
          <w:rFonts w:ascii="Symbol" w:hAnsi="Symbol"/>
          <w:strike/>
          <w:color w:val="F37E43"/>
        </w:rPr>
        <w:t></w:t>
      </w:r>
      <w:r>
        <w:rPr>
          <w:strike w:val="0"/>
          <w:color w:val="F37E43"/>
          <w:u w:val="single" w:color="F37E43"/>
        </w:rPr>
        <w:t>•  </w:t>
      </w:r>
      <w:r>
        <w:rPr>
          <w:strike w:val="0"/>
        </w:rPr>
        <w:t>Owning agency’s ability to replace unit.</w:t>
      </w:r>
    </w:p>
    <w:p>
      <w:pPr>
        <w:pStyle w:val="BodyText"/>
        <w:spacing w:before="3"/>
        <w:rPr>
          <w:sz w:val="17"/>
        </w:rPr>
      </w:pPr>
    </w:p>
    <w:p>
      <w:pPr>
        <w:pStyle w:val="BodyText"/>
        <w:spacing w:before="92"/>
        <w:ind w:left="820"/>
      </w:pPr>
      <w:r>
        <w:rPr/>
        <w:pict>
          <v:line style="position:absolute;mso-position-horizontal-relative:page;mso-position-vertical-relative:paragraph;z-index:1216" from="36.360001pt,4.814845pt" to="36.360001pt,446.295845pt" stroked="true" strokeweight=".72pt" strokecolor="#000000">
            <v:stroke dashstyle="solid"/>
            <w10:wrap type="none"/>
          </v:line>
        </w:pict>
      </w:r>
      <w:r>
        <w:rPr>
          <w:color w:val="F37E43"/>
          <w:u w:val="single" w:color="F37E43"/>
        </w:rPr>
        <w:t>All fleet assets being disposed of require a Property Survey Report </w:t>
      </w:r>
      <w:hyperlink r:id="rId13">
        <w:r>
          <w:rPr>
            <w:color w:val="0563C1"/>
            <w:u w:val="single" w:color="F37E43"/>
          </w:rPr>
          <w:t>STD. 152</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spacing w:before="92"/>
        <w:ind w:left="820" w:right="0" w:firstLine="0"/>
        <w:jc w:val="left"/>
        <w:rPr>
          <w:sz w:val="24"/>
        </w:rPr>
      </w:pPr>
      <w:r>
        <w:rPr/>
        <w:pict>
          <v:line style="position:absolute;mso-position-horizontal-relative:page;mso-position-vertical-relative:paragraph;z-index:-471496" from="161.520004pt,17.595846pt" to="164.999004pt,17.595846pt" stroked="true" strokeweight=".84pt" strokecolor="#f37e43">
            <v:stroke dashstyle="solid"/>
            <w10:wrap type="none"/>
          </v:line>
        </w:pict>
      </w:r>
      <w:r>
        <w:rPr>
          <w:rFonts w:ascii="Calibri"/>
          <w:strike/>
          <w:color w:val="F37E43"/>
          <w:sz w:val="20"/>
        </w:rPr>
        <w:t>Rev. 433 MARCH 2016</w:t>
      </w:r>
      <w:r>
        <w:rPr>
          <w:strike w:val="0"/>
          <w:color w:val="F37E43"/>
          <w:sz w:val="24"/>
        </w:rPr>
        <w:t>.</w:t>
      </w:r>
    </w:p>
    <w:p>
      <w:pPr>
        <w:pStyle w:val="BodyText"/>
        <w:spacing w:before="7"/>
        <w:rPr>
          <w:sz w:val="15"/>
        </w:rPr>
      </w:pPr>
    </w:p>
    <w:p>
      <w:pPr>
        <w:pStyle w:val="Heading2"/>
        <w:spacing w:before="93"/>
        <w:ind w:left="829"/>
      </w:pPr>
      <w:r>
        <w:rPr>
          <w:color w:val="F37E43"/>
          <w:u w:val="thick" w:color="F37E43"/>
        </w:rPr>
        <w:t>Background</w:t>
      </w:r>
    </w:p>
    <w:p>
      <w:pPr>
        <w:pStyle w:val="BodyText"/>
        <w:spacing w:before="10"/>
        <w:rPr>
          <w:b/>
          <w:sz w:val="21"/>
        </w:rPr>
      </w:pPr>
    </w:p>
    <w:p>
      <w:pPr>
        <w:pStyle w:val="BodyText"/>
        <w:ind w:left="836" w:right="1499"/>
      </w:pPr>
      <w:r>
        <w:rPr>
          <w:color w:val="F37E43"/>
          <w:u w:val="single" w:color="F37E43"/>
        </w:rPr>
        <w:t>Pursuant to Government Code (GC) Section 13332.09, the DGS is responsible for determining the necessity of a fleet asset prior to the asset being purchased. To ensure statutory compliance, state agencies must first demonstrate that disposing of or replacing a fleet asset is cost effective and in the best interest of the state.</w:t>
      </w:r>
    </w:p>
    <w:p>
      <w:pPr>
        <w:pStyle w:val="BodyText"/>
        <w:spacing w:before="10"/>
        <w:rPr>
          <w:sz w:val="15"/>
        </w:rPr>
      </w:pPr>
    </w:p>
    <w:p>
      <w:pPr>
        <w:pStyle w:val="BodyText"/>
        <w:spacing w:before="93"/>
        <w:ind w:left="836" w:right="1606"/>
      </w:pPr>
      <w:r>
        <w:rPr>
          <w:color w:val="F37E43"/>
          <w:u w:val="single" w:color="F37E43"/>
        </w:rPr>
        <w:t>To assist state agencies in demonstrating the cost effectiveness of disposing of or replacing a fleet asset, OFAM sets fleet replacement thresholds that, if met, make a fleet asset eligible for replacement. In 2016, OFAM hired a nationally recognized, fleet consultant company and also assembled a working group of 19 different state agencies, to review and analyze the state fleet’s current vehicles replacement thresholds.</w:t>
      </w:r>
    </w:p>
    <w:p>
      <w:pPr>
        <w:pStyle w:val="BodyText"/>
        <w:ind w:left="836" w:right="1419"/>
      </w:pPr>
      <w:r>
        <w:rPr>
          <w:color w:val="F37E43"/>
          <w:u w:val="single" w:color="F37E43"/>
        </w:rPr>
        <w:t>Pursuant to this effort, a </w:t>
      </w:r>
      <w:hyperlink r:id="rId12">
        <w:r>
          <w:rPr>
            <w:color w:val="F37E43"/>
            <w:u w:val="single" w:color="F37E43"/>
          </w:rPr>
          <w:t>Vehicle Replacement Methodology</w:t>
        </w:r>
      </w:hyperlink>
      <w:r>
        <w:rPr>
          <w:color w:val="F37E43"/>
          <w:u w:val="single" w:color="F37E43"/>
        </w:rPr>
        <w:t> report was developed, which determined that the state’s existing mileage replacement thresholds were well below optimum levels and, as a result, the state was incurring unnecessary costs in the form of increased maintenance, higher fuel consumption, and lower resale value. The analysis also provided recommended mileage and age thresholds (adopted in this policy) that are projected to provide significant cost saving to the state through lower</w:t>
      </w:r>
    </w:p>
    <w:p>
      <w:pPr>
        <w:spacing w:after="0"/>
        <w:sectPr>
          <w:pgSz w:w="12240" w:h="15840"/>
          <w:pgMar w:header="624" w:footer="650" w:top="900" w:bottom="840" w:left="620" w:right="1420"/>
        </w:sectPr>
      </w:pPr>
    </w:p>
    <w:p>
      <w:pPr>
        <w:pStyle w:val="BodyText"/>
        <w:ind w:left="836" w:right="1159"/>
      </w:pPr>
      <w:r>
        <w:rPr>
          <w:color w:val="F37E43"/>
          <w:u w:val="single" w:color="F37E43"/>
        </w:rPr>
        <w:t>In addition, the optimum replacement thresholds will increase the adoption of more fuel efficient vehicles, further contributing to the state’s goal of lowering the greenhouse gas emissions of the state fleet.</w:t>
      </w:r>
    </w:p>
    <w:p>
      <w:pPr>
        <w:spacing w:after="0"/>
        <w:sectPr>
          <w:headerReference w:type="default" r:id="rId14"/>
          <w:pgSz w:w="12240" w:h="15840"/>
          <w:pgMar w:header="624" w:footer="650" w:top="1420" w:bottom="840" w:left="620" w:right="1720"/>
        </w:sectPr>
      </w:pPr>
    </w:p>
    <w:p>
      <w:pPr>
        <w:pStyle w:val="Heading2"/>
        <w:spacing w:line="275" w:lineRule="exact" w:before="74"/>
        <w:ind w:left="3726"/>
      </w:pPr>
      <w:bookmarkStart w:name="SAM – INFORMATION TECHNOLOGY" w:id="2"/>
      <w:bookmarkEnd w:id="2"/>
      <w:r>
        <w:rPr>
          <w:b w:val="0"/>
        </w:rPr>
      </w:r>
      <w:r>
        <w:rPr/>
        <w:t>SAM – INFORMATION TECHNOLOGY</w:t>
      </w:r>
    </w:p>
    <w:p>
      <w:pPr>
        <w:spacing w:line="275" w:lineRule="exact" w:before="0"/>
        <w:ind w:left="3635" w:right="0" w:firstLine="0"/>
        <w:jc w:val="left"/>
        <w:rPr>
          <w:b/>
          <w:sz w:val="24"/>
        </w:rPr>
      </w:pPr>
      <w:r>
        <w:rPr>
          <w:b/>
          <w:sz w:val="24"/>
        </w:rPr>
        <w:t>(California Department of Technology)</w:t>
      </w:r>
    </w:p>
    <w:p>
      <w:pPr>
        <w:pStyle w:val="BodyText"/>
        <w:rPr>
          <w:b/>
          <w:sz w:val="26"/>
        </w:rPr>
      </w:pPr>
    </w:p>
    <w:p>
      <w:pPr>
        <w:tabs>
          <w:tab w:pos="9375" w:val="left" w:leader="none"/>
        </w:tabs>
        <w:spacing w:before="224"/>
        <w:ind w:left="853" w:right="0" w:firstLine="0"/>
        <w:jc w:val="left"/>
        <w:rPr>
          <w:b/>
          <w:sz w:val="24"/>
        </w:rPr>
      </w:pPr>
      <w:r>
        <w:rPr/>
        <w:pict>
          <v:line style="position:absolute;mso-position-horizontal-relative:page;mso-position-vertical-relative:paragraph;z-index:1240" from="31.200001pt,25.215883pt" to="31.200001pt,39.015883pt" stroked="true" strokeweight=".72pt" strokecolor="#000000">
            <v:stroke dashstyle="solid"/>
            <w10:wrap type="none"/>
          </v:line>
        </w:pict>
      </w:r>
      <w:r>
        <w:rPr>
          <w:b/>
          <w:sz w:val="24"/>
        </w:rPr>
        <w:t>INFORMATION TECHNOLOGY</w:t>
      </w:r>
      <w:r>
        <w:rPr>
          <w:b/>
          <w:spacing w:val="-7"/>
          <w:sz w:val="24"/>
        </w:rPr>
        <w:t> </w:t>
      </w:r>
      <w:r>
        <w:rPr>
          <w:b/>
          <w:sz w:val="24"/>
        </w:rPr>
        <w:t>ACCESSIBILITY</w:t>
      </w:r>
      <w:r>
        <w:rPr>
          <w:b/>
          <w:spacing w:val="-6"/>
          <w:sz w:val="24"/>
        </w:rPr>
        <w:t> </w:t>
      </w:r>
      <w:r>
        <w:rPr>
          <w:b/>
          <w:sz w:val="24"/>
        </w:rPr>
        <w:t>POLICY</w:t>
        <w:tab/>
        <w:t>4833</w:t>
      </w:r>
    </w:p>
    <w:p>
      <w:pPr>
        <w:pStyle w:val="BodyText"/>
        <w:ind w:left="853"/>
      </w:pPr>
      <w:r>
        <w:rPr/>
        <w:t>(Revised </w:t>
      </w:r>
      <w:r>
        <w:rPr>
          <w:strike/>
          <w:color w:val="881824"/>
        </w:rPr>
        <w:t>6/2015</w:t>
      </w:r>
      <w:r>
        <w:rPr>
          <w:strike w:val="0"/>
          <w:color w:val="881824"/>
          <w:u w:val="single" w:color="881824"/>
        </w:rPr>
        <w:t>10/2017</w:t>
      </w:r>
      <w:r>
        <w:rPr>
          <w:strike w:val="0"/>
        </w:rPr>
        <w:t>)</w:t>
      </w:r>
    </w:p>
    <w:p>
      <w:pPr>
        <w:pStyle w:val="BodyText"/>
        <w:rPr>
          <w:sz w:val="16"/>
        </w:rPr>
      </w:pPr>
    </w:p>
    <w:p>
      <w:pPr>
        <w:pStyle w:val="BodyText"/>
        <w:spacing w:before="92"/>
        <w:ind w:left="853" w:right="855"/>
      </w:pPr>
      <w:r>
        <w:rPr/>
        <w:t>It is the policy of the State of California that information and services within California State Government, and provided via electronic and information technology (IT), be accessible to people with disabilities.</w:t>
      </w:r>
    </w:p>
    <w:p>
      <w:pPr>
        <w:pStyle w:val="BodyText"/>
        <w:spacing w:before="11"/>
        <w:rPr>
          <w:sz w:val="23"/>
        </w:rPr>
      </w:pPr>
    </w:p>
    <w:p>
      <w:pPr>
        <w:pStyle w:val="BodyText"/>
        <w:ind w:left="853" w:right="215"/>
      </w:pPr>
      <w:r>
        <w:rPr/>
        <w:t>Agencies/state entities must comply with federal and state laws forbidding discrimination against persons with disabilities, including accessibility of their electronic and IT. Under existing federal and state laws and policies, Agencies/state entities, as well as any contractors working for them, are responsible for ensuring that their Agency/state entity public Web sites are accessible to both the general public and that their internal Agency/state entity electronic and IT systems are accessible by state employees, including persons with disabilities.</w:t>
      </w:r>
    </w:p>
    <w:p>
      <w:pPr>
        <w:pStyle w:val="BodyText"/>
        <w:spacing w:before="11"/>
        <w:rPr>
          <w:sz w:val="23"/>
        </w:rPr>
      </w:pPr>
    </w:p>
    <w:p>
      <w:pPr>
        <w:pStyle w:val="BodyText"/>
        <w:ind w:left="853" w:right="134"/>
      </w:pPr>
      <w:r>
        <w:rPr/>
        <w:pict>
          <v:line style="position:absolute;mso-position-horizontal-relative:page;mso-position-vertical-relative:paragraph;z-index:1264" from="31.200001pt,.215762pt" to="31.200001pt,14.015762pt" stroked="true" strokeweight=".72pt" strokecolor="#000000">
            <v:stroke dashstyle="solid"/>
            <w10:wrap type="none"/>
          </v:line>
        </w:pict>
      </w:r>
      <w:r>
        <w:rPr/>
        <w:pict>
          <v:line style="position:absolute;mso-position-horizontal-relative:page;mso-position-vertical-relative:paragraph;z-index:1288" from="31.200001pt,83.015762pt" to="31.200001pt,101.855762pt" stroked="true" strokeweight=".72pt" strokecolor="#000000">
            <v:stroke dashstyle="solid"/>
            <w10:wrap type="none"/>
          </v:line>
        </w:pict>
      </w:r>
      <w:r>
        <w:rPr/>
        <w:t>California Government Code section </w:t>
      </w:r>
      <w:r>
        <w:rPr>
          <w:strike/>
          <w:color w:val="881824"/>
          <w:u w:val="single" w:color="881824"/>
        </w:rPr>
        <w:t>11135 </w:t>
      </w:r>
      <w:hyperlink r:id="rId17">
        <w:r>
          <w:rPr>
            <w:strike w:val="0"/>
            <w:color w:val="881824"/>
            <w:u w:val="single" w:color="881824"/>
          </w:rPr>
          <w:t>7405</w:t>
        </w:r>
      </w:hyperlink>
      <w:r>
        <w:rPr>
          <w:strike w:val="0"/>
          <w:color w:val="881824"/>
          <w:u w:val="single" w:color="881824"/>
        </w:rPr>
        <w:t> </w:t>
      </w:r>
      <w:r>
        <w:rPr>
          <w:strike w:val="0"/>
        </w:rPr>
        <w:t>directs that: “state government entities, in developing, procuring, maintaining, or using electronic or IT, either indirectly or through the use of state funds by other entities, shall comply with the accessibility requirements of Section 508 of the Rehabilitation Act of 1973, as amended (</w:t>
      </w:r>
      <w:hyperlink r:id="rId18">
        <w:r>
          <w:rPr>
            <w:strike w:val="0"/>
            <w:color w:val="0000FF"/>
            <w:u w:val="single" w:color="0000FF"/>
          </w:rPr>
          <w:t>29 U.S.C. Sec. 794d</w:t>
        </w:r>
      </w:hyperlink>
      <w:r>
        <w:rPr>
          <w:strike w:val="0"/>
        </w:rPr>
        <w:t>), and regulations implementing that act as set forth in </w:t>
      </w:r>
      <w:hyperlink r:id="rId19">
        <w:r>
          <w:rPr>
            <w:strike w:val="0"/>
            <w:color w:val="0000FF"/>
            <w:u w:val="single" w:color="0000FF"/>
          </w:rPr>
          <w:t>Part 1194 of Title 36</w:t>
        </w:r>
      </w:hyperlink>
      <w:r>
        <w:rPr>
          <w:strike w:val="0"/>
          <w:color w:val="0000FF"/>
          <w:u w:val="single" w:color="0000FF"/>
        </w:rPr>
        <w:t> </w:t>
      </w:r>
      <w:r>
        <w:rPr>
          <w:strike w:val="0"/>
        </w:rPr>
        <w:t>of the Code of Federal Regulations.”</w:t>
      </w:r>
    </w:p>
    <w:p>
      <w:pPr>
        <w:pStyle w:val="BodyText"/>
        <w:spacing w:before="103"/>
        <w:ind w:left="848" w:right="633"/>
      </w:pPr>
      <w:r>
        <w:rPr/>
        <w:t>Government Code section </w:t>
      </w:r>
      <w:r>
        <w:rPr>
          <w:strike/>
          <w:color w:val="881824"/>
        </w:rPr>
        <w:t>11135</w:t>
      </w:r>
      <w:r>
        <w:rPr>
          <w:strike w:val="0"/>
          <w:color w:val="881824"/>
          <w:u w:val="single" w:color="881824"/>
        </w:rPr>
        <w:t>7405</w:t>
      </w:r>
      <w:r>
        <w:rPr>
          <w:strike w:val="0"/>
        </w:rPr>
        <w:t>, in requiring compliance with Section 508, mandates that electronic and information technology (EIT) are accessible to individuals with disabilities, specifically:</w:t>
      </w:r>
    </w:p>
    <w:p>
      <w:pPr>
        <w:pStyle w:val="ListParagraph"/>
        <w:numPr>
          <w:ilvl w:val="0"/>
          <w:numId w:val="1"/>
        </w:numPr>
        <w:tabs>
          <w:tab w:pos="1928" w:val="left" w:leader="none"/>
          <w:tab w:pos="1929" w:val="left" w:leader="none"/>
        </w:tabs>
        <w:spacing w:line="240" w:lineRule="auto" w:before="123" w:after="0"/>
        <w:ind w:left="1928" w:right="344" w:hanging="360"/>
        <w:jc w:val="left"/>
        <w:rPr>
          <w:sz w:val="24"/>
        </w:rPr>
      </w:pPr>
      <w:r>
        <w:rPr>
          <w:sz w:val="24"/>
        </w:rPr>
        <w:t>State Agencies/state entities must develop, procure, maintain, or use EIT, that employees with disabilities have access to and use of information and data that is comparable to the access and use by employees who are not individuals with disabilities, unless an undue burden would be imposed on the Agency/state entity.</w:t>
      </w:r>
    </w:p>
    <w:p>
      <w:pPr>
        <w:pStyle w:val="ListParagraph"/>
        <w:numPr>
          <w:ilvl w:val="0"/>
          <w:numId w:val="1"/>
        </w:numPr>
        <w:tabs>
          <w:tab w:pos="1928" w:val="left" w:leader="none"/>
          <w:tab w:pos="1929" w:val="left" w:leader="none"/>
        </w:tabs>
        <w:spacing w:line="240" w:lineRule="auto" w:before="120" w:after="0"/>
        <w:ind w:left="1928" w:right="108" w:hanging="360"/>
        <w:jc w:val="left"/>
        <w:rPr>
          <w:sz w:val="24"/>
        </w:rPr>
      </w:pPr>
      <w:r>
        <w:rPr>
          <w:sz w:val="24"/>
        </w:rPr>
        <w:t>Individuals with disabilities, who are members of the public seeking information or services from an Agency/state entity, have access to and use of information and data that is comparable to that provided to the public who are not individuals with disabilities,</w:t>
      </w:r>
      <w:r>
        <w:rPr>
          <w:spacing w:val="-4"/>
          <w:sz w:val="24"/>
        </w:rPr>
        <w:t> </w:t>
      </w:r>
      <w:r>
        <w:rPr>
          <w:sz w:val="24"/>
        </w:rPr>
        <w:t>unless</w:t>
      </w:r>
      <w:r>
        <w:rPr>
          <w:spacing w:val="-6"/>
          <w:sz w:val="24"/>
        </w:rPr>
        <w:t> </w:t>
      </w:r>
      <w:r>
        <w:rPr>
          <w:sz w:val="24"/>
        </w:rPr>
        <w:t>an</w:t>
      </w:r>
      <w:r>
        <w:rPr>
          <w:spacing w:val="-6"/>
          <w:sz w:val="24"/>
        </w:rPr>
        <w:t> </w:t>
      </w:r>
      <w:r>
        <w:rPr>
          <w:sz w:val="24"/>
        </w:rPr>
        <w:t>undue</w:t>
      </w:r>
      <w:r>
        <w:rPr>
          <w:spacing w:val="-4"/>
          <w:sz w:val="24"/>
        </w:rPr>
        <w:t> </w:t>
      </w:r>
      <w:r>
        <w:rPr>
          <w:sz w:val="24"/>
        </w:rPr>
        <w:t>burden</w:t>
      </w:r>
      <w:r>
        <w:rPr>
          <w:spacing w:val="-4"/>
          <w:sz w:val="24"/>
        </w:rPr>
        <w:t> </w:t>
      </w:r>
      <w:r>
        <w:rPr>
          <w:sz w:val="24"/>
        </w:rPr>
        <w:t>would</w:t>
      </w:r>
      <w:r>
        <w:rPr>
          <w:spacing w:val="-4"/>
          <w:sz w:val="24"/>
        </w:rPr>
        <w:t> </w:t>
      </w:r>
      <w:r>
        <w:rPr>
          <w:sz w:val="24"/>
        </w:rPr>
        <w:t>be</w:t>
      </w:r>
      <w:r>
        <w:rPr>
          <w:spacing w:val="-4"/>
          <w:sz w:val="24"/>
        </w:rPr>
        <w:t> </w:t>
      </w:r>
      <w:r>
        <w:rPr>
          <w:sz w:val="24"/>
        </w:rPr>
        <w:t>imposed</w:t>
      </w:r>
      <w:r>
        <w:rPr>
          <w:spacing w:val="-4"/>
          <w:sz w:val="24"/>
        </w:rPr>
        <w:t> </w:t>
      </w:r>
      <w:r>
        <w:rPr>
          <w:sz w:val="24"/>
        </w:rPr>
        <w:t>on</w:t>
      </w:r>
      <w:r>
        <w:rPr>
          <w:spacing w:val="-4"/>
          <w:sz w:val="24"/>
        </w:rPr>
        <w:t> </w:t>
      </w:r>
      <w:r>
        <w:rPr>
          <w:sz w:val="24"/>
        </w:rPr>
        <w:t>the</w:t>
      </w:r>
      <w:r>
        <w:rPr>
          <w:spacing w:val="-4"/>
          <w:sz w:val="24"/>
        </w:rPr>
        <w:t> </w:t>
      </w:r>
      <w:r>
        <w:rPr>
          <w:sz w:val="24"/>
        </w:rPr>
        <w:t>Agency/state</w:t>
      </w:r>
      <w:r>
        <w:rPr>
          <w:spacing w:val="-36"/>
          <w:sz w:val="24"/>
        </w:rPr>
        <w:t> </w:t>
      </w:r>
      <w:r>
        <w:rPr>
          <w:sz w:val="24"/>
        </w:rPr>
        <w:t>entity.</w:t>
      </w:r>
    </w:p>
    <w:p>
      <w:pPr>
        <w:spacing w:after="0" w:line="240" w:lineRule="auto"/>
        <w:jc w:val="left"/>
        <w:rPr>
          <w:sz w:val="24"/>
        </w:rPr>
        <w:sectPr>
          <w:headerReference w:type="default" r:id="rId15"/>
          <w:footerReference w:type="default" r:id="rId16"/>
          <w:pgSz w:w="12240" w:h="16340"/>
          <w:pgMar w:header="0" w:footer="781" w:top="1040" w:bottom="980" w:left="500" w:right="1020"/>
        </w:sectPr>
      </w:pPr>
    </w:p>
    <w:p>
      <w:pPr>
        <w:pStyle w:val="BodyText"/>
        <w:spacing w:before="82"/>
        <w:ind w:left="103"/>
        <w:rPr>
          <w:rFonts w:ascii="Minion Pro"/>
        </w:rPr>
      </w:pPr>
      <w:bookmarkStart w:name="Blank Page" w:id="3"/>
      <w:bookmarkEnd w:id="3"/>
      <w:r>
        <w:rPr/>
      </w:r>
      <w:r>
        <w:rPr>
          <w:rFonts w:ascii="Minion Pro"/>
        </w:rPr>
        <w:t>Chapter 6000</w:t>
      </w:r>
    </w:p>
    <w:p>
      <w:pPr>
        <w:pStyle w:val="BodyText"/>
        <w:spacing w:before="252"/>
        <w:ind w:left="103"/>
        <w:rPr>
          <w:rFonts w:ascii="Minion Pro"/>
        </w:rPr>
      </w:pPr>
      <w:r>
        <w:rPr>
          <w:rFonts w:ascii="Minion Pro"/>
        </w:rPr>
        <w:t>This is a chapter re-write.</w:t>
      </w:r>
    </w:p>
    <w:p>
      <w:pPr>
        <w:spacing w:after="0"/>
        <w:rPr>
          <w:rFonts w:ascii="Minion Pro"/>
        </w:rPr>
        <w:sectPr>
          <w:headerReference w:type="default" r:id="rId20"/>
          <w:footerReference w:type="default" r:id="rId21"/>
          <w:pgSz w:w="12240" w:h="16340"/>
          <w:pgMar w:header="0" w:footer="0" w:top="240" w:bottom="280" w:left="560" w:right="1720"/>
        </w:sectPr>
      </w:pPr>
    </w:p>
    <w:p>
      <w:pPr>
        <w:spacing w:before="75"/>
        <w:ind w:left="7780" w:right="0" w:firstLine="0"/>
        <w:jc w:val="left"/>
        <w:rPr>
          <w:b/>
          <w:sz w:val="24"/>
        </w:rPr>
      </w:pPr>
      <w:bookmarkStart w:name="CHAPTER 6000 INDEX" w:id="4"/>
      <w:bookmarkEnd w:id="4"/>
      <w:r>
        <w:rPr/>
      </w:r>
      <w:r>
        <w:rPr>
          <w:b/>
          <w:sz w:val="24"/>
        </w:rPr>
        <w:t>CHAPTER 6000 INDEX</w:t>
      </w:r>
    </w:p>
    <w:p>
      <w:pPr>
        <w:pStyle w:val="BodyText"/>
        <w:spacing w:before="3"/>
        <w:rPr>
          <w:b/>
          <w:sz w:val="27"/>
        </w:rPr>
      </w:pPr>
    </w:p>
    <w:tbl>
      <w:tblPr>
        <w:tblW w:w="0" w:type="auto"/>
        <w:jc w:val="left"/>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95"/>
        <w:gridCol w:w="1181"/>
      </w:tblGrid>
      <w:tr>
        <w:trPr>
          <w:trHeight w:val="586" w:hRule="exact"/>
        </w:trPr>
        <w:tc>
          <w:tcPr>
            <w:tcW w:w="8395" w:type="dxa"/>
            <w:tcBorders>
              <w:top w:val="nil"/>
              <w:left w:val="nil"/>
            </w:tcBorders>
          </w:tcPr>
          <w:p>
            <w:pPr>
              <w:pStyle w:val="TableParagraph"/>
              <w:spacing w:before="139"/>
              <w:ind w:left="228"/>
              <w:rPr>
                <w:b/>
                <w:sz w:val="24"/>
              </w:rPr>
            </w:pPr>
            <w:r>
              <w:rPr>
                <w:b/>
                <w:sz w:val="24"/>
              </w:rPr>
              <w:t>INTRODUCTION</w:t>
            </w:r>
          </w:p>
        </w:tc>
        <w:tc>
          <w:tcPr>
            <w:tcW w:w="1181" w:type="dxa"/>
            <w:tcBorders>
              <w:top w:val="nil"/>
              <w:right w:val="nil"/>
            </w:tcBorders>
          </w:tcPr>
          <w:p>
            <w:pPr>
              <w:pStyle w:val="TableParagraph"/>
              <w:spacing w:before="139"/>
              <w:ind w:left="100"/>
              <w:rPr>
                <w:b/>
                <w:sz w:val="24"/>
              </w:rPr>
            </w:pPr>
            <w:r>
              <w:rPr>
                <w:b/>
                <w:sz w:val="24"/>
              </w:rPr>
              <w:t>6000</w:t>
            </w:r>
          </w:p>
        </w:tc>
      </w:tr>
      <w:tr>
        <w:trPr>
          <w:trHeight w:val="590" w:hRule="exact"/>
        </w:trPr>
        <w:tc>
          <w:tcPr>
            <w:tcW w:w="8395" w:type="dxa"/>
            <w:tcBorders>
              <w:left w:val="nil"/>
              <w:bottom w:val="single" w:sz="8" w:space="0" w:color="000000"/>
            </w:tcBorders>
          </w:tcPr>
          <w:p>
            <w:pPr>
              <w:pStyle w:val="TableParagraph"/>
              <w:spacing w:before="144"/>
              <w:ind w:left="948"/>
              <w:rPr>
                <w:b/>
                <w:sz w:val="24"/>
              </w:rPr>
            </w:pPr>
            <w:r>
              <w:rPr>
                <w:b/>
                <w:sz w:val="24"/>
              </w:rPr>
              <w:t>Availability Of Budget Instructions And Forms</w:t>
            </w:r>
          </w:p>
        </w:tc>
        <w:tc>
          <w:tcPr>
            <w:tcW w:w="1181" w:type="dxa"/>
            <w:tcBorders>
              <w:bottom w:val="single" w:sz="8" w:space="0" w:color="000000"/>
              <w:right w:val="nil"/>
            </w:tcBorders>
          </w:tcPr>
          <w:p>
            <w:pPr>
              <w:pStyle w:val="TableParagraph"/>
              <w:spacing w:before="144"/>
              <w:ind w:left="100"/>
              <w:rPr>
                <w:b/>
                <w:sz w:val="24"/>
              </w:rPr>
            </w:pPr>
            <w:r>
              <w:rPr>
                <w:b/>
                <w:sz w:val="24"/>
              </w:rPr>
              <w:t>6005</w:t>
            </w:r>
          </w:p>
        </w:tc>
      </w:tr>
    </w:tbl>
    <w:p>
      <w:pPr>
        <w:spacing w:before="147"/>
        <w:ind w:left="2653" w:right="0" w:firstLine="0"/>
        <w:jc w:val="left"/>
        <w:rPr>
          <w:b/>
          <w:sz w:val="24"/>
        </w:rPr>
      </w:pPr>
      <w:r>
        <w:rPr/>
        <w:pict>
          <v:line style="position:absolute;mso-position-horizontal-relative:page;mso-position-vertical-relative:paragraph;z-index:1336" from="33.360001pt,7.565864pt" to="33.360001pt,21.365864pt" stroked="true" strokeweight=".72pt" strokecolor="#000000">
            <v:stroke dashstyle="solid"/>
            <w10:wrap type="none"/>
          </v:line>
        </w:pict>
      </w:r>
      <w:r>
        <w:rPr>
          <w:b/>
          <w:strike/>
          <w:color w:val="2E97D3"/>
          <w:sz w:val="24"/>
        </w:rPr>
        <w:t>OVERVIEW OF CALIFORNIA’S BUDGET PROCESS</w:t>
      </w:r>
    </w:p>
    <w:p>
      <w:pPr>
        <w:pStyle w:val="BodyText"/>
        <w:spacing w:before="10"/>
        <w:rPr>
          <w:b/>
          <w:sz w:val="9"/>
        </w:rPr>
      </w:pPr>
      <w:r>
        <w:rPr/>
        <w:pict>
          <v:line style="position:absolute;mso-position-horizontal-relative:page;mso-position-vertical-relative:paragraph;z-index:1312;mso-wrap-distance-left:0;mso-wrap-distance-right:0" from="65.279999pt,7.9029pt" to="544.799999pt,7.9029pt" stroked="true" strokeweight=".48pt" strokecolor="#000000">
            <v:stroke dashstyle="solid"/>
            <w10:wrap type="topAndBottom"/>
          </v:line>
        </w:pict>
      </w:r>
    </w:p>
    <w:p>
      <w:pPr>
        <w:spacing w:before="115"/>
        <w:ind w:left="2665" w:right="0" w:firstLine="0"/>
        <w:jc w:val="left"/>
        <w:rPr>
          <w:b/>
          <w:sz w:val="24"/>
        </w:rPr>
      </w:pPr>
      <w:r>
        <w:rPr>
          <w:b/>
          <w:color w:val="2E97D3"/>
          <w:sz w:val="24"/>
          <w:u w:val="thick" w:color="2E97D3"/>
        </w:rPr>
        <w:t>OVERVIEW OF CALIFORNIA’S BUDGET PROCESS</w:t>
      </w:r>
    </w:p>
    <w:p>
      <w:pPr>
        <w:pStyle w:val="BodyText"/>
        <w:spacing w:before="10"/>
        <w:rPr>
          <w:b/>
          <w:sz w:val="23"/>
        </w:rPr>
      </w:pPr>
    </w:p>
    <w:tbl>
      <w:tblPr>
        <w:tblW w:w="0" w:type="auto"/>
        <w:jc w:val="left"/>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4"/>
        <w:gridCol w:w="1085"/>
      </w:tblGrid>
      <w:tr>
        <w:trPr>
          <w:trHeight w:val="586" w:hRule="exact"/>
        </w:trPr>
        <w:tc>
          <w:tcPr>
            <w:tcW w:w="8304" w:type="dxa"/>
            <w:tcBorders>
              <w:left w:val="nil"/>
            </w:tcBorders>
          </w:tcPr>
          <w:p>
            <w:pPr>
              <w:pStyle w:val="TableParagraph"/>
              <w:spacing w:before="144"/>
              <w:ind w:left="856"/>
              <w:rPr>
                <w:b/>
                <w:sz w:val="24"/>
              </w:rPr>
            </w:pPr>
            <w:r>
              <w:rPr>
                <w:b/>
                <w:sz w:val="24"/>
              </w:rPr>
              <w:t>Preface</w:t>
            </w:r>
          </w:p>
        </w:tc>
        <w:tc>
          <w:tcPr>
            <w:tcW w:w="1085" w:type="dxa"/>
            <w:tcBorders>
              <w:right w:val="nil"/>
            </w:tcBorders>
          </w:tcPr>
          <w:p>
            <w:pPr>
              <w:pStyle w:val="TableParagraph"/>
              <w:spacing w:before="144"/>
              <w:ind w:left="100"/>
              <w:rPr>
                <w:b/>
                <w:sz w:val="24"/>
              </w:rPr>
            </w:pPr>
            <w:r>
              <w:rPr>
                <w:b/>
                <w:sz w:val="24"/>
              </w:rPr>
              <w:t>6110</w:t>
            </w:r>
          </w:p>
        </w:tc>
      </w:tr>
      <w:tr>
        <w:trPr>
          <w:trHeight w:val="588" w:hRule="exact"/>
        </w:trPr>
        <w:tc>
          <w:tcPr>
            <w:tcW w:w="8304" w:type="dxa"/>
            <w:tcBorders>
              <w:left w:val="nil"/>
            </w:tcBorders>
          </w:tcPr>
          <w:p>
            <w:pPr>
              <w:pStyle w:val="TableParagraph"/>
              <w:spacing w:before="147"/>
              <w:ind w:left="856"/>
              <w:rPr>
                <w:b/>
                <w:sz w:val="24"/>
              </w:rPr>
            </w:pPr>
            <w:r>
              <w:rPr>
                <w:b/>
                <w:sz w:val="24"/>
              </w:rPr>
              <w:t>Budget Development</w:t>
            </w:r>
          </w:p>
        </w:tc>
        <w:tc>
          <w:tcPr>
            <w:tcW w:w="1085" w:type="dxa"/>
            <w:tcBorders>
              <w:right w:val="nil"/>
            </w:tcBorders>
          </w:tcPr>
          <w:p>
            <w:pPr>
              <w:pStyle w:val="TableParagraph"/>
              <w:spacing w:before="147"/>
              <w:ind w:left="100"/>
              <w:rPr>
                <w:b/>
                <w:sz w:val="24"/>
              </w:rPr>
            </w:pPr>
            <w:r>
              <w:rPr>
                <w:b/>
                <w:sz w:val="24"/>
              </w:rPr>
              <w:t>6120</w:t>
            </w:r>
          </w:p>
        </w:tc>
      </w:tr>
      <w:tr>
        <w:trPr>
          <w:trHeight w:val="588" w:hRule="exact"/>
        </w:trPr>
        <w:tc>
          <w:tcPr>
            <w:tcW w:w="8304" w:type="dxa"/>
            <w:tcBorders>
              <w:left w:val="nil"/>
            </w:tcBorders>
          </w:tcPr>
          <w:p>
            <w:pPr>
              <w:pStyle w:val="TableParagraph"/>
              <w:spacing w:before="142"/>
              <w:ind w:left="856"/>
              <w:rPr>
                <w:b/>
                <w:sz w:val="24"/>
              </w:rPr>
            </w:pPr>
            <w:r>
              <w:rPr>
                <w:b/>
                <w:sz w:val="24"/>
              </w:rPr>
              <w:t>Budget Enactment</w:t>
            </w:r>
          </w:p>
        </w:tc>
        <w:tc>
          <w:tcPr>
            <w:tcW w:w="1085" w:type="dxa"/>
            <w:tcBorders>
              <w:right w:val="nil"/>
            </w:tcBorders>
          </w:tcPr>
          <w:p>
            <w:pPr>
              <w:pStyle w:val="TableParagraph"/>
              <w:spacing w:before="142"/>
              <w:ind w:left="100"/>
              <w:rPr>
                <w:b/>
                <w:sz w:val="24"/>
              </w:rPr>
            </w:pPr>
            <w:r>
              <w:rPr>
                <w:b/>
                <w:sz w:val="24"/>
              </w:rPr>
              <w:t>6130</w:t>
            </w:r>
          </w:p>
        </w:tc>
      </w:tr>
      <w:tr>
        <w:trPr>
          <w:trHeight w:val="586" w:hRule="exact"/>
        </w:trPr>
        <w:tc>
          <w:tcPr>
            <w:tcW w:w="8304" w:type="dxa"/>
            <w:tcBorders>
              <w:left w:val="nil"/>
            </w:tcBorders>
          </w:tcPr>
          <w:p>
            <w:pPr>
              <w:pStyle w:val="TableParagraph"/>
              <w:spacing w:before="139"/>
              <w:ind w:left="856"/>
              <w:rPr>
                <w:b/>
                <w:sz w:val="24"/>
              </w:rPr>
            </w:pPr>
            <w:r>
              <w:rPr>
                <w:b/>
                <w:sz w:val="24"/>
              </w:rPr>
              <w:t>Administration</w:t>
            </w:r>
          </w:p>
        </w:tc>
        <w:tc>
          <w:tcPr>
            <w:tcW w:w="1085" w:type="dxa"/>
            <w:tcBorders>
              <w:right w:val="nil"/>
            </w:tcBorders>
          </w:tcPr>
          <w:p>
            <w:pPr>
              <w:pStyle w:val="TableParagraph"/>
              <w:spacing w:before="139"/>
              <w:ind w:left="100"/>
              <w:rPr>
                <w:b/>
                <w:sz w:val="24"/>
              </w:rPr>
            </w:pPr>
            <w:r>
              <w:rPr>
                <w:b/>
                <w:sz w:val="24"/>
              </w:rPr>
              <w:t>6140</w:t>
            </w:r>
          </w:p>
        </w:tc>
      </w:tr>
      <w:tr>
        <w:trPr>
          <w:trHeight w:val="586" w:hRule="exact"/>
        </w:trPr>
        <w:tc>
          <w:tcPr>
            <w:tcW w:w="8304" w:type="dxa"/>
            <w:tcBorders>
              <w:left w:val="nil"/>
            </w:tcBorders>
          </w:tcPr>
          <w:p>
            <w:pPr>
              <w:pStyle w:val="TableParagraph"/>
              <w:spacing w:before="144"/>
              <w:ind w:left="856"/>
              <w:rPr>
                <w:b/>
                <w:sz w:val="24"/>
              </w:rPr>
            </w:pPr>
            <w:r>
              <w:rPr>
                <w:b/>
                <w:sz w:val="24"/>
              </w:rPr>
              <w:t>Budget Process</w:t>
            </w:r>
          </w:p>
        </w:tc>
        <w:tc>
          <w:tcPr>
            <w:tcW w:w="1085" w:type="dxa"/>
            <w:tcBorders>
              <w:right w:val="nil"/>
            </w:tcBorders>
          </w:tcPr>
          <w:p>
            <w:pPr>
              <w:pStyle w:val="TableParagraph"/>
              <w:spacing w:before="144"/>
              <w:ind w:left="100"/>
              <w:rPr>
                <w:b/>
                <w:sz w:val="24"/>
              </w:rPr>
            </w:pPr>
            <w:r>
              <w:rPr>
                <w:b/>
                <w:sz w:val="24"/>
              </w:rPr>
              <w:t>6150</w:t>
            </w:r>
          </w:p>
        </w:tc>
      </w:tr>
      <w:tr>
        <w:trPr>
          <w:trHeight w:val="586" w:hRule="exact"/>
        </w:trPr>
        <w:tc>
          <w:tcPr>
            <w:tcW w:w="8304" w:type="dxa"/>
            <w:tcBorders>
              <w:left w:val="nil"/>
            </w:tcBorders>
          </w:tcPr>
          <w:p>
            <w:pPr>
              <w:pStyle w:val="TableParagraph"/>
              <w:spacing w:before="144"/>
              <w:ind w:left="856"/>
              <w:rPr>
                <w:b/>
                <w:sz w:val="24"/>
              </w:rPr>
            </w:pPr>
            <w:r>
              <w:rPr>
                <w:b/>
                <w:sz w:val="24"/>
              </w:rPr>
              <w:t>The Traditional Concept</w:t>
            </w:r>
          </w:p>
        </w:tc>
        <w:tc>
          <w:tcPr>
            <w:tcW w:w="1085" w:type="dxa"/>
            <w:tcBorders>
              <w:right w:val="nil"/>
            </w:tcBorders>
          </w:tcPr>
          <w:p>
            <w:pPr>
              <w:pStyle w:val="TableParagraph"/>
              <w:spacing w:before="144"/>
              <w:ind w:left="100"/>
              <w:rPr>
                <w:b/>
                <w:sz w:val="24"/>
              </w:rPr>
            </w:pPr>
            <w:r>
              <w:rPr>
                <w:b/>
                <w:sz w:val="24"/>
              </w:rPr>
              <w:t>6210</w:t>
            </w:r>
          </w:p>
        </w:tc>
      </w:tr>
      <w:tr>
        <w:trPr>
          <w:trHeight w:val="586" w:hRule="exact"/>
        </w:trPr>
        <w:tc>
          <w:tcPr>
            <w:tcW w:w="8304" w:type="dxa"/>
            <w:tcBorders>
              <w:left w:val="nil"/>
            </w:tcBorders>
          </w:tcPr>
          <w:p>
            <w:pPr>
              <w:pStyle w:val="TableParagraph"/>
              <w:spacing w:before="144"/>
              <w:ind w:left="856"/>
              <w:rPr>
                <w:b/>
                <w:sz w:val="24"/>
              </w:rPr>
            </w:pPr>
            <w:r>
              <w:rPr>
                <w:b/>
                <w:sz w:val="24"/>
              </w:rPr>
              <w:t>The Program Concept</w:t>
            </w:r>
          </w:p>
        </w:tc>
        <w:tc>
          <w:tcPr>
            <w:tcW w:w="1085" w:type="dxa"/>
            <w:tcBorders>
              <w:right w:val="nil"/>
            </w:tcBorders>
          </w:tcPr>
          <w:p>
            <w:pPr>
              <w:pStyle w:val="TableParagraph"/>
              <w:spacing w:before="144"/>
              <w:ind w:left="100"/>
              <w:rPr>
                <w:b/>
                <w:sz w:val="24"/>
              </w:rPr>
            </w:pPr>
            <w:r>
              <w:rPr>
                <w:b/>
                <w:sz w:val="24"/>
              </w:rPr>
              <w:t>6220</w:t>
            </w:r>
          </w:p>
        </w:tc>
      </w:tr>
      <w:tr>
        <w:trPr>
          <w:trHeight w:val="732" w:hRule="exact"/>
        </w:trPr>
        <w:tc>
          <w:tcPr>
            <w:tcW w:w="8304" w:type="dxa"/>
            <w:tcBorders>
              <w:left w:val="nil"/>
            </w:tcBorders>
          </w:tcPr>
          <w:p>
            <w:pPr>
              <w:pStyle w:val="TableParagraph"/>
              <w:spacing w:line="312" w:lineRule="auto"/>
              <w:ind w:left="136" w:right="999" w:hanging="123"/>
              <w:rPr>
                <w:b/>
                <w:sz w:val="24"/>
              </w:rPr>
            </w:pPr>
            <w:r>
              <w:rPr>
                <w:b/>
                <w:sz w:val="24"/>
              </w:rPr>
              <w:t>DEVELOPMENT AND ENACTMENT OF THE ANNUAL FINANCIAL PLAN, THE PROCESS IN BRIEF</w:t>
            </w:r>
          </w:p>
        </w:tc>
        <w:tc>
          <w:tcPr>
            <w:tcW w:w="1085" w:type="dxa"/>
            <w:tcBorders>
              <w:right w:val="nil"/>
            </w:tcBorders>
          </w:tcPr>
          <w:p>
            <w:pPr>
              <w:pStyle w:val="TableParagraph"/>
              <w:spacing w:before="216"/>
              <w:ind w:left="100"/>
              <w:rPr>
                <w:b/>
                <w:sz w:val="24"/>
              </w:rPr>
            </w:pPr>
            <w:r>
              <w:rPr>
                <w:b/>
                <w:sz w:val="24"/>
              </w:rPr>
              <w:t>6300</w:t>
            </w:r>
          </w:p>
        </w:tc>
      </w:tr>
      <w:tr>
        <w:trPr>
          <w:trHeight w:val="586" w:hRule="exact"/>
        </w:trPr>
        <w:tc>
          <w:tcPr>
            <w:tcW w:w="8304" w:type="dxa"/>
            <w:tcBorders>
              <w:left w:val="nil"/>
            </w:tcBorders>
          </w:tcPr>
          <w:p>
            <w:pPr>
              <w:pStyle w:val="TableParagraph"/>
              <w:spacing w:before="139"/>
              <w:ind w:left="856"/>
              <w:rPr>
                <w:b/>
                <w:sz w:val="24"/>
              </w:rPr>
            </w:pPr>
            <w:r>
              <w:rPr>
                <w:b/>
                <w:sz w:val="24"/>
              </w:rPr>
              <w:t>Budget Policy</w:t>
            </w:r>
          </w:p>
        </w:tc>
        <w:tc>
          <w:tcPr>
            <w:tcW w:w="1085" w:type="dxa"/>
            <w:tcBorders>
              <w:right w:val="nil"/>
            </w:tcBorders>
          </w:tcPr>
          <w:p>
            <w:pPr>
              <w:pStyle w:val="TableParagraph"/>
              <w:spacing w:before="139"/>
              <w:ind w:left="100"/>
              <w:rPr>
                <w:b/>
                <w:sz w:val="24"/>
              </w:rPr>
            </w:pPr>
            <w:r>
              <w:rPr>
                <w:b/>
                <w:sz w:val="24"/>
              </w:rPr>
              <w:t>6305</w:t>
            </w:r>
          </w:p>
        </w:tc>
      </w:tr>
      <w:tr>
        <w:trPr>
          <w:trHeight w:val="588" w:hRule="exact"/>
        </w:trPr>
        <w:tc>
          <w:tcPr>
            <w:tcW w:w="8304" w:type="dxa"/>
            <w:tcBorders>
              <w:left w:val="nil"/>
            </w:tcBorders>
          </w:tcPr>
          <w:p>
            <w:pPr>
              <w:pStyle w:val="TableParagraph"/>
              <w:spacing w:before="142"/>
              <w:ind w:left="856"/>
              <w:rPr>
                <w:b/>
                <w:sz w:val="24"/>
              </w:rPr>
            </w:pPr>
            <w:r>
              <w:rPr>
                <w:b/>
                <w:sz w:val="24"/>
              </w:rPr>
              <w:t>Agency Briefings And Governor’s Review</w:t>
            </w:r>
          </w:p>
        </w:tc>
        <w:tc>
          <w:tcPr>
            <w:tcW w:w="1085" w:type="dxa"/>
            <w:tcBorders>
              <w:right w:val="nil"/>
            </w:tcBorders>
          </w:tcPr>
          <w:p>
            <w:pPr>
              <w:pStyle w:val="TableParagraph"/>
              <w:spacing w:before="142"/>
              <w:ind w:left="100"/>
              <w:rPr>
                <w:b/>
                <w:sz w:val="24"/>
              </w:rPr>
            </w:pPr>
            <w:r>
              <w:rPr>
                <w:b/>
                <w:sz w:val="24"/>
              </w:rPr>
              <w:t>6310</w:t>
            </w:r>
          </w:p>
        </w:tc>
      </w:tr>
      <w:tr>
        <w:trPr>
          <w:trHeight w:val="586" w:hRule="exact"/>
        </w:trPr>
        <w:tc>
          <w:tcPr>
            <w:tcW w:w="8304" w:type="dxa"/>
            <w:tcBorders>
              <w:left w:val="nil"/>
            </w:tcBorders>
          </w:tcPr>
          <w:p>
            <w:pPr>
              <w:pStyle w:val="TableParagraph"/>
              <w:spacing w:before="144"/>
              <w:ind w:left="856"/>
              <w:rPr>
                <w:b/>
                <w:sz w:val="24"/>
              </w:rPr>
            </w:pPr>
            <w:r>
              <w:rPr>
                <w:b/>
                <w:sz w:val="24"/>
              </w:rPr>
              <w:t>Preparation And Submittal Of Budgets</w:t>
            </w:r>
          </w:p>
        </w:tc>
        <w:tc>
          <w:tcPr>
            <w:tcW w:w="1085" w:type="dxa"/>
            <w:tcBorders>
              <w:right w:val="nil"/>
            </w:tcBorders>
          </w:tcPr>
          <w:p>
            <w:pPr>
              <w:pStyle w:val="TableParagraph"/>
              <w:spacing w:before="144"/>
              <w:ind w:left="100"/>
              <w:rPr>
                <w:b/>
                <w:sz w:val="24"/>
              </w:rPr>
            </w:pPr>
            <w:r>
              <w:rPr>
                <w:b/>
                <w:sz w:val="24"/>
              </w:rPr>
              <w:t>6315</w:t>
            </w:r>
          </w:p>
        </w:tc>
      </w:tr>
      <w:tr>
        <w:trPr>
          <w:trHeight w:val="586" w:hRule="exact"/>
        </w:trPr>
        <w:tc>
          <w:tcPr>
            <w:tcW w:w="8304" w:type="dxa"/>
            <w:tcBorders>
              <w:left w:val="nil"/>
            </w:tcBorders>
          </w:tcPr>
          <w:p>
            <w:pPr>
              <w:pStyle w:val="TableParagraph"/>
              <w:spacing w:line="247" w:lineRule="auto"/>
              <w:ind w:left="856" w:right="625" w:hanging="123"/>
              <w:rPr>
                <w:b/>
                <w:sz w:val="24"/>
              </w:rPr>
            </w:pPr>
            <w:r>
              <w:rPr>
                <w:b/>
                <w:sz w:val="24"/>
              </w:rPr>
              <w:t>The Governor’s Budget – Publication, Distribution, Ordering, And Public Sale</w:t>
            </w:r>
          </w:p>
        </w:tc>
        <w:tc>
          <w:tcPr>
            <w:tcW w:w="1085" w:type="dxa"/>
            <w:tcBorders>
              <w:right w:val="nil"/>
            </w:tcBorders>
          </w:tcPr>
          <w:p>
            <w:pPr>
              <w:pStyle w:val="TableParagraph"/>
              <w:spacing w:before="144"/>
              <w:ind w:left="100"/>
              <w:rPr>
                <w:b/>
                <w:sz w:val="24"/>
              </w:rPr>
            </w:pPr>
            <w:r>
              <w:rPr>
                <w:b/>
                <w:sz w:val="24"/>
              </w:rPr>
              <w:t>6320</w:t>
            </w:r>
          </w:p>
        </w:tc>
      </w:tr>
      <w:tr>
        <w:trPr>
          <w:trHeight w:val="586" w:hRule="exact"/>
        </w:trPr>
        <w:tc>
          <w:tcPr>
            <w:tcW w:w="8304" w:type="dxa"/>
            <w:tcBorders>
              <w:left w:val="nil"/>
            </w:tcBorders>
          </w:tcPr>
          <w:p>
            <w:pPr>
              <w:pStyle w:val="TableParagraph"/>
              <w:spacing w:before="144"/>
              <w:ind w:left="856"/>
              <w:rPr>
                <w:b/>
                <w:sz w:val="24"/>
              </w:rPr>
            </w:pPr>
            <w:r>
              <w:rPr>
                <w:b/>
                <w:sz w:val="24"/>
              </w:rPr>
              <w:t>The Budget Bill</w:t>
            </w:r>
          </w:p>
        </w:tc>
        <w:tc>
          <w:tcPr>
            <w:tcW w:w="1085" w:type="dxa"/>
            <w:tcBorders>
              <w:right w:val="nil"/>
            </w:tcBorders>
          </w:tcPr>
          <w:p>
            <w:pPr>
              <w:pStyle w:val="TableParagraph"/>
              <w:spacing w:before="144"/>
              <w:ind w:left="100"/>
              <w:rPr>
                <w:b/>
                <w:sz w:val="24"/>
              </w:rPr>
            </w:pPr>
            <w:r>
              <w:rPr>
                <w:b/>
                <w:sz w:val="24"/>
              </w:rPr>
              <w:t>6325</w:t>
            </w:r>
          </w:p>
        </w:tc>
      </w:tr>
      <w:tr>
        <w:trPr>
          <w:trHeight w:val="588" w:hRule="exact"/>
        </w:trPr>
        <w:tc>
          <w:tcPr>
            <w:tcW w:w="8304" w:type="dxa"/>
            <w:tcBorders>
              <w:left w:val="nil"/>
            </w:tcBorders>
          </w:tcPr>
          <w:p>
            <w:pPr>
              <w:pStyle w:val="TableParagraph"/>
              <w:spacing w:before="144"/>
              <w:ind w:left="856"/>
              <w:rPr>
                <w:b/>
                <w:sz w:val="24"/>
              </w:rPr>
            </w:pPr>
            <w:r>
              <w:rPr>
                <w:b/>
                <w:sz w:val="24"/>
              </w:rPr>
              <w:t>Legislative Analyst’s “Analysis Of The Budget Bill”</w:t>
            </w:r>
          </w:p>
        </w:tc>
        <w:tc>
          <w:tcPr>
            <w:tcW w:w="1085" w:type="dxa"/>
            <w:tcBorders>
              <w:right w:val="nil"/>
            </w:tcBorders>
          </w:tcPr>
          <w:p>
            <w:pPr>
              <w:pStyle w:val="TableParagraph"/>
              <w:spacing w:before="144"/>
              <w:ind w:left="100"/>
              <w:rPr>
                <w:b/>
                <w:sz w:val="24"/>
              </w:rPr>
            </w:pPr>
            <w:r>
              <w:rPr>
                <w:b/>
                <w:sz w:val="24"/>
              </w:rPr>
              <w:t>6330</w:t>
            </w:r>
          </w:p>
        </w:tc>
      </w:tr>
      <w:tr>
        <w:trPr>
          <w:trHeight w:val="586" w:hRule="exact"/>
        </w:trPr>
        <w:tc>
          <w:tcPr>
            <w:tcW w:w="8304" w:type="dxa"/>
            <w:tcBorders>
              <w:left w:val="nil"/>
            </w:tcBorders>
          </w:tcPr>
          <w:p>
            <w:pPr>
              <w:pStyle w:val="TableParagraph"/>
              <w:spacing w:before="139"/>
              <w:ind w:left="856"/>
              <w:rPr>
                <w:b/>
                <w:sz w:val="24"/>
              </w:rPr>
            </w:pPr>
            <w:r>
              <w:rPr>
                <w:b/>
                <w:sz w:val="24"/>
              </w:rPr>
              <w:t>Budget Act</w:t>
            </w:r>
          </w:p>
        </w:tc>
        <w:tc>
          <w:tcPr>
            <w:tcW w:w="1085" w:type="dxa"/>
            <w:tcBorders>
              <w:right w:val="nil"/>
            </w:tcBorders>
          </w:tcPr>
          <w:p>
            <w:pPr>
              <w:pStyle w:val="TableParagraph"/>
              <w:spacing w:before="139"/>
              <w:ind w:left="100"/>
              <w:rPr>
                <w:b/>
                <w:sz w:val="24"/>
              </w:rPr>
            </w:pPr>
            <w:r>
              <w:rPr>
                <w:b/>
                <w:sz w:val="24"/>
              </w:rPr>
              <w:t>6333</w:t>
            </w:r>
          </w:p>
        </w:tc>
      </w:tr>
    </w:tbl>
    <w:p>
      <w:pPr>
        <w:pStyle w:val="BodyText"/>
        <w:spacing w:before="7"/>
        <w:rPr>
          <w:b/>
          <w:sz w:val="33"/>
        </w:rPr>
      </w:pPr>
    </w:p>
    <w:p>
      <w:pPr>
        <w:pStyle w:val="BodyText"/>
        <w:ind w:left="880"/>
      </w:pPr>
      <w:r>
        <w:rPr/>
        <w:pict>
          <v:line style="position:absolute;mso-position-horizontal-relative:page;mso-position-vertical-relative:paragraph;z-index:1360" from="33.360001pt,-501.624146pt" to="33.360001pt,-466.824146pt" stroked="true" strokeweight=".72pt" strokecolor="#000000">
            <v:stroke dashstyle="solid"/>
            <w10:wrap type="none"/>
          </v:line>
        </w:pict>
      </w:r>
      <w:r>
        <w:rPr/>
        <w:pict>
          <v:line style="position:absolute;mso-position-horizontal-relative:page;mso-position-vertical-relative:paragraph;z-index:1384" from="33.360001pt,-261.145142pt" to="33.360001pt,-247.344142pt" stroked="true" strokeweight=".72pt" strokecolor="#000000">
            <v:stroke dashstyle="solid"/>
            <w10:wrap type="none"/>
          </v:line>
        </w:pict>
      </w:r>
      <w:r>
        <w:rPr/>
        <w:pict>
          <v:line style="position:absolute;mso-position-horizontal-relative:page;mso-position-vertical-relative:paragraph;z-index:1408" from="33.360001pt,-136.585144pt" to="33.360001pt,-122.784144pt" stroked="true" strokeweight=".72pt" strokecolor="#000000">
            <v:stroke dashstyle="solid"/>
            <w10:wrap type="none"/>
          </v:line>
        </w:pict>
      </w:r>
      <w:r>
        <w:rPr/>
        <w:pict>
          <v:line style="position:absolute;mso-position-horizontal-relative:page;mso-position-vertical-relative:paragraph;z-index:1432" from="33.360001pt,20.01586pt" to="33.360001pt,45.93586pt" stroked="true" strokeweight=".72pt" strokecolor="#000000">
            <v:stroke dashstyle="solid"/>
            <w10:wrap type="none"/>
          </v:line>
        </w:pict>
      </w:r>
      <w:r>
        <w:rPr/>
        <w:t>(Continued)</w:t>
      </w:r>
    </w:p>
    <w:p>
      <w:pPr>
        <w:spacing w:after="0"/>
        <w:sectPr>
          <w:headerReference w:type="default" r:id="rId22"/>
          <w:footerReference w:type="default" r:id="rId23"/>
          <w:pgSz w:w="12240" w:h="15840"/>
          <w:pgMar w:header="0" w:footer="875" w:top="900" w:bottom="1060" w:left="560" w:right="1220"/>
        </w:sectPr>
      </w:pPr>
    </w:p>
    <w:p>
      <w:pPr>
        <w:pStyle w:val="BodyText"/>
        <w:spacing w:before="3"/>
        <w:rPr>
          <w:sz w:val="27"/>
        </w:rPr>
      </w:pPr>
      <w:r>
        <w:rPr/>
        <w:pict>
          <v:line style="position:absolute;mso-position-horizontal-relative:page;mso-position-vertical-relative:page;z-index:1456" from="33.360001pt,186.360001pt" to="33.360001pt,207.600001pt" stroked="true" strokeweight=".72pt" strokecolor="#000000">
            <v:stroke dashstyle="solid"/>
            <w10:wrap type="none"/>
          </v:line>
        </w:pict>
      </w:r>
      <w:r>
        <w:rPr/>
        <w:pict>
          <v:line style="position:absolute;mso-position-horizontal-relative:page;mso-position-vertical-relative:page;z-index:1480" from="33.360001pt,215.759003pt" to="33.360001pt,229.560003pt" stroked="true" strokeweight=".72pt" strokecolor="#000000">
            <v:stroke dashstyle="solid"/>
            <w10:wrap type="none"/>
          </v:line>
        </w:pict>
      </w:r>
      <w:r>
        <w:rPr/>
        <w:pict>
          <v:line style="position:absolute;mso-position-horizontal-relative:page;mso-position-vertical-relative:page;z-index:1504" from="33.360001pt,274.438995pt" to="33.360001pt,288.239995pt" stroked="true" strokeweight=".72pt" strokecolor="#000000">
            <v:stroke dashstyle="solid"/>
            <w10:wrap type="none"/>
          </v:line>
        </w:pict>
      </w:r>
      <w:r>
        <w:rPr/>
        <w:pict>
          <v:line style="position:absolute;mso-position-horizontal-relative:page;mso-position-vertical-relative:page;z-index:1528" from="33.360001pt,450.23999pt" to="33.360001pt,464.03999pt" stroked="true" strokeweight=".72pt" strokecolor="#000000">
            <v:stroke dashstyle="solid"/>
            <w10:wrap type="none"/>
          </v:line>
        </w:pict>
      </w:r>
    </w:p>
    <w:tbl>
      <w:tblPr>
        <w:tblW w:w="0" w:type="auto"/>
        <w:jc w:val="left"/>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75"/>
        <w:gridCol w:w="1085"/>
      </w:tblGrid>
      <w:tr>
        <w:trPr>
          <w:trHeight w:val="586" w:hRule="exact"/>
        </w:trPr>
        <w:tc>
          <w:tcPr>
            <w:tcW w:w="8275" w:type="dxa"/>
            <w:tcBorders>
              <w:left w:val="nil"/>
            </w:tcBorders>
          </w:tcPr>
          <w:p>
            <w:pPr>
              <w:pStyle w:val="TableParagraph"/>
              <w:spacing w:before="144"/>
              <w:ind w:left="827"/>
              <w:rPr>
                <w:b/>
                <w:sz w:val="24"/>
              </w:rPr>
            </w:pPr>
            <w:bookmarkStart w:name="CHAPTER 6000 INDEX (Cont. 1)" w:id="5"/>
            <w:bookmarkEnd w:id="5"/>
            <w:r>
              <w:rPr/>
            </w:r>
            <w:r>
              <w:rPr>
                <w:b/>
                <w:sz w:val="24"/>
              </w:rPr>
              <w:t>Legislative Fiscal Committee And Floor Actions</w:t>
            </w:r>
          </w:p>
        </w:tc>
        <w:tc>
          <w:tcPr>
            <w:tcW w:w="1085" w:type="dxa"/>
            <w:tcBorders>
              <w:right w:val="nil"/>
            </w:tcBorders>
          </w:tcPr>
          <w:p>
            <w:pPr>
              <w:pStyle w:val="TableParagraph"/>
              <w:spacing w:before="144"/>
              <w:ind w:left="103"/>
              <w:rPr>
                <w:b/>
                <w:sz w:val="24"/>
              </w:rPr>
            </w:pPr>
            <w:r>
              <w:rPr>
                <w:b/>
                <w:sz w:val="24"/>
              </w:rPr>
              <w:t>6335</w:t>
            </w:r>
          </w:p>
        </w:tc>
      </w:tr>
      <w:tr>
        <w:trPr>
          <w:trHeight w:val="586" w:hRule="exact"/>
        </w:trPr>
        <w:tc>
          <w:tcPr>
            <w:tcW w:w="8275" w:type="dxa"/>
            <w:tcBorders>
              <w:left w:val="nil"/>
            </w:tcBorders>
          </w:tcPr>
          <w:p>
            <w:pPr>
              <w:pStyle w:val="TableParagraph"/>
              <w:spacing w:before="144"/>
              <w:ind w:left="827"/>
              <w:rPr>
                <w:b/>
                <w:sz w:val="24"/>
              </w:rPr>
            </w:pPr>
            <w:r>
              <w:rPr>
                <w:b/>
                <w:sz w:val="24"/>
              </w:rPr>
              <w:t>Budget Committee On Conference</w:t>
            </w:r>
          </w:p>
        </w:tc>
        <w:tc>
          <w:tcPr>
            <w:tcW w:w="1085" w:type="dxa"/>
            <w:tcBorders>
              <w:right w:val="nil"/>
            </w:tcBorders>
          </w:tcPr>
          <w:p>
            <w:pPr>
              <w:pStyle w:val="TableParagraph"/>
              <w:spacing w:before="144"/>
              <w:ind w:left="103"/>
              <w:rPr>
                <w:b/>
                <w:sz w:val="24"/>
              </w:rPr>
            </w:pPr>
            <w:r>
              <w:rPr>
                <w:b/>
                <w:sz w:val="24"/>
              </w:rPr>
              <w:t>6340</w:t>
            </w:r>
          </w:p>
        </w:tc>
      </w:tr>
      <w:tr>
        <w:trPr>
          <w:trHeight w:val="586" w:hRule="exact"/>
        </w:trPr>
        <w:tc>
          <w:tcPr>
            <w:tcW w:w="8275" w:type="dxa"/>
            <w:tcBorders>
              <w:left w:val="nil"/>
            </w:tcBorders>
          </w:tcPr>
          <w:p>
            <w:pPr>
              <w:pStyle w:val="TableParagraph"/>
              <w:spacing w:before="144"/>
              <w:ind w:left="827"/>
              <w:rPr>
                <w:b/>
                <w:sz w:val="24"/>
              </w:rPr>
            </w:pPr>
            <w:r>
              <w:rPr>
                <w:b/>
                <w:sz w:val="24"/>
              </w:rPr>
              <w:t>The Governor’s Veto</w:t>
            </w:r>
          </w:p>
        </w:tc>
        <w:tc>
          <w:tcPr>
            <w:tcW w:w="1085" w:type="dxa"/>
            <w:tcBorders>
              <w:right w:val="nil"/>
            </w:tcBorders>
          </w:tcPr>
          <w:p>
            <w:pPr>
              <w:pStyle w:val="TableParagraph"/>
              <w:spacing w:before="144"/>
              <w:ind w:left="103"/>
              <w:rPr>
                <w:b/>
                <w:sz w:val="24"/>
              </w:rPr>
            </w:pPr>
            <w:r>
              <w:rPr>
                <w:b/>
                <w:sz w:val="24"/>
              </w:rPr>
              <w:t>6345</w:t>
            </w:r>
          </w:p>
        </w:tc>
      </w:tr>
      <w:tr>
        <w:trPr>
          <w:trHeight w:val="588" w:hRule="exact"/>
        </w:trPr>
        <w:tc>
          <w:tcPr>
            <w:tcW w:w="8275" w:type="dxa"/>
            <w:tcBorders>
              <w:left w:val="nil"/>
            </w:tcBorders>
          </w:tcPr>
          <w:p>
            <w:pPr>
              <w:pStyle w:val="TableParagraph"/>
              <w:spacing w:before="144"/>
              <w:ind w:left="827"/>
              <w:rPr>
                <w:b/>
                <w:sz w:val="24"/>
              </w:rPr>
            </w:pPr>
            <w:r>
              <w:rPr>
                <w:b/>
                <w:strike/>
                <w:color w:val="2E97D3"/>
                <w:sz w:val="22"/>
              </w:rPr>
              <w:t>The Budget Act/</w:t>
            </w:r>
            <w:r>
              <w:rPr>
                <w:b/>
                <w:strike w:val="0"/>
                <w:sz w:val="24"/>
              </w:rPr>
              <w:t>Final Budget Summary</w:t>
            </w:r>
          </w:p>
        </w:tc>
        <w:tc>
          <w:tcPr>
            <w:tcW w:w="1085" w:type="dxa"/>
            <w:tcBorders>
              <w:right w:val="nil"/>
            </w:tcBorders>
          </w:tcPr>
          <w:p>
            <w:pPr>
              <w:pStyle w:val="TableParagraph"/>
              <w:spacing w:before="144"/>
              <w:ind w:left="103"/>
              <w:rPr>
                <w:b/>
                <w:sz w:val="24"/>
              </w:rPr>
            </w:pPr>
            <w:r>
              <w:rPr>
                <w:b/>
                <w:sz w:val="24"/>
              </w:rPr>
              <w:t>6350</w:t>
            </w:r>
          </w:p>
        </w:tc>
      </w:tr>
      <w:tr>
        <w:trPr>
          <w:trHeight w:val="586" w:hRule="exact"/>
        </w:trPr>
        <w:tc>
          <w:tcPr>
            <w:tcW w:w="8275" w:type="dxa"/>
            <w:tcBorders>
              <w:left w:val="nil"/>
            </w:tcBorders>
          </w:tcPr>
          <w:p>
            <w:pPr>
              <w:pStyle w:val="TableParagraph"/>
              <w:spacing w:line="247" w:lineRule="auto"/>
              <w:ind w:left="827" w:right="2037" w:hanging="108"/>
              <w:rPr>
                <w:b/>
                <w:sz w:val="24"/>
              </w:rPr>
            </w:pPr>
            <w:r>
              <w:rPr>
                <w:b/>
                <w:sz w:val="24"/>
              </w:rPr>
              <w:t>The List Of Changes To The Governor’s Budget, Final Change Book</w:t>
            </w:r>
          </w:p>
        </w:tc>
        <w:tc>
          <w:tcPr>
            <w:tcW w:w="1085" w:type="dxa"/>
            <w:tcBorders>
              <w:right w:val="nil"/>
            </w:tcBorders>
          </w:tcPr>
          <w:p>
            <w:pPr>
              <w:pStyle w:val="TableParagraph"/>
              <w:spacing w:before="139"/>
              <w:ind w:left="103"/>
              <w:rPr>
                <w:b/>
                <w:sz w:val="24"/>
              </w:rPr>
            </w:pPr>
            <w:r>
              <w:rPr>
                <w:b/>
                <w:sz w:val="24"/>
              </w:rPr>
              <w:t>6355</w:t>
            </w:r>
          </w:p>
        </w:tc>
      </w:tr>
      <w:tr>
        <w:trPr>
          <w:trHeight w:val="586" w:hRule="exact"/>
        </w:trPr>
        <w:tc>
          <w:tcPr>
            <w:tcW w:w="8275" w:type="dxa"/>
            <w:tcBorders>
              <w:left w:val="nil"/>
            </w:tcBorders>
          </w:tcPr>
          <w:p>
            <w:pPr>
              <w:pStyle w:val="TableParagraph"/>
              <w:spacing w:before="139"/>
              <w:ind w:left="107"/>
              <w:rPr>
                <w:b/>
                <w:sz w:val="24"/>
              </w:rPr>
            </w:pPr>
            <w:r>
              <w:rPr>
                <w:b/>
                <w:sz w:val="24"/>
              </w:rPr>
              <w:t>THE DEPARTMENTAL BUDGET PRESENTATION</w:t>
            </w:r>
          </w:p>
        </w:tc>
        <w:tc>
          <w:tcPr>
            <w:tcW w:w="1085" w:type="dxa"/>
            <w:tcBorders>
              <w:right w:val="nil"/>
            </w:tcBorders>
          </w:tcPr>
          <w:p>
            <w:pPr>
              <w:pStyle w:val="TableParagraph"/>
              <w:spacing w:before="139"/>
              <w:ind w:left="103"/>
              <w:rPr>
                <w:b/>
                <w:sz w:val="24"/>
              </w:rPr>
            </w:pPr>
            <w:r>
              <w:rPr>
                <w:b/>
                <w:sz w:val="24"/>
              </w:rPr>
              <w:t>6400</w:t>
            </w:r>
          </w:p>
        </w:tc>
      </w:tr>
      <w:tr>
        <w:trPr>
          <w:trHeight w:val="588" w:hRule="exact"/>
        </w:trPr>
        <w:tc>
          <w:tcPr>
            <w:tcW w:w="8275" w:type="dxa"/>
            <w:tcBorders>
              <w:left w:val="nil"/>
            </w:tcBorders>
          </w:tcPr>
          <w:p>
            <w:pPr>
              <w:pStyle w:val="TableParagraph"/>
              <w:spacing w:line="247" w:lineRule="auto"/>
              <w:ind w:left="827" w:right="1264" w:hanging="108"/>
              <w:rPr>
                <w:b/>
                <w:sz w:val="24"/>
              </w:rPr>
            </w:pPr>
            <w:r>
              <w:rPr>
                <w:b/>
                <w:sz w:val="24"/>
              </w:rPr>
              <w:t>Responsibilities And Authority Of Fund Administrators And Fund Users</w:t>
            </w:r>
          </w:p>
        </w:tc>
        <w:tc>
          <w:tcPr>
            <w:tcW w:w="1085" w:type="dxa"/>
            <w:tcBorders>
              <w:right w:val="nil"/>
            </w:tcBorders>
          </w:tcPr>
          <w:p>
            <w:pPr>
              <w:pStyle w:val="TableParagraph"/>
              <w:spacing w:before="147"/>
              <w:ind w:left="103"/>
              <w:rPr>
                <w:b/>
                <w:sz w:val="24"/>
              </w:rPr>
            </w:pPr>
            <w:r>
              <w:rPr>
                <w:b/>
                <w:sz w:val="24"/>
              </w:rPr>
              <w:t>6401</w:t>
            </w:r>
          </w:p>
        </w:tc>
      </w:tr>
      <w:tr>
        <w:trPr>
          <w:trHeight w:val="586" w:hRule="exact"/>
        </w:trPr>
        <w:tc>
          <w:tcPr>
            <w:tcW w:w="8275" w:type="dxa"/>
            <w:tcBorders>
              <w:left w:val="nil"/>
            </w:tcBorders>
          </w:tcPr>
          <w:p>
            <w:pPr>
              <w:pStyle w:val="TableParagraph"/>
              <w:spacing w:before="144"/>
              <w:ind w:left="827"/>
              <w:rPr>
                <w:b/>
                <w:sz w:val="24"/>
              </w:rPr>
            </w:pPr>
            <w:r>
              <w:rPr>
                <w:b/>
                <w:sz w:val="24"/>
              </w:rPr>
              <w:t>Personal Services</w:t>
            </w:r>
          </w:p>
        </w:tc>
        <w:tc>
          <w:tcPr>
            <w:tcW w:w="1085" w:type="dxa"/>
            <w:tcBorders>
              <w:right w:val="nil"/>
            </w:tcBorders>
          </w:tcPr>
          <w:p>
            <w:pPr>
              <w:pStyle w:val="TableParagraph"/>
              <w:spacing w:before="144"/>
              <w:ind w:left="103"/>
              <w:rPr>
                <w:b/>
                <w:sz w:val="24"/>
              </w:rPr>
            </w:pPr>
            <w:r>
              <w:rPr>
                <w:b/>
                <w:sz w:val="24"/>
              </w:rPr>
              <w:t>6403</w:t>
            </w:r>
          </w:p>
        </w:tc>
      </w:tr>
      <w:tr>
        <w:trPr>
          <w:trHeight w:val="586" w:hRule="exact"/>
        </w:trPr>
        <w:tc>
          <w:tcPr>
            <w:tcW w:w="8275" w:type="dxa"/>
            <w:tcBorders>
              <w:left w:val="nil"/>
            </w:tcBorders>
          </w:tcPr>
          <w:p>
            <w:pPr>
              <w:pStyle w:val="TableParagraph"/>
              <w:spacing w:before="144"/>
              <w:ind w:left="827"/>
              <w:rPr>
                <w:b/>
                <w:sz w:val="24"/>
              </w:rPr>
            </w:pPr>
            <w:r>
              <w:rPr>
                <w:b/>
                <w:sz w:val="24"/>
              </w:rPr>
              <w:t>Position/Personnel Years/Salary Cost Estimates Presentation</w:t>
            </w:r>
          </w:p>
        </w:tc>
        <w:tc>
          <w:tcPr>
            <w:tcW w:w="1085" w:type="dxa"/>
            <w:tcBorders>
              <w:right w:val="nil"/>
            </w:tcBorders>
          </w:tcPr>
          <w:p>
            <w:pPr>
              <w:pStyle w:val="TableParagraph"/>
              <w:spacing w:before="144"/>
              <w:ind w:left="103"/>
              <w:rPr>
                <w:b/>
                <w:sz w:val="24"/>
              </w:rPr>
            </w:pPr>
            <w:r>
              <w:rPr>
                <w:b/>
                <w:sz w:val="24"/>
              </w:rPr>
              <w:t>6406</w:t>
            </w:r>
          </w:p>
        </w:tc>
      </w:tr>
      <w:tr>
        <w:trPr>
          <w:trHeight w:val="588" w:hRule="exact"/>
        </w:trPr>
        <w:tc>
          <w:tcPr>
            <w:tcW w:w="8275" w:type="dxa"/>
            <w:tcBorders>
              <w:left w:val="nil"/>
            </w:tcBorders>
          </w:tcPr>
          <w:p>
            <w:pPr>
              <w:pStyle w:val="TableParagraph"/>
              <w:spacing w:before="144"/>
              <w:ind w:left="827"/>
              <w:rPr>
                <w:b/>
                <w:sz w:val="24"/>
              </w:rPr>
            </w:pPr>
            <w:r>
              <w:rPr>
                <w:b/>
                <w:sz w:val="24"/>
              </w:rPr>
              <w:t>Estimated Salary Savings</w:t>
            </w:r>
          </w:p>
        </w:tc>
        <w:tc>
          <w:tcPr>
            <w:tcW w:w="1085" w:type="dxa"/>
            <w:tcBorders>
              <w:right w:val="nil"/>
            </w:tcBorders>
          </w:tcPr>
          <w:p>
            <w:pPr>
              <w:pStyle w:val="TableParagraph"/>
              <w:spacing w:before="144"/>
              <w:ind w:left="103"/>
              <w:rPr>
                <w:b/>
                <w:sz w:val="24"/>
              </w:rPr>
            </w:pPr>
            <w:r>
              <w:rPr>
                <w:b/>
                <w:sz w:val="24"/>
              </w:rPr>
              <w:t>6409</w:t>
            </w:r>
          </w:p>
        </w:tc>
      </w:tr>
      <w:tr>
        <w:trPr>
          <w:trHeight w:val="586" w:hRule="exact"/>
        </w:trPr>
        <w:tc>
          <w:tcPr>
            <w:tcW w:w="8275" w:type="dxa"/>
            <w:tcBorders>
              <w:left w:val="nil"/>
            </w:tcBorders>
          </w:tcPr>
          <w:p>
            <w:pPr>
              <w:pStyle w:val="TableParagraph"/>
              <w:spacing w:before="139"/>
              <w:ind w:left="827"/>
              <w:rPr>
                <w:b/>
                <w:sz w:val="24"/>
              </w:rPr>
            </w:pPr>
            <w:r>
              <w:rPr>
                <w:b/>
                <w:sz w:val="24"/>
              </w:rPr>
              <w:t>Staff Benefits</w:t>
            </w:r>
          </w:p>
        </w:tc>
        <w:tc>
          <w:tcPr>
            <w:tcW w:w="1085" w:type="dxa"/>
            <w:tcBorders>
              <w:right w:val="nil"/>
            </w:tcBorders>
          </w:tcPr>
          <w:p>
            <w:pPr>
              <w:pStyle w:val="TableParagraph"/>
              <w:spacing w:before="139"/>
              <w:ind w:left="103"/>
              <w:rPr>
                <w:b/>
                <w:sz w:val="24"/>
              </w:rPr>
            </w:pPr>
            <w:r>
              <w:rPr>
                <w:b/>
                <w:sz w:val="24"/>
              </w:rPr>
              <w:t>6412</w:t>
            </w:r>
          </w:p>
        </w:tc>
      </w:tr>
      <w:tr>
        <w:trPr>
          <w:trHeight w:val="586" w:hRule="exact"/>
        </w:trPr>
        <w:tc>
          <w:tcPr>
            <w:tcW w:w="8275" w:type="dxa"/>
            <w:tcBorders>
              <w:left w:val="nil"/>
            </w:tcBorders>
          </w:tcPr>
          <w:p>
            <w:pPr>
              <w:pStyle w:val="TableParagraph"/>
              <w:spacing w:before="139"/>
              <w:ind w:left="827"/>
              <w:rPr>
                <w:b/>
                <w:sz w:val="24"/>
              </w:rPr>
            </w:pPr>
            <w:r>
              <w:rPr>
                <w:b/>
                <w:sz w:val="24"/>
              </w:rPr>
              <w:t>Salaries And Wages (State Controller’s Office Role)</w:t>
            </w:r>
          </w:p>
        </w:tc>
        <w:tc>
          <w:tcPr>
            <w:tcW w:w="1085" w:type="dxa"/>
            <w:tcBorders>
              <w:right w:val="nil"/>
            </w:tcBorders>
          </w:tcPr>
          <w:p>
            <w:pPr>
              <w:pStyle w:val="TableParagraph"/>
              <w:spacing w:before="139"/>
              <w:ind w:left="103"/>
              <w:rPr>
                <w:b/>
                <w:sz w:val="24"/>
              </w:rPr>
            </w:pPr>
            <w:r>
              <w:rPr>
                <w:b/>
                <w:sz w:val="24"/>
              </w:rPr>
              <w:t>6415</w:t>
            </w:r>
          </w:p>
        </w:tc>
      </w:tr>
      <w:tr>
        <w:trPr>
          <w:trHeight w:val="586" w:hRule="exact"/>
        </w:trPr>
        <w:tc>
          <w:tcPr>
            <w:tcW w:w="8275" w:type="dxa"/>
            <w:tcBorders>
              <w:left w:val="nil"/>
            </w:tcBorders>
          </w:tcPr>
          <w:p>
            <w:pPr>
              <w:pStyle w:val="TableParagraph"/>
              <w:spacing w:line="247" w:lineRule="auto"/>
              <w:ind w:left="827" w:right="1143" w:hanging="108"/>
              <w:rPr>
                <w:b/>
                <w:sz w:val="24"/>
              </w:rPr>
            </w:pPr>
            <w:r>
              <w:rPr>
                <w:b/>
                <w:sz w:val="24"/>
              </w:rPr>
              <w:t>Schedule 7a-Budget Supplement Of Authorized Salaries And Wages (Processing)</w:t>
            </w:r>
          </w:p>
        </w:tc>
        <w:tc>
          <w:tcPr>
            <w:tcW w:w="1085" w:type="dxa"/>
            <w:tcBorders>
              <w:right w:val="nil"/>
            </w:tcBorders>
          </w:tcPr>
          <w:p>
            <w:pPr>
              <w:pStyle w:val="TableParagraph"/>
              <w:spacing w:before="144"/>
              <w:ind w:left="103"/>
              <w:rPr>
                <w:b/>
                <w:sz w:val="24"/>
              </w:rPr>
            </w:pPr>
            <w:r>
              <w:rPr>
                <w:b/>
                <w:sz w:val="24"/>
              </w:rPr>
              <w:t>6418</w:t>
            </w:r>
          </w:p>
        </w:tc>
      </w:tr>
      <w:tr>
        <w:trPr>
          <w:trHeight w:val="588" w:hRule="exact"/>
        </w:trPr>
        <w:tc>
          <w:tcPr>
            <w:tcW w:w="8275" w:type="dxa"/>
            <w:tcBorders>
              <w:left w:val="nil"/>
            </w:tcBorders>
          </w:tcPr>
          <w:p>
            <w:pPr>
              <w:pStyle w:val="TableParagraph"/>
              <w:spacing w:before="147"/>
              <w:ind w:left="827"/>
              <w:rPr>
                <w:b/>
                <w:sz w:val="24"/>
              </w:rPr>
            </w:pPr>
            <w:r>
              <w:rPr>
                <w:b/>
                <w:sz w:val="24"/>
              </w:rPr>
              <w:t>Submittal Of Schedule 7a Spreadsheet To Finance</w:t>
            </w:r>
          </w:p>
        </w:tc>
        <w:tc>
          <w:tcPr>
            <w:tcW w:w="1085" w:type="dxa"/>
            <w:tcBorders>
              <w:right w:val="nil"/>
            </w:tcBorders>
          </w:tcPr>
          <w:p>
            <w:pPr>
              <w:pStyle w:val="TableParagraph"/>
              <w:spacing w:before="147"/>
              <w:ind w:left="103"/>
              <w:rPr>
                <w:b/>
                <w:sz w:val="24"/>
              </w:rPr>
            </w:pPr>
            <w:r>
              <w:rPr>
                <w:b/>
                <w:sz w:val="24"/>
              </w:rPr>
              <w:t>6419</w:t>
            </w:r>
          </w:p>
        </w:tc>
      </w:tr>
      <w:tr>
        <w:trPr>
          <w:trHeight w:val="586" w:hRule="exact"/>
        </w:trPr>
        <w:tc>
          <w:tcPr>
            <w:tcW w:w="8275" w:type="dxa"/>
            <w:tcBorders>
              <w:left w:val="nil"/>
            </w:tcBorders>
          </w:tcPr>
          <w:p>
            <w:pPr>
              <w:pStyle w:val="TableParagraph"/>
              <w:spacing w:before="144"/>
              <w:ind w:left="827"/>
              <w:rPr>
                <w:b/>
                <w:sz w:val="24"/>
              </w:rPr>
            </w:pPr>
            <w:r>
              <w:rPr>
                <w:b/>
                <w:sz w:val="24"/>
              </w:rPr>
              <w:t>State Controller’s Office Tabulations (Other Than Schedule 7a)</w:t>
            </w:r>
          </w:p>
        </w:tc>
        <w:tc>
          <w:tcPr>
            <w:tcW w:w="1085" w:type="dxa"/>
            <w:tcBorders>
              <w:right w:val="nil"/>
            </w:tcBorders>
          </w:tcPr>
          <w:p>
            <w:pPr>
              <w:pStyle w:val="TableParagraph"/>
              <w:spacing w:before="144"/>
              <w:ind w:left="103"/>
              <w:rPr>
                <w:b/>
                <w:sz w:val="24"/>
              </w:rPr>
            </w:pPr>
            <w:r>
              <w:rPr>
                <w:b/>
                <w:sz w:val="24"/>
              </w:rPr>
              <w:t>6421</w:t>
            </w:r>
          </w:p>
        </w:tc>
      </w:tr>
      <w:tr>
        <w:trPr>
          <w:trHeight w:val="588" w:hRule="exact"/>
        </w:trPr>
        <w:tc>
          <w:tcPr>
            <w:tcW w:w="8275" w:type="dxa"/>
            <w:tcBorders>
              <w:left w:val="nil"/>
            </w:tcBorders>
          </w:tcPr>
          <w:p>
            <w:pPr>
              <w:pStyle w:val="TableParagraph"/>
              <w:spacing w:before="144"/>
              <w:ind w:left="827"/>
              <w:rPr>
                <w:b/>
                <w:sz w:val="24"/>
              </w:rPr>
            </w:pPr>
            <w:r>
              <w:rPr>
                <w:b/>
                <w:sz w:val="24"/>
              </w:rPr>
              <w:t>Schedule 8 Tabulation</w:t>
            </w:r>
          </w:p>
        </w:tc>
        <w:tc>
          <w:tcPr>
            <w:tcW w:w="1085" w:type="dxa"/>
            <w:tcBorders>
              <w:right w:val="nil"/>
            </w:tcBorders>
          </w:tcPr>
          <w:p>
            <w:pPr>
              <w:pStyle w:val="TableParagraph"/>
              <w:spacing w:before="144"/>
              <w:ind w:left="103"/>
              <w:rPr>
                <w:b/>
                <w:sz w:val="24"/>
              </w:rPr>
            </w:pPr>
            <w:r>
              <w:rPr>
                <w:b/>
                <w:sz w:val="24"/>
              </w:rPr>
              <w:t>6424</w:t>
            </w:r>
          </w:p>
        </w:tc>
      </w:tr>
      <w:tr>
        <w:trPr>
          <w:trHeight w:val="586" w:hRule="exact"/>
        </w:trPr>
        <w:tc>
          <w:tcPr>
            <w:tcW w:w="8275" w:type="dxa"/>
            <w:tcBorders>
              <w:left w:val="nil"/>
            </w:tcBorders>
          </w:tcPr>
          <w:p>
            <w:pPr>
              <w:pStyle w:val="TableParagraph"/>
              <w:spacing w:before="139"/>
              <w:ind w:left="827"/>
              <w:rPr>
                <w:b/>
                <w:sz w:val="24"/>
              </w:rPr>
            </w:pPr>
            <w:r>
              <w:rPr>
                <w:b/>
                <w:sz w:val="24"/>
              </w:rPr>
              <w:t>Description Of Schedule 8 Tabulation</w:t>
            </w:r>
          </w:p>
        </w:tc>
        <w:tc>
          <w:tcPr>
            <w:tcW w:w="1085" w:type="dxa"/>
            <w:tcBorders>
              <w:right w:val="nil"/>
            </w:tcBorders>
          </w:tcPr>
          <w:p>
            <w:pPr>
              <w:pStyle w:val="TableParagraph"/>
              <w:spacing w:before="139"/>
              <w:ind w:left="103"/>
              <w:rPr>
                <w:b/>
                <w:sz w:val="24"/>
              </w:rPr>
            </w:pPr>
            <w:r>
              <w:rPr>
                <w:b/>
                <w:sz w:val="24"/>
              </w:rPr>
              <w:t>6427</w:t>
            </w:r>
          </w:p>
        </w:tc>
      </w:tr>
      <w:tr>
        <w:trPr>
          <w:trHeight w:val="576" w:hRule="exact"/>
        </w:trPr>
        <w:tc>
          <w:tcPr>
            <w:tcW w:w="8275" w:type="dxa"/>
            <w:tcBorders>
              <w:left w:val="nil"/>
              <w:bottom w:val="nil"/>
            </w:tcBorders>
          </w:tcPr>
          <w:p>
            <w:pPr>
              <w:pStyle w:val="TableParagraph"/>
              <w:spacing w:before="139"/>
              <w:ind w:left="827"/>
              <w:rPr>
                <w:b/>
                <w:sz w:val="24"/>
              </w:rPr>
            </w:pPr>
            <w:r>
              <w:rPr>
                <w:b/>
                <w:sz w:val="24"/>
              </w:rPr>
              <w:t>Verification And Completion Of Schedule 8 Tabulation</w:t>
            </w:r>
          </w:p>
        </w:tc>
        <w:tc>
          <w:tcPr>
            <w:tcW w:w="1085" w:type="dxa"/>
            <w:tcBorders>
              <w:bottom w:val="nil"/>
              <w:right w:val="nil"/>
            </w:tcBorders>
          </w:tcPr>
          <w:p>
            <w:pPr>
              <w:pStyle w:val="TableParagraph"/>
              <w:spacing w:before="139"/>
              <w:ind w:left="103"/>
              <w:rPr>
                <w:b/>
                <w:sz w:val="24"/>
              </w:rPr>
            </w:pPr>
            <w:r>
              <w:rPr>
                <w:b/>
                <w:sz w:val="24"/>
              </w:rPr>
              <w:t>6429</w:t>
            </w:r>
          </w:p>
        </w:tc>
      </w:tr>
    </w:tbl>
    <w:p>
      <w:pPr>
        <w:pStyle w:val="BodyText"/>
        <w:spacing w:before="9"/>
        <w:rPr>
          <w:sz w:val="16"/>
        </w:rPr>
      </w:pPr>
    </w:p>
    <w:p>
      <w:pPr>
        <w:pStyle w:val="BodyText"/>
        <w:spacing w:before="93"/>
        <w:ind w:left="880"/>
      </w:pPr>
      <w:r>
        <w:rPr/>
        <w:t>(Continued)</w:t>
      </w:r>
    </w:p>
    <w:p>
      <w:pPr>
        <w:spacing w:after="0"/>
        <w:sectPr>
          <w:headerReference w:type="default" r:id="rId24"/>
          <w:footerReference w:type="default" r:id="rId25"/>
          <w:pgSz w:w="12240" w:h="15840"/>
          <w:pgMar w:header="983" w:footer="2447" w:top="1640" w:bottom="2640" w:left="560" w:right="1200"/>
          <w:pgNumType w:start="1"/>
        </w:sectPr>
      </w:pPr>
    </w:p>
    <w:p>
      <w:pPr>
        <w:pStyle w:val="BodyText"/>
        <w:spacing w:before="3"/>
        <w:rPr>
          <w:sz w:val="27"/>
        </w:rPr>
      </w:pPr>
    </w:p>
    <w:p>
      <w:pPr>
        <w:tabs>
          <w:tab w:pos="870" w:val="left" w:leader="none"/>
        </w:tabs>
        <w:spacing w:line="240" w:lineRule="auto"/>
        <w:ind w:left="99" w:right="0" w:firstLine="0"/>
        <w:rPr>
          <w:sz w:val="20"/>
        </w:rPr>
      </w:pPr>
      <w:r>
        <w:rPr>
          <w:position w:val="616"/>
          <w:sz w:val="20"/>
        </w:rPr>
        <w:pict>
          <v:group style="width:.75pt;height:14.55pt;mso-position-horizontal-relative:char;mso-position-vertical-relative:line" coordorigin="0,0" coordsize="15,291">
            <v:line style="position:absolute" from="8,8" to="8,284" stroked="true" strokeweight=".72pt" strokecolor="#000000">
              <v:stroke dashstyle="solid"/>
            </v:line>
          </v:group>
        </w:pict>
      </w:r>
      <w:r>
        <w:rPr>
          <w:position w:val="616"/>
          <w:sz w:val="20"/>
        </w:rPr>
      </w:r>
      <w:r>
        <w:rPr>
          <w:position w:val="616"/>
          <w:sz w:val="20"/>
        </w:rPr>
        <w:tab/>
      </w:r>
      <w:r>
        <w:rPr>
          <w:sz w:val="20"/>
        </w:rPr>
        <w:pict>
          <v:shape style="width:468.75pt;height:527.65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75"/>
                    <w:gridCol w:w="1085"/>
                  </w:tblGrid>
                  <w:tr>
                    <w:trPr>
                      <w:trHeight w:val="586" w:hRule="exact"/>
                    </w:trPr>
                    <w:tc>
                      <w:tcPr>
                        <w:tcW w:w="8275" w:type="dxa"/>
                        <w:tcBorders>
                          <w:left w:val="nil"/>
                        </w:tcBorders>
                      </w:tcPr>
                      <w:p>
                        <w:pPr>
                          <w:pStyle w:val="TableParagraph"/>
                          <w:spacing w:before="144"/>
                          <w:ind w:left="827"/>
                          <w:rPr>
                            <w:b/>
                            <w:sz w:val="24"/>
                          </w:rPr>
                        </w:pPr>
                        <w:bookmarkStart w:name="CHAPTER 6000 INDEX (Cont. 2)" w:id="6"/>
                        <w:bookmarkEnd w:id="6"/>
                        <w:r>
                          <w:rPr/>
                        </w:r>
                        <w:r>
                          <w:rPr>
                            <w:b/>
                            <w:sz w:val="24"/>
                          </w:rPr>
                          <w:t>Conversion Code Listing</w:t>
                        </w:r>
                      </w:p>
                    </w:tc>
                    <w:tc>
                      <w:tcPr>
                        <w:tcW w:w="1085" w:type="dxa"/>
                        <w:tcBorders>
                          <w:right w:val="nil"/>
                        </w:tcBorders>
                      </w:tcPr>
                      <w:p>
                        <w:pPr>
                          <w:pStyle w:val="TableParagraph"/>
                          <w:spacing w:before="144"/>
                          <w:ind w:left="103"/>
                          <w:rPr>
                            <w:b/>
                            <w:sz w:val="24"/>
                          </w:rPr>
                        </w:pPr>
                        <w:r>
                          <w:rPr>
                            <w:b/>
                            <w:sz w:val="24"/>
                          </w:rPr>
                          <w:t>6430</w:t>
                        </w:r>
                      </w:p>
                    </w:tc>
                  </w:tr>
                  <w:tr>
                    <w:trPr>
                      <w:trHeight w:val="586" w:hRule="exact"/>
                    </w:trPr>
                    <w:tc>
                      <w:tcPr>
                        <w:tcW w:w="8275" w:type="dxa"/>
                        <w:tcBorders>
                          <w:left w:val="nil"/>
                        </w:tcBorders>
                      </w:tcPr>
                      <w:p>
                        <w:pPr>
                          <w:pStyle w:val="TableParagraph"/>
                          <w:spacing w:before="144"/>
                          <w:ind w:left="827"/>
                          <w:rPr>
                            <w:b/>
                            <w:sz w:val="24"/>
                          </w:rPr>
                        </w:pPr>
                        <w:r>
                          <w:rPr>
                            <w:b/>
                            <w:sz w:val="24"/>
                          </w:rPr>
                          <w:t>Expiring Filled Positions</w:t>
                        </w:r>
                      </w:p>
                    </w:tc>
                    <w:tc>
                      <w:tcPr>
                        <w:tcW w:w="1085" w:type="dxa"/>
                        <w:tcBorders>
                          <w:right w:val="nil"/>
                        </w:tcBorders>
                      </w:tcPr>
                      <w:p>
                        <w:pPr>
                          <w:pStyle w:val="TableParagraph"/>
                          <w:spacing w:before="144"/>
                          <w:ind w:left="103"/>
                          <w:rPr>
                            <w:b/>
                            <w:sz w:val="24"/>
                          </w:rPr>
                        </w:pPr>
                        <w:r>
                          <w:rPr>
                            <w:b/>
                            <w:sz w:val="24"/>
                          </w:rPr>
                          <w:t>6436</w:t>
                        </w:r>
                      </w:p>
                    </w:tc>
                  </w:tr>
                  <w:tr>
                    <w:trPr>
                      <w:trHeight w:val="586" w:hRule="exact"/>
                    </w:trPr>
                    <w:tc>
                      <w:tcPr>
                        <w:tcW w:w="8275" w:type="dxa"/>
                        <w:tcBorders>
                          <w:left w:val="nil"/>
                        </w:tcBorders>
                      </w:tcPr>
                      <w:p>
                        <w:pPr>
                          <w:pStyle w:val="TableParagraph"/>
                          <w:spacing w:before="144"/>
                          <w:ind w:left="827"/>
                          <w:rPr>
                            <w:b/>
                            <w:sz w:val="24"/>
                          </w:rPr>
                        </w:pPr>
                        <w:r>
                          <w:rPr>
                            <w:b/>
                            <w:sz w:val="24"/>
                          </w:rPr>
                          <w:t>Blanket Positions</w:t>
                        </w:r>
                      </w:p>
                    </w:tc>
                    <w:tc>
                      <w:tcPr>
                        <w:tcW w:w="1085" w:type="dxa"/>
                        <w:tcBorders>
                          <w:right w:val="nil"/>
                        </w:tcBorders>
                      </w:tcPr>
                      <w:p>
                        <w:pPr>
                          <w:pStyle w:val="TableParagraph"/>
                          <w:spacing w:before="144"/>
                          <w:ind w:left="103"/>
                          <w:rPr>
                            <w:b/>
                            <w:sz w:val="24"/>
                          </w:rPr>
                        </w:pPr>
                        <w:r>
                          <w:rPr>
                            <w:b/>
                            <w:sz w:val="24"/>
                          </w:rPr>
                          <w:t>6439</w:t>
                        </w:r>
                      </w:p>
                    </w:tc>
                  </w:tr>
                  <w:tr>
                    <w:trPr>
                      <w:trHeight w:val="588" w:hRule="exact"/>
                    </w:trPr>
                    <w:tc>
                      <w:tcPr>
                        <w:tcW w:w="8275" w:type="dxa"/>
                        <w:tcBorders>
                          <w:left w:val="nil"/>
                        </w:tcBorders>
                      </w:tcPr>
                      <w:p>
                        <w:pPr>
                          <w:pStyle w:val="TableParagraph"/>
                          <w:spacing w:before="144"/>
                          <w:ind w:left="827"/>
                          <w:rPr>
                            <w:b/>
                            <w:sz w:val="24"/>
                          </w:rPr>
                        </w:pPr>
                        <w:r>
                          <w:rPr>
                            <w:b/>
                            <w:sz w:val="24"/>
                          </w:rPr>
                          <w:t>Vacant Positions Report</w:t>
                        </w:r>
                      </w:p>
                    </w:tc>
                    <w:tc>
                      <w:tcPr>
                        <w:tcW w:w="1085" w:type="dxa"/>
                        <w:tcBorders>
                          <w:right w:val="nil"/>
                        </w:tcBorders>
                      </w:tcPr>
                      <w:p>
                        <w:pPr>
                          <w:pStyle w:val="TableParagraph"/>
                          <w:spacing w:before="144"/>
                          <w:ind w:left="103"/>
                          <w:rPr>
                            <w:b/>
                            <w:sz w:val="24"/>
                          </w:rPr>
                        </w:pPr>
                        <w:r>
                          <w:rPr>
                            <w:b/>
                            <w:sz w:val="24"/>
                          </w:rPr>
                          <w:t>6445</w:t>
                        </w:r>
                      </w:p>
                    </w:tc>
                  </w:tr>
                  <w:tr>
                    <w:trPr>
                      <w:trHeight w:val="586" w:hRule="exact"/>
                    </w:trPr>
                    <w:tc>
                      <w:tcPr>
                        <w:tcW w:w="8275" w:type="dxa"/>
                        <w:tcBorders>
                          <w:left w:val="nil"/>
                        </w:tcBorders>
                      </w:tcPr>
                      <w:p>
                        <w:pPr>
                          <w:pStyle w:val="TableParagraph"/>
                          <w:spacing w:before="139"/>
                          <w:ind w:left="827"/>
                          <w:rPr>
                            <w:b/>
                            <w:sz w:val="24"/>
                          </w:rPr>
                        </w:pPr>
                        <w:r>
                          <w:rPr>
                            <w:b/>
                            <w:sz w:val="24"/>
                          </w:rPr>
                          <w:t>Preparation Of Schedule 8 Summary</w:t>
                        </w:r>
                      </w:p>
                    </w:tc>
                    <w:tc>
                      <w:tcPr>
                        <w:tcW w:w="1085" w:type="dxa"/>
                        <w:tcBorders>
                          <w:right w:val="nil"/>
                        </w:tcBorders>
                      </w:tcPr>
                      <w:p>
                        <w:pPr>
                          <w:pStyle w:val="TableParagraph"/>
                          <w:spacing w:before="139"/>
                          <w:ind w:left="103"/>
                          <w:rPr>
                            <w:b/>
                            <w:sz w:val="24"/>
                          </w:rPr>
                        </w:pPr>
                        <w:r>
                          <w:rPr>
                            <w:b/>
                            <w:sz w:val="24"/>
                          </w:rPr>
                          <w:t>6448</w:t>
                        </w:r>
                      </w:p>
                    </w:tc>
                  </w:tr>
                  <w:tr>
                    <w:trPr>
                      <w:trHeight w:val="586" w:hRule="exact"/>
                    </w:trPr>
                    <w:tc>
                      <w:tcPr>
                        <w:tcW w:w="8275" w:type="dxa"/>
                        <w:tcBorders>
                          <w:left w:val="nil"/>
                        </w:tcBorders>
                      </w:tcPr>
                      <w:p>
                        <w:pPr>
                          <w:pStyle w:val="TableParagraph"/>
                          <w:spacing w:before="139"/>
                          <w:ind w:left="827"/>
                          <w:rPr>
                            <w:b/>
                            <w:sz w:val="24"/>
                          </w:rPr>
                        </w:pPr>
                        <w:r>
                          <w:rPr>
                            <w:b/>
                            <w:sz w:val="24"/>
                          </w:rPr>
                          <w:t>Operating Expenses And Equipment</w:t>
                        </w:r>
                      </w:p>
                    </w:tc>
                    <w:tc>
                      <w:tcPr>
                        <w:tcW w:w="1085" w:type="dxa"/>
                        <w:tcBorders>
                          <w:right w:val="nil"/>
                        </w:tcBorders>
                      </w:tcPr>
                      <w:p>
                        <w:pPr>
                          <w:pStyle w:val="TableParagraph"/>
                          <w:spacing w:before="139"/>
                          <w:ind w:left="103"/>
                          <w:rPr>
                            <w:b/>
                            <w:sz w:val="24"/>
                          </w:rPr>
                        </w:pPr>
                        <w:r>
                          <w:rPr>
                            <w:b/>
                            <w:sz w:val="24"/>
                          </w:rPr>
                          <w:t>6451</w:t>
                        </w:r>
                      </w:p>
                    </w:tc>
                  </w:tr>
                  <w:tr>
                    <w:trPr>
                      <w:trHeight w:val="588" w:hRule="exact"/>
                    </w:trPr>
                    <w:tc>
                      <w:tcPr>
                        <w:tcW w:w="8275" w:type="dxa"/>
                        <w:tcBorders>
                          <w:left w:val="nil"/>
                        </w:tcBorders>
                      </w:tcPr>
                      <w:p>
                        <w:pPr>
                          <w:pStyle w:val="TableParagraph"/>
                          <w:spacing w:before="147"/>
                          <w:ind w:left="827"/>
                          <w:rPr>
                            <w:b/>
                            <w:sz w:val="24"/>
                          </w:rPr>
                        </w:pPr>
                        <w:r>
                          <w:rPr>
                            <w:b/>
                            <w:sz w:val="24"/>
                          </w:rPr>
                          <w:t>Space Action Requests (Cruise Form 9)</w:t>
                        </w:r>
                      </w:p>
                    </w:tc>
                    <w:tc>
                      <w:tcPr>
                        <w:tcW w:w="1085" w:type="dxa"/>
                        <w:tcBorders>
                          <w:right w:val="nil"/>
                        </w:tcBorders>
                      </w:tcPr>
                      <w:p>
                        <w:pPr>
                          <w:pStyle w:val="TableParagraph"/>
                          <w:spacing w:before="147"/>
                          <w:ind w:left="103"/>
                          <w:rPr>
                            <w:b/>
                            <w:sz w:val="24"/>
                          </w:rPr>
                        </w:pPr>
                        <w:r>
                          <w:rPr>
                            <w:b/>
                            <w:sz w:val="24"/>
                          </w:rPr>
                          <w:t>6453</w:t>
                        </w:r>
                      </w:p>
                    </w:tc>
                  </w:tr>
                  <w:tr>
                    <w:trPr>
                      <w:trHeight w:val="586" w:hRule="exact"/>
                    </w:trPr>
                    <w:tc>
                      <w:tcPr>
                        <w:tcW w:w="8275" w:type="dxa"/>
                        <w:tcBorders>
                          <w:left w:val="nil"/>
                        </w:tcBorders>
                      </w:tcPr>
                      <w:p>
                        <w:pPr>
                          <w:pStyle w:val="TableParagraph"/>
                          <w:spacing w:line="247" w:lineRule="auto"/>
                          <w:ind w:left="827" w:right="2597" w:hanging="108"/>
                          <w:rPr>
                            <w:b/>
                            <w:sz w:val="24"/>
                          </w:rPr>
                        </w:pPr>
                        <w:r>
                          <w:rPr>
                            <w:b/>
                            <w:sz w:val="24"/>
                          </w:rPr>
                          <w:t>Preparation Of Supplementary Schedule Of Operating Expenses And Equipment</w:t>
                        </w:r>
                      </w:p>
                    </w:tc>
                    <w:tc>
                      <w:tcPr>
                        <w:tcW w:w="1085" w:type="dxa"/>
                        <w:tcBorders>
                          <w:right w:val="nil"/>
                        </w:tcBorders>
                      </w:tcPr>
                      <w:p>
                        <w:pPr>
                          <w:pStyle w:val="TableParagraph"/>
                          <w:spacing w:before="144"/>
                          <w:ind w:left="103"/>
                          <w:rPr>
                            <w:b/>
                            <w:sz w:val="24"/>
                          </w:rPr>
                        </w:pPr>
                        <w:r>
                          <w:rPr>
                            <w:b/>
                            <w:sz w:val="24"/>
                          </w:rPr>
                          <w:t>6454</w:t>
                        </w:r>
                      </w:p>
                    </w:tc>
                  </w:tr>
                  <w:tr>
                    <w:trPr>
                      <w:trHeight w:val="586" w:hRule="exact"/>
                    </w:trPr>
                    <w:tc>
                      <w:tcPr>
                        <w:tcW w:w="8275" w:type="dxa"/>
                        <w:tcBorders>
                          <w:left w:val="nil"/>
                        </w:tcBorders>
                      </w:tcPr>
                      <w:p>
                        <w:pPr>
                          <w:pStyle w:val="TableParagraph"/>
                          <w:spacing w:before="144"/>
                          <w:ind w:left="827"/>
                          <w:rPr>
                            <w:b/>
                            <w:sz w:val="24"/>
                          </w:rPr>
                        </w:pPr>
                        <w:r>
                          <w:rPr>
                            <w:b/>
                            <w:sz w:val="24"/>
                          </w:rPr>
                          <w:t>Budget For Equipment</w:t>
                        </w:r>
                      </w:p>
                    </w:tc>
                    <w:tc>
                      <w:tcPr>
                        <w:tcW w:w="1085" w:type="dxa"/>
                        <w:tcBorders>
                          <w:right w:val="nil"/>
                        </w:tcBorders>
                      </w:tcPr>
                      <w:p>
                        <w:pPr>
                          <w:pStyle w:val="TableParagraph"/>
                          <w:spacing w:before="144"/>
                          <w:ind w:left="103"/>
                          <w:rPr>
                            <w:b/>
                            <w:sz w:val="24"/>
                          </w:rPr>
                        </w:pPr>
                        <w:r>
                          <w:rPr>
                            <w:b/>
                            <w:sz w:val="24"/>
                          </w:rPr>
                          <w:t>6457</w:t>
                        </w:r>
                      </w:p>
                    </w:tc>
                  </w:tr>
                  <w:tr>
                    <w:trPr>
                      <w:trHeight w:val="588" w:hRule="exact"/>
                    </w:trPr>
                    <w:tc>
                      <w:tcPr>
                        <w:tcW w:w="8275" w:type="dxa"/>
                        <w:tcBorders>
                          <w:left w:val="nil"/>
                        </w:tcBorders>
                      </w:tcPr>
                      <w:p>
                        <w:pPr>
                          <w:pStyle w:val="TableParagraph"/>
                          <w:spacing w:before="144"/>
                          <w:ind w:left="827"/>
                          <w:rPr>
                            <w:b/>
                            <w:sz w:val="24"/>
                          </w:rPr>
                        </w:pPr>
                        <w:r>
                          <w:rPr>
                            <w:b/>
                            <w:sz w:val="24"/>
                          </w:rPr>
                          <w:t>Supplementary Schedule Of Federal Funds</w:t>
                        </w:r>
                      </w:p>
                    </w:tc>
                    <w:tc>
                      <w:tcPr>
                        <w:tcW w:w="1085" w:type="dxa"/>
                        <w:tcBorders>
                          <w:right w:val="nil"/>
                        </w:tcBorders>
                      </w:tcPr>
                      <w:p>
                        <w:pPr>
                          <w:pStyle w:val="TableParagraph"/>
                          <w:spacing w:before="144"/>
                          <w:ind w:left="103"/>
                          <w:rPr>
                            <w:b/>
                            <w:sz w:val="24"/>
                          </w:rPr>
                        </w:pPr>
                        <w:r>
                          <w:rPr>
                            <w:b/>
                            <w:sz w:val="24"/>
                          </w:rPr>
                          <w:t>6460</w:t>
                        </w:r>
                      </w:p>
                    </w:tc>
                  </w:tr>
                  <w:tr>
                    <w:trPr>
                      <w:trHeight w:val="586" w:hRule="exact"/>
                    </w:trPr>
                    <w:tc>
                      <w:tcPr>
                        <w:tcW w:w="8275" w:type="dxa"/>
                        <w:tcBorders>
                          <w:left w:val="nil"/>
                        </w:tcBorders>
                      </w:tcPr>
                      <w:p>
                        <w:pPr>
                          <w:pStyle w:val="TableParagraph"/>
                          <w:spacing w:before="139"/>
                          <w:ind w:left="827"/>
                          <w:rPr>
                            <w:b/>
                            <w:sz w:val="24"/>
                          </w:rPr>
                        </w:pPr>
                        <w:r>
                          <w:rPr>
                            <w:b/>
                            <w:sz w:val="24"/>
                          </w:rPr>
                          <w:t>Reimbursements</w:t>
                        </w:r>
                      </w:p>
                    </w:tc>
                    <w:tc>
                      <w:tcPr>
                        <w:tcW w:w="1085" w:type="dxa"/>
                        <w:tcBorders>
                          <w:right w:val="nil"/>
                        </w:tcBorders>
                      </w:tcPr>
                      <w:p>
                        <w:pPr>
                          <w:pStyle w:val="TableParagraph"/>
                          <w:spacing w:before="139"/>
                          <w:ind w:left="103"/>
                          <w:rPr>
                            <w:b/>
                            <w:sz w:val="24"/>
                          </w:rPr>
                        </w:pPr>
                        <w:r>
                          <w:rPr>
                            <w:b/>
                            <w:sz w:val="24"/>
                          </w:rPr>
                          <w:t>6463</w:t>
                        </w:r>
                      </w:p>
                    </w:tc>
                  </w:tr>
                  <w:tr>
                    <w:trPr>
                      <w:trHeight w:val="586" w:hRule="exact"/>
                    </w:trPr>
                    <w:tc>
                      <w:tcPr>
                        <w:tcW w:w="8275" w:type="dxa"/>
                        <w:tcBorders>
                          <w:left w:val="nil"/>
                        </w:tcBorders>
                      </w:tcPr>
                      <w:p>
                        <w:pPr>
                          <w:pStyle w:val="TableParagraph"/>
                          <w:spacing w:before="139"/>
                          <w:ind w:left="827"/>
                          <w:rPr>
                            <w:b/>
                            <w:sz w:val="24"/>
                          </w:rPr>
                        </w:pPr>
                        <w:r>
                          <w:rPr>
                            <w:b/>
                            <w:sz w:val="24"/>
                          </w:rPr>
                          <w:t>Supplementary Schedule Of Reimbursements</w:t>
                        </w:r>
                      </w:p>
                    </w:tc>
                    <w:tc>
                      <w:tcPr>
                        <w:tcW w:w="1085" w:type="dxa"/>
                        <w:tcBorders>
                          <w:right w:val="nil"/>
                        </w:tcBorders>
                      </w:tcPr>
                      <w:p>
                        <w:pPr>
                          <w:pStyle w:val="TableParagraph"/>
                          <w:spacing w:before="139"/>
                          <w:ind w:left="103"/>
                          <w:rPr>
                            <w:b/>
                            <w:sz w:val="24"/>
                          </w:rPr>
                        </w:pPr>
                        <w:r>
                          <w:rPr>
                            <w:b/>
                            <w:sz w:val="24"/>
                          </w:rPr>
                          <w:t>6466</w:t>
                        </w:r>
                      </w:p>
                    </w:tc>
                  </w:tr>
                  <w:tr>
                    <w:trPr>
                      <w:trHeight w:val="586" w:hRule="exact"/>
                    </w:trPr>
                    <w:tc>
                      <w:tcPr>
                        <w:tcW w:w="8275" w:type="dxa"/>
                        <w:tcBorders>
                          <w:left w:val="nil"/>
                        </w:tcBorders>
                      </w:tcPr>
                      <w:p>
                        <w:pPr>
                          <w:pStyle w:val="TableParagraph"/>
                          <w:spacing w:before="144"/>
                          <w:ind w:left="827"/>
                          <w:rPr>
                            <w:b/>
                            <w:sz w:val="24"/>
                          </w:rPr>
                        </w:pPr>
                        <w:r>
                          <w:rPr>
                            <w:b/>
                            <w:sz w:val="24"/>
                          </w:rPr>
                          <w:t>Special Items Of Expense</w:t>
                        </w:r>
                      </w:p>
                    </w:tc>
                    <w:tc>
                      <w:tcPr>
                        <w:tcW w:w="1085" w:type="dxa"/>
                        <w:tcBorders>
                          <w:right w:val="nil"/>
                        </w:tcBorders>
                      </w:tcPr>
                      <w:p>
                        <w:pPr>
                          <w:pStyle w:val="TableParagraph"/>
                          <w:spacing w:before="144"/>
                          <w:ind w:left="103"/>
                          <w:rPr>
                            <w:b/>
                            <w:sz w:val="24"/>
                          </w:rPr>
                        </w:pPr>
                        <w:r>
                          <w:rPr>
                            <w:b/>
                            <w:sz w:val="24"/>
                          </w:rPr>
                          <w:t>6469</w:t>
                        </w:r>
                      </w:p>
                    </w:tc>
                  </w:tr>
                  <w:tr>
                    <w:trPr>
                      <w:trHeight w:val="588" w:hRule="exact"/>
                    </w:trPr>
                    <w:tc>
                      <w:tcPr>
                        <w:tcW w:w="8275" w:type="dxa"/>
                        <w:tcBorders>
                          <w:left w:val="nil"/>
                        </w:tcBorders>
                      </w:tcPr>
                      <w:p>
                        <w:pPr>
                          <w:pStyle w:val="TableParagraph"/>
                          <w:spacing w:before="147"/>
                          <w:ind w:left="827"/>
                          <w:rPr>
                            <w:b/>
                            <w:sz w:val="24"/>
                          </w:rPr>
                        </w:pPr>
                        <w:r>
                          <w:rPr>
                            <w:b/>
                            <w:sz w:val="24"/>
                          </w:rPr>
                          <w:t>Claims And Tort Liability Budget Procedure</w:t>
                        </w:r>
                      </w:p>
                    </w:tc>
                    <w:tc>
                      <w:tcPr>
                        <w:tcW w:w="1085" w:type="dxa"/>
                        <w:tcBorders>
                          <w:right w:val="nil"/>
                        </w:tcBorders>
                      </w:tcPr>
                      <w:p>
                        <w:pPr>
                          <w:pStyle w:val="TableParagraph"/>
                          <w:spacing w:before="147"/>
                          <w:ind w:left="103"/>
                          <w:rPr>
                            <w:b/>
                            <w:sz w:val="24"/>
                          </w:rPr>
                        </w:pPr>
                        <w:r>
                          <w:rPr>
                            <w:b/>
                            <w:sz w:val="24"/>
                          </w:rPr>
                          <w:t>6472</w:t>
                        </w:r>
                      </w:p>
                    </w:tc>
                  </w:tr>
                  <w:tr>
                    <w:trPr>
                      <w:trHeight w:val="586" w:hRule="exact"/>
                    </w:trPr>
                    <w:tc>
                      <w:tcPr>
                        <w:tcW w:w="8275" w:type="dxa"/>
                        <w:tcBorders>
                          <w:left w:val="nil"/>
                        </w:tcBorders>
                      </w:tcPr>
                      <w:p>
                        <w:pPr>
                          <w:pStyle w:val="TableParagraph"/>
                          <w:spacing w:before="144"/>
                          <w:ind w:left="827"/>
                          <w:rPr>
                            <w:b/>
                            <w:sz w:val="24"/>
                          </w:rPr>
                        </w:pPr>
                        <w:r>
                          <w:rPr>
                            <w:b/>
                            <w:sz w:val="24"/>
                          </w:rPr>
                          <w:t>Expenditures By Category</w:t>
                        </w:r>
                      </w:p>
                    </w:tc>
                    <w:tc>
                      <w:tcPr>
                        <w:tcW w:w="1085" w:type="dxa"/>
                        <w:tcBorders>
                          <w:right w:val="nil"/>
                        </w:tcBorders>
                      </w:tcPr>
                      <w:p>
                        <w:pPr>
                          <w:pStyle w:val="TableParagraph"/>
                          <w:spacing w:before="144"/>
                          <w:ind w:left="103"/>
                          <w:rPr>
                            <w:b/>
                            <w:sz w:val="24"/>
                          </w:rPr>
                        </w:pPr>
                        <w:r>
                          <w:rPr>
                            <w:b/>
                            <w:sz w:val="24"/>
                          </w:rPr>
                          <w:t>6475</w:t>
                        </w:r>
                      </w:p>
                    </w:tc>
                  </w:tr>
                  <w:tr>
                    <w:trPr>
                      <w:trHeight w:val="588" w:hRule="exact"/>
                    </w:trPr>
                    <w:tc>
                      <w:tcPr>
                        <w:tcW w:w="8275" w:type="dxa"/>
                        <w:tcBorders>
                          <w:left w:val="nil"/>
                        </w:tcBorders>
                      </w:tcPr>
                      <w:p>
                        <w:pPr>
                          <w:pStyle w:val="TableParagraph"/>
                          <w:spacing w:before="144"/>
                          <w:ind w:left="827"/>
                          <w:rPr>
                            <w:b/>
                            <w:sz w:val="24"/>
                          </w:rPr>
                        </w:pPr>
                        <w:r>
                          <w:rPr>
                            <w:b/>
                            <w:sz w:val="24"/>
                          </w:rPr>
                          <w:t>Detail Of Appropriations And Adjustments</w:t>
                        </w:r>
                      </w:p>
                    </w:tc>
                    <w:tc>
                      <w:tcPr>
                        <w:tcW w:w="1085" w:type="dxa"/>
                        <w:tcBorders>
                          <w:right w:val="nil"/>
                        </w:tcBorders>
                      </w:tcPr>
                      <w:p>
                        <w:pPr>
                          <w:pStyle w:val="TableParagraph"/>
                          <w:spacing w:before="144"/>
                          <w:ind w:left="103"/>
                          <w:rPr>
                            <w:b/>
                            <w:sz w:val="24"/>
                          </w:rPr>
                        </w:pPr>
                        <w:r>
                          <w:rPr>
                            <w:b/>
                            <w:sz w:val="24"/>
                          </w:rPr>
                          <w:t>6478</w:t>
                        </w:r>
                      </w:p>
                    </w:tc>
                  </w:tr>
                  <w:tr>
                    <w:trPr>
                      <w:trHeight w:val="586" w:hRule="exact"/>
                    </w:trPr>
                    <w:tc>
                      <w:tcPr>
                        <w:tcW w:w="8275" w:type="dxa"/>
                        <w:tcBorders>
                          <w:left w:val="nil"/>
                        </w:tcBorders>
                      </w:tcPr>
                      <w:p>
                        <w:pPr>
                          <w:pStyle w:val="TableParagraph"/>
                          <w:spacing w:before="139"/>
                          <w:ind w:left="827"/>
                          <w:rPr>
                            <w:b/>
                            <w:sz w:val="24"/>
                          </w:rPr>
                        </w:pPr>
                        <w:r>
                          <w:rPr>
                            <w:b/>
                            <w:sz w:val="24"/>
                          </w:rPr>
                          <w:t>Fund Condition Statements</w:t>
                        </w:r>
                      </w:p>
                    </w:tc>
                    <w:tc>
                      <w:tcPr>
                        <w:tcW w:w="1085" w:type="dxa"/>
                        <w:tcBorders>
                          <w:right w:val="nil"/>
                        </w:tcBorders>
                      </w:tcPr>
                      <w:p>
                        <w:pPr>
                          <w:pStyle w:val="TableParagraph"/>
                          <w:spacing w:before="139"/>
                          <w:ind w:left="103"/>
                          <w:rPr>
                            <w:b/>
                            <w:sz w:val="24"/>
                          </w:rPr>
                        </w:pPr>
                        <w:r>
                          <w:rPr>
                            <w:b/>
                            <w:sz w:val="24"/>
                          </w:rPr>
                          <w:t>6481</w:t>
                        </w:r>
                      </w:p>
                    </w:tc>
                  </w:tr>
                  <w:tr>
                    <w:trPr>
                      <w:trHeight w:val="576" w:hRule="exact"/>
                    </w:trPr>
                    <w:tc>
                      <w:tcPr>
                        <w:tcW w:w="8275" w:type="dxa"/>
                        <w:tcBorders>
                          <w:left w:val="nil"/>
                          <w:bottom w:val="nil"/>
                        </w:tcBorders>
                      </w:tcPr>
                      <w:p>
                        <w:pPr>
                          <w:pStyle w:val="TableParagraph"/>
                          <w:spacing w:before="139"/>
                          <w:ind w:left="827"/>
                          <w:rPr>
                            <w:b/>
                            <w:sz w:val="22"/>
                          </w:rPr>
                        </w:pPr>
                        <w:r>
                          <w:rPr>
                            <w:b/>
                            <w:strike/>
                            <w:color w:val="2E97D3"/>
                            <w:sz w:val="22"/>
                          </w:rPr>
                          <w:t>Supplementary Schedule Of Appropriations – Schedule 10</w:t>
                        </w:r>
                      </w:p>
                    </w:tc>
                    <w:tc>
                      <w:tcPr>
                        <w:tcW w:w="1085" w:type="dxa"/>
                        <w:tcBorders>
                          <w:bottom w:val="nil"/>
                          <w:right w:val="nil"/>
                        </w:tcBorders>
                      </w:tcPr>
                      <w:p>
                        <w:pPr>
                          <w:pStyle w:val="TableParagraph"/>
                          <w:spacing w:before="139"/>
                          <w:ind w:left="103"/>
                          <w:rPr>
                            <w:b/>
                            <w:sz w:val="22"/>
                          </w:rPr>
                        </w:pPr>
                        <w:r>
                          <w:rPr>
                            <w:b/>
                            <w:strike/>
                            <w:color w:val="2E97D3"/>
                            <w:sz w:val="22"/>
                          </w:rPr>
                          <w:t>6484</w:t>
                        </w:r>
                      </w:p>
                    </w:tc>
                  </w:tr>
                </w:tbl>
                <w:p>
                  <w:pPr>
                    <w:pStyle w:val="BodyText"/>
                  </w:pPr>
                </w:p>
              </w:txbxContent>
            </v:textbox>
          </v:shape>
        </w:pict>
      </w:r>
      <w:r>
        <w:rPr>
          <w:sz w:val="20"/>
        </w:rPr>
      </w:r>
    </w:p>
    <w:p>
      <w:pPr>
        <w:pStyle w:val="BodyText"/>
        <w:spacing w:before="5"/>
        <w:rPr>
          <w:sz w:val="14"/>
        </w:rPr>
      </w:pPr>
    </w:p>
    <w:p>
      <w:pPr>
        <w:pStyle w:val="BodyText"/>
        <w:spacing w:before="92"/>
        <w:ind w:left="880"/>
      </w:pPr>
      <w:r>
        <w:rPr/>
        <w:pict>
          <v:line style="position:absolute;mso-position-horizontal-relative:page;mso-position-vertical-relative:paragraph;z-index:-471088" from="33.360001pt,-38.504147pt" to="33.360001pt,-11.384147pt" stroked="true" strokeweight=".72pt" strokecolor="#000000">
            <v:stroke dashstyle="solid"/>
            <w10:wrap type="none"/>
          </v:line>
        </w:pict>
      </w:r>
      <w:r>
        <w:rPr/>
        <w:t>(Continued)</w:t>
      </w:r>
    </w:p>
    <w:p>
      <w:pPr>
        <w:spacing w:after="0"/>
        <w:sectPr>
          <w:pgSz w:w="12240" w:h="15840"/>
          <w:pgMar w:header="983" w:footer="2447" w:top="1640" w:bottom="2640" w:left="560" w:right="1200"/>
        </w:sectPr>
      </w:pPr>
    </w:p>
    <w:p>
      <w:pPr>
        <w:pStyle w:val="BodyText"/>
        <w:spacing w:before="3"/>
        <w:rPr>
          <w:sz w:val="27"/>
        </w:rPr>
      </w:pPr>
    </w:p>
    <w:p>
      <w:pPr>
        <w:tabs>
          <w:tab w:pos="755" w:val="left" w:leader="none"/>
        </w:tabs>
        <w:spacing w:line="240" w:lineRule="auto"/>
        <w:ind w:left="99" w:right="0" w:firstLine="0"/>
        <w:rPr>
          <w:sz w:val="20"/>
        </w:rPr>
      </w:pPr>
      <w:r>
        <w:rPr>
          <w:position w:val="410"/>
          <w:sz w:val="20"/>
        </w:rPr>
        <w:pict>
          <v:group style="width:.75pt;height:21.75pt;mso-position-horizontal-relative:char;mso-position-vertical-relative:line" coordorigin="0,0" coordsize="15,435">
            <v:line style="position:absolute" from="8,8" to="8,428" stroked="true" strokeweight=".72pt" strokecolor="#000000">
              <v:stroke dashstyle="solid"/>
            </v:line>
          </v:group>
        </w:pict>
      </w:r>
      <w:r>
        <w:rPr>
          <w:position w:val="410"/>
          <w:sz w:val="20"/>
        </w:rPr>
      </w:r>
      <w:r>
        <w:rPr>
          <w:position w:val="410"/>
          <w:sz w:val="20"/>
        </w:rPr>
        <w:tab/>
      </w:r>
      <w:r>
        <w:rPr>
          <w:sz w:val="20"/>
        </w:rPr>
        <w:pict>
          <v:shape style="width:479.55pt;height:557.450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20"/>
                    <w:gridCol w:w="1156"/>
                  </w:tblGrid>
                  <w:tr>
                    <w:trPr>
                      <w:trHeight w:val="586" w:hRule="exact"/>
                    </w:trPr>
                    <w:tc>
                      <w:tcPr>
                        <w:tcW w:w="8420" w:type="dxa"/>
                        <w:tcBorders>
                          <w:left w:val="nil"/>
                        </w:tcBorders>
                      </w:tcPr>
                      <w:p>
                        <w:pPr>
                          <w:pStyle w:val="TableParagraph"/>
                          <w:spacing w:before="144"/>
                          <w:ind w:left="223"/>
                          <w:rPr>
                            <w:b/>
                            <w:sz w:val="24"/>
                          </w:rPr>
                        </w:pPr>
                        <w:bookmarkStart w:name="CHAPTER 6000 INDEX (Cont. 3)" w:id="7"/>
                        <w:bookmarkEnd w:id="7"/>
                        <w:r>
                          <w:rPr/>
                        </w:r>
                        <w:r>
                          <w:rPr>
                            <w:b/>
                            <w:sz w:val="24"/>
                          </w:rPr>
                          <w:t>ADMINISTRATION OF THE OPERATING BUDGET</w:t>
                        </w:r>
                      </w:p>
                    </w:tc>
                    <w:tc>
                      <w:tcPr>
                        <w:tcW w:w="1156" w:type="dxa"/>
                        <w:tcBorders>
                          <w:right w:val="nil"/>
                        </w:tcBorders>
                      </w:tcPr>
                      <w:p>
                        <w:pPr>
                          <w:pStyle w:val="TableParagraph"/>
                          <w:spacing w:before="144"/>
                          <w:ind w:left="71"/>
                          <w:rPr>
                            <w:b/>
                            <w:sz w:val="24"/>
                          </w:rPr>
                        </w:pPr>
                        <w:r>
                          <w:rPr>
                            <w:b/>
                            <w:sz w:val="24"/>
                          </w:rPr>
                          <w:t>6500</w:t>
                        </w:r>
                      </w:p>
                    </w:tc>
                  </w:tr>
                  <w:tr>
                    <w:trPr>
                      <w:trHeight w:val="586" w:hRule="exact"/>
                    </w:trPr>
                    <w:tc>
                      <w:tcPr>
                        <w:tcW w:w="8420" w:type="dxa"/>
                        <w:tcBorders>
                          <w:left w:val="nil"/>
                        </w:tcBorders>
                      </w:tcPr>
                      <w:p>
                        <w:pPr>
                          <w:pStyle w:val="TableParagraph"/>
                          <w:spacing w:before="144"/>
                          <w:ind w:left="943"/>
                          <w:rPr>
                            <w:b/>
                            <w:sz w:val="24"/>
                          </w:rPr>
                        </w:pPr>
                        <w:r>
                          <w:rPr>
                            <w:b/>
                            <w:sz w:val="24"/>
                          </w:rPr>
                          <w:t>Legal Basis For Budgetary Control</w:t>
                        </w:r>
                      </w:p>
                    </w:tc>
                    <w:tc>
                      <w:tcPr>
                        <w:tcW w:w="1156" w:type="dxa"/>
                        <w:tcBorders>
                          <w:right w:val="nil"/>
                        </w:tcBorders>
                      </w:tcPr>
                      <w:p>
                        <w:pPr>
                          <w:pStyle w:val="TableParagraph"/>
                          <w:spacing w:before="144"/>
                          <w:ind w:left="71"/>
                          <w:rPr>
                            <w:b/>
                            <w:sz w:val="24"/>
                          </w:rPr>
                        </w:pPr>
                        <w:r>
                          <w:rPr>
                            <w:b/>
                            <w:sz w:val="24"/>
                          </w:rPr>
                          <w:t>6503</w:t>
                        </w:r>
                      </w:p>
                    </w:tc>
                  </w:tr>
                  <w:tr>
                    <w:trPr>
                      <w:trHeight w:val="586" w:hRule="exact"/>
                    </w:trPr>
                    <w:tc>
                      <w:tcPr>
                        <w:tcW w:w="8420" w:type="dxa"/>
                        <w:tcBorders>
                          <w:left w:val="nil"/>
                        </w:tcBorders>
                      </w:tcPr>
                      <w:p>
                        <w:pPr>
                          <w:pStyle w:val="TableParagraph"/>
                          <w:spacing w:before="144"/>
                          <w:ind w:left="943"/>
                          <w:rPr>
                            <w:b/>
                            <w:sz w:val="24"/>
                          </w:rPr>
                        </w:pPr>
                        <w:r>
                          <w:rPr>
                            <w:b/>
                            <w:sz w:val="24"/>
                          </w:rPr>
                          <w:t>Personal Services</w:t>
                        </w:r>
                      </w:p>
                    </w:tc>
                    <w:tc>
                      <w:tcPr>
                        <w:tcW w:w="1156" w:type="dxa"/>
                        <w:tcBorders>
                          <w:right w:val="nil"/>
                        </w:tcBorders>
                      </w:tcPr>
                      <w:p>
                        <w:pPr>
                          <w:pStyle w:val="TableParagraph"/>
                          <w:spacing w:before="144"/>
                          <w:ind w:left="71"/>
                          <w:rPr>
                            <w:b/>
                            <w:sz w:val="24"/>
                          </w:rPr>
                        </w:pPr>
                        <w:r>
                          <w:rPr>
                            <w:b/>
                            <w:sz w:val="24"/>
                          </w:rPr>
                          <w:t>6506</w:t>
                        </w:r>
                      </w:p>
                    </w:tc>
                  </w:tr>
                  <w:tr>
                    <w:trPr>
                      <w:trHeight w:val="588" w:hRule="exact"/>
                    </w:trPr>
                    <w:tc>
                      <w:tcPr>
                        <w:tcW w:w="8420" w:type="dxa"/>
                        <w:tcBorders>
                          <w:left w:val="nil"/>
                        </w:tcBorders>
                      </w:tcPr>
                      <w:p>
                        <w:pPr>
                          <w:pStyle w:val="TableParagraph"/>
                          <w:spacing w:before="144"/>
                          <w:ind w:left="943"/>
                          <w:rPr>
                            <w:b/>
                            <w:sz w:val="24"/>
                          </w:rPr>
                        </w:pPr>
                        <w:r>
                          <w:rPr>
                            <w:b/>
                            <w:sz w:val="24"/>
                          </w:rPr>
                          <w:t>Permanent Positions</w:t>
                        </w:r>
                      </w:p>
                    </w:tc>
                    <w:tc>
                      <w:tcPr>
                        <w:tcW w:w="1156" w:type="dxa"/>
                        <w:tcBorders>
                          <w:right w:val="nil"/>
                        </w:tcBorders>
                      </w:tcPr>
                      <w:p>
                        <w:pPr>
                          <w:pStyle w:val="TableParagraph"/>
                          <w:spacing w:before="144"/>
                          <w:ind w:left="71"/>
                          <w:rPr>
                            <w:b/>
                            <w:sz w:val="24"/>
                          </w:rPr>
                        </w:pPr>
                        <w:r>
                          <w:rPr>
                            <w:b/>
                            <w:sz w:val="24"/>
                          </w:rPr>
                          <w:t>6509</w:t>
                        </w:r>
                      </w:p>
                    </w:tc>
                  </w:tr>
                  <w:tr>
                    <w:trPr>
                      <w:trHeight w:val="586" w:hRule="exact"/>
                    </w:trPr>
                    <w:tc>
                      <w:tcPr>
                        <w:tcW w:w="8420" w:type="dxa"/>
                        <w:tcBorders>
                          <w:left w:val="nil"/>
                        </w:tcBorders>
                      </w:tcPr>
                      <w:p>
                        <w:pPr>
                          <w:pStyle w:val="TableParagraph"/>
                          <w:spacing w:before="139"/>
                          <w:ind w:left="943"/>
                          <w:rPr>
                            <w:b/>
                            <w:sz w:val="24"/>
                          </w:rPr>
                        </w:pPr>
                        <w:r>
                          <w:rPr>
                            <w:b/>
                            <w:sz w:val="24"/>
                          </w:rPr>
                          <w:t>New Positions</w:t>
                        </w:r>
                      </w:p>
                    </w:tc>
                    <w:tc>
                      <w:tcPr>
                        <w:tcW w:w="1156" w:type="dxa"/>
                        <w:tcBorders>
                          <w:right w:val="nil"/>
                        </w:tcBorders>
                      </w:tcPr>
                      <w:p>
                        <w:pPr>
                          <w:pStyle w:val="TableParagraph"/>
                          <w:spacing w:before="139"/>
                          <w:ind w:left="71"/>
                          <w:rPr>
                            <w:b/>
                            <w:sz w:val="24"/>
                          </w:rPr>
                        </w:pPr>
                        <w:r>
                          <w:rPr>
                            <w:b/>
                            <w:sz w:val="24"/>
                          </w:rPr>
                          <w:t>6512</w:t>
                        </w:r>
                      </w:p>
                    </w:tc>
                  </w:tr>
                  <w:tr>
                    <w:trPr>
                      <w:trHeight w:val="586" w:hRule="exact"/>
                    </w:trPr>
                    <w:tc>
                      <w:tcPr>
                        <w:tcW w:w="8420" w:type="dxa"/>
                        <w:tcBorders>
                          <w:left w:val="nil"/>
                        </w:tcBorders>
                      </w:tcPr>
                      <w:p>
                        <w:pPr>
                          <w:pStyle w:val="TableParagraph"/>
                          <w:spacing w:before="139"/>
                          <w:ind w:left="943"/>
                          <w:rPr>
                            <w:b/>
                            <w:sz w:val="24"/>
                          </w:rPr>
                        </w:pPr>
                        <w:r>
                          <w:rPr>
                            <w:b/>
                            <w:sz w:val="24"/>
                          </w:rPr>
                          <w:t>Limited Term Positions</w:t>
                        </w:r>
                      </w:p>
                    </w:tc>
                    <w:tc>
                      <w:tcPr>
                        <w:tcW w:w="1156" w:type="dxa"/>
                        <w:tcBorders>
                          <w:right w:val="nil"/>
                        </w:tcBorders>
                      </w:tcPr>
                      <w:p>
                        <w:pPr>
                          <w:pStyle w:val="TableParagraph"/>
                          <w:spacing w:before="139"/>
                          <w:ind w:left="71"/>
                          <w:rPr>
                            <w:b/>
                            <w:sz w:val="24"/>
                          </w:rPr>
                        </w:pPr>
                        <w:r>
                          <w:rPr>
                            <w:b/>
                            <w:sz w:val="24"/>
                          </w:rPr>
                          <w:t>6515</w:t>
                        </w:r>
                      </w:p>
                    </w:tc>
                  </w:tr>
                  <w:tr>
                    <w:trPr>
                      <w:trHeight w:val="588" w:hRule="exact"/>
                    </w:trPr>
                    <w:tc>
                      <w:tcPr>
                        <w:tcW w:w="8420" w:type="dxa"/>
                        <w:tcBorders>
                          <w:left w:val="nil"/>
                        </w:tcBorders>
                      </w:tcPr>
                      <w:p>
                        <w:pPr>
                          <w:pStyle w:val="TableParagraph"/>
                          <w:spacing w:before="147"/>
                          <w:ind w:left="943"/>
                          <w:rPr>
                            <w:b/>
                            <w:sz w:val="24"/>
                          </w:rPr>
                        </w:pPr>
                        <w:r>
                          <w:rPr>
                            <w:b/>
                            <w:sz w:val="24"/>
                          </w:rPr>
                          <w:t>Temporary Help Or Overtime Blankets</w:t>
                        </w:r>
                      </w:p>
                    </w:tc>
                    <w:tc>
                      <w:tcPr>
                        <w:tcW w:w="1156" w:type="dxa"/>
                        <w:tcBorders>
                          <w:right w:val="nil"/>
                        </w:tcBorders>
                      </w:tcPr>
                      <w:p>
                        <w:pPr>
                          <w:pStyle w:val="TableParagraph"/>
                          <w:spacing w:before="147"/>
                          <w:ind w:left="71"/>
                          <w:rPr>
                            <w:b/>
                            <w:sz w:val="24"/>
                          </w:rPr>
                        </w:pPr>
                        <w:r>
                          <w:rPr>
                            <w:b/>
                            <w:sz w:val="24"/>
                          </w:rPr>
                          <w:t>6518</w:t>
                        </w:r>
                      </w:p>
                    </w:tc>
                  </w:tr>
                  <w:tr>
                    <w:trPr>
                      <w:trHeight w:val="586" w:hRule="exact"/>
                    </w:trPr>
                    <w:tc>
                      <w:tcPr>
                        <w:tcW w:w="8420" w:type="dxa"/>
                        <w:tcBorders>
                          <w:left w:val="nil"/>
                        </w:tcBorders>
                      </w:tcPr>
                      <w:p>
                        <w:pPr>
                          <w:pStyle w:val="TableParagraph"/>
                          <w:spacing w:before="144"/>
                          <w:ind w:left="943"/>
                          <w:rPr>
                            <w:b/>
                            <w:sz w:val="24"/>
                          </w:rPr>
                        </w:pPr>
                        <w:r>
                          <w:rPr>
                            <w:b/>
                            <w:sz w:val="24"/>
                          </w:rPr>
                          <w:t>Certification For Continued Payment Of Established Positions</w:t>
                        </w:r>
                      </w:p>
                    </w:tc>
                    <w:tc>
                      <w:tcPr>
                        <w:tcW w:w="1156" w:type="dxa"/>
                        <w:tcBorders>
                          <w:right w:val="nil"/>
                        </w:tcBorders>
                      </w:tcPr>
                      <w:p>
                        <w:pPr>
                          <w:pStyle w:val="TableParagraph"/>
                          <w:spacing w:before="144"/>
                          <w:ind w:left="71"/>
                          <w:rPr>
                            <w:b/>
                            <w:sz w:val="24"/>
                          </w:rPr>
                        </w:pPr>
                        <w:r>
                          <w:rPr>
                            <w:b/>
                            <w:sz w:val="24"/>
                          </w:rPr>
                          <w:t>6521</w:t>
                        </w:r>
                      </w:p>
                    </w:tc>
                  </w:tr>
                  <w:tr>
                    <w:trPr>
                      <w:trHeight w:val="586" w:hRule="exact"/>
                    </w:trPr>
                    <w:tc>
                      <w:tcPr>
                        <w:tcW w:w="8420" w:type="dxa"/>
                        <w:tcBorders>
                          <w:left w:val="nil"/>
                        </w:tcBorders>
                      </w:tcPr>
                      <w:p>
                        <w:pPr>
                          <w:pStyle w:val="TableParagraph"/>
                          <w:spacing w:before="144"/>
                          <w:ind w:left="943"/>
                          <w:rPr>
                            <w:b/>
                            <w:sz w:val="24"/>
                          </w:rPr>
                        </w:pPr>
                        <w:r>
                          <w:rPr>
                            <w:b/>
                            <w:sz w:val="24"/>
                          </w:rPr>
                          <w:t>Budgetary Approval Of Position-Related Transactions</w:t>
                        </w:r>
                      </w:p>
                    </w:tc>
                    <w:tc>
                      <w:tcPr>
                        <w:tcW w:w="1156" w:type="dxa"/>
                        <w:tcBorders>
                          <w:right w:val="nil"/>
                        </w:tcBorders>
                      </w:tcPr>
                      <w:p>
                        <w:pPr>
                          <w:pStyle w:val="TableParagraph"/>
                          <w:spacing w:before="144"/>
                          <w:ind w:left="71"/>
                          <w:rPr>
                            <w:b/>
                            <w:sz w:val="24"/>
                          </w:rPr>
                        </w:pPr>
                        <w:r>
                          <w:rPr>
                            <w:b/>
                            <w:sz w:val="24"/>
                          </w:rPr>
                          <w:t>6527</w:t>
                        </w:r>
                      </w:p>
                    </w:tc>
                  </w:tr>
                  <w:tr>
                    <w:trPr>
                      <w:trHeight w:val="588" w:hRule="exact"/>
                    </w:trPr>
                    <w:tc>
                      <w:tcPr>
                        <w:tcW w:w="8420" w:type="dxa"/>
                        <w:tcBorders>
                          <w:left w:val="nil"/>
                        </w:tcBorders>
                      </w:tcPr>
                      <w:p>
                        <w:pPr>
                          <w:pStyle w:val="TableParagraph"/>
                          <w:spacing w:before="144"/>
                          <w:ind w:left="943"/>
                          <w:rPr>
                            <w:b/>
                            <w:sz w:val="24"/>
                          </w:rPr>
                        </w:pPr>
                        <w:r>
                          <w:rPr>
                            <w:b/>
                            <w:sz w:val="24"/>
                          </w:rPr>
                          <w:t>Revision Of Programs And Allotments</w:t>
                        </w:r>
                      </w:p>
                    </w:tc>
                    <w:tc>
                      <w:tcPr>
                        <w:tcW w:w="1156" w:type="dxa"/>
                        <w:tcBorders>
                          <w:right w:val="nil"/>
                        </w:tcBorders>
                      </w:tcPr>
                      <w:p>
                        <w:pPr>
                          <w:pStyle w:val="TableParagraph"/>
                          <w:spacing w:before="144"/>
                          <w:ind w:left="71"/>
                          <w:rPr>
                            <w:b/>
                            <w:sz w:val="24"/>
                          </w:rPr>
                        </w:pPr>
                        <w:r>
                          <w:rPr>
                            <w:b/>
                            <w:sz w:val="24"/>
                          </w:rPr>
                          <w:t>6533</w:t>
                        </w:r>
                      </w:p>
                    </w:tc>
                  </w:tr>
                  <w:tr>
                    <w:trPr>
                      <w:trHeight w:val="590" w:hRule="exact"/>
                    </w:trPr>
                    <w:tc>
                      <w:tcPr>
                        <w:tcW w:w="8420" w:type="dxa"/>
                        <w:tcBorders>
                          <w:left w:val="nil"/>
                        </w:tcBorders>
                      </w:tcPr>
                      <w:p>
                        <w:pPr>
                          <w:pStyle w:val="TableParagraph"/>
                          <w:spacing w:before="139"/>
                          <w:ind w:left="943"/>
                          <w:rPr>
                            <w:b/>
                            <w:sz w:val="24"/>
                          </w:rPr>
                        </w:pPr>
                        <w:r>
                          <w:rPr>
                            <w:b/>
                            <w:sz w:val="24"/>
                          </w:rPr>
                          <w:t>Request Of Necessity For Appropriation Augmentation</w:t>
                        </w:r>
                      </w:p>
                    </w:tc>
                    <w:tc>
                      <w:tcPr>
                        <w:tcW w:w="1156" w:type="dxa"/>
                        <w:tcBorders>
                          <w:right w:val="nil"/>
                        </w:tcBorders>
                      </w:tcPr>
                      <w:p>
                        <w:pPr>
                          <w:pStyle w:val="TableParagraph"/>
                          <w:spacing w:before="139"/>
                          <w:ind w:left="71"/>
                          <w:rPr>
                            <w:b/>
                            <w:sz w:val="24"/>
                          </w:rPr>
                        </w:pPr>
                        <w:r>
                          <w:rPr>
                            <w:b/>
                            <w:sz w:val="24"/>
                          </w:rPr>
                          <w:t>6536</w:t>
                        </w:r>
                      </w:p>
                    </w:tc>
                  </w:tr>
                  <w:tr>
                    <w:trPr>
                      <w:trHeight w:val="590" w:hRule="exact"/>
                    </w:trPr>
                    <w:tc>
                      <w:tcPr>
                        <w:tcW w:w="8420" w:type="dxa"/>
                        <w:tcBorders>
                          <w:left w:val="nil"/>
                        </w:tcBorders>
                      </w:tcPr>
                      <w:p>
                        <w:pPr>
                          <w:pStyle w:val="TableParagraph"/>
                          <w:spacing w:before="151"/>
                          <w:ind w:left="828"/>
                          <w:rPr>
                            <w:b/>
                            <w:sz w:val="24"/>
                          </w:rPr>
                        </w:pPr>
                        <w:r>
                          <w:rPr>
                            <w:b/>
                            <w:strike/>
                            <w:color w:val="2E97D3"/>
                            <w:sz w:val="24"/>
                          </w:rPr>
                          <w:t>Transfer Of Budget Allotment, Std. Form 25</w:t>
                        </w:r>
                      </w:p>
                    </w:tc>
                    <w:tc>
                      <w:tcPr>
                        <w:tcW w:w="1156" w:type="dxa"/>
                        <w:tcBorders>
                          <w:right w:val="nil"/>
                        </w:tcBorders>
                      </w:tcPr>
                      <w:p>
                        <w:pPr>
                          <w:pStyle w:val="TableParagraph"/>
                          <w:spacing w:before="151"/>
                          <w:ind w:left="159"/>
                          <w:rPr>
                            <w:b/>
                            <w:sz w:val="24"/>
                          </w:rPr>
                        </w:pPr>
                        <w:r>
                          <w:rPr>
                            <w:b/>
                            <w:strike/>
                            <w:color w:val="2E97D3"/>
                            <w:sz w:val="24"/>
                          </w:rPr>
                          <w:t>6539</w:t>
                        </w:r>
                      </w:p>
                    </w:tc>
                  </w:tr>
                  <w:tr>
                    <w:trPr>
                      <w:trHeight w:val="588" w:hRule="exact"/>
                    </w:trPr>
                    <w:tc>
                      <w:tcPr>
                        <w:tcW w:w="8420" w:type="dxa"/>
                        <w:tcBorders>
                          <w:left w:val="nil"/>
                        </w:tcBorders>
                      </w:tcPr>
                      <w:p>
                        <w:pPr>
                          <w:pStyle w:val="TableParagraph"/>
                          <w:spacing w:before="147"/>
                          <w:ind w:left="943"/>
                          <w:rPr>
                            <w:b/>
                            <w:sz w:val="24"/>
                          </w:rPr>
                        </w:pPr>
                        <w:r>
                          <w:rPr>
                            <w:b/>
                            <w:sz w:val="24"/>
                          </w:rPr>
                          <w:t>Budget Revision, Std. Form 26</w:t>
                        </w:r>
                      </w:p>
                    </w:tc>
                    <w:tc>
                      <w:tcPr>
                        <w:tcW w:w="1156" w:type="dxa"/>
                        <w:tcBorders>
                          <w:right w:val="nil"/>
                        </w:tcBorders>
                      </w:tcPr>
                      <w:p>
                        <w:pPr>
                          <w:pStyle w:val="TableParagraph"/>
                          <w:spacing w:before="147"/>
                          <w:ind w:left="71"/>
                          <w:rPr>
                            <w:b/>
                            <w:sz w:val="24"/>
                          </w:rPr>
                        </w:pPr>
                        <w:r>
                          <w:rPr>
                            <w:b/>
                            <w:sz w:val="24"/>
                          </w:rPr>
                          <w:t>6542</w:t>
                        </w:r>
                      </w:p>
                    </w:tc>
                  </w:tr>
                  <w:tr>
                    <w:trPr>
                      <w:trHeight w:val="586" w:hRule="exact"/>
                    </w:trPr>
                    <w:tc>
                      <w:tcPr>
                        <w:tcW w:w="8420" w:type="dxa"/>
                        <w:tcBorders>
                          <w:left w:val="nil"/>
                        </w:tcBorders>
                      </w:tcPr>
                      <w:p>
                        <w:pPr>
                          <w:pStyle w:val="TableParagraph"/>
                          <w:spacing w:before="144"/>
                          <w:ind w:left="943"/>
                          <w:rPr>
                            <w:b/>
                            <w:sz w:val="24"/>
                          </w:rPr>
                        </w:pPr>
                        <w:r>
                          <w:rPr>
                            <w:b/>
                            <w:sz w:val="24"/>
                          </w:rPr>
                          <w:t>Preparation Of Budget Revision, Std. Form 26</w:t>
                        </w:r>
                      </w:p>
                    </w:tc>
                    <w:tc>
                      <w:tcPr>
                        <w:tcW w:w="1156" w:type="dxa"/>
                        <w:tcBorders>
                          <w:right w:val="nil"/>
                        </w:tcBorders>
                      </w:tcPr>
                      <w:p>
                        <w:pPr>
                          <w:pStyle w:val="TableParagraph"/>
                          <w:spacing w:before="144"/>
                          <w:ind w:left="71"/>
                          <w:rPr>
                            <w:b/>
                            <w:sz w:val="24"/>
                          </w:rPr>
                        </w:pPr>
                        <w:r>
                          <w:rPr>
                            <w:b/>
                            <w:sz w:val="24"/>
                          </w:rPr>
                          <w:t>6545</w:t>
                        </w:r>
                      </w:p>
                    </w:tc>
                  </w:tr>
                  <w:tr>
                    <w:trPr>
                      <w:trHeight w:val="586" w:hRule="exact"/>
                    </w:trPr>
                    <w:tc>
                      <w:tcPr>
                        <w:tcW w:w="8420" w:type="dxa"/>
                        <w:tcBorders>
                          <w:left w:val="nil"/>
                        </w:tcBorders>
                      </w:tcPr>
                      <w:p>
                        <w:pPr>
                          <w:pStyle w:val="TableParagraph"/>
                          <w:spacing w:before="144"/>
                          <w:ind w:left="943"/>
                          <w:rPr>
                            <w:b/>
                            <w:sz w:val="24"/>
                          </w:rPr>
                        </w:pPr>
                        <w:r>
                          <w:rPr>
                            <w:b/>
                            <w:sz w:val="24"/>
                          </w:rPr>
                          <w:t>Intraschedule Transfers, Section 26.00 Of The Budget Act</w:t>
                        </w:r>
                      </w:p>
                    </w:tc>
                    <w:tc>
                      <w:tcPr>
                        <w:tcW w:w="1156" w:type="dxa"/>
                        <w:tcBorders>
                          <w:right w:val="nil"/>
                        </w:tcBorders>
                      </w:tcPr>
                      <w:p>
                        <w:pPr>
                          <w:pStyle w:val="TableParagraph"/>
                          <w:spacing w:before="144"/>
                          <w:ind w:left="71"/>
                          <w:rPr>
                            <w:b/>
                            <w:sz w:val="24"/>
                          </w:rPr>
                        </w:pPr>
                        <w:r>
                          <w:rPr>
                            <w:b/>
                            <w:sz w:val="24"/>
                          </w:rPr>
                          <w:t>6548</w:t>
                        </w:r>
                      </w:p>
                    </w:tc>
                  </w:tr>
                  <w:tr>
                    <w:trPr>
                      <w:trHeight w:val="588" w:hRule="exact"/>
                    </w:trPr>
                    <w:tc>
                      <w:tcPr>
                        <w:tcW w:w="8420" w:type="dxa"/>
                        <w:tcBorders>
                          <w:left w:val="nil"/>
                        </w:tcBorders>
                      </w:tcPr>
                      <w:p>
                        <w:pPr>
                          <w:pStyle w:val="TableParagraph"/>
                          <w:spacing w:before="144"/>
                          <w:ind w:left="943"/>
                          <w:rPr>
                            <w:b/>
                            <w:sz w:val="24"/>
                          </w:rPr>
                        </w:pPr>
                        <w:r>
                          <w:rPr>
                            <w:b/>
                            <w:sz w:val="24"/>
                          </w:rPr>
                          <w:t>Sections 28.00 And Section 28.50 Reporting</w:t>
                        </w:r>
                      </w:p>
                    </w:tc>
                    <w:tc>
                      <w:tcPr>
                        <w:tcW w:w="1156" w:type="dxa"/>
                        <w:tcBorders>
                          <w:right w:val="nil"/>
                        </w:tcBorders>
                      </w:tcPr>
                      <w:p>
                        <w:pPr>
                          <w:pStyle w:val="TableParagraph"/>
                          <w:spacing w:before="144"/>
                          <w:ind w:left="71"/>
                          <w:rPr>
                            <w:b/>
                            <w:sz w:val="24"/>
                          </w:rPr>
                        </w:pPr>
                        <w:r>
                          <w:rPr>
                            <w:b/>
                            <w:sz w:val="24"/>
                          </w:rPr>
                          <w:t>6551</w:t>
                        </w:r>
                      </w:p>
                    </w:tc>
                  </w:tr>
                  <w:tr>
                    <w:trPr>
                      <w:trHeight w:val="586" w:hRule="exact"/>
                    </w:trPr>
                    <w:tc>
                      <w:tcPr>
                        <w:tcW w:w="8420" w:type="dxa"/>
                        <w:tcBorders>
                          <w:left w:val="nil"/>
                        </w:tcBorders>
                      </w:tcPr>
                      <w:p>
                        <w:pPr>
                          <w:pStyle w:val="TableParagraph"/>
                          <w:spacing w:before="139"/>
                          <w:ind w:left="943"/>
                          <w:rPr>
                            <w:b/>
                            <w:sz w:val="24"/>
                          </w:rPr>
                        </w:pPr>
                        <w:r>
                          <w:rPr>
                            <w:b/>
                            <w:sz w:val="24"/>
                          </w:rPr>
                          <w:t>Completion Of Section 28.00 And Section 28.50 Applications</w:t>
                        </w:r>
                      </w:p>
                    </w:tc>
                    <w:tc>
                      <w:tcPr>
                        <w:tcW w:w="1156" w:type="dxa"/>
                        <w:tcBorders>
                          <w:right w:val="nil"/>
                        </w:tcBorders>
                      </w:tcPr>
                      <w:p>
                        <w:pPr>
                          <w:pStyle w:val="TableParagraph"/>
                          <w:spacing w:before="139"/>
                          <w:ind w:left="71"/>
                          <w:rPr>
                            <w:b/>
                            <w:sz w:val="24"/>
                          </w:rPr>
                        </w:pPr>
                        <w:r>
                          <w:rPr>
                            <w:b/>
                            <w:sz w:val="24"/>
                          </w:rPr>
                          <w:t>6554</w:t>
                        </w:r>
                      </w:p>
                    </w:tc>
                  </w:tr>
                  <w:tr>
                    <w:trPr>
                      <w:trHeight w:val="586" w:hRule="exact"/>
                    </w:trPr>
                    <w:tc>
                      <w:tcPr>
                        <w:tcW w:w="8420" w:type="dxa"/>
                        <w:tcBorders>
                          <w:left w:val="nil"/>
                        </w:tcBorders>
                      </w:tcPr>
                      <w:p>
                        <w:pPr>
                          <w:pStyle w:val="TableParagraph"/>
                          <w:spacing w:before="139"/>
                          <w:ind w:left="943"/>
                          <w:rPr>
                            <w:b/>
                            <w:sz w:val="24"/>
                          </w:rPr>
                        </w:pPr>
                        <w:r>
                          <w:rPr>
                            <w:b/>
                            <w:sz w:val="24"/>
                          </w:rPr>
                          <w:t>Section 28.00 And 28.50 Application Approval</w:t>
                        </w:r>
                      </w:p>
                    </w:tc>
                    <w:tc>
                      <w:tcPr>
                        <w:tcW w:w="1156" w:type="dxa"/>
                        <w:tcBorders>
                          <w:right w:val="nil"/>
                        </w:tcBorders>
                      </w:tcPr>
                      <w:p>
                        <w:pPr>
                          <w:pStyle w:val="TableParagraph"/>
                          <w:spacing w:before="139"/>
                          <w:ind w:left="71"/>
                          <w:rPr>
                            <w:b/>
                            <w:sz w:val="24"/>
                          </w:rPr>
                        </w:pPr>
                        <w:r>
                          <w:rPr>
                            <w:b/>
                            <w:sz w:val="24"/>
                          </w:rPr>
                          <w:t>6557</w:t>
                        </w:r>
                      </w:p>
                    </w:tc>
                  </w:tr>
                  <w:tr>
                    <w:trPr>
                      <w:trHeight w:val="576" w:hRule="exact"/>
                    </w:trPr>
                    <w:tc>
                      <w:tcPr>
                        <w:tcW w:w="8420" w:type="dxa"/>
                        <w:tcBorders>
                          <w:left w:val="nil"/>
                          <w:bottom w:val="nil"/>
                        </w:tcBorders>
                      </w:tcPr>
                      <w:p>
                        <w:pPr>
                          <w:pStyle w:val="TableParagraph"/>
                          <w:spacing w:before="144"/>
                          <w:ind w:left="943"/>
                          <w:rPr>
                            <w:b/>
                            <w:sz w:val="24"/>
                          </w:rPr>
                        </w:pPr>
                        <w:r>
                          <w:rPr>
                            <w:b/>
                            <w:sz w:val="24"/>
                          </w:rPr>
                          <w:t>Emergency Services By State Agencies</w:t>
                        </w:r>
                      </w:p>
                    </w:tc>
                    <w:tc>
                      <w:tcPr>
                        <w:tcW w:w="1156" w:type="dxa"/>
                        <w:tcBorders>
                          <w:bottom w:val="nil"/>
                          <w:right w:val="nil"/>
                        </w:tcBorders>
                      </w:tcPr>
                      <w:p>
                        <w:pPr>
                          <w:pStyle w:val="TableParagraph"/>
                          <w:spacing w:before="144"/>
                          <w:ind w:left="71"/>
                          <w:rPr>
                            <w:b/>
                            <w:sz w:val="24"/>
                          </w:rPr>
                        </w:pPr>
                        <w:r>
                          <w:rPr>
                            <w:b/>
                            <w:sz w:val="24"/>
                          </w:rPr>
                          <w:t>6560</w:t>
                        </w:r>
                      </w:p>
                    </w:tc>
                  </w:tr>
                </w:tbl>
                <w:p>
                  <w:pPr>
                    <w:pStyle w:val="BodyText"/>
                  </w:pPr>
                </w:p>
              </w:txbxContent>
            </v:textbox>
          </v:shape>
        </w:pict>
      </w:r>
      <w:r>
        <w:rPr>
          <w:sz w:val="20"/>
        </w:rPr>
      </w:r>
    </w:p>
    <w:p>
      <w:pPr>
        <w:pStyle w:val="BodyText"/>
        <w:rPr>
          <w:sz w:val="14"/>
        </w:rPr>
      </w:pPr>
    </w:p>
    <w:p>
      <w:pPr>
        <w:pStyle w:val="BodyText"/>
        <w:spacing w:before="92"/>
        <w:ind w:left="880"/>
      </w:pPr>
      <w:r>
        <w:rPr/>
        <w:pict>
          <v:line style="position:absolute;mso-position-horizontal-relative:page;mso-position-vertical-relative:paragraph;z-index:1624" from="33.360001pt,24.61586pt" to="33.360001pt,50.53586pt" stroked="true" strokeweight=".72pt" strokecolor="#000000">
            <v:stroke dashstyle="solid"/>
            <w10:wrap type="none"/>
          </v:line>
        </w:pict>
      </w:r>
      <w:r>
        <w:rPr/>
        <w:t>(Continued)</w:t>
      </w:r>
    </w:p>
    <w:p>
      <w:pPr>
        <w:spacing w:after="0"/>
        <w:sectPr>
          <w:footerReference w:type="default" r:id="rId26"/>
          <w:pgSz w:w="12240" w:h="15840"/>
          <w:pgMar w:footer="803" w:header="983" w:top="1640" w:bottom="1000" w:left="560" w:right="1200"/>
        </w:sectPr>
      </w:pPr>
    </w:p>
    <w:p>
      <w:pPr>
        <w:pStyle w:val="BodyText"/>
        <w:spacing w:before="8" w:after="1"/>
      </w:pPr>
    </w:p>
    <w:p>
      <w:pPr>
        <w:pStyle w:val="BodyText"/>
        <w:spacing w:line="20" w:lineRule="exact"/>
        <w:ind w:left="875"/>
        <w:rPr>
          <w:sz w:val="2"/>
        </w:rPr>
      </w:pPr>
      <w:r>
        <w:rPr>
          <w:sz w:val="2"/>
        </w:rPr>
        <w:pict>
          <v:group style="width:468.5pt;height:.5pt;mso-position-horizontal-relative:char;mso-position-vertical-relative:line" coordorigin="0,0" coordsize="9370,10">
            <v:line style="position:absolute" from="5,5" to="9365,5" stroked="true" strokeweight=".48pt" strokecolor="#000000">
              <v:stroke dashstyle="solid"/>
            </v:line>
          </v:group>
        </w:pict>
      </w:r>
      <w:r>
        <w:rPr>
          <w:sz w:val="2"/>
        </w:rPr>
      </w:r>
    </w:p>
    <w:p>
      <w:pPr>
        <w:pStyle w:val="Heading2"/>
        <w:spacing w:before="57"/>
        <w:ind w:left="2845" w:right="253" w:hanging="1932"/>
      </w:pPr>
      <w:r>
        <w:rPr/>
        <w:pict>
          <v:line style="position:absolute;mso-position-horizontal-relative:page;mso-position-vertical-relative:paragraph;z-index:1720" from="33.360001pt,-15.054111pt" to="33.360001pt,30.665889pt" stroked="true" strokeweight=".72pt" strokecolor="#000000">
            <v:stroke dashstyle="solid"/>
            <w10:wrap type="none"/>
          </v:line>
        </w:pict>
      </w:r>
      <w:bookmarkStart w:name="CHAPTER 6000 INDEX (Cont. 4)" w:id="8"/>
      <w:bookmarkEnd w:id="8"/>
      <w:r>
        <w:rPr>
          <w:b w:val="0"/>
        </w:rPr>
      </w:r>
      <w:bookmarkStart w:name="PREPARATION OF LOCAL MANDATE DETERMINATI" w:id="9"/>
      <w:bookmarkEnd w:id="9"/>
      <w:r>
        <w:rPr>
          <w:b w:val="0"/>
        </w:rPr>
      </w:r>
      <w:r>
        <w:rPr>
          <w:color w:val="2E97D3"/>
          <w:u w:val="thick" w:color="2E97D3"/>
        </w:rPr>
        <w:t>PREPARATION OF LOCAL MANDATE DETERMINATIONS AND COST ESTIMATES FOR EXECUTIVE REGULATIONS AND ORDERS</w:t>
      </w:r>
    </w:p>
    <w:p>
      <w:pPr>
        <w:pStyle w:val="BodyText"/>
        <w:rPr>
          <w:b/>
          <w:sz w:val="15"/>
        </w:rPr>
      </w:pPr>
      <w:r>
        <w:rPr/>
        <w:pict>
          <v:line style="position:absolute;mso-position-horizontal-relative:page;mso-position-vertical-relative:paragraph;z-index:1672;mso-wrap-distance-left:0;mso-wrap-distance-right:0" from="66pt,10.87240pt" to="544.8pt,10.87240pt" stroked="true" strokeweight=".481pt" strokecolor="#000000">
            <v:stroke dashstyle="solid"/>
            <w10:wrap type="topAndBottom"/>
          </v:line>
        </w:pict>
      </w:r>
    </w:p>
    <w:p>
      <w:pPr>
        <w:spacing w:before="50"/>
        <w:ind w:left="1433" w:right="818" w:firstLine="0"/>
        <w:jc w:val="center"/>
        <w:rPr>
          <w:b/>
          <w:sz w:val="24"/>
        </w:rPr>
      </w:pPr>
      <w:r>
        <w:rPr>
          <w:b/>
          <w:strike/>
          <w:color w:val="2E97D3"/>
          <w:sz w:val="24"/>
        </w:rPr>
        <w:t>PREPARATION OF LOCAL MANDATE DETERMINATIONS</w:t>
      </w:r>
    </w:p>
    <w:p>
      <w:pPr>
        <w:spacing w:before="0"/>
        <w:ind w:left="1433" w:right="819" w:firstLine="0"/>
        <w:jc w:val="center"/>
        <w:rPr>
          <w:b/>
          <w:sz w:val="24"/>
        </w:rPr>
      </w:pPr>
      <w:r>
        <w:rPr/>
        <w:pict>
          <v:line style="position:absolute;mso-position-horizontal-relative:page;mso-position-vertical-relative:paragraph;z-index:1744" from="33.360001pt,-13.585131pt" to="33.360001pt,32.975869pt" stroked="true" strokeweight=".72pt" strokecolor="#000000">
            <v:stroke dashstyle="solid"/>
            <w10:wrap type="none"/>
          </v:line>
        </w:pict>
      </w:r>
      <w:r>
        <w:rPr>
          <w:b/>
          <w:strike/>
          <w:color w:val="2E97D3"/>
          <w:sz w:val="24"/>
        </w:rPr>
        <w:t>AND COST ESTIMATES FOR EXECUTIVE REGULATIONS AND ORDERS</w:t>
      </w:r>
    </w:p>
    <w:p>
      <w:pPr>
        <w:pStyle w:val="BodyText"/>
        <w:spacing w:before="8"/>
        <w:rPr>
          <w:b/>
          <w:sz w:val="7"/>
        </w:rPr>
      </w:pPr>
    </w:p>
    <w:tbl>
      <w:tblPr>
        <w:tblW w:w="0" w:type="auto"/>
        <w:jc w:val="left"/>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10"/>
        <w:gridCol w:w="1181"/>
      </w:tblGrid>
      <w:tr>
        <w:trPr>
          <w:trHeight w:val="590" w:hRule="exact"/>
        </w:trPr>
        <w:tc>
          <w:tcPr>
            <w:tcW w:w="8410" w:type="dxa"/>
            <w:tcBorders>
              <w:left w:val="nil"/>
              <w:bottom w:val="single" w:sz="4" w:space="0" w:color="000000"/>
              <w:right w:val="single" w:sz="4" w:space="0" w:color="000000"/>
            </w:tcBorders>
          </w:tcPr>
          <w:p>
            <w:pPr>
              <w:pStyle w:val="TableParagraph"/>
              <w:spacing w:line="247" w:lineRule="auto"/>
              <w:ind w:left="962" w:right="1996" w:hanging="108"/>
              <w:rPr>
                <w:b/>
                <w:sz w:val="24"/>
              </w:rPr>
            </w:pPr>
            <w:r>
              <w:rPr>
                <w:b/>
                <w:sz w:val="24"/>
              </w:rPr>
              <w:t>Standardized Regulatory Impact Assessment for Major Regulations</w:t>
            </w:r>
          </w:p>
        </w:tc>
        <w:tc>
          <w:tcPr>
            <w:tcW w:w="1181" w:type="dxa"/>
            <w:tcBorders>
              <w:left w:val="single" w:sz="4" w:space="0" w:color="000000"/>
              <w:bottom w:val="single" w:sz="4" w:space="0" w:color="000000"/>
              <w:right w:val="nil"/>
            </w:tcBorders>
          </w:tcPr>
          <w:p>
            <w:pPr>
              <w:pStyle w:val="TableParagraph"/>
              <w:spacing w:before="144"/>
              <w:ind w:left="103"/>
              <w:rPr>
                <w:b/>
                <w:sz w:val="24"/>
              </w:rPr>
            </w:pPr>
            <w:r>
              <w:rPr>
                <w:b/>
                <w:sz w:val="24"/>
              </w:rPr>
              <w:t>6600</w:t>
            </w:r>
          </w:p>
        </w:tc>
      </w:tr>
      <w:tr>
        <w:trPr>
          <w:trHeight w:val="586" w:hRule="exact"/>
        </w:trPr>
        <w:tc>
          <w:tcPr>
            <w:tcW w:w="8410" w:type="dxa"/>
            <w:tcBorders>
              <w:top w:val="single" w:sz="4" w:space="0" w:color="000000"/>
              <w:left w:val="nil"/>
              <w:bottom w:val="single" w:sz="4" w:space="0" w:color="000000"/>
              <w:right w:val="single" w:sz="4" w:space="0" w:color="000000"/>
            </w:tcBorders>
          </w:tcPr>
          <w:p>
            <w:pPr>
              <w:pStyle w:val="TableParagraph"/>
              <w:spacing w:before="144"/>
              <w:ind w:left="962"/>
              <w:rPr>
                <w:b/>
                <w:sz w:val="24"/>
              </w:rPr>
            </w:pPr>
            <w:r>
              <w:rPr>
                <w:b/>
                <w:sz w:val="24"/>
              </w:rPr>
              <w:t>General</w:t>
            </w:r>
          </w:p>
        </w:tc>
        <w:tc>
          <w:tcPr>
            <w:tcW w:w="1181" w:type="dxa"/>
            <w:tcBorders>
              <w:top w:val="single" w:sz="4" w:space="0" w:color="000000"/>
              <w:left w:val="single" w:sz="4" w:space="0" w:color="000000"/>
              <w:bottom w:val="single" w:sz="4" w:space="0" w:color="000000"/>
              <w:right w:val="nil"/>
            </w:tcBorders>
          </w:tcPr>
          <w:p>
            <w:pPr>
              <w:pStyle w:val="TableParagraph"/>
              <w:spacing w:before="144"/>
              <w:ind w:left="103"/>
              <w:rPr>
                <w:b/>
                <w:sz w:val="24"/>
              </w:rPr>
            </w:pPr>
            <w:r>
              <w:rPr>
                <w:b/>
                <w:sz w:val="24"/>
              </w:rPr>
              <w:t>6601</w:t>
            </w:r>
          </w:p>
        </w:tc>
      </w:tr>
      <w:tr>
        <w:trPr>
          <w:trHeight w:val="588" w:hRule="exact"/>
        </w:trPr>
        <w:tc>
          <w:tcPr>
            <w:tcW w:w="8410" w:type="dxa"/>
            <w:tcBorders>
              <w:top w:val="single" w:sz="4" w:space="0" w:color="000000"/>
              <w:left w:val="nil"/>
              <w:bottom w:val="single" w:sz="4" w:space="0" w:color="000000"/>
              <w:right w:val="single" w:sz="4" w:space="0" w:color="000000"/>
            </w:tcBorders>
          </w:tcPr>
          <w:p>
            <w:pPr>
              <w:pStyle w:val="TableParagraph"/>
              <w:spacing w:before="144"/>
              <w:ind w:left="962"/>
              <w:rPr>
                <w:b/>
                <w:sz w:val="24"/>
              </w:rPr>
            </w:pPr>
            <w:r>
              <w:rPr>
                <w:b/>
                <w:sz w:val="24"/>
              </w:rPr>
              <w:t>Definition</w:t>
            </w:r>
          </w:p>
        </w:tc>
        <w:tc>
          <w:tcPr>
            <w:tcW w:w="1181" w:type="dxa"/>
            <w:tcBorders>
              <w:top w:val="single" w:sz="4" w:space="0" w:color="000000"/>
              <w:left w:val="single" w:sz="4" w:space="0" w:color="000000"/>
              <w:bottom w:val="single" w:sz="4" w:space="0" w:color="000000"/>
              <w:right w:val="nil"/>
            </w:tcBorders>
          </w:tcPr>
          <w:p>
            <w:pPr>
              <w:pStyle w:val="TableParagraph"/>
              <w:spacing w:before="144"/>
              <w:ind w:left="103"/>
              <w:rPr>
                <w:b/>
                <w:sz w:val="24"/>
              </w:rPr>
            </w:pPr>
            <w:r>
              <w:rPr>
                <w:b/>
                <w:sz w:val="24"/>
              </w:rPr>
              <w:t>6602</w:t>
            </w:r>
          </w:p>
        </w:tc>
      </w:tr>
      <w:tr>
        <w:trPr>
          <w:trHeight w:val="586" w:hRule="exact"/>
        </w:trPr>
        <w:tc>
          <w:tcPr>
            <w:tcW w:w="8410" w:type="dxa"/>
            <w:tcBorders>
              <w:top w:val="single" w:sz="4" w:space="0" w:color="000000"/>
              <w:left w:val="nil"/>
              <w:bottom w:val="single" w:sz="4" w:space="0" w:color="000000"/>
              <w:right w:val="single" w:sz="4" w:space="0" w:color="000000"/>
            </w:tcBorders>
          </w:tcPr>
          <w:p>
            <w:pPr>
              <w:pStyle w:val="TableParagraph"/>
              <w:spacing w:before="139"/>
              <w:ind w:left="962"/>
              <w:rPr>
                <w:b/>
                <w:sz w:val="24"/>
              </w:rPr>
            </w:pPr>
            <w:r>
              <w:rPr>
                <w:b/>
                <w:sz w:val="24"/>
              </w:rPr>
              <w:t>Economic Impact Statement</w:t>
            </w:r>
          </w:p>
        </w:tc>
        <w:tc>
          <w:tcPr>
            <w:tcW w:w="1181" w:type="dxa"/>
            <w:tcBorders>
              <w:top w:val="single" w:sz="4" w:space="0" w:color="000000"/>
              <w:left w:val="single" w:sz="4" w:space="0" w:color="000000"/>
              <w:bottom w:val="single" w:sz="4" w:space="0" w:color="000000"/>
              <w:right w:val="nil"/>
            </w:tcBorders>
          </w:tcPr>
          <w:p>
            <w:pPr>
              <w:pStyle w:val="TableParagraph"/>
              <w:spacing w:before="139"/>
              <w:ind w:left="103"/>
              <w:rPr>
                <w:b/>
                <w:sz w:val="24"/>
              </w:rPr>
            </w:pPr>
            <w:r>
              <w:rPr>
                <w:b/>
                <w:sz w:val="24"/>
              </w:rPr>
              <w:t>6603</w:t>
            </w:r>
          </w:p>
        </w:tc>
      </w:tr>
      <w:tr>
        <w:trPr>
          <w:trHeight w:val="588" w:hRule="exact"/>
        </w:trPr>
        <w:tc>
          <w:tcPr>
            <w:tcW w:w="8410" w:type="dxa"/>
            <w:tcBorders>
              <w:top w:val="single" w:sz="4" w:space="0" w:color="000000"/>
              <w:left w:val="nil"/>
              <w:bottom w:val="single" w:sz="4" w:space="0" w:color="000000"/>
              <w:right w:val="single" w:sz="4" w:space="0" w:color="000000"/>
            </w:tcBorders>
          </w:tcPr>
          <w:p>
            <w:pPr>
              <w:pStyle w:val="TableParagraph"/>
              <w:spacing w:before="142"/>
              <w:ind w:left="962"/>
              <w:rPr>
                <w:b/>
                <w:sz w:val="24"/>
              </w:rPr>
            </w:pPr>
            <w:r>
              <w:rPr>
                <w:b/>
                <w:sz w:val="24"/>
              </w:rPr>
              <w:t>Contents Of Fiscal Impact Statement (FIS)</w:t>
            </w:r>
          </w:p>
        </w:tc>
        <w:tc>
          <w:tcPr>
            <w:tcW w:w="1181" w:type="dxa"/>
            <w:tcBorders>
              <w:top w:val="single" w:sz="4" w:space="0" w:color="000000"/>
              <w:left w:val="single" w:sz="4" w:space="0" w:color="000000"/>
              <w:bottom w:val="single" w:sz="4" w:space="0" w:color="000000"/>
              <w:right w:val="nil"/>
            </w:tcBorders>
          </w:tcPr>
          <w:p>
            <w:pPr>
              <w:pStyle w:val="TableParagraph"/>
              <w:spacing w:before="142"/>
              <w:ind w:left="103"/>
              <w:rPr>
                <w:b/>
                <w:sz w:val="24"/>
              </w:rPr>
            </w:pPr>
            <w:r>
              <w:rPr>
                <w:b/>
                <w:sz w:val="24"/>
              </w:rPr>
              <w:t>6604</w:t>
            </w:r>
          </w:p>
        </w:tc>
      </w:tr>
      <w:tr>
        <w:trPr>
          <w:trHeight w:val="586" w:hRule="exact"/>
        </w:trPr>
        <w:tc>
          <w:tcPr>
            <w:tcW w:w="8410" w:type="dxa"/>
            <w:tcBorders>
              <w:top w:val="single" w:sz="4" w:space="0" w:color="000000"/>
              <w:left w:val="nil"/>
              <w:bottom w:val="single" w:sz="4" w:space="0" w:color="000000"/>
              <w:right w:val="single" w:sz="4" w:space="0" w:color="000000"/>
            </w:tcBorders>
          </w:tcPr>
          <w:p>
            <w:pPr>
              <w:pStyle w:val="TableParagraph"/>
              <w:spacing w:before="144"/>
              <w:ind w:left="962"/>
              <w:rPr>
                <w:b/>
                <w:sz w:val="24"/>
              </w:rPr>
            </w:pPr>
            <w:r>
              <w:rPr>
                <w:b/>
                <w:sz w:val="24"/>
              </w:rPr>
              <w:t>Fiscal Impact On Local Government</w:t>
            </w:r>
          </w:p>
        </w:tc>
        <w:tc>
          <w:tcPr>
            <w:tcW w:w="1181" w:type="dxa"/>
            <w:tcBorders>
              <w:top w:val="single" w:sz="4" w:space="0" w:color="000000"/>
              <w:left w:val="single" w:sz="4" w:space="0" w:color="000000"/>
              <w:bottom w:val="single" w:sz="4" w:space="0" w:color="000000"/>
              <w:right w:val="nil"/>
            </w:tcBorders>
          </w:tcPr>
          <w:p>
            <w:pPr>
              <w:pStyle w:val="TableParagraph"/>
              <w:spacing w:before="144"/>
              <w:ind w:left="103"/>
              <w:rPr>
                <w:b/>
                <w:sz w:val="24"/>
              </w:rPr>
            </w:pPr>
            <w:r>
              <w:rPr>
                <w:b/>
                <w:sz w:val="24"/>
              </w:rPr>
              <w:t>6605</w:t>
            </w:r>
          </w:p>
        </w:tc>
      </w:tr>
      <w:tr>
        <w:trPr>
          <w:trHeight w:val="586" w:hRule="exact"/>
        </w:trPr>
        <w:tc>
          <w:tcPr>
            <w:tcW w:w="8410" w:type="dxa"/>
            <w:tcBorders>
              <w:top w:val="single" w:sz="4" w:space="0" w:color="000000"/>
              <w:left w:val="nil"/>
              <w:bottom w:val="single" w:sz="4" w:space="0" w:color="000000"/>
              <w:right w:val="single" w:sz="4" w:space="0" w:color="000000"/>
            </w:tcBorders>
          </w:tcPr>
          <w:p>
            <w:pPr>
              <w:pStyle w:val="TableParagraph"/>
              <w:spacing w:before="144"/>
              <w:ind w:left="962"/>
              <w:rPr>
                <w:b/>
                <w:sz w:val="24"/>
              </w:rPr>
            </w:pPr>
            <w:r>
              <w:rPr>
                <w:b/>
                <w:sz w:val="24"/>
              </w:rPr>
              <w:t>Funding For Reimbursable Local Costs</w:t>
            </w:r>
          </w:p>
        </w:tc>
        <w:tc>
          <w:tcPr>
            <w:tcW w:w="1181" w:type="dxa"/>
            <w:tcBorders>
              <w:top w:val="single" w:sz="4" w:space="0" w:color="000000"/>
              <w:left w:val="single" w:sz="4" w:space="0" w:color="000000"/>
              <w:bottom w:val="single" w:sz="4" w:space="0" w:color="000000"/>
              <w:right w:val="nil"/>
            </w:tcBorders>
          </w:tcPr>
          <w:p>
            <w:pPr>
              <w:pStyle w:val="TableParagraph"/>
              <w:spacing w:before="144"/>
              <w:ind w:left="103"/>
              <w:rPr>
                <w:b/>
                <w:sz w:val="24"/>
              </w:rPr>
            </w:pPr>
            <w:r>
              <w:rPr>
                <w:b/>
                <w:sz w:val="24"/>
              </w:rPr>
              <w:t>6606</w:t>
            </w:r>
          </w:p>
        </w:tc>
      </w:tr>
      <w:tr>
        <w:trPr>
          <w:trHeight w:val="586" w:hRule="exact"/>
        </w:trPr>
        <w:tc>
          <w:tcPr>
            <w:tcW w:w="8410" w:type="dxa"/>
            <w:tcBorders>
              <w:top w:val="single" w:sz="4" w:space="0" w:color="000000"/>
              <w:left w:val="nil"/>
              <w:bottom w:val="single" w:sz="4" w:space="0" w:color="000000"/>
              <w:right w:val="single" w:sz="4" w:space="0" w:color="000000"/>
            </w:tcBorders>
          </w:tcPr>
          <w:p>
            <w:pPr>
              <w:pStyle w:val="TableParagraph"/>
              <w:spacing w:before="144"/>
              <w:ind w:left="962"/>
              <w:rPr>
                <w:b/>
                <w:sz w:val="24"/>
              </w:rPr>
            </w:pPr>
            <w:r>
              <w:rPr>
                <w:b/>
                <w:sz w:val="24"/>
              </w:rPr>
              <w:t>Cost Estimating Methodology</w:t>
            </w:r>
          </w:p>
        </w:tc>
        <w:tc>
          <w:tcPr>
            <w:tcW w:w="1181" w:type="dxa"/>
            <w:tcBorders>
              <w:top w:val="single" w:sz="4" w:space="0" w:color="000000"/>
              <w:left w:val="single" w:sz="4" w:space="0" w:color="000000"/>
              <w:bottom w:val="single" w:sz="4" w:space="0" w:color="000000"/>
              <w:right w:val="nil"/>
            </w:tcBorders>
          </w:tcPr>
          <w:p>
            <w:pPr>
              <w:pStyle w:val="TableParagraph"/>
              <w:spacing w:before="144"/>
              <w:ind w:left="103"/>
              <w:rPr>
                <w:b/>
                <w:sz w:val="24"/>
              </w:rPr>
            </w:pPr>
            <w:r>
              <w:rPr>
                <w:b/>
                <w:sz w:val="24"/>
              </w:rPr>
              <w:t>6607</w:t>
            </w:r>
          </w:p>
        </w:tc>
      </w:tr>
      <w:tr>
        <w:trPr>
          <w:trHeight w:val="588" w:hRule="exact"/>
        </w:trPr>
        <w:tc>
          <w:tcPr>
            <w:tcW w:w="8410" w:type="dxa"/>
            <w:tcBorders>
              <w:top w:val="single" w:sz="4" w:space="0" w:color="000000"/>
              <w:left w:val="nil"/>
              <w:bottom w:val="single" w:sz="4" w:space="0" w:color="000000"/>
              <w:right w:val="single" w:sz="4" w:space="0" w:color="000000"/>
            </w:tcBorders>
          </w:tcPr>
          <w:p>
            <w:pPr>
              <w:pStyle w:val="TableParagraph"/>
              <w:spacing w:before="144"/>
              <w:ind w:left="962"/>
              <w:rPr>
                <w:b/>
                <w:sz w:val="24"/>
              </w:rPr>
            </w:pPr>
            <w:r>
              <w:rPr>
                <w:b/>
                <w:sz w:val="24"/>
              </w:rPr>
              <w:t>Nonreimburseable Local Costs</w:t>
            </w:r>
          </w:p>
        </w:tc>
        <w:tc>
          <w:tcPr>
            <w:tcW w:w="1181" w:type="dxa"/>
            <w:tcBorders>
              <w:top w:val="single" w:sz="4" w:space="0" w:color="000000"/>
              <w:left w:val="single" w:sz="4" w:space="0" w:color="000000"/>
              <w:bottom w:val="single" w:sz="4" w:space="0" w:color="000000"/>
              <w:right w:val="nil"/>
            </w:tcBorders>
          </w:tcPr>
          <w:p>
            <w:pPr>
              <w:pStyle w:val="TableParagraph"/>
              <w:spacing w:before="144"/>
              <w:ind w:left="103"/>
              <w:rPr>
                <w:b/>
                <w:sz w:val="24"/>
              </w:rPr>
            </w:pPr>
            <w:r>
              <w:rPr>
                <w:b/>
                <w:sz w:val="24"/>
              </w:rPr>
              <w:t>6608</w:t>
            </w:r>
          </w:p>
        </w:tc>
      </w:tr>
      <w:tr>
        <w:trPr>
          <w:trHeight w:val="586" w:hRule="exact"/>
        </w:trPr>
        <w:tc>
          <w:tcPr>
            <w:tcW w:w="8410" w:type="dxa"/>
            <w:tcBorders>
              <w:top w:val="single" w:sz="4" w:space="0" w:color="000000"/>
              <w:left w:val="nil"/>
              <w:bottom w:val="single" w:sz="4" w:space="0" w:color="000000"/>
              <w:right w:val="single" w:sz="4" w:space="0" w:color="000000"/>
            </w:tcBorders>
          </w:tcPr>
          <w:p>
            <w:pPr>
              <w:pStyle w:val="TableParagraph"/>
              <w:spacing w:before="139"/>
              <w:ind w:left="962"/>
              <w:rPr>
                <w:b/>
                <w:sz w:val="24"/>
              </w:rPr>
            </w:pPr>
            <w:r>
              <w:rPr>
                <w:b/>
                <w:sz w:val="24"/>
              </w:rPr>
              <w:t>Savings To Local Governments</w:t>
            </w:r>
          </w:p>
        </w:tc>
        <w:tc>
          <w:tcPr>
            <w:tcW w:w="1181" w:type="dxa"/>
            <w:tcBorders>
              <w:top w:val="single" w:sz="4" w:space="0" w:color="000000"/>
              <w:left w:val="single" w:sz="4" w:space="0" w:color="000000"/>
              <w:bottom w:val="single" w:sz="4" w:space="0" w:color="000000"/>
              <w:right w:val="nil"/>
            </w:tcBorders>
          </w:tcPr>
          <w:p>
            <w:pPr>
              <w:pStyle w:val="TableParagraph"/>
              <w:spacing w:before="139"/>
              <w:ind w:left="103"/>
              <w:rPr>
                <w:b/>
                <w:sz w:val="24"/>
              </w:rPr>
            </w:pPr>
            <w:r>
              <w:rPr>
                <w:b/>
                <w:sz w:val="24"/>
              </w:rPr>
              <w:t>6609</w:t>
            </w:r>
          </w:p>
        </w:tc>
      </w:tr>
      <w:tr>
        <w:trPr>
          <w:trHeight w:val="586" w:hRule="exact"/>
        </w:trPr>
        <w:tc>
          <w:tcPr>
            <w:tcW w:w="8410" w:type="dxa"/>
            <w:tcBorders>
              <w:top w:val="single" w:sz="4" w:space="0" w:color="000000"/>
              <w:left w:val="nil"/>
              <w:bottom w:val="single" w:sz="4" w:space="0" w:color="000000"/>
              <w:right w:val="single" w:sz="4" w:space="0" w:color="000000"/>
            </w:tcBorders>
          </w:tcPr>
          <w:p>
            <w:pPr>
              <w:pStyle w:val="TableParagraph"/>
              <w:spacing w:before="139"/>
              <w:ind w:left="962"/>
              <w:rPr>
                <w:b/>
                <w:sz w:val="24"/>
              </w:rPr>
            </w:pPr>
            <w:r>
              <w:rPr>
                <w:b/>
                <w:sz w:val="24"/>
              </w:rPr>
              <w:t>Increases Or Reductions In Local Revenues</w:t>
            </w:r>
          </w:p>
        </w:tc>
        <w:tc>
          <w:tcPr>
            <w:tcW w:w="1181" w:type="dxa"/>
            <w:tcBorders>
              <w:top w:val="single" w:sz="4" w:space="0" w:color="000000"/>
              <w:left w:val="single" w:sz="4" w:space="0" w:color="000000"/>
              <w:bottom w:val="single" w:sz="4" w:space="0" w:color="000000"/>
              <w:right w:val="nil"/>
            </w:tcBorders>
          </w:tcPr>
          <w:p>
            <w:pPr>
              <w:pStyle w:val="TableParagraph"/>
              <w:spacing w:before="139"/>
              <w:ind w:left="103"/>
              <w:rPr>
                <w:b/>
                <w:sz w:val="24"/>
              </w:rPr>
            </w:pPr>
            <w:r>
              <w:rPr>
                <w:b/>
                <w:sz w:val="24"/>
              </w:rPr>
              <w:t>6610</w:t>
            </w:r>
          </w:p>
        </w:tc>
      </w:tr>
      <w:tr>
        <w:trPr>
          <w:trHeight w:val="588" w:hRule="exact"/>
        </w:trPr>
        <w:tc>
          <w:tcPr>
            <w:tcW w:w="8410" w:type="dxa"/>
            <w:tcBorders>
              <w:top w:val="single" w:sz="4" w:space="0" w:color="000000"/>
              <w:left w:val="nil"/>
              <w:bottom w:val="single" w:sz="4" w:space="0" w:color="000000"/>
              <w:right w:val="single" w:sz="4" w:space="0" w:color="000000"/>
            </w:tcBorders>
          </w:tcPr>
          <w:p>
            <w:pPr>
              <w:pStyle w:val="TableParagraph"/>
              <w:spacing w:before="147"/>
              <w:ind w:left="962"/>
              <w:rPr>
                <w:b/>
                <w:sz w:val="24"/>
              </w:rPr>
            </w:pPr>
            <w:r>
              <w:rPr>
                <w:b/>
                <w:sz w:val="24"/>
              </w:rPr>
              <w:t>Costs To State Agencies</w:t>
            </w:r>
          </w:p>
        </w:tc>
        <w:tc>
          <w:tcPr>
            <w:tcW w:w="1181" w:type="dxa"/>
            <w:tcBorders>
              <w:top w:val="single" w:sz="4" w:space="0" w:color="000000"/>
              <w:left w:val="single" w:sz="4" w:space="0" w:color="000000"/>
              <w:bottom w:val="single" w:sz="4" w:space="0" w:color="000000"/>
              <w:right w:val="nil"/>
            </w:tcBorders>
          </w:tcPr>
          <w:p>
            <w:pPr>
              <w:pStyle w:val="TableParagraph"/>
              <w:spacing w:before="147"/>
              <w:ind w:left="103"/>
              <w:rPr>
                <w:b/>
                <w:sz w:val="24"/>
              </w:rPr>
            </w:pPr>
            <w:r>
              <w:rPr>
                <w:b/>
                <w:sz w:val="24"/>
              </w:rPr>
              <w:t>6611</w:t>
            </w:r>
          </w:p>
        </w:tc>
      </w:tr>
      <w:tr>
        <w:trPr>
          <w:trHeight w:val="586" w:hRule="exact"/>
        </w:trPr>
        <w:tc>
          <w:tcPr>
            <w:tcW w:w="8410" w:type="dxa"/>
            <w:tcBorders>
              <w:top w:val="single" w:sz="4" w:space="0" w:color="000000"/>
              <w:left w:val="nil"/>
              <w:bottom w:val="single" w:sz="4" w:space="0" w:color="000000"/>
              <w:right w:val="single" w:sz="4" w:space="0" w:color="000000"/>
            </w:tcBorders>
          </w:tcPr>
          <w:p>
            <w:pPr>
              <w:pStyle w:val="TableParagraph"/>
              <w:spacing w:before="144"/>
              <w:ind w:left="962"/>
              <w:rPr>
                <w:b/>
                <w:sz w:val="24"/>
              </w:rPr>
            </w:pPr>
            <w:r>
              <w:rPr>
                <w:b/>
                <w:sz w:val="24"/>
              </w:rPr>
              <w:t>Savings To State Agencies</w:t>
            </w:r>
          </w:p>
        </w:tc>
        <w:tc>
          <w:tcPr>
            <w:tcW w:w="1181" w:type="dxa"/>
            <w:tcBorders>
              <w:top w:val="single" w:sz="4" w:space="0" w:color="000000"/>
              <w:left w:val="single" w:sz="4" w:space="0" w:color="000000"/>
              <w:bottom w:val="single" w:sz="4" w:space="0" w:color="000000"/>
              <w:right w:val="nil"/>
            </w:tcBorders>
          </w:tcPr>
          <w:p>
            <w:pPr>
              <w:pStyle w:val="TableParagraph"/>
              <w:spacing w:before="144"/>
              <w:ind w:left="103"/>
              <w:rPr>
                <w:b/>
                <w:sz w:val="24"/>
              </w:rPr>
            </w:pPr>
            <w:r>
              <w:rPr>
                <w:b/>
                <w:sz w:val="24"/>
              </w:rPr>
              <w:t>6612</w:t>
            </w:r>
          </w:p>
        </w:tc>
      </w:tr>
      <w:tr>
        <w:trPr>
          <w:trHeight w:val="586" w:hRule="exact"/>
        </w:trPr>
        <w:tc>
          <w:tcPr>
            <w:tcW w:w="8410" w:type="dxa"/>
            <w:tcBorders>
              <w:top w:val="single" w:sz="4" w:space="0" w:color="000000"/>
              <w:left w:val="nil"/>
              <w:bottom w:val="single" w:sz="4" w:space="0" w:color="000000"/>
              <w:right w:val="single" w:sz="4" w:space="0" w:color="000000"/>
            </w:tcBorders>
          </w:tcPr>
          <w:p>
            <w:pPr>
              <w:pStyle w:val="TableParagraph"/>
              <w:spacing w:before="144"/>
              <w:ind w:left="962"/>
              <w:rPr>
                <w:b/>
                <w:sz w:val="24"/>
              </w:rPr>
            </w:pPr>
            <w:r>
              <w:rPr>
                <w:b/>
                <w:sz w:val="24"/>
              </w:rPr>
              <w:t>Fiscal Impact On Federal Funding Of State Programs</w:t>
            </w:r>
          </w:p>
        </w:tc>
        <w:tc>
          <w:tcPr>
            <w:tcW w:w="1181" w:type="dxa"/>
            <w:tcBorders>
              <w:top w:val="single" w:sz="4" w:space="0" w:color="000000"/>
              <w:left w:val="single" w:sz="4" w:space="0" w:color="000000"/>
              <w:bottom w:val="single" w:sz="4" w:space="0" w:color="000000"/>
              <w:right w:val="nil"/>
            </w:tcBorders>
          </w:tcPr>
          <w:p>
            <w:pPr>
              <w:pStyle w:val="TableParagraph"/>
              <w:spacing w:before="144"/>
              <w:ind w:left="103"/>
              <w:rPr>
                <w:b/>
                <w:sz w:val="24"/>
              </w:rPr>
            </w:pPr>
            <w:r>
              <w:rPr>
                <w:b/>
                <w:sz w:val="24"/>
              </w:rPr>
              <w:t>6613</w:t>
            </w:r>
          </w:p>
        </w:tc>
      </w:tr>
      <w:tr>
        <w:trPr>
          <w:trHeight w:val="588" w:hRule="exact"/>
        </w:trPr>
        <w:tc>
          <w:tcPr>
            <w:tcW w:w="8410" w:type="dxa"/>
            <w:tcBorders>
              <w:top w:val="single" w:sz="4" w:space="0" w:color="000000"/>
              <w:left w:val="nil"/>
              <w:bottom w:val="single" w:sz="4" w:space="0" w:color="000000"/>
              <w:right w:val="single" w:sz="4" w:space="0" w:color="000000"/>
            </w:tcBorders>
          </w:tcPr>
          <w:p>
            <w:pPr>
              <w:pStyle w:val="TableParagraph"/>
              <w:spacing w:before="144"/>
              <w:ind w:left="962"/>
              <w:rPr>
                <w:b/>
                <w:sz w:val="24"/>
              </w:rPr>
            </w:pPr>
            <w:r>
              <w:rPr>
                <w:b/>
                <w:sz w:val="24"/>
              </w:rPr>
              <w:t>Signature Requirement For Fiscal Impact Statement (FIS)</w:t>
            </w:r>
          </w:p>
        </w:tc>
        <w:tc>
          <w:tcPr>
            <w:tcW w:w="1181" w:type="dxa"/>
            <w:tcBorders>
              <w:top w:val="single" w:sz="4" w:space="0" w:color="000000"/>
              <w:left w:val="single" w:sz="4" w:space="0" w:color="000000"/>
              <w:bottom w:val="single" w:sz="4" w:space="0" w:color="000000"/>
              <w:right w:val="nil"/>
            </w:tcBorders>
          </w:tcPr>
          <w:p>
            <w:pPr>
              <w:pStyle w:val="TableParagraph"/>
              <w:spacing w:before="144"/>
              <w:ind w:left="103"/>
              <w:rPr>
                <w:b/>
                <w:sz w:val="24"/>
              </w:rPr>
            </w:pPr>
            <w:r>
              <w:rPr>
                <w:b/>
                <w:sz w:val="24"/>
              </w:rPr>
              <w:t>6614</w:t>
            </w:r>
          </w:p>
        </w:tc>
      </w:tr>
      <w:tr>
        <w:trPr>
          <w:trHeight w:val="586" w:hRule="exact"/>
        </w:trPr>
        <w:tc>
          <w:tcPr>
            <w:tcW w:w="8410" w:type="dxa"/>
            <w:tcBorders>
              <w:top w:val="single" w:sz="4" w:space="0" w:color="000000"/>
              <w:left w:val="nil"/>
              <w:bottom w:val="single" w:sz="4" w:space="0" w:color="000000"/>
              <w:right w:val="single" w:sz="4" w:space="0" w:color="000000"/>
            </w:tcBorders>
          </w:tcPr>
          <w:p>
            <w:pPr>
              <w:pStyle w:val="TableParagraph"/>
              <w:spacing w:before="139"/>
              <w:ind w:left="962"/>
              <w:rPr>
                <w:b/>
                <w:sz w:val="24"/>
              </w:rPr>
            </w:pPr>
            <w:r>
              <w:rPr>
                <w:b/>
                <w:sz w:val="24"/>
              </w:rPr>
              <w:t>Estimates Which Require Department Of Finance Action</w:t>
            </w:r>
          </w:p>
        </w:tc>
        <w:tc>
          <w:tcPr>
            <w:tcW w:w="1181" w:type="dxa"/>
            <w:tcBorders>
              <w:top w:val="single" w:sz="4" w:space="0" w:color="000000"/>
              <w:left w:val="single" w:sz="4" w:space="0" w:color="000000"/>
              <w:bottom w:val="single" w:sz="4" w:space="0" w:color="000000"/>
              <w:right w:val="nil"/>
            </w:tcBorders>
          </w:tcPr>
          <w:p>
            <w:pPr>
              <w:pStyle w:val="TableParagraph"/>
              <w:spacing w:before="139"/>
              <w:ind w:left="103"/>
              <w:rPr>
                <w:b/>
                <w:sz w:val="24"/>
              </w:rPr>
            </w:pPr>
            <w:r>
              <w:rPr>
                <w:b/>
                <w:sz w:val="24"/>
              </w:rPr>
              <w:t>6615</w:t>
            </w:r>
          </w:p>
        </w:tc>
      </w:tr>
      <w:tr>
        <w:trPr>
          <w:trHeight w:val="576" w:hRule="exact"/>
        </w:trPr>
        <w:tc>
          <w:tcPr>
            <w:tcW w:w="8410" w:type="dxa"/>
            <w:tcBorders>
              <w:top w:val="single" w:sz="4" w:space="0" w:color="000000"/>
              <w:left w:val="nil"/>
              <w:bottom w:val="nil"/>
              <w:right w:val="single" w:sz="4" w:space="0" w:color="000000"/>
            </w:tcBorders>
          </w:tcPr>
          <w:p>
            <w:pPr>
              <w:pStyle w:val="TableParagraph"/>
              <w:spacing w:before="139"/>
              <w:ind w:left="962"/>
              <w:rPr>
                <w:b/>
                <w:sz w:val="24"/>
              </w:rPr>
            </w:pPr>
            <w:r>
              <w:rPr>
                <w:b/>
                <w:sz w:val="24"/>
              </w:rPr>
              <w:t>Development Of Fiscal Estimates</w:t>
            </w:r>
          </w:p>
        </w:tc>
        <w:tc>
          <w:tcPr>
            <w:tcW w:w="1181" w:type="dxa"/>
            <w:tcBorders>
              <w:top w:val="single" w:sz="4" w:space="0" w:color="000000"/>
              <w:left w:val="single" w:sz="4" w:space="0" w:color="000000"/>
              <w:bottom w:val="nil"/>
              <w:right w:val="nil"/>
            </w:tcBorders>
          </w:tcPr>
          <w:p>
            <w:pPr>
              <w:pStyle w:val="TableParagraph"/>
              <w:spacing w:before="139"/>
              <w:ind w:left="103"/>
              <w:rPr>
                <w:b/>
                <w:sz w:val="24"/>
              </w:rPr>
            </w:pPr>
            <w:r>
              <w:rPr>
                <w:b/>
                <w:sz w:val="24"/>
              </w:rPr>
              <w:t>6616</w:t>
            </w:r>
          </w:p>
        </w:tc>
      </w:tr>
    </w:tbl>
    <w:p>
      <w:pPr>
        <w:pStyle w:val="BodyText"/>
        <w:spacing w:before="7"/>
        <w:rPr>
          <w:b/>
          <w:sz w:val="33"/>
        </w:rPr>
      </w:pPr>
    </w:p>
    <w:p>
      <w:pPr>
        <w:pStyle w:val="BodyText"/>
        <w:ind w:left="880"/>
      </w:pPr>
      <w:r>
        <w:rPr/>
        <w:pict>
          <v:line style="position:absolute;mso-position-horizontal-relative:page;mso-position-vertical-relative:paragraph;z-index:1696;mso-wrap-distance-left:0;mso-wrap-distance-right:0" from="33.360001pt,20.015858pt" to="33.360001pt,37.535858pt" stroked="true" strokeweight=".72pt" strokecolor="#000000">
            <v:stroke dashstyle="solid"/>
            <w10:wrap type="topAndBottom"/>
          </v:line>
        </w:pict>
      </w:r>
      <w:r>
        <w:rPr/>
        <w:t>(Continued)</w:t>
      </w:r>
    </w:p>
    <w:p>
      <w:pPr>
        <w:spacing w:after="0"/>
        <w:sectPr>
          <w:pgSz w:w="12240" w:h="15840"/>
          <w:pgMar w:header="983" w:footer="803" w:top="1640" w:bottom="1060" w:left="560" w:right="1200"/>
        </w:sectPr>
      </w:pPr>
    </w:p>
    <w:p>
      <w:pPr>
        <w:pStyle w:val="BodyText"/>
        <w:rPr>
          <w:sz w:val="20"/>
        </w:rPr>
      </w:pPr>
      <w:r>
        <w:rPr/>
        <w:pict>
          <v:line style="position:absolute;mso-position-horizontal-relative:page;mso-position-vertical-relative:page;z-index:1840" from="33.360001pt,48.959999pt" to="33.360001pt,69.959999pt" stroked="true" strokeweight=".72pt" strokecolor="#000000">
            <v:stroke dashstyle="solid"/>
            <w10:wrap type="none"/>
          </v:line>
        </w:pict>
      </w:r>
    </w:p>
    <w:p>
      <w:pPr>
        <w:pStyle w:val="BodyText"/>
        <w:spacing w:before="9"/>
        <w:rPr>
          <w:sz w:val="28"/>
        </w:rPr>
      </w:pPr>
    </w:p>
    <w:p>
      <w:pPr>
        <w:pStyle w:val="BodyText"/>
        <w:spacing w:line="20" w:lineRule="exact"/>
        <w:ind w:left="2953"/>
        <w:rPr>
          <w:sz w:val="2"/>
        </w:rPr>
      </w:pPr>
      <w:r>
        <w:rPr>
          <w:sz w:val="2"/>
        </w:rPr>
        <w:pict>
          <v:group style="width:370.6pt;height:.5pt;mso-position-horizontal-relative:char;mso-position-vertical-relative:line" coordorigin="0,0" coordsize="7412,10">
            <v:line style="position:absolute" from="5,5" to="7407,5" stroked="true" strokeweight=".48pt" strokecolor="#000000">
              <v:stroke dashstyle="solid"/>
            </v:line>
          </v:group>
        </w:pict>
      </w:r>
      <w:r>
        <w:rPr>
          <w:sz w:val="2"/>
        </w:rPr>
      </w:r>
    </w:p>
    <w:p>
      <w:pPr>
        <w:pStyle w:val="Heading2"/>
        <w:tabs>
          <w:tab w:pos="4177" w:val="left" w:leader="none"/>
          <w:tab w:pos="10239" w:val="left" w:leader="none"/>
        </w:tabs>
        <w:spacing w:line="379" w:lineRule="auto" w:before="134"/>
        <w:ind w:left="2958" w:right="238" w:hanging="2079"/>
      </w:pPr>
      <w:r>
        <w:rPr/>
        <w:pict>
          <v:line style="position:absolute;mso-position-horizontal-relative:page;mso-position-vertical-relative:paragraph;z-index:1792;mso-wrap-distance-left:0;mso-wrap-distance-right:0" from="33.360001pt,203.235855pt" to="33.360001pt,224.475855pt" stroked="true" strokeweight=".72pt" strokecolor="#000000">
            <v:stroke dashstyle="solid"/>
            <w10:wrap type="topAndBottom"/>
          </v:line>
        </w:pict>
      </w:r>
      <w:r>
        <w:rPr/>
        <w:pict>
          <v:shape style="position:absolute;margin-left:71.760002pt;margin-top:56.235863pt;width:468.75pt;height:498.4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75"/>
                    <w:gridCol w:w="1085"/>
                  </w:tblGrid>
                  <w:tr>
                    <w:trPr>
                      <w:trHeight w:val="586" w:hRule="exact"/>
                    </w:trPr>
                    <w:tc>
                      <w:tcPr>
                        <w:tcW w:w="8275" w:type="dxa"/>
                        <w:tcBorders>
                          <w:left w:val="nil"/>
                        </w:tcBorders>
                      </w:tcPr>
                      <w:p>
                        <w:pPr>
                          <w:pStyle w:val="TableParagraph"/>
                          <w:spacing w:before="144"/>
                          <w:ind w:left="108"/>
                          <w:rPr>
                            <w:b/>
                            <w:sz w:val="24"/>
                          </w:rPr>
                        </w:pPr>
                        <w:r>
                          <w:rPr>
                            <w:b/>
                            <w:sz w:val="24"/>
                          </w:rPr>
                          <w:t>INFORMATION TECHNOLOGY EXPENDITURES</w:t>
                        </w:r>
                      </w:p>
                    </w:tc>
                    <w:tc>
                      <w:tcPr>
                        <w:tcW w:w="1085" w:type="dxa"/>
                        <w:tcBorders>
                          <w:right w:val="nil"/>
                        </w:tcBorders>
                      </w:tcPr>
                      <w:p>
                        <w:pPr>
                          <w:pStyle w:val="TableParagraph"/>
                          <w:spacing w:before="144"/>
                          <w:ind w:left="100"/>
                          <w:rPr>
                            <w:b/>
                            <w:sz w:val="24"/>
                          </w:rPr>
                        </w:pPr>
                        <w:r>
                          <w:rPr>
                            <w:b/>
                            <w:sz w:val="24"/>
                          </w:rPr>
                          <w:t>6700</w:t>
                        </w:r>
                      </w:p>
                    </w:tc>
                  </w:tr>
                  <w:tr>
                    <w:trPr>
                      <w:trHeight w:val="586" w:hRule="exact"/>
                    </w:trPr>
                    <w:tc>
                      <w:tcPr>
                        <w:tcW w:w="8275" w:type="dxa"/>
                        <w:tcBorders>
                          <w:left w:val="nil"/>
                        </w:tcBorders>
                      </w:tcPr>
                      <w:p>
                        <w:pPr>
                          <w:pStyle w:val="TableParagraph"/>
                          <w:spacing w:before="144"/>
                          <w:ind w:left="828"/>
                          <w:rPr>
                            <w:b/>
                            <w:sz w:val="24"/>
                          </w:rPr>
                        </w:pPr>
                        <w:r>
                          <w:rPr>
                            <w:b/>
                            <w:sz w:val="24"/>
                          </w:rPr>
                          <w:t>Definitions</w:t>
                        </w:r>
                      </w:p>
                    </w:tc>
                    <w:tc>
                      <w:tcPr>
                        <w:tcW w:w="1085" w:type="dxa"/>
                        <w:tcBorders>
                          <w:right w:val="nil"/>
                        </w:tcBorders>
                      </w:tcPr>
                      <w:p>
                        <w:pPr>
                          <w:pStyle w:val="TableParagraph"/>
                          <w:spacing w:before="144"/>
                          <w:ind w:left="100"/>
                          <w:rPr>
                            <w:b/>
                            <w:sz w:val="24"/>
                          </w:rPr>
                        </w:pPr>
                        <w:r>
                          <w:rPr>
                            <w:b/>
                            <w:sz w:val="24"/>
                          </w:rPr>
                          <w:t>6710</w:t>
                        </w:r>
                      </w:p>
                    </w:tc>
                  </w:tr>
                  <w:tr>
                    <w:trPr>
                      <w:trHeight w:val="588" w:hRule="exact"/>
                    </w:trPr>
                    <w:tc>
                      <w:tcPr>
                        <w:tcW w:w="8275" w:type="dxa"/>
                        <w:tcBorders>
                          <w:left w:val="nil"/>
                        </w:tcBorders>
                      </w:tcPr>
                      <w:p>
                        <w:pPr>
                          <w:pStyle w:val="TableParagraph"/>
                          <w:spacing w:before="144"/>
                          <w:ind w:left="828"/>
                          <w:rPr>
                            <w:b/>
                            <w:sz w:val="24"/>
                          </w:rPr>
                        </w:pPr>
                        <w:r>
                          <w:rPr>
                            <w:b/>
                            <w:sz w:val="24"/>
                          </w:rPr>
                          <w:t>Exclusions</w:t>
                        </w:r>
                      </w:p>
                    </w:tc>
                    <w:tc>
                      <w:tcPr>
                        <w:tcW w:w="1085" w:type="dxa"/>
                        <w:tcBorders>
                          <w:right w:val="nil"/>
                        </w:tcBorders>
                      </w:tcPr>
                      <w:p>
                        <w:pPr>
                          <w:pStyle w:val="TableParagraph"/>
                          <w:spacing w:before="144"/>
                          <w:ind w:left="100"/>
                          <w:rPr>
                            <w:b/>
                            <w:sz w:val="24"/>
                          </w:rPr>
                        </w:pPr>
                        <w:r>
                          <w:rPr>
                            <w:b/>
                            <w:sz w:val="24"/>
                          </w:rPr>
                          <w:t>6720</w:t>
                        </w:r>
                      </w:p>
                    </w:tc>
                  </w:tr>
                  <w:tr>
                    <w:trPr>
                      <w:trHeight w:val="586" w:hRule="exact"/>
                    </w:trPr>
                    <w:tc>
                      <w:tcPr>
                        <w:tcW w:w="8275" w:type="dxa"/>
                        <w:tcBorders>
                          <w:left w:val="nil"/>
                        </w:tcBorders>
                      </w:tcPr>
                      <w:p>
                        <w:pPr>
                          <w:pStyle w:val="TableParagraph"/>
                          <w:spacing w:before="139"/>
                          <w:ind w:left="828"/>
                          <w:rPr>
                            <w:b/>
                            <w:sz w:val="24"/>
                          </w:rPr>
                        </w:pPr>
                        <w:r>
                          <w:rPr>
                            <w:b/>
                            <w:sz w:val="24"/>
                          </w:rPr>
                          <w:t>Requirements</w:t>
                        </w:r>
                      </w:p>
                    </w:tc>
                    <w:tc>
                      <w:tcPr>
                        <w:tcW w:w="1085" w:type="dxa"/>
                        <w:tcBorders>
                          <w:right w:val="nil"/>
                        </w:tcBorders>
                      </w:tcPr>
                      <w:p>
                        <w:pPr>
                          <w:pStyle w:val="TableParagraph"/>
                          <w:spacing w:before="139"/>
                          <w:ind w:left="100"/>
                          <w:rPr>
                            <w:b/>
                            <w:sz w:val="24"/>
                          </w:rPr>
                        </w:pPr>
                        <w:r>
                          <w:rPr>
                            <w:b/>
                            <w:sz w:val="24"/>
                          </w:rPr>
                          <w:t>6730</w:t>
                        </w:r>
                      </w:p>
                    </w:tc>
                  </w:tr>
                  <w:tr>
                    <w:trPr>
                      <w:trHeight w:val="586" w:hRule="exact"/>
                    </w:trPr>
                    <w:tc>
                      <w:tcPr>
                        <w:tcW w:w="8275" w:type="dxa"/>
                        <w:tcBorders>
                          <w:left w:val="nil"/>
                        </w:tcBorders>
                      </w:tcPr>
                      <w:p>
                        <w:pPr>
                          <w:pStyle w:val="TableParagraph"/>
                          <w:spacing w:before="139"/>
                          <w:ind w:left="828"/>
                          <w:rPr>
                            <w:b/>
                            <w:sz w:val="24"/>
                          </w:rPr>
                        </w:pPr>
                        <w:r>
                          <w:rPr>
                            <w:b/>
                            <w:sz w:val="24"/>
                          </w:rPr>
                          <w:t>Expenditure Support</w:t>
                        </w:r>
                      </w:p>
                    </w:tc>
                    <w:tc>
                      <w:tcPr>
                        <w:tcW w:w="1085" w:type="dxa"/>
                        <w:tcBorders>
                          <w:right w:val="nil"/>
                        </w:tcBorders>
                      </w:tcPr>
                      <w:p>
                        <w:pPr>
                          <w:pStyle w:val="TableParagraph"/>
                          <w:spacing w:before="139"/>
                          <w:ind w:left="100"/>
                          <w:rPr>
                            <w:b/>
                            <w:sz w:val="24"/>
                          </w:rPr>
                        </w:pPr>
                        <w:r>
                          <w:rPr>
                            <w:b/>
                            <w:sz w:val="24"/>
                          </w:rPr>
                          <w:t>6750</w:t>
                        </w:r>
                      </w:p>
                    </w:tc>
                  </w:tr>
                  <w:tr>
                    <w:trPr>
                      <w:trHeight w:val="586" w:hRule="exact"/>
                    </w:trPr>
                    <w:tc>
                      <w:tcPr>
                        <w:tcW w:w="8275" w:type="dxa"/>
                        <w:tcBorders>
                          <w:left w:val="nil"/>
                        </w:tcBorders>
                      </w:tcPr>
                      <w:p>
                        <w:pPr>
                          <w:pStyle w:val="TableParagraph"/>
                          <w:spacing w:before="144"/>
                          <w:ind w:left="828"/>
                          <w:rPr>
                            <w:b/>
                            <w:sz w:val="24"/>
                          </w:rPr>
                        </w:pPr>
                        <w:r>
                          <w:rPr>
                            <w:b/>
                            <w:sz w:val="24"/>
                          </w:rPr>
                          <w:t>Information </w:t>
                        </w:r>
                        <w:r>
                          <w:rPr>
                            <w:b/>
                            <w:strike/>
                            <w:color w:val="2E97D3"/>
                            <w:sz w:val="22"/>
                          </w:rPr>
                          <w:t>Techology</w:t>
                        </w:r>
                        <w:r>
                          <w:rPr>
                            <w:b/>
                            <w:strike w:val="0"/>
                            <w:color w:val="2E97D3"/>
                            <w:sz w:val="24"/>
                            <w:u w:val="thick" w:color="2E97D3"/>
                          </w:rPr>
                          <w:t>Technology </w:t>
                        </w:r>
                        <w:r>
                          <w:rPr>
                            <w:b/>
                            <w:strike w:val="0"/>
                            <w:sz w:val="24"/>
                          </w:rPr>
                          <w:t>Audits</w:t>
                        </w:r>
                      </w:p>
                    </w:tc>
                    <w:tc>
                      <w:tcPr>
                        <w:tcW w:w="1085" w:type="dxa"/>
                        <w:tcBorders>
                          <w:right w:val="nil"/>
                        </w:tcBorders>
                      </w:tcPr>
                      <w:p>
                        <w:pPr>
                          <w:pStyle w:val="TableParagraph"/>
                          <w:spacing w:before="144"/>
                          <w:ind w:left="100"/>
                          <w:rPr>
                            <w:b/>
                            <w:sz w:val="24"/>
                          </w:rPr>
                        </w:pPr>
                        <w:r>
                          <w:rPr>
                            <w:b/>
                            <w:sz w:val="24"/>
                          </w:rPr>
                          <w:t>6760</w:t>
                        </w:r>
                      </w:p>
                    </w:tc>
                  </w:tr>
                  <w:tr>
                    <w:trPr>
                      <w:trHeight w:val="588" w:hRule="exact"/>
                    </w:trPr>
                    <w:tc>
                      <w:tcPr>
                        <w:tcW w:w="8275" w:type="dxa"/>
                        <w:tcBorders>
                          <w:left w:val="nil"/>
                        </w:tcBorders>
                      </w:tcPr>
                      <w:p>
                        <w:pPr>
                          <w:pStyle w:val="TableParagraph"/>
                          <w:spacing w:before="147"/>
                          <w:ind w:left="828"/>
                          <w:rPr>
                            <w:b/>
                            <w:sz w:val="24"/>
                          </w:rPr>
                        </w:pPr>
                        <w:r>
                          <w:rPr>
                            <w:b/>
                            <w:sz w:val="24"/>
                          </w:rPr>
                          <w:t>Cost Allocation</w:t>
                        </w:r>
                      </w:p>
                    </w:tc>
                    <w:tc>
                      <w:tcPr>
                        <w:tcW w:w="1085" w:type="dxa"/>
                        <w:tcBorders>
                          <w:right w:val="nil"/>
                        </w:tcBorders>
                      </w:tcPr>
                      <w:p>
                        <w:pPr>
                          <w:pStyle w:val="TableParagraph"/>
                          <w:spacing w:before="147"/>
                          <w:ind w:left="100"/>
                          <w:rPr>
                            <w:b/>
                            <w:sz w:val="24"/>
                          </w:rPr>
                        </w:pPr>
                        <w:r>
                          <w:rPr>
                            <w:b/>
                            <w:sz w:val="24"/>
                          </w:rPr>
                          <w:t>6770</w:t>
                        </w:r>
                      </w:p>
                    </w:tc>
                  </w:tr>
                  <w:tr>
                    <w:trPr>
                      <w:trHeight w:val="586" w:hRule="exact"/>
                    </w:trPr>
                    <w:tc>
                      <w:tcPr>
                        <w:tcW w:w="8275" w:type="dxa"/>
                        <w:tcBorders>
                          <w:left w:val="nil"/>
                        </w:tcBorders>
                      </w:tcPr>
                      <w:p>
                        <w:pPr>
                          <w:pStyle w:val="TableParagraph"/>
                          <w:spacing w:before="144"/>
                          <w:ind w:left="828"/>
                          <w:rPr>
                            <w:b/>
                            <w:sz w:val="24"/>
                          </w:rPr>
                        </w:pPr>
                        <w:r>
                          <w:rPr>
                            <w:b/>
                            <w:sz w:val="24"/>
                          </w:rPr>
                          <w:t>Data Center Financial Management</w:t>
                        </w:r>
                      </w:p>
                    </w:tc>
                    <w:tc>
                      <w:tcPr>
                        <w:tcW w:w="1085" w:type="dxa"/>
                        <w:tcBorders>
                          <w:right w:val="nil"/>
                        </w:tcBorders>
                      </w:tcPr>
                      <w:p>
                        <w:pPr>
                          <w:pStyle w:val="TableParagraph"/>
                          <w:spacing w:before="144"/>
                          <w:ind w:left="100"/>
                          <w:rPr>
                            <w:b/>
                            <w:sz w:val="24"/>
                          </w:rPr>
                        </w:pPr>
                        <w:r>
                          <w:rPr>
                            <w:b/>
                            <w:sz w:val="24"/>
                          </w:rPr>
                          <w:t>6780</w:t>
                        </w:r>
                      </w:p>
                    </w:tc>
                  </w:tr>
                  <w:tr>
                    <w:trPr>
                      <w:trHeight w:val="588" w:hRule="exact"/>
                    </w:trPr>
                    <w:tc>
                      <w:tcPr>
                        <w:tcW w:w="8275" w:type="dxa"/>
                        <w:tcBorders>
                          <w:left w:val="nil"/>
                        </w:tcBorders>
                      </w:tcPr>
                      <w:p>
                        <w:pPr>
                          <w:pStyle w:val="TableParagraph"/>
                          <w:spacing w:before="144"/>
                          <w:ind w:left="108"/>
                          <w:rPr>
                            <w:b/>
                            <w:sz w:val="24"/>
                          </w:rPr>
                        </w:pPr>
                        <w:r>
                          <w:rPr>
                            <w:b/>
                            <w:sz w:val="24"/>
                          </w:rPr>
                          <w:t>OVERVIEW OF CAPITALIZED ASSETS</w:t>
                        </w:r>
                      </w:p>
                    </w:tc>
                    <w:tc>
                      <w:tcPr>
                        <w:tcW w:w="1085" w:type="dxa"/>
                        <w:tcBorders>
                          <w:right w:val="nil"/>
                        </w:tcBorders>
                      </w:tcPr>
                      <w:p>
                        <w:pPr>
                          <w:pStyle w:val="TableParagraph"/>
                          <w:spacing w:before="144"/>
                          <w:ind w:left="100"/>
                          <w:rPr>
                            <w:b/>
                            <w:sz w:val="24"/>
                          </w:rPr>
                        </w:pPr>
                        <w:r>
                          <w:rPr>
                            <w:b/>
                            <w:sz w:val="24"/>
                          </w:rPr>
                          <w:t>6801</w:t>
                        </w:r>
                      </w:p>
                    </w:tc>
                  </w:tr>
                  <w:tr>
                    <w:trPr>
                      <w:trHeight w:val="586" w:hRule="exact"/>
                    </w:trPr>
                    <w:tc>
                      <w:tcPr>
                        <w:tcW w:w="8275" w:type="dxa"/>
                        <w:tcBorders>
                          <w:left w:val="nil"/>
                        </w:tcBorders>
                      </w:tcPr>
                      <w:p>
                        <w:pPr>
                          <w:pStyle w:val="TableParagraph"/>
                          <w:spacing w:before="139"/>
                          <w:ind w:left="828"/>
                          <w:rPr>
                            <w:b/>
                            <w:sz w:val="24"/>
                          </w:rPr>
                        </w:pPr>
                        <w:r>
                          <w:rPr>
                            <w:b/>
                            <w:sz w:val="24"/>
                          </w:rPr>
                          <w:t>Capitalized Assets: Who Does What</w:t>
                        </w:r>
                      </w:p>
                    </w:tc>
                    <w:tc>
                      <w:tcPr>
                        <w:tcW w:w="1085" w:type="dxa"/>
                        <w:tcBorders>
                          <w:right w:val="nil"/>
                        </w:tcBorders>
                      </w:tcPr>
                      <w:p>
                        <w:pPr>
                          <w:pStyle w:val="TableParagraph"/>
                          <w:spacing w:before="139"/>
                          <w:ind w:left="100"/>
                          <w:rPr>
                            <w:b/>
                            <w:sz w:val="24"/>
                          </w:rPr>
                        </w:pPr>
                        <w:r>
                          <w:rPr>
                            <w:b/>
                            <w:sz w:val="24"/>
                          </w:rPr>
                          <w:t>6805</w:t>
                        </w:r>
                      </w:p>
                    </w:tc>
                  </w:tr>
                  <w:tr>
                    <w:trPr>
                      <w:trHeight w:val="586" w:hRule="exact"/>
                    </w:trPr>
                    <w:tc>
                      <w:tcPr>
                        <w:tcW w:w="8275" w:type="dxa"/>
                        <w:tcBorders>
                          <w:left w:val="nil"/>
                        </w:tcBorders>
                      </w:tcPr>
                      <w:p>
                        <w:pPr>
                          <w:pStyle w:val="TableParagraph"/>
                          <w:spacing w:before="139"/>
                          <w:ind w:left="828"/>
                          <w:rPr>
                            <w:b/>
                            <w:sz w:val="24"/>
                          </w:rPr>
                        </w:pPr>
                        <w:r>
                          <w:rPr>
                            <w:b/>
                            <w:sz w:val="24"/>
                          </w:rPr>
                          <w:t>Capital Outlay Versus State Operations And Local Assistance</w:t>
                        </w:r>
                      </w:p>
                    </w:tc>
                    <w:tc>
                      <w:tcPr>
                        <w:tcW w:w="1085" w:type="dxa"/>
                        <w:tcBorders>
                          <w:right w:val="nil"/>
                        </w:tcBorders>
                      </w:tcPr>
                      <w:p>
                        <w:pPr>
                          <w:pStyle w:val="TableParagraph"/>
                          <w:spacing w:before="139"/>
                          <w:ind w:left="100"/>
                          <w:rPr>
                            <w:b/>
                            <w:sz w:val="24"/>
                          </w:rPr>
                        </w:pPr>
                        <w:r>
                          <w:rPr>
                            <w:b/>
                            <w:sz w:val="24"/>
                          </w:rPr>
                          <w:t>6806</w:t>
                        </w:r>
                      </w:p>
                    </w:tc>
                  </w:tr>
                  <w:tr>
                    <w:trPr>
                      <w:trHeight w:val="586" w:hRule="exact"/>
                    </w:trPr>
                    <w:tc>
                      <w:tcPr>
                        <w:tcW w:w="8275" w:type="dxa"/>
                        <w:tcBorders>
                          <w:left w:val="nil"/>
                        </w:tcBorders>
                      </w:tcPr>
                      <w:p>
                        <w:pPr>
                          <w:pStyle w:val="TableParagraph"/>
                          <w:spacing w:before="144"/>
                          <w:ind w:left="828"/>
                          <w:rPr>
                            <w:b/>
                            <w:sz w:val="24"/>
                          </w:rPr>
                        </w:pPr>
                        <w:r>
                          <w:rPr>
                            <w:b/>
                            <w:sz w:val="24"/>
                          </w:rPr>
                          <w:t>Minor Capital Outlay</w:t>
                        </w:r>
                      </w:p>
                    </w:tc>
                    <w:tc>
                      <w:tcPr>
                        <w:tcW w:w="1085" w:type="dxa"/>
                        <w:tcBorders>
                          <w:right w:val="nil"/>
                        </w:tcBorders>
                      </w:tcPr>
                      <w:p>
                        <w:pPr>
                          <w:pStyle w:val="TableParagraph"/>
                          <w:spacing w:before="144"/>
                          <w:ind w:left="100"/>
                          <w:rPr>
                            <w:b/>
                            <w:sz w:val="24"/>
                          </w:rPr>
                        </w:pPr>
                        <w:r>
                          <w:rPr>
                            <w:b/>
                            <w:sz w:val="24"/>
                          </w:rPr>
                          <w:t>6807</w:t>
                        </w:r>
                      </w:p>
                    </w:tc>
                  </w:tr>
                  <w:tr>
                    <w:trPr>
                      <w:trHeight w:val="586" w:hRule="exact"/>
                    </w:trPr>
                    <w:tc>
                      <w:tcPr>
                        <w:tcW w:w="8275" w:type="dxa"/>
                        <w:tcBorders>
                          <w:left w:val="nil"/>
                        </w:tcBorders>
                      </w:tcPr>
                      <w:p>
                        <w:pPr>
                          <w:pStyle w:val="TableParagraph"/>
                          <w:spacing w:before="144"/>
                          <w:ind w:left="828"/>
                          <w:rPr>
                            <w:b/>
                            <w:sz w:val="24"/>
                          </w:rPr>
                        </w:pPr>
                        <w:r>
                          <w:rPr>
                            <w:b/>
                            <w:sz w:val="24"/>
                          </w:rPr>
                          <w:t>The Capital Outlay Process In Brief</w:t>
                        </w:r>
                      </w:p>
                    </w:tc>
                    <w:tc>
                      <w:tcPr>
                        <w:tcW w:w="1085" w:type="dxa"/>
                        <w:tcBorders>
                          <w:right w:val="nil"/>
                        </w:tcBorders>
                      </w:tcPr>
                      <w:p>
                        <w:pPr>
                          <w:pStyle w:val="TableParagraph"/>
                          <w:spacing w:before="144"/>
                          <w:ind w:left="100"/>
                          <w:rPr>
                            <w:b/>
                            <w:sz w:val="24"/>
                          </w:rPr>
                        </w:pPr>
                        <w:r>
                          <w:rPr>
                            <w:b/>
                            <w:sz w:val="24"/>
                          </w:rPr>
                          <w:t>6808</w:t>
                        </w:r>
                      </w:p>
                    </w:tc>
                  </w:tr>
                  <w:tr>
                    <w:trPr>
                      <w:trHeight w:val="588" w:hRule="exact"/>
                    </w:trPr>
                    <w:tc>
                      <w:tcPr>
                        <w:tcW w:w="8275" w:type="dxa"/>
                        <w:tcBorders>
                          <w:left w:val="nil"/>
                        </w:tcBorders>
                      </w:tcPr>
                      <w:p>
                        <w:pPr>
                          <w:pStyle w:val="TableParagraph"/>
                          <w:spacing w:before="147"/>
                          <w:ind w:left="828"/>
                          <w:rPr>
                            <w:b/>
                            <w:sz w:val="24"/>
                          </w:rPr>
                        </w:pPr>
                        <w:r>
                          <w:rPr>
                            <w:b/>
                            <w:sz w:val="24"/>
                          </w:rPr>
                          <w:t>Legal Citations For Capitalized Assets And Financing</w:t>
                        </w:r>
                      </w:p>
                    </w:tc>
                    <w:tc>
                      <w:tcPr>
                        <w:tcW w:w="1085" w:type="dxa"/>
                        <w:tcBorders>
                          <w:right w:val="nil"/>
                        </w:tcBorders>
                      </w:tcPr>
                      <w:p>
                        <w:pPr>
                          <w:pStyle w:val="TableParagraph"/>
                          <w:spacing w:before="147"/>
                          <w:ind w:left="100"/>
                          <w:rPr>
                            <w:b/>
                            <w:sz w:val="24"/>
                          </w:rPr>
                        </w:pPr>
                        <w:r>
                          <w:rPr>
                            <w:b/>
                            <w:sz w:val="24"/>
                          </w:rPr>
                          <w:t>6809</w:t>
                        </w:r>
                      </w:p>
                    </w:tc>
                  </w:tr>
                  <w:tr>
                    <w:trPr>
                      <w:trHeight w:val="588" w:hRule="exact"/>
                    </w:trPr>
                    <w:tc>
                      <w:tcPr>
                        <w:tcW w:w="8275" w:type="dxa"/>
                        <w:tcBorders>
                          <w:left w:val="nil"/>
                        </w:tcBorders>
                      </w:tcPr>
                      <w:p>
                        <w:pPr>
                          <w:pStyle w:val="TableParagraph"/>
                          <w:spacing w:before="144"/>
                          <w:ind w:left="108"/>
                          <w:rPr>
                            <w:b/>
                            <w:sz w:val="24"/>
                          </w:rPr>
                        </w:pPr>
                        <w:r>
                          <w:rPr>
                            <w:b/>
                            <w:sz w:val="24"/>
                          </w:rPr>
                          <w:t>CAPITALIZED ASSETS PLANNING AND BUDGETING</w:t>
                        </w:r>
                      </w:p>
                    </w:tc>
                    <w:tc>
                      <w:tcPr>
                        <w:tcW w:w="1085" w:type="dxa"/>
                        <w:tcBorders>
                          <w:right w:val="nil"/>
                        </w:tcBorders>
                      </w:tcPr>
                      <w:p>
                        <w:pPr>
                          <w:pStyle w:val="TableParagraph"/>
                          <w:spacing w:before="144"/>
                          <w:ind w:left="100"/>
                          <w:rPr>
                            <w:b/>
                            <w:sz w:val="24"/>
                          </w:rPr>
                        </w:pPr>
                        <w:r>
                          <w:rPr>
                            <w:b/>
                            <w:sz w:val="24"/>
                          </w:rPr>
                          <w:t>6810</w:t>
                        </w:r>
                      </w:p>
                    </w:tc>
                  </w:tr>
                  <w:tr>
                    <w:trPr>
                      <w:trHeight w:val="586" w:hRule="exact"/>
                    </w:trPr>
                    <w:tc>
                      <w:tcPr>
                        <w:tcW w:w="8275" w:type="dxa"/>
                        <w:tcBorders>
                          <w:left w:val="nil"/>
                        </w:tcBorders>
                      </w:tcPr>
                      <w:p>
                        <w:pPr>
                          <w:pStyle w:val="TableParagraph"/>
                          <w:spacing w:before="139"/>
                          <w:ind w:left="828"/>
                          <w:rPr>
                            <w:b/>
                            <w:sz w:val="24"/>
                          </w:rPr>
                        </w:pPr>
                        <w:r>
                          <w:rPr>
                            <w:b/>
                            <w:sz w:val="24"/>
                          </w:rPr>
                          <w:t>Capitalized Assets Budget Development Highlights</w:t>
                        </w:r>
                      </w:p>
                    </w:tc>
                    <w:tc>
                      <w:tcPr>
                        <w:tcW w:w="1085" w:type="dxa"/>
                        <w:tcBorders>
                          <w:right w:val="nil"/>
                        </w:tcBorders>
                      </w:tcPr>
                      <w:p>
                        <w:pPr>
                          <w:pStyle w:val="TableParagraph"/>
                          <w:spacing w:before="139"/>
                          <w:ind w:left="100"/>
                          <w:rPr>
                            <w:b/>
                            <w:sz w:val="24"/>
                          </w:rPr>
                        </w:pPr>
                        <w:r>
                          <w:rPr>
                            <w:b/>
                            <w:sz w:val="24"/>
                          </w:rPr>
                          <w:t>6812</w:t>
                        </w:r>
                      </w:p>
                    </w:tc>
                  </w:tr>
                  <w:tr>
                    <w:trPr>
                      <w:trHeight w:val="576" w:hRule="exact"/>
                    </w:trPr>
                    <w:tc>
                      <w:tcPr>
                        <w:tcW w:w="8275" w:type="dxa"/>
                        <w:tcBorders>
                          <w:left w:val="nil"/>
                          <w:bottom w:val="nil"/>
                        </w:tcBorders>
                      </w:tcPr>
                      <w:p>
                        <w:pPr>
                          <w:pStyle w:val="TableParagraph"/>
                          <w:spacing w:before="139"/>
                          <w:ind w:left="828"/>
                          <w:rPr>
                            <w:b/>
                            <w:sz w:val="24"/>
                          </w:rPr>
                        </w:pPr>
                        <w:r>
                          <w:rPr>
                            <w:b/>
                            <w:sz w:val="24"/>
                          </w:rPr>
                          <w:t>Budget Preparation And Enactment Timetable</w:t>
                        </w:r>
                      </w:p>
                    </w:tc>
                    <w:tc>
                      <w:tcPr>
                        <w:tcW w:w="1085" w:type="dxa"/>
                        <w:tcBorders>
                          <w:bottom w:val="nil"/>
                          <w:right w:val="nil"/>
                        </w:tcBorders>
                      </w:tcPr>
                      <w:p>
                        <w:pPr>
                          <w:pStyle w:val="TableParagraph"/>
                          <w:spacing w:before="139"/>
                          <w:ind w:left="100"/>
                          <w:rPr>
                            <w:b/>
                            <w:sz w:val="24"/>
                          </w:rPr>
                        </w:pPr>
                        <w:r>
                          <w:rPr>
                            <w:b/>
                            <w:sz w:val="24"/>
                          </w:rPr>
                          <w:t>6814</w:t>
                        </w:r>
                      </w:p>
                    </w:tc>
                  </w:tr>
                </w:tbl>
                <w:p>
                  <w:pPr>
                    <w:pStyle w:val="BodyText"/>
                  </w:pPr>
                </w:p>
              </w:txbxContent>
            </v:textbox>
            <w10:wrap type="topAndBottom"/>
          </v:shape>
        </w:pict>
      </w:r>
      <w:r>
        <w:rPr/>
        <w:pict>
          <v:line style="position:absolute;mso-position-horizontal-relative:page;mso-position-vertical-relative:paragraph;z-index:-470848" from="175.199997pt,28.515362pt" to="545.999997pt,28.515362pt" stroked="true" strokeweight=".481pt" strokecolor="#000000">
            <v:stroke dashstyle="solid"/>
            <w10:wrap type="none"/>
          </v:line>
        </w:pict>
      </w:r>
      <w:r>
        <w:rPr/>
        <w:pict>
          <v:line style="position:absolute;mso-position-horizontal-relative:page;mso-position-vertical-relative:paragraph;z-index:1864" from="33.360001pt,6.915862pt" to="33.360001pt,20.715862pt" stroked="true" strokeweight=".72pt" strokecolor="#000000">
            <v:stroke dashstyle="solid"/>
            <w10:wrap type="none"/>
          </v:line>
        </w:pict>
      </w:r>
      <w:r>
        <w:rPr/>
        <w:pict>
          <v:line style="position:absolute;mso-position-horizontal-relative:page;mso-position-vertical-relative:paragraph;z-index:1888" from="33.360001pt,28.755861pt" to="33.360001pt,56.235861pt" stroked="true" strokeweight=".72pt" strokecolor="#000000">
            <v:stroke dashstyle="solid"/>
            <w10:wrap type="none"/>
          </v:line>
        </w:pict>
      </w:r>
      <w:bookmarkStart w:name="CHAPTER 6000 INDEX (Cont. 5)" w:id="10"/>
      <w:bookmarkEnd w:id="10"/>
      <w:r>
        <w:rPr>
          <w:b w:val="0"/>
        </w:rPr>
      </w:r>
      <w:r>
        <w:rPr>
          <w:color w:val="2E97D3"/>
          <w:w w:val="100"/>
          <w:u w:val="single" w:color="000000"/>
        </w:rPr>
        <w:t> </w:t>
      </w:r>
      <w:r>
        <w:rPr>
          <w:color w:val="2E97D3"/>
          <w:u w:val="single" w:color="000000"/>
        </w:rPr>
        <w:tab/>
        <w:tab/>
      </w:r>
      <w:r>
        <w:rPr>
          <w:strike/>
          <w:color w:val="2E97D3"/>
          <w:u w:val="single" w:color="000000"/>
        </w:rPr>
        <w:t>INFORMATION</w:t>
      </w:r>
      <w:r>
        <w:rPr>
          <w:strike/>
          <w:color w:val="2E97D3"/>
          <w:spacing w:val="-7"/>
          <w:u w:val="single" w:color="000000"/>
        </w:rPr>
        <w:t> </w:t>
      </w:r>
      <w:r>
        <w:rPr>
          <w:strike/>
          <w:color w:val="2E97D3"/>
          <w:u w:val="single" w:color="000000"/>
        </w:rPr>
        <w:t>TECHNOLOGY</w:t>
      </w:r>
      <w:r>
        <w:rPr>
          <w:strike/>
          <w:color w:val="2E97D3"/>
          <w:spacing w:val="-9"/>
          <w:u w:val="single" w:color="000000"/>
        </w:rPr>
        <w:t> </w:t>
      </w:r>
      <w:r>
        <w:rPr>
          <w:strike/>
          <w:color w:val="2E97D3"/>
          <w:u w:val="single" w:color="000000"/>
        </w:rPr>
        <w:t>BUDGETIN</w:t>
      </w:r>
      <w:r>
        <w:rPr>
          <w:strike w:val="0"/>
          <w:color w:val="2E97D3"/>
          <w:u w:val="single" w:color="000000"/>
        </w:rPr>
        <w:t>G</w:t>
        <w:tab/>
      </w:r>
      <w:r>
        <w:rPr>
          <w:strike w:val="0"/>
          <w:color w:val="2E97D3"/>
        </w:rPr>
        <w:t> </w:t>
      </w:r>
      <w:bookmarkStart w:name="INFORMATION TECHNOLOGY BUDGETING" w:id="11"/>
      <w:bookmarkEnd w:id="11"/>
      <w:r>
        <w:rPr>
          <w:strike w:val="0"/>
          <w:color w:val="2E97D3"/>
          <w:w w:val="100"/>
        </w:rPr>
      </w:r>
      <w:r>
        <w:rPr>
          <w:strike w:val="0"/>
          <w:color w:val="2E97D3"/>
          <w:u w:val="thick" w:color="2E97D3"/>
        </w:rPr>
        <w:t>INFORMATION TECHNOLOGY</w:t>
      </w:r>
      <w:r>
        <w:rPr>
          <w:strike w:val="0"/>
          <w:color w:val="2E97D3"/>
          <w:spacing w:val="-17"/>
          <w:u w:val="thick" w:color="2E97D3"/>
        </w:rPr>
        <w:t> </w:t>
      </w:r>
      <w:r>
        <w:rPr>
          <w:strike w:val="0"/>
          <w:color w:val="2E97D3"/>
          <w:u w:val="thick" w:color="2E97D3"/>
        </w:rPr>
        <w:t>BUDGETING</w:t>
      </w:r>
    </w:p>
    <w:p>
      <w:pPr>
        <w:pStyle w:val="BodyText"/>
        <w:spacing w:before="8"/>
        <w:rPr>
          <w:b/>
          <w:sz w:val="22"/>
        </w:rPr>
      </w:pPr>
    </w:p>
    <w:p>
      <w:pPr>
        <w:pStyle w:val="BodyText"/>
        <w:spacing w:before="1"/>
        <w:ind w:left="880"/>
      </w:pPr>
      <w:r>
        <w:rPr/>
        <w:pict>
          <v:line style="position:absolute;mso-position-horizontal-relative:page;mso-position-vertical-relative:paragraph;z-index:1912" from="33.360001pt,20.065859pt" to="33.360001pt,45.865859pt" stroked="true" strokeweight=".72pt" strokecolor="#000000">
            <v:stroke dashstyle="solid"/>
            <w10:wrap type="none"/>
          </v:line>
        </w:pict>
      </w:r>
      <w:r>
        <w:rPr/>
        <w:t>(Continued)</w:t>
      </w:r>
    </w:p>
    <w:p>
      <w:pPr>
        <w:spacing w:after="0"/>
        <w:sectPr>
          <w:pgSz w:w="12240" w:h="15840"/>
          <w:pgMar w:header="983" w:footer="803" w:top="1660" w:bottom="1000" w:left="560" w:right="1200"/>
        </w:sectPr>
      </w:pPr>
    </w:p>
    <w:p>
      <w:pPr>
        <w:pStyle w:val="BodyText"/>
        <w:spacing w:before="3"/>
        <w:rPr>
          <w:sz w:val="27"/>
        </w:rPr>
      </w:pPr>
    </w:p>
    <w:tbl>
      <w:tblPr>
        <w:tblW w:w="0" w:type="auto"/>
        <w:jc w:val="left"/>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75"/>
        <w:gridCol w:w="1085"/>
      </w:tblGrid>
      <w:tr>
        <w:trPr>
          <w:trHeight w:val="586" w:hRule="exact"/>
        </w:trPr>
        <w:tc>
          <w:tcPr>
            <w:tcW w:w="8275" w:type="dxa"/>
            <w:tcBorders>
              <w:left w:val="nil"/>
            </w:tcBorders>
          </w:tcPr>
          <w:p>
            <w:pPr>
              <w:pStyle w:val="TableParagraph"/>
              <w:spacing w:before="144"/>
              <w:ind w:left="827"/>
              <w:rPr>
                <w:b/>
                <w:sz w:val="24"/>
              </w:rPr>
            </w:pPr>
            <w:bookmarkStart w:name="CHAPTER 6000 INDEX (Cont. 6)" w:id="12"/>
            <w:bookmarkEnd w:id="12"/>
            <w:r>
              <w:rPr/>
            </w:r>
            <w:r>
              <w:rPr>
                <w:b/>
                <w:sz w:val="24"/>
              </w:rPr>
              <w:t>Documents Required To Request Capital Outlay Funding</w:t>
            </w:r>
          </w:p>
        </w:tc>
        <w:tc>
          <w:tcPr>
            <w:tcW w:w="1085" w:type="dxa"/>
            <w:tcBorders>
              <w:right w:val="nil"/>
            </w:tcBorders>
          </w:tcPr>
          <w:p>
            <w:pPr>
              <w:pStyle w:val="TableParagraph"/>
              <w:spacing w:before="144"/>
              <w:ind w:left="103"/>
              <w:rPr>
                <w:b/>
                <w:sz w:val="24"/>
              </w:rPr>
            </w:pPr>
            <w:r>
              <w:rPr>
                <w:b/>
                <w:sz w:val="24"/>
              </w:rPr>
              <w:t>6816</w:t>
            </w:r>
          </w:p>
        </w:tc>
      </w:tr>
      <w:tr>
        <w:trPr>
          <w:trHeight w:val="586" w:hRule="exact"/>
        </w:trPr>
        <w:tc>
          <w:tcPr>
            <w:tcW w:w="8275" w:type="dxa"/>
            <w:tcBorders>
              <w:left w:val="nil"/>
            </w:tcBorders>
          </w:tcPr>
          <w:p>
            <w:pPr>
              <w:pStyle w:val="TableParagraph"/>
              <w:spacing w:before="144"/>
              <w:ind w:left="827"/>
              <w:rPr>
                <w:b/>
                <w:sz w:val="24"/>
              </w:rPr>
            </w:pPr>
            <w:r>
              <w:rPr>
                <w:b/>
                <w:sz w:val="24"/>
              </w:rPr>
              <w:t>Capital Outlay Budget Change Proposals (COBCP)</w:t>
            </w:r>
          </w:p>
        </w:tc>
        <w:tc>
          <w:tcPr>
            <w:tcW w:w="1085" w:type="dxa"/>
            <w:tcBorders>
              <w:right w:val="nil"/>
            </w:tcBorders>
          </w:tcPr>
          <w:p>
            <w:pPr>
              <w:pStyle w:val="TableParagraph"/>
              <w:spacing w:before="144"/>
              <w:ind w:left="103"/>
              <w:rPr>
                <w:b/>
                <w:sz w:val="24"/>
              </w:rPr>
            </w:pPr>
            <w:r>
              <w:rPr>
                <w:b/>
                <w:sz w:val="24"/>
              </w:rPr>
              <w:t>6818</w:t>
            </w:r>
          </w:p>
        </w:tc>
      </w:tr>
      <w:tr>
        <w:trPr>
          <w:trHeight w:val="586" w:hRule="exact"/>
        </w:trPr>
        <w:tc>
          <w:tcPr>
            <w:tcW w:w="8275" w:type="dxa"/>
            <w:tcBorders>
              <w:left w:val="nil"/>
            </w:tcBorders>
          </w:tcPr>
          <w:p>
            <w:pPr>
              <w:pStyle w:val="TableParagraph"/>
              <w:spacing w:before="144"/>
              <w:ind w:left="827"/>
              <w:rPr>
                <w:b/>
                <w:sz w:val="24"/>
              </w:rPr>
            </w:pPr>
            <w:r>
              <w:rPr>
                <w:b/>
                <w:sz w:val="24"/>
              </w:rPr>
              <w:t>Five-Year Capitalized Assets Plan</w:t>
            </w:r>
          </w:p>
        </w:tc>
        <w:tc>
          <w:tcPr>
            <w:tcW w:w="1085" w:type="dxa"/>
            <w:tcBorders>
              <w:right w:val="nil"/>
            </w:tcBorders>
          </w:tcPr>
          <w:p>
            <w:pPr>
              <w:pStyle w:val="TableParagraph"/>
              <w:spacing w:before="144"/>
              <w:ind w:left="103"/>
              <w:rPr>
                <w:b/>
                <w:sz w:val="24"/>
              </w:rPr>
            </w:pPr>
            <w:r>
              <w:rPr>
                <w:b/>
                <w:sz w:val="24"/>
              </w:rPr>
              <w:t>6820</w:t>
            </w:r>
          </w:p>
        </w:tc>
      </w:tr>
      <w:tr>
        <w:trPr>
          <w:trHeight w:val="588" w:hRule="exact"/>
        </w:trPr>
        <w:tc>
          <w:tcPr>
            <w:tcW w:w="8275" w:type="dxa"/>
            <w:tcBorders>
              <w:left w:val="nil"/>
            </w:tcBorders>
          </w:tcPr>
          <w:p>
            <w:pPr>
              <w:pStyle w:val="TableParagraph"/>
              <w:spacing w:before="144"/>
              <w:ind w:left="827"/>
              <w:rPr>
                <w:b/>
                <w:sz w:val="24"/>
              </w:rPr>
            </w:pPr>
            <w:r>
              <w:rPr>
                <w:b/>
                <w:sz w:val="24"/>
              </w:rPr>
              <w:t>Prototype Development/Changes</w:t>
            </w:r>
          </w:p>
        </w:tc>
        <w:tc>
          <w:tcPr>
            <w:tcW w:w="1085" w:type="dxa"/>
            <w:tcBorders>
              <w:right w:val="nil"/>
            </w:tcBorders>
          </w:tcPr>
          <w:p>
            <w:pPr>
              <w:pStyle w:val="TableParagraph"/>
              <w:spacing w:before="144"/>
              <w:ind w:left="103"/>
              <w:rPr>
                <w:b/>
                <w:sz w:val="24"/>
              </w:rPr>
            </w:pPr>
            <w:r>
              <w:rPr>
                <w:b/>
                <w:sz w:val="24"/>
              </w:rPr>
              <w:t>6821</w:t>
            </w:r>
          </w:p>
        </w:tc>
      </w:tr>
      <w:tr>
        <w:trPr>
          <w:trHeight w:val="586" w:hRule="exact"/>
        </w:trPr>
        <w:tc>
          <w:tcPr>
            <w:tcW w:w="8275" w:type="dxa"/>
            <w:tcBorders>
              <w:left w:val="nil"/>
            </w:tcBorders>
          </w:tcPr>
          <w:p>
            <w:pPr>
              <w:pStyle w:val="TableParagraph"/>
              <w:spacing w:before="139"/>
              <w:ind w:left="827"/>
              <w:rPr>
                <w:b/>
                <w:sz w:val="24"/>
              </w:rPr>
            </w:pPr>
            <w:r>
              <w:rPr>
                <w:b/>
                <w:sz w:val="24"/>
              </w:rPr>
              <w:t>Historical Resources</w:t>
            </w:r>
          </w:p>
        </w:tc>
        <w:tc>
          <w:tcPr>
            <w:tcW w:w="1085" w:type="dxa"/>
            <w:tcBorders>
              <w:right w:val="nil"/>
            </w:tcBorders>
          </w:tcPr>
          <w:p>
            <w:pPr>
              <w:pStyle w:val="TableParagraph"/>
              <w:spacing w:before="139"/>
              <w:ind w:left="103"/>
              <w:rPr>
                <w:b/>
                <w:sz w:val="24"/>
              </w:rPr>
            </w:pPr>
            <w:r>
              <w:rPr>
                <w:b/>
                <w:sz w:val="24"/>
              </w:rPr>
              <w:t>6822</w:t>
            </w:r>
          </w:p>
        </w:tc>
      </w:tr>
      <w:tr>
        <w:trPr>
          <w:trHeight w:val="586" w:hRule="exact"/>
        </w:trPr>
        <w:tc>
          <w:tcPr>
            <w:tcW w:w="8275" w:type="dxa"/>
            <w:tcBorders>
              <w:left w:val="nil"/>
            </w:tcBorders>
          </w:tcPr>
          <w:p>
            <w:pPr>
              <w:pStyle w:val="TableParagraph"/>
              <w:spacing w:before="139"/>
              <w:ind w:left="827"/>
              <w:rPr>
                <w:b/>
                <w:sz w:val="24"/>
              </w:rPr>
            </w:pPr>
            <w:r>
              <w:rPr>
                <w:b/>
                <w:sz w:val="24"/>
              </w:rPr>
              <w:t>Use Of Consultants</w:t>
            </w:r>
          </w:p>
        </w:tc>
        <w:tc>
          <w:tcPr>
            <w:tcW w:w="1085" w:type="dxa"/>
            <w:tcBorders>
              <w:right w:val="nil"/>
            </w:tcBorders>
          </w:tcPr>
          <w:p>
            <w:pPr>
              <w:pStyle w:val="TableParagraph"/>
              <w:spacing w:before="139"/>
              <w:ind w:left="103"/>
              <w:rPr>
                <w:b/>
                <w:sz w:val="24"/>
              </w:rPr>
            </w:pPr>
            <w:r>
              <w:rPr>
                <w:b/>
                <w:sz w:val="24"/>
              </w:rPr>
              <w:t>6823</w:t>
            </w:r>
          </w:p>
        </w:tc>
      </w:tr>
      <w:tr>
        <w:trPr>
          <w:trHeight w:val="588" w:hRule="exact"/>
        </w:trPr>
        <w:tc>
          <w:tcPr>
            <w:tcW w:w="8275" w:type="dxa"/>
            <w:tcBorders>
              <w:left w:val="nil"/>
            </w:tcBorders>
          </w:tcPr>
          <w:p>
            <w:pPr>
              <w:pStyle w:val="TableParagraph"/>
              <w:spacing w:before="147"/>
              <w:ind w:left="827"/>
              <w:rPr>
                <w:b/>
                <w:sz w:val="24"/>
              </w:rPr>
            </w:pPr>
            <w:r>
              <w:rPr>
                <w:b/>
                <w:sz w:val="24"/>
              </w:rPr>
              <w:t>DGS’ Feasibility Review</w:t>
            </w:r>
          </w:p>
        </w:tc>
        <w:tc>
          <w:tcPr>
            <w:tcW w:w="1085" w:type="dxa"/>
            <w:tcBorders>
              <w:right w:val="nil"/>
            </w:tcBorders>
          </w:tcPr>
          <w:p>
            <w:pPr>
              <w:pStyle w:val="TableParagraph"/>
              <w:spacing w:before="147"/>
              <w:ind w:left="103"/>
              <w:rPr>
                <w:b/>
                <w:sz w:val="24"/>
              </w:rPr>
            </w:pPr>
            <w:r>
              <w:rPr>
                <w:b/>
                <w:sz w:val="24"/>
              </w:rPr>
              <w:t>6824</w:t>
            </w:r>
          </w:p>
        </w:tc>
      </w:tr>
      <w:tr>
        <w:trPr>
          <w:trHeight w:val="586" w:hRule="exact"/>
        </w:trPr>
        <w:tc>
          <w:tcPr>
            <w:tcW w:w="8275" w:type="dxa"/>
            <w:tcBorders>
              <w:left w:val="nil"/>
            </w:tcBorders>
          </w:tcPr>
          <w:p>
            <w:pPr>
              <w:pStyle w:val="TableParagraph"/>
              <w:spacing w:before="144"/>
              <w:ind w:left="827"/>
              <w:rPr>
                <w:b/>
                <w:sz w:val="24"/>
              </w:rPr>
            </w:pPr>
            <w:r>
              <w:rPr>
                <w:b/>
                <w:sz w:val="24"/>
              </w:rPr>
              <w:t>Scope Meetings</w:t>
            </w:r>
          </w:p>
        </w:tc>
        <w:tc>
          <w:tcPr>
            <w:tcW w:w="1085" w:type="dxa"/>
            <w:tcBorders>
              <w:right w:val="nil"/>
            </w:tcBorders>
          </w:tcPr>
          <w:p>
            <w:pPr>
              <w:pStyle w:val="TableParagraph"/>
              <w:spacing w:before="144"/>
              <w:ind w:left="103"/>
              <w:rPr>
                <w:b/>
                <w:sz w:val="24"/>
              </w:rPr>
            </w:pPr>
            <w:r>
              <w:rPr>
                <w:b/>
                <w:sz w:val="24"/>
              </w:rPr>
              <w:t>6826</w:t>
            </w:r>
          </w:p>
        </w:tc>
      </w:tr>
      <w:tr>
        <w:trPr>
          <w:trHeight w:val="586" w:hRule="exact"/>
        </w:trPr>
        <w:tc>
          <w:tcPr>
            <w:tcW w:w="8275" w:type="dxa"/>
            <w:tcBorders>
              <w:left w:val="nil"/>
            </w:tcBorders>
          </w:tcPr>
          <w:p>
            <w:pPr>
              <w:pStyle w:val="TableParagraph"/>
              <w:spacing w:before="144"/>
              <w:ind w:left="827"/>
              <w:rPr>
                <w:b/>
                <w:sz w:val="24"/>
              </w:rPr>
            </w:pPr>
            <w:r>
              <w:rPr>
                <w:b/>
                <w:sz w:val="24"/>
              </w:rPr>
              <w:t>Budget Package Preparation, Budget Estimates</w:t>
            </w:r>
          </w:p>
        </w:tc>
        <w:tc>
          <w:tcPr>
            <w:tcW w:w="1085" w:type="dxa"/>
            <w:tcBorders>
              <w:right w:val="nil"/>
            </w:tcBorders>
          </w:tcPr>
          <w:p>
            <w:pPr>
              <w:pStyle w:val="TableParagraph"/>
              <w:spacing w:before="144"/>
              <w:ind w:left="103"/>
              <w:rPr>
                <w:b/>
                <w:sz w:val="24"/>
              </w:rPr>
            </w:pPr>
            <w:r>
              <w:rPr>
                <w:b/>
                <w:sz w:val="24"/>
              </w:rPr>
              <w:t>6828</w:t>
            </w:r>
          </w:p>
        </w:tc>
      </w:tr>
      <w:tr>
        <w:trPr>
          <w:trHeight w:val="588" w:hRule="exact"/>
        </w:trPr>
        <w:tc>
          <w:tcPr>
            <w:tcW w:w="8275" w:type="dxa"/>
            <w:tcBorders>
              <w:left w:val="nil"/>
            </w:tcBorders>
          </w:tcPr>
          <w:p>
            <w:pPr>
              <w:pStyle w:val="TableParagraph"/>
              <w:spacing w:before="144"/>
              <w:ind w:left="827"/>
              <w:rPr>
                <w:b/>
                <w:sz w:val="24"/>
              </w:rPr>
            </w:pPr>
            <w:r>
              <w:rPr>
                <w:b/>
                <w:sz w:val="24"/>
              </w:rPr>
              <w:t>Budget Hearings, Final Budget Document Preparation</w:t>
            </w:r>
          </w:p>
        </w:tc>
        <w:tc>
          <w:tcPr>
            <w:tcW w:w="1085" w:type="dxa"/>
            <w:tcBorders>
              <w:right w:val="nil"/>
            </w:tcBorders>
          </w:tcPr>
          <w:p>
            <w:pPr>
              <w:pStyle w:val="TableParagraph"/>
              <w:spacing w:before="144"/>
              <w:ind w:left="103"/>
              <w:rPr>
                <w:b/>
                <w:sz w:val="24"/>
              </w:rPr>
            </w:pPr>
            <w:r>
              <w:rPr>
                <w:b/>
                <w:sz w:val="24"/>
              </w:rPr>
              <w:t>6830</w:t>
            </w:r>
          </w:p>
        </w:tc>
      </w:tr>
      <w:tr>
        <w:trPr>
          <w:trHeight w:val="586" w:hRule="exact"/>
        </w:trPr>
        <w:tc>
          <w:tcPr>
            <w:tcW w:w="8275" w:type="dxa"/>
            <w:tcBorders>
              <w:left w:val="nil"/>
            </w:tcBorders>
          </w:tcPr>
          <w:p>
            <w:pPr>
              <w:pStyle w:val="TableParagraph"/>
              <w:spacing w:before="139"/>
              <w:ind w:left="827"/>
              <w:rPr>
                <w:b/>
                <w:sz w:val="24"/>
              </w:rPr>
            </w:pPr>
            <w:r>
              <w:rPr>
                <w:b/>
                <w:sz w:val="24"/>
              </w:rPr>
              <w:t>Governor’s Budget And Legislative Approval</w:t>
            </w:r>
          </w:p>
        </w:tc>
        <w:tc>
          <w:tcPr>
            <w:tcW w:w="1085" w:type="dxa"/>
            <w:tcBorders>
              <w:right w:val="nil"/>
            </w:tcBorders>
          </w:tcPr>
          <w:p>
            <w:pPr>
              <w:pStyle w:val="TableParagraph"/>
              <w:spacing w:before="139"/>
              <w:ind w:left="103"/>
              <w:rPr>
                <w:b/>
                <w:sz w:val="24"/>
              </w:rPr>
            </w:pPr>
            <w:r>
              <w:rPr>
                <w:b/>
                <w:sz w:val="24"/>
              </w:rPr>
              <w:t>6832</w:t>
            </w:r>
          </w:p>
        </w:tc>
      </w:tr>
      <w:tr>
        <w:trPr>
          <w:trHeight w:val="586" w:hRule="exact"/>
        </w:trPr>
        <w:tc>
          <w:tcPr>
            <w:tcW w:w="8275" w:type="dxa"/>
            <w:tcBorders>
              <w:left w:val="nil"/>
            </w:tcBorders>
          </w:tcPr>
          <w:p>
            <w:pPr>
              <w:pStyle w:val="TableParagraph"/>
              <w:spacing w:before="139"/>
              <w:ind w:left="827"/>
              <w:rPr>
                <w:b/>
                <w:sz w:val="24"/>
              </w:rPr>
            </w:pPr>
            <w:r>
              <w:rPr>
                <w:b/>
                <w:sz w:val="24"/>
              </w:rPr>
              <w:t>Capital Outlay Reappropriations</w:t>
            </w:r>
          </w:p>
        </w:tc>
        <w:tc>
          <w:tcPr>
            <w:tcW w:w="1085" w:type="dxa"/>
            <w:tcBorders>
              <w:right w:val="nil"/>
            </w:tcBorders>
          </w:tcPr>
          <w:p>
            <w:pPr>
              <w:pStyle w:val="TableParagraph"/>
              <w:spacing w:before="139"/>
              <w:ind w:left="103"/>
              <w:rPr>
                <w:b/>
                <w:sz w:val="24"/>
              </w:rPr>
            </w:pPr>
            <w:r>
              <w:rPr>
                <w:b/>
                <w:sz w:val="24"/>
              </w:rPr>
              <w:t>6834</w:t>
            </w:r>
          </w:p>
        </w:tc>
      </w:tr>
      <w:tr>
        <w:trPr>
          <w:trHeight w:val="586" w:hRule="exact"/>
        </w:trPr>
        <w:tc>
          <w:tcPr>
            <w:tcW w:w="8275" w:type="dxa"/>
            <w:tcBorders>
              <w:left w:val="nil"/>
            </w:tcBorders>
          </w:tcPr>
          <w:p>
            <w:pPr>
              <w:pStyle w:val="TableParagraph"/>
              <w:spacing w:before="144"/>
              <w:ind w:left="827"/>
              <w:rPr>
                <w:b/>
                <w:sz w:val="24"/>
              </w:rPr>
            </w:pPr>
            <w:r>
              <w:rPr>
                <w:b/>
                <w:sz w:val="24"/>
              </w:rPr>
              <w:t>Ten-Year Survey Of Capital Outlay And Infrastructure Needs</w:t>
            </w:r>
          </w:p>
        </w:tc>
        <w:tc>
          <w:tcPr>
            <w:tcW w:w="1085" w:type="dxa"/>
            <w:tcBorders>
              <w:right w:val="nil"/>
            </w:tcBorders>
          </w:tcPr>
          <w:p>
            <w:pPr>
              <w:pStyle w:val="TableParagraph"/>
              <w:spacing w:before="144"/>
              <w:ind w:left="103"/>
              <w:rPr>
                <w:b/>
                <w:sz w:val="24"/>
              </w:rPr>
            </w:pPr>
            <w:r>
              <w:rPr>
                <w:b/>
                <w:sz w:val="24"/>
              </w:rPr>
              <w:t>6837</w:t>
            </w:r>
          </w:p>
        </w:tc>
      </w:tr>
      <w:tr>
        <w:trPr>
          <w:trHeight w:val="588" w:hRule="exact"/>
        </w:trPr>
        <w:tc>
          <w:tcPr>
            <w:tcW w:w="8275" w:type="dxa"/>
            <w:tcBorders>
              <w:left w:val="nil"/>
            </w:tcBorders>
          </w:tcPr>
          <w:p>
            <w:pPr>
              <w:pStyle w:val="TableParagraph"/>
              <w:spacing w:before="147"/>
              <w:ind w:left="827"/>
              <w:rPr>
                <w:b/>
                <w:sz w:val="24"/>
              </w:rPr>
            </w:pPr>
            <w:r>
              <w:rPr>
                <w:b/>
                <w:sz w:val="24"/>
              </w:rPr>
              <w:t>Capital Outlay Coding Structures</w:t>
            </w:r>
          </w:p>
        </w:tc>
        <w:tc>
          <w:tcPr>
            <w:tcW w:w="1085" w:type="dxa"/>
            <w:tcBorders>
              <w:right w:val="nil"/>
            </w:tcBorders>
          </w:tcPr>
          <w:p>
            <w:pPr>
              <w:pStyle w:val="TableParagraph"/>
              <w:spacing w:before="147"/>
              <w:ind w:left="103"/>
              <w:rPr>
                <w:b/>
                <w:sz w:val="24"/>
              </w:rPr>
            </w:pPr>
            <w:r>
              <w:rPr>
                <w:b/>
                <w:sz w:val="24"/>
              </w:rPr>
              <w:t>6839</w:t>
            </w:r>
          </w:p>
        </w:tc>
      </w:tr>
      <w:tr>
        <w:trPr>
          <w:trHeight w:val="586" w:hRule="exact"/>
        </w:trPr>
        <w:tc>
          <w:tcPr>
            <w:tcW w:w="8275" w:type="dxa"/>
            <w:tcBorders>
              <w:left w:val="nil"/>
            </w:tcBorders>
          </w:tcPr>
          <w:p>
            <w:pPr>
              <w:pStyle w:val="TableParagraph"/>
              <w:spacing w:before="144"/>
              <w:ind w:left="107"/>
              <w:rPr>
                <w:b/>
                <w:sz w:val="24"/>
              </w:rPr>
            </w:pPr>
            <w:r>
              <w:rPr>
                <w:b/>
                <w:sz w:val="24"/>
              </w:rPr>
              <w:t>ADMINISTRATION OF CAPITAL OUTLAY PROGRAM</w:t>
            </w:r>
          </w:p>
        </w:tc>
        <w:tc>
          <w:tcPr>
            <w:tcW w:w="1085" w:type="dxa"/>
            <w:tcBorders>
              <w:right w:val="nil"/>
            </w:tcBorders>
          </w:tcPr>
          <w:p>
            <w:pPr>
              <w:pStyle w:val="TableParagraph"/>
              <w:spacing w:before="144"/>
              <w:ind w:left="103"/>
              <w:rPr>
                <w:b/>
                <w:sz w:val="24"/>
              </w:rPr>
            </w:pPr>
            <w:r>
              <w:rPr>
                <w:b/>
                <w:sz w:val="24"/>
              </w:rPr>
              <w:t>6840</w:t>
            </w:r>
          </w:p>
        </w:tc>
      </w:tr>
      <w:tr>
        <w:trPr>
          <w:trHeight w:val="588" w:hRule="exact"/>
        </w:trPr>
        <w:tc>
          <w:tcPr>
            <w:tcW w:w="8275" w:type="dxa"/>
            <w:tcBorders>
              <w:left w:val="nil"/>
            </w:tcBorders>
          </w:tcPr>
          <w:p>
            <w:pPr>
              <w:pStyle w:val="TableParagraph"/>
              <w:spacing w:before="144"/>
              <w:ind w:left="827"/>
              <w:rPr>
                <w:b/>
                <w:sz w:val="24"/>
              </w:rPr>
            </w:pPr>
            <w:r>
              <w:rPr>
                <w:b/>
                <w:sz w:val="24"/>
              </w:rPr>
              <w:t>Methods Of Project Delivery</w:t>
            </w:r>
          </w:p>
        </w:tc>
        <w:tc>
          <w:tcPr>
            <w:tcW w:w="1085" w:type="dxa"/>
            <w:tcBorders>
              <w:right w:val="nil"/>
            </w:tcBorders>
          </w:tcPr>
          <w:p>
            <w:pPr>
              <w:pStyle w:val="TableParagraph"/>
              <w:spacing w:before="144"/>
              <w:ind w:left="103"/>
              <w:rPr>
                <w:b/>
                <w:sz w:val="24"/>
              </w:rPr>
            </w:pPr>
            <w:r>
              <w:rPr>
                <w:b/>
                <w:sz w:val="24"/>
              </w:rPr>
              <w:t>6841</w:t>
            </w:r>
          </w:p>
        </w:tc>
      </w:tr>
      <w:tr>
        <w:trPr>
          <w:trHeight w:val="586" w:hRule="exact"/>
        </w:trPr>
        <w:tc>
          <w:tcPr>
            <w:tcW w:w="8275" w:type="dxa"/>
            <w:tcBorders>
              <w:left w:val="nil"/>
            </w:tcBorders>
          </w:tcPr>
          <w:p>
            <w:pPr>
              <w:pStyle w:val="TableParagraph"/>
              <w:spacing w:before="139"/>
              <w:ind w:left="827"/>
              <w:rPr>
                <w:b/>
                <w:sz w:val="24"/>
              </w:rPr>
            </w:pPr>
            <w:r>
              <w:rPr>
                <w:b/>
                <w:sz w:val="24"/>
              </w:rPr>
              <w:t>State Public Works Board (PWB) Overview</w:t>
            </w:r>
          </w:p>
        </w:tc>
        <w:tc>
          <w:tcPr>
            <w:tcW w:w="1085" w:type="dxa"/>
            <w:tcBorders>
              <w:right w:val="nil"/>
            </w:tcBorders>
          </w:tcPr>
          <w:p>
            <w:pPr>
              <w:pStyle w:val="TableParagraph"/>
              <w:spacing w:before="139"/>
              <w:ind w:left="103"/>
              <w:rPr>
                <w:b/>
                <w:sz w:val="24"/>
              </w:rPr>
            </w:pPr>
            <w:r>
              <w:rPr>
                <w:b/>
                <w:sz w:val="24"/>
              </w:rPr>
              <w:t>6842</w:t>
            </w:r>
          </w:p>
        </w:tc>
      </w:tr>
      <w:tr>
        <w:trPr>
          <w:trHeight w:val="576" w:hRule="exact"/>
        </w:trPr>
        <w:tc>
          <w:tcPr>
            <w:tcW w:w="8275" w:type="dxa"/>
            <w:tcBorders>
              <w:left w:val="nil"/>
              <w:bottom w:val="nil"/>
            </w:tcBorders>
          </w:tcPr>
          <w:p>
            <w:pPr>
              <w:pStyle w:val="TableParagraph"/>
              <w:spacing w:before="139"/>
              <w:ind w:left="1547"/>
              <w:rPr>
                <w:b/>
                <w:sz w:val="24"/>
              </w:rPr>
            </w:pPr>
            <w:r>
              <w:rPr>
                <w:b/>
                <w:sz w:val="24"/>
              </w:rPr>
              <w:t>Monthly Public Works Board Process</w:t>
            </w:r>
          </w:p>
        </w:tc>
        <w:tc>
          <w:tcPr>
            <w:tcW w:w="1085" w:type="dxa"/>
            <w:tcBorders>
              <w:bottom w:val="nil"/>
              <w:right w:val="nil"/>
            </w:tcBorders>
          </w:tcPr>
          <w:p>
            <w:pPr>
              <w:pStyle w:val="TableParagraph"/>
              <w:spacing w:before="139"/>
              <w:ind w:left="103"/>
              <w:rPr>
                <w:b/>
                <w:sz w:val="24"/>
              </w:rPr>
            </w:pPr>
            <w:r>
              <w:rPr>
                <w:b/>
                <w:sz w:val="24"/>
              </w:rPr>
              <w:t>6844</w:t>
            </w:r>
          </w:p>
        </w:tc>
      </w:tr>
    </w:tbl>
    <w:p>
      <w:pPr>
        <w:pStyle w:val="BodyText"/>
        <w:rPr>
          <w:sz w:val="20"/>
        </w:rPr>
      </w:pPr>
    </w:p>
    <w:p>
      <w:pPr>
        <w:pStyle w:val="BodyText"/>
        <w:rPr>
          <w:sz w:val="20"/>
        </w:rPr>
      </w:pPr>
    </w:p>
    <w:p>
      <w:pPr>
        <w:pStyle w:val="BodyText"/>
        <w:spacing w:before="219"/>
        <w:ind w:left="880"/>
      </w:pPr>
      <w:r>
        <w:rPr/>
        <w:pict>
          <v:line style="position:absolute;mso-position-horizontal-relative:page;mso-position-vertical-relative:paragraph;z-index:1936" from="33.360001pt,30.96586pt" to="33.360001pt,56.76586pt" stroked="true" strokeweight=".72pt" strokecolor="#000000">
            <v:stroke dashstyle="solid"/>
            <w10:wrap type="none"/>
          </v:line>
        </w:pict>
      </w:r>
      <w:r>
        <w:rPr/>
        <w:t>(Continued)</w:t>
      </w:r>
    </w:p>
    <w:p>
      <w:pPr>
        <w:spacing w:after="0"/>
        <w:sectPr>
          <w:pgSz w:w="12240" w:h="15840"/>
          <w:pgMar w:header="983" w:footer="803" w:top="1640" w:bottom="1060" w:left="560" w:right="1200"/>
        </w:sectPr>
      </w:pPr>
    </w:p>
    <w:p>
      <w:pPr>
        <w:pStyle w:val="BodyText"/>
        <w:spacing w:before="3"/>
        <w:rPr>
          <w:sz w:val="27"/>
        </w:rPr>
      </w:pPr>
      <w:r>
        <w:rPr/>
        <w:pict>
          <v:line style="position:absolute;mso-position-horizontal-relative:page;mso-position-vertical-relative:page;z-index:1960" from="33.360001pt,98.519997pt" to="33.360001pt,112.319997pt" stroked="true" strokeweight=".72pt" strokecolor="#000000">
            <v:stroke dashstyle="solid"/>
            <w10:wrap type="none"/>
          </v:line>
        </w:pict>
      </w:r>
      <w:r>
        <w:rPr/>
        <w:pict>
          <v:line style="position:absolute;mso-position-horizontal-relative:page;mso-position-vertical-relative:page;z-index:1984" from="33.360001pt,479.639008pt" to="33.360001pt,493.440008pt" stroked="true" strokeweight=".72pt" strokecolor="#000000">
            <v:stroke dashstyle="solid"/>
            <w10:wrap type="none"/>
          </v:line>
        </w:pict>
      </w:r>
    </w:p>
    <w:tbl>
      <w:tblPr>
        <w:tblW w:w="0" w:type="auto"/>
        <w:jc w:val="left"/>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78"/>
        <w:gridCol w:w="1082"/>
      </w:tblGrid>
      <w:tr>
        <w:trPr>
          <w:trHeight w:val="586" w:hRule="exact"/>
        </w:trPr>
        <w:tc>
          <w:tcPr>
            <w:tcW w:w="8278" w:type="dxa"/>
            <w:tcBorders>
              <w:left w:val="nil"/>
            </w:tcBorders>
          </w:tcPr>
          <w:p>
            <w:pPr>
              <w:pStyle w:val="TableParagraph"/>
              <w:spacing w:line="247" w:lineRule="auto"/>
              <w:ind w:left="1547" w:right="1186" w:hanging="108"/>
              <w:rPr>
                <w:b/>
                <w:sz w:val="24"/>
              </w:rPr>
            </w:pPr>
            <w:bookmarkStart w:name="CHAPTER 6000 INDEX (Cont. 7)" w:id="13"/>
            <w:bookmarkEnd w:id="13"/>
            <w:r>
              <w:rPr/>
            </w:r>
            <w:r>
              <w:rPr>
                <w:b/>
                <w:sz w:val="24"/>
              </w:rPr>
              <w:t>Standard Information Required When Requesting PWB Or DOF Action</w:t>
            </w:r>
          </w:p>
        </w:tc>
        <w:tc>
          <w:tcPr>
            <w:tcW w:w="1082" w:type="dxa"/>
            <w:tcBorders>
              <w:right w:val="nil"/>
            </w:tcBorders>
          </w:tcPr>
          <w:p>
            <w:pPr>
              <w:pStyle w:val="TableParagraph"/>
              <w:spacing w:before="144"/>
              <w:ind w:left="103"/>
              <w:rPr>
                <w:b/>
                <w:sz w:val="24"/>
              </w:rPr>
            </w:pPr>
            <w:r>
              <w:rPr>
                <w:b/>
                <w:sz w:val="24"/>
              </w:rPr>
              <w:t>6845</w:t>
            </w:r>
          </w:p>
        </w:tc>
      </w:tr>
      <w:tr>
        <w:trPr>
          <w:trHeight w:val="586" w:hRule="exact"/>
        </w:trPr>
        <w:tc>
          <w:tcPr>
            <w:tcW w:w="8278" w:type="dxa"/>
            <w:tcBorders>
              <w:left w:val="nil"/>
            </w:tcBorders>
          </w:tcPr>
          <w:p>
            <w:pPr>
              <w:pStyle w:val="TableParagraph"/>
              <w:spacing w:before="144"/>
              <w:ind w:left="1547"/>
              <w:rPr>
                <w:b/>
                <w:sz w:val="24"/>
              </w:rPr>
            </w:pPr>
            <w:r>
              <w:rPr>
                <w:b/>
                <w:sz w:val="24"/>
              </w:rPr>
              <w:t>Typical Project Phases, Related Forms And Board Items</w:t>
            </w:r>
          </w:p>
        </w:tc>
        <w:tc>
          <w:tcPr>
            <w:tcW w:w="1082" w:type="dxa"/>
            <w:tcBorders>
              <w:right w:val="nil"/>
            </w:tcBorders>
          </w:tcPr>
          <w:p>
            <w:pPr>
              <w:pStyle w:val="TableParagraph"/>
              <w:spacing w:before="144"/>
              <w:ind w:left="103"/>
              <w:rPr>
                <w:b/>
                <w:sz w:val="24"/>
              </w:rPr>
            </w:pPr>
            <w:r>
              <w:rPr>
                <w:b/>
                <w:sz w:val="24"/>
              </w:rPr>
              <w:t>6846</w:t>
            </w:r>
          </w:p>
        </w:tc>
      </w:tr>
      <w:tr>
        <w:trPr>
          <w:trHeight w:val="586" w:hRule="exact"/>
        </w:trPr>
        <w:tc>
          <w:tcPr>
            <w:tcW w:w="8278" w:type="dxa"/>
            <w:tcBorders>
              <w:left w:val="nil"/>
            </w:tcBorders>
          </w:tcPr>
          <w:p>
            <w:pPr>
              <w:pStyle w:val="TableParagraph"/>
              <w:spacing w:before="144"/>
              <w:ind w:left="2267"/>
              <w:rPr>
                <w:b/>
                <w:sz w:val="24"/>
              </w:rPr>
            </w:pPr>
            <w:r>
              <w:rPr>
                <w:b/>
                <w:sz w:val="24"/>
              </w:rPr>
              <w:t>Starting Projects</w:t>
            </w:r>
          </w:p>
        </w:tc>
        <w:tc>
          <w:tcPr>
            <w:tcW w:w="1082" w:type="dxa"/>
            <w:tcBorders>
              <w:right w:val="nil"/>
            </w:tcBorders>
          </w:tcPr>
          <w:p>
            <w:pPr>
              <w:pStyle w:val="TableParagraph"/>
              <w:spacing w:before="144"/>
              <w:ind w:left="103"/>
              <w:rPr>
                <w:b/>
                <w:sz w:val="24"/>
              </w:rPr>
            </w:pPr>
            <w:r>
              <w:rPr>
                <w:b/>
                <w:sz w:val="24"/>
              </w:rPr>
              <w:t>6847</w:t>
            </w:r>
          </w:p>
        </w:tc>
      </w:tr>
      <w:tr>
        <w:trPr>
          <w:trHeight w:val="588" w:hRule="exact"/>
        </w:trPr>
        <w:tc>
          <w:tcPr>
            <w:tcW w:w="8278" w:type="dxa"/>
            <w:tcBorders>
              <w:left w:val="nil"/>
            </w:tcBorders>
          </w:tcPr>
          <w:p>
            <w:pPr>
              <w:pStyle w:val="TableParagraph"/>
              <w:spacing w:before="144"/>
              <w:ind w:left="2267"/>
              <w:rPr>
                <w:b/>
                <w:sz w:val="24"/>
              </w:rPr>
            </w:pPr>
            <w:r>
              <w:rPr>
                <w:b/>
                <w:sz w:val="24"/>
              </w:rPr>
              <w:t>Studies</w:t>
            </w:r>
          </w:p>
        </w:tc>
        <w:tc>
          <w:tcPr>
            <w:tcW w:w="1082" w:type="dxa"/>
            <w:tcBorders>
              <w:right w:val="nil"/>
            </w:tcBorders>
          </w:tcPr>
          <w:p>
            <w:pPr>
              <w:pStyle w:val="TableParagraph"/>
              <w:spacing w:before="144"/>
              <w:ind w:left="103"/>
              <w:rPr>
                <w:b/>
                <w:sz w:val="24"/>
              </w:rPr>
            </w:pPr>
            <w:r>
              <w:rPr>
                <w:b/>
                <w:sz w:val="24"/>
              </w:rPr>
              <w:t>6848</w:t>
            </w:r>
          </w:p>
        </w:tc>
      </w:tr>
      <w:tr>
        <w:trPr>
          <w:trHeight w:val="586" w:hRule="exact"/>
        </w:trPr>
        <w:tc>
          <w:tcPr>
            <w:tcW w:w="8278" w:type="dxa"/>
            <w:tcBorders>
              <w:left w:val="nil"/>
            </w:tcBorders>
          </w:tcPr>
          <w:p>
            <w:pPr>
              <w:pStyle w:val="TableParagraph"/>
              <w:spacing w:before="139"/>
              <w:ind w:left="2267"/>
              <w:rPr>
                <w:b/>
                <w:sz w:val="24"/>
              </w:rPr>
            </w:pPr>
            <w:r>
              <w:rPr>
                <w:b/>
                <w:sz w:val="24"/>
              </w:rPr>
              <w:t>Site Selection And Acquisition</w:t>
            </w:r>
          </w:p>
        </w:tc>
        <w:tc>
          <w:tcPr>
            <w:tcW w:w="1082" w:type="dxa"/>
            <w:tcBorders>
              <w:right w:val="nil"/>
            </w:tcBorders>
          </w:tcPr>
          <w:p>
            <w:pPr>
              <w:pStyle w:val="TableParagraph"/>
              <w:spacing w:before="139"/>
              <w:ind w:left="103"/>
              <w:rPr>
                <w:b/>
                <w:sz w:val="24"/>
              </w:rPr>
            </w:pPr>
            <w:r>
              <w:rPr>
                <w:b/>
                <w:sz w:val="24"/>
              </w:rPr>
              <w:t>6849</w:t>
            </w:r>
          </w:p>
        </w:tc>
      </w:tr>
      <w:tr>
        <w:trPr>
          <w:trHeight w:val="586" w:hRule="exact"/>
        </w:trPr>
        <w:tc>
          <w:tcPr>
            <w:tcW w:w="8278" w:type="dxa"/>
            <w:tcBorders>
              <w:left w:val="nil"/>
            </w:tcBorders>
          </w:tcPr>
          <w:p>
            <w:pPr>
              <w:pStyle w:val="TableParagraph"/>
              <w:spacing w:before="139"/>
              <w:ind w:left="2267"/>
              <w:rPr>
                <w:b/>
                <w:sz w:val="24"/>
              </w:rPr>
            </w:pPr>
            <w:r>
              <w:rPr>
                <w:b/>
                <w:sz w:val="24"/>
              </w:rPr>
              <w:t>Environmental Impact Review Process</w:t>
            </w:r>
          </w:p>
        </w:tc>
        <w:tc>
          <w:tcPr>
            <w:tcW w:w="1082" w:type="dxa"/>
            <w:tcBorders>
              <w:right w:val="nil"/>
            </w:tcBorders>
          </w:tcPr>
          <w:p>
            <w:pPr>
              <w:pStyle w:val="TableParagraph"/>
              <w:spacing w:before="139"/>
              <w:ind w:left="103"/>
              <w:rPr>
                <w:b/>
                <w:sz w:val="24"/>
              </w:rPr>
            </w:pPr>
            <w:r>
              <w:rPr>
                <w:b/>
                <w:sz w:val="24"/>
              </w:rPr>
              <w:t>6850</w:t>
            </w:r>
          </w:p>
        </w:tc>
      </w:tr>
      <w:tr>
        <w:trPr>
          <w:trHeight w:val="588" w:hRule="exact"/>
        </w:trPr>
        <w:tc>
          <w:tcPr>
            <w:tcW w:w="8278" w:type="dxa"/>
            <w:tcBorders>
              <w:left w:val="nil"/>
            </w:tcBorders>
          </w:tcPr>
          <w:p>
            <w:pPr>
              <w:pStyle w:val="TableParagraph"/>
              <w:spacing w:before="147"/>
              <w:ind w:left="2267"/>
              <w:rPr>
                <w:b/>
                <w:sz w:val="24"/>
              </w:rPr>
            </w:pPr>
            <w:r>
              <w:rPr>
                <w:b/>
                <w:sz w:val="24"/>
              </w:rPr>
              <w:t>Preliminary Plans Review</w:t>
            </w:r>
          </w:p>
        </w:tc>
        <w:tc>
          <w:tcPr>
            <w:tcW w:w="1082" w:type="dxa"/>
            <w:tcBorders>
              <w:right w:val="nil"/>
            </w:tcBorders>
          </w:tcPr>
          <w:p>
            <w:pPr>
              <w:pStyle w:val="TableParagraph"/>
              <w:spacing w:before="147"/>
              <w:ind w:left="103"/>
              <w:rPr>
                <w:b/>
                <w:sz w:val="24"/>
              </w:rPr>
            </w:pPr>
            <w:r>
              <w:rPr>
                <w:b/>
                <w:sz w:val="24"/>
              </w:rPr>
              <w:t>6851</w:t>
            </w:r>
          </w:p>
        </w:tc>
      </w:tr>
      <w:tr>
        <w:trPr>
          <w:trHeight w:val="586" w:hRule="exact"/>
        </w:trPr>
        <w:tc>
          <w:tcPr>
            <w:tcW w:w="8278" w:type="dxa"/>
            <w:tcBorders>
              <w:left w:val="nil"/>
            </w:tcBorders>
          </w:tcPr>
          <w:p>
            <w:pPr>
              <w:pStyle w:val="TableParagraph"/>
              <w:spacing w:before="144"/>
              <w:ind w:left="2267"/>
              <w:rPr>
                <w:b/>
                <w:sz w:val="24"/>
              </w:rPr>
            </w:pPr>
            <w:r>
              <w:rPr>
                <w:b/>
                <w:sz w:val="24"/>
              </w:rPr>
              <w:t>Approve Working Drawings And Proceed To Bid</w:t>
            </w:r>
          </w:p>
        </w:tc>
        <w:tc>
          <w:tcPr>
            <w:tcW w:w="1082" w:type="dxa"/>
            <w:tcBorders>
              <w:right w:val="nil"/>
            </w:tcBorders>
          </w:tcPr>
          <w:p>
            <w:pPr>
              <w:pStyle w:val="TableParagraph"/>
              <w:spacing w:before="144"/>
              <w:ind w:left="103"/>
              <w:rPr>
                <w:b/>
                <w:sz w:val="24"/>
              </w:rPr>
            </w:pPr>
            <w:r>
              <w:rPr>
                <w:b/>
                <w:sz w:val="24"/>
              </w:rPr>
              <w:t>6852</w:t>
            </w:r>
          </w:p>
        </w:tc>
      </w:tr>
      <w:tr>
        <w:trPr>
          <w:trHeight w:val="586" w:hRule="exact"/>
        </w:trPr>
        <w:tc>
          <w:tcPr>
            <w:tcW w:w="8278" w:type="dxa"/>
            <w:tcBorders>
              <w:left w:val="nil"/>
            </w:tcBorders>
          </w:tcPr>
          <w:p>
            <w:pPr>
              <w:pStyle w:val="TableParagraph"/>
              <w:spacing w:before="144"/>
              <w:ind w:left="2267"/>
              <w:rPr>
                <w:b/>
                <w:sz w:val="24"/>
              </w:rPr>
            </w:pPr>
            <w:r>
              <w:rPr>
                <w:b/>
                <w:sz w:val="24"/>
              </w:rPr>
              <w:t>Award Construction Contract</w:t>
            </w:r>
          </w:p>
        </w:tc>
        <w:tc>
          <w:tcPr>
            <w:tcW w:w="1082" w:type="dxa"/>
            <w:tcBorders>
              <w:right w:val="nil"/>
            </w:tcBorders>
          </w:tcPr>
          <w:p>
            <w:pPr>
              <w:pStyle w:val="TableParagraph"/>
              <w:spacing w:before="144"/>
              <w:ind w:left="103"/>
              <w:rPr>
                <w:b/>
                <w:sz w:val="24"/>
              </w:rPr>
            </w:pPr>
            <w:r>
              <w:rPr>
                <w:b/>
                <w:sz w:val="24"/>
              </w:rPr>
              <w:t>6853</w:t>
            </w:r>
          </w:p>
        </w:tc>
      </w:tr>
      <w:tr>
        <w:trPr>
          <w:trHeight w:val="588" w:hRule="exact"/>
        </w:trPr>
        <w:tc>
          <w:tcPr>
            <w:tcW w:w="8278" w:type="dxa"/>
            <w:tcBorders>
              <w:left w:val="nil"/>
            </w:tcBorders>
          </w:tcPr>
          <w:p>
            <w:pPr>
              <w:pStyle w:val="TableParagraph"/>
              <w:spacing w:before="144"/>
              <w:ind w:left="2267"/>
              <w:rPr>
                <w:b/>
                <w:sz w:val="24"/>
              </w:rPr>
            </w:pPr>
            <w:r>
              <w:rPr>
                <w:b/>
                <w:sz w:val="24"/>
              </w:rPr>
              <w:t>Construction</w:t>
            </w:r>
          </w:p>
        </w:tc>
        <w:tc>
          <w:tcPr>
            <w:tcW w:w="1082" w:type="dxa"/>
            <w:tcBorders>
              <w:right w:val="nil"/>
            </w:tcBorders>
          </w:tcPr>
          <w:p>
            <w:pPr>
              <w:pStyle w:val="TableParagraph"/>
              <w:spacing w:before="144"/>
              <w:ind w:left="103"/>
              <w:rPr>
                <w:b/>
                <w:sz w:val="24"/>
              </w:rPr>
            </w:pPr>
            <w:r>
              <w:rPr>
                <w:b/>
                <w:sz w:val="24"/>
              </w:rPr>
              <w:t>6854</w:t>
            </w:r>
          </w:p>
        </w:tc>
      </w:tr>
      <w:tr>
        <w:trPr>
          <w:trHeight w:val="586" w:hRule="exact"/>
        </w:trPr>
        <w:tc>
          <w:tcPr>
            <w:tcW w:w="8278" w:type="dxa"/>
            <w:tcBorders>
              <w:left w:val="nil"/>
            </w:tcBorders>
          </w:tcPr>
          <w:p>
            <w:pPr>
              <w:pStyle w:val="TableParagraph"/>
              <w:spacing w:before="139"/>
              <w:ind w:left="2267"/>
              <w:rPr>
                <w:b/>
                <w:sz w:val="24"/>
              </w:rPr>
            </w:pPr>
            <w:r>
              <w:rPr>
                <w:b/>
                <w:sz w:val="24"/>
              </w:rPr>
              <w:t>Equipment</w:t>
            </w:r>
          </w:p>
        </w:tc>
        <w:tc>
          <w:tcPr>
            <w:tcW w:w="1082" w:type="dxa"/>
            <w:tcBorders>
              <w:right w:val="nil"/>
            </w:tcBorders>
          </w:tcPr>
          <w:p>
            <w:pPr>
              <w:pStyle w:val="TableParagraph"/>
              <w:spacing w:before="139"/>
              <w:ind w:left="103"/>
              <w:rPr>
                <w:b/>
                <w:sz w:val="24"/>
              </w:rPr>
            </w:pPr>
            <w:r>
              <w:rPr>
                <w:b/>
                <w:sz w:val="24"/>
              </w:rPr>
              <w:t>6855</w:t>
            </w:r>
          </w:p>
        </w:tc>
      </w:tr>
      <w:tr>
        <w:trPr>
          <w:trHeight w:val="586" w:hRule="exact"/>
        </w:trPr>
        <w:tc>
          <w:tcPr>
            <w:tcW w:w="8278" w:type="dxa"/>
            <w:tcBorders>
              <w:left w:val="nil"/>
            </w:tcBorders>
          </w:tcPr>
          <w:p>
            <w:pPr>
              <w:pStyle w:val="TableParagraph"/>
              <w:spacing w:before="139"/>
              <w:ind w:left="2267"/>
              <w:rPr>
                <w:b/>
                <w:sz w:val="24"/>
              </w:rPr>
            </w:pPr>
            <w:r>
              <w:rPr>
                <w:b/>
                <w:sz w:val="24"/>
              </w:rPr>
              <w:t>Project Completion</w:t>
            </w:r>
          </w:p>
        </w:tc>
        <w:tc>
          <w:tcPr>
            <w:tcW w:w="1082" w:type="dxa"/>
            <w:tcBorders>
              <w:right w:val="nil"/>
            </w:tcBorders>
          </w:tcPr>
          <w:p>
            <w:pPr>
              <w:pStyle w:val="TableParagraph"/>
              <w:spacing w:before="139"/>
              <w:ind w:left="103"/>
              <w:rPr>
                <w:b/>
                <w:sz w:val="24"/>
              </w:rPr>
            </w:pPr>
            <w:r>
              <w:rPr>
                <w:b/>
                <w:sz w:val="24"/>
              </w:rPr>
              <w:t>6856</w:t>
            </w:r>
          </w:p>
        </w:tc>
      </w:tr>
      <w:tr>
        <w:trPr>
          <w:trHeight w:val="586" w:hRule="exact"/>
        </w:trPr>
        <w:tc>
          <w:tcPr>
            <w:tcW w:w="8278" w:type="dxa"/>
            <w:tcBorders>
              <w:left w:val="nil"/>
            </w:tcBorders>
          </w:tcPr>
          <w:p>
            <w:pPr>
              <w:pStyle w:val="TableParagraph"/>
              <w:spacing w:before="144"/>
              <w:ind w:left="1547"/>
              <w:rPr>
                <w:b/>
                <w:sz w:val="24"/>
              </w:rPr>
            </w:pPr>
            <w:r>
              <w:rPr>
                <w:b/>
                <w:sz w:val="24"/>
              </w:rPr>
              <w:t>Board Items For Interim Financing And Bond Sale</w:t>
            </w:r>
          </w:p>
        </w:tc>
        <w:tc>
          <w:tcPr>
            <w:tcW w:w="1082" w:type="dxa"/>
            <w:tcBorders>
              <w:right w:val="nil"/>
            </w:tcBorders>
          </w:tcPr>
          <w:p>
            <w:pPr>
              <w:pStyle w:val="TableParagraph"/>
              <w:spacing w:before="144"/>
              <w:ind w:left="103"/>
              <w:rPr>
                <w:b/>
                <w:sz w:val="24"/>
              </w:rPr>
            </w:pPr>
            <w:r>
              <w:rPr>
                <w:b/>
                <w:sz w:val="24"/>
              </w:rPr>
              <w:t>6860</w:t>
            </w:r>
          </w:p>
        </w:tc>
      </w:tr>
      <w:tr>
        <w:trPr>
          <w:trHeight w:val="588" w:hRule="exact"/>
        </w:trPr>
        <w:tc>
          <w:tcPr>
            <w:tcW w:w="8278" w:type="dxa"/>
            <w:tcBorders>
              <w:left w:val="nil"/>
            </w:tcBorders>
          </w:tcPr>
          <w:p>
            <w:pPr>
              <w:pStyle w:val="TableParagraph"/>
              <w:spacing w:line="247" w:lineRule="auto"/>
              <w:ind w:left="1547" w:right="414" w:hanging="108"/>
              <w:rPr>
                <w:b/>
                <w:sz w:val="24"/>
              </w:rPr>
            </w:pPr>
            <w:r>
              <w:rPr>
                <w:b/>
                <w:sz w:val="24"/>
              </w:rPr>
              <w:t>Augmentations, Additional Costs (Within Appropriation) And Recognition Of Deficits</w:t>
            </w:r>
          </w:p>
        </w:tc>
        <w:tc>
          <w:tcPr>
            <w:tcW w:w="1082" w:type="dxa"/>
            <w:tcBorders>
              <w:right w:val="nil"/>
            </w:tcBorders>
          </w:tcPr>
          <w:p>
            <w:pPr>
              <w:pStyle w:val="TableParagraph"/>
              <w:spacing w:before="147"/>
              <w:ind w:left="103"/>
              <w:rPr>
                <w:b/>
                <w:sz w:val="24"/>
              </w:rPr>
            </w:pPr>
            <w:r>
              <w:rPr>
                <w:b/>
                <w:sz w:val="24"/>
              </w:rPr>
              <w:t>6861</w:t>
            </w:r>
          </w:p>
        </w:tc>
      </w:tr>
      <w:tr>
        <w:trPr>
          <w:trHeight w:val="586" w:hRule="exact"/>
        </w:trPr>
        <w:tc>
          <w:tcPr>
            <w:tcW w:w="8278" w:type="dxa"/>
            <w:tcBorders>
              <w:left w:val="nil"/>
            </w:tcBorders>
          </w:tcPr>
          <w:p>
            <w:pPr>
              <w:pStyle w:val="TableParagraph"/>
              <w:spacing w:before="144"/>
              <w:ind w:left="1547"/>
              <w:rPr>
                <w:b/>
                <w:sz w:val="24"/>
              </w:rPr>
            </w:pPr>
            <w:r>
              <w:rPr>
                <w:b/>
                <w:sz w:val="24"/>
              </w:rPr>
              <w:t>Bid Savings, Project Savings, And Reversions</w:t>
            </w:r>
          </w:p>
        </w:tc>
        <w:tc>
          <w:tcPr>
            <w:tcW w:w="1082" w:type="dxa"/>
            <w:tcBorders>
              <w:right w:val="nil"/>
            </w:tcBorders>
          </w:tcPr>
          <w:p>
            <w:pPr>
              <w:pStyle w:val="TableParagraph"/>
              <w:spacing w:before="144"/>
              <w:ind w:left="103"/>
              <w:rPr>
                <w:b/>
                <w:sz w:val="24"/>
              </w:rPr>
            </w:pPr>
            <w:r>
              <w:rPr>
                <w:b/>
                <w:sz w:val="24"/>
              </w:rPr>
              <w:t>6862</w:t>
            </w:r>
          </w:p>
        </w:tc>
      </w:tr>
      <w:tr>
        <w:trPr>
          <w:trHeight w:val="588" w:hRule="exact"/>
        </w:trPr>
        <w:tc>
          <w:tcPr>
            <w:tcW w:w="8278" w:type="dxa"/>
            <w:tcBorders>
              <w:left w:val="nil"/>
            </w:tcBorders>
          </w:tcPr>
          <w:p>
            <w:pPr>
              <w:pStyle w:val="TableParagraph"/>
              <w:spacing w:before="144"/>
              <w:ind w:left="1547"/>
              <w:rPr>
                <w:b/>
                <w:sz w:val="24"/>
              </w:rPr>
            </w:pPr>
            <w:r>
              <w:rPr>
                <w:b/>
                <w:sz w:val="24"/>
              </w:rPr>
              <w:t>Scope Changes</w:t>
            </w:r>
          </w:p>
        </w:tc>
        <w:tc>
          <w:tcPr>
            <w:tcW w:w="1082" w:type="dxa"/>
            <w:tcBorders>
              <w:right w:val="nil"/>
            </w:tcBorders>
          </w:tcPr>
          <w:p>
            <w:pPr>
              <w:pStyle w:val="TableParagraph"/>
              <w:spacing w:before="144"/>
              <w:ind w:left="103"/>
              <w:rPr>
                <w:b/>
                <w:sz w:val="24"/>
              </w:rPr>
            </w:pPr>
            <w:r>
              <w:rPr>
                <w:b/>
                <w:sz w:val="24"/>
              </w:rPr>
              <w:t>6863</w:t>
            </w:r>
          </w:p>
        </w:tc>
      </w:tr>
      <w:tr>
        <w:trPr>
          <w:trHeight w:val="586" w:hRule="exact"/>
        </w:trPr>
        <w:tc>
          <w:tcPr>
            <w:tcW w:w="8278" w:type="dxa"/>
            <w:tcBorders>
              <w:left w:val="nil"/>
            </w:tcBorders>
          </w:tcPr>
          <w:p>
            <w:pPr>
              <w:pStyle w:val="TableParagraph"/>
              <w:spacing w:before="139"/>
              <w:ind w:left="1547"/>
              <w:rPr>
                <w:b/>
                <w:sz w:val="24"/>
              </w:rPr>
            </w:pPr>
            <w:r>
              <w:rPr>
                <w:b/>
                <w:sz w:val="24"/>
              </w:rPr>
              <w:t>Quarterly Report</w:t>
            </w:r>
          </w:p>
        </w:tc>
        <w:tc>
          <w:tcPr>
            <w:tcW w:w="1082" w:type="dxa"/>
            <w:tcBorders>
              <w:right w:val="nil"/>
            </w:tcBorders>
          </w:tcPr>
          <w:p>
            <w:pPr>
              <w:pStyle w:val="TableParagraph"/>
              <w:spacing w:before="139"/>
              <w:ind w:left="103"/>
              <w:rPr>
                <w:b/>
                <w:sz w:val="24"/>
              </w:rPr>
            </w:pPr>
            <w:r>
              <w:rPr>
                <w:b/>
                <w:sz w:val="24"/>
              </w:rPr>
              <w:t>6864</w:t>
            </w:r>
          </w:p>
        </w:tc>
      </w:tr>
      <w:tr>
        <w:trPr>
          <w:trHeight w:val="576" w:hRule="exact"/>
        </w:trPr>
        <w:tc>
          <w:tcPr>
            <w:tcW w:w="8278" w:type="dxa"/>
            <w:tcBorders>
              <w:left w:val="nil"/>
              <w:bottom w:val="nil"/>
            </w:tcBorders>
          </w:tcPr>
          <w:p>
            <w:pPr>
              <w:pStyle w:val="TableParagraph"/>
              <w:spacing w:before="139"/>
              <w:ind w:left="1547"/>
              <w:rPr>
                <w:b/>
                <w:sz w:val="24"/>
              </w:rPr>
            </w:pPr>
            <w:r>
              <w:rPr>
                <w:b/>
                <w:sz w:val="24"/>
              </w:rPr>
              <w:t>Inmate Day Labor</w:t>
            </w:r>
          </w:p>
        </w:tc>
        <w:tc>
          <w:tcPr>
            <w:tcW w:w="1082" w:type="dxa"/>
            <w:tcBorders>
              <w:bottom w:val="nil"/>
              <w:right w:val="nil"/>
            </w:tcBorders>
          </w:tcPr>
          <w:p>
            <w:pPr>
              <w:pStyle w:val="TableParagraph"/>
              <w:spacing w:before="139"/>
              <w:ind w:left="103"/>
              <w:rPr>
                <w:b/>
                <w:sz w:val="24"/>
              </w:rPr>
            </w:pPr>
            <w:r>
              <w:rPr>
                <w:b/>
                <w:sz w:val="24"/>
              </w:rPr>
              <w:t>6865</w:t>
            </w:r>
          </w:p>
        </w:tc>
      </w:tr>
    </w:tbl>
    <w:p>
      <w:pPr>
        <w:pStyle w:val="BodyText"/>
        <w:spacing w:before="9"/>
        <w:rPr>
          <w:sz w:val="16"/>
        </w:rPr>
      </w:pPr>
    </w:p>
    <w:p>
      <w:pPr>
        <w:pStyle w:val="BodyText"/>
        <w:spacing w:before="93"/>
        <w:ind w:left="880"/>
      </w:pPr>
      <w:r>
        <w:rPr/>
        <w:pict>
          <v:line style="position:absolute;mso-position-horizontal-relative:page;mso-position-vertical-relative:paragraph;z-index:2008" from="33.360001pt,24.665854pt" to="33.360001pt,50.465854pt" stroked="true" strokeweight=".72pt" strokecolor="#000000">
            <v:stroke dashstyle="solid"/>
            <w10:wrap type="none"/>
          </v:line>
        </w:pict>
      </w:r>
      <w:r>
        <w:rPr/>
        <w:t>(Continued)</w:t>
      </w:r>
    </w:p>
    <w:p>
      <w:pPr>
        <w:spacing w:after="0"/>
        <w:sectPr>
          <w:pgSz w:w="12240" w:h="15840"/>
          <w:pgMar w:header="983" w:footer="803" w:top="1640" w:bottom="1060" w:left="560" w:right="1200"/>
        </w:sectPr>
      </w:pPr>
    </w:p>
    <w:p>
      <w:pPr>
        <w:pStyle w:val="BodyText"/>
        <w:spacing w:before="3"/>
        <w:rPr>
          <w:sz w:val="27"/>
        </w:rPr>
      </w:pPr>
      <w:r>
        <w:rPr/>
        <w:pict>
          <v:line style="position:absolute;mso-position-horizontal-relative:page;mso-position-vertical-relative:page;z-index:2032" from="33.360001pt,245.039993pt" to="33.360001pt,258.839993pt" stroked="true" strokeweight=".72pt" strokecolor="#000000">
            <v:stroke dashstyle="solid"/>
            <w10:wrap type="none"/>
          </v:line>
        </w:pict>
      </w:r>
      <w:r>
        <w:rPr/>
        <w:pict>
          <v:line style="position:absolute;mso-position-horizontal-relative:page;mso-position-vertical-relative:page;z-index:2056" from="33.360001pt,274.438995pt" to="33.360001pt,288.239995pt" stroked="true" strokeweight=".72pt" strokecolor="#000000">
            <v:stroke dashstyle="solid"/>
            <w10:wrap type="none"/>
          </v:line>
        </w:pict>
      </w:r>
      <w:r>
        <w:rPr/>
        <w:pict>
          <v:line style="position:absolute;mso-position-horizontal-relative:page;mso-position-vertical-relative:page;z-index:2080" from="33.360001pt,508.920013pt" to="33.360001pt,522.720013pt" stroked="true" strokeweight=".72pt" strokecolor="#000000">
            <v:stroke dashstyle="solid"/>
            <w10:wrap type="none"/>
          </v:line>
        </w:pict>
      </w:r>
    </w:p>
    <w:tbl>
      <w:tblPr>
        <w:tblW w:w="0" w:type="auto"/>
        <w:jc w:val="left"/>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75"/>
        <w:gridCol w:w="1085"/>
      </w:tblGrid>
      <w:tr>
        <w:trPr>
          <w:trHeight w:val="586" w:hRule="exact"/>
        </w:trPr>
        <w:tc>
          <w:tcPr>
            <w:tcW w:w="8275" w:type="dxa"/>
            <w:tcBorders>
              <w:left w:val="nil"/>
            </w:tcBorders>
          </w:tcPr>
          <w:p>
            <w:pPr>
              <w:pStyle w:val="TableParagraph"/>
              <w:spacing w:before="144"/>
              <w:ind w:left="1547"/>
              <w:rPr>
                <w:b/>
                <w:sz w:val="24"/>
              </w:rPr>
            </w:pPr>
            <w:bookmarkStart w:name="CHAPTER 6000 INDEX (Cont. 8)" w:id="14"/>
            <w:bookmarkEnd w:id="14"/>
            <w:r>
              <w:rPr/>
            </w:r>
            <w:r>
              <w:rPr>
                <w:b/>
                <w:sz w:val="24"/>
              </w:rPr>
              <w:t>Condemnations (Exercise Of Eminent Domain)</w:t>
            </w:r>
          </w:p>
        </w:tc>
        <w:tc>
          <w:tcPr>
            <w:tcW w:w="1085" w:type="dxa"/>
            <w:tcBorders>
              <w:right w:val="nil"/>
            </w:tcBorders>
          </w:tcPr>
          <w:p>
            <w:pPr>
              <w:pStyle w:val="TableParagraph"/>
              <w:spacing w:before="144"/>
              <w:ind w:left="103"/>
              <w:rPr>
                <w:b/>
                <w:sz w:val="24"/>
              </w:rPr>
            </w:pPr>
            <w:r>
              <w:rPr>
                <w:b/>
                <w:sz w:val="24"/>
              </w:rPr>
              <w:t>6866</w:t>
            </w:r>
          </w:p>
        </w:tc>
      </w:tr>
      <w:tr>
        <w:trPr>
          <w:trHeight w:val="586" w:hRule="exact"/>
        </w:trPr>
        <w:tc>
          <w:tcPr>
            <w:tcW w:w="8275" w:type="dxa"/>
            <w:tcBorders>
              <w:left w:val="nil"/>
            </w:tcBorders>
          </w:tcPr>
          <w:p>
            <w:pPr>
              <w:pStyle w:val="TableParagraph"/>
              <w:spacing w:before="144"/>
              <w:ind w:left="827"/>
              <w:rPr>
                <w:b/>
                <w:sz w:val="24"/>
              </w:rPr>
            </w:pPr>
            <w:r>
              <w:rPr>
                <w:b/>
                <w:sz w:val="24"/>
              </w:rPr>
              <w:t>Transfer Of Funds To The Architecture Revolving Funds (ARF)</w:t>
            </w:r>
          </w:p>
        </w:tc>
        <w:tc>
          <w:tcPr>
            <w:tcW w:w="1085" w:type="dxa"/>
            <w:tcBorders>
              <w:right w:val="nil"/>
            </w:tcBorders>
          </w:tcPr>
          <w:p>
            <w:pPr>
              <w:pStyle w:val="TableParagraph"/>
              <w:spacing w:before="144"/>
              <w:ind w:left="103"/>
              <w:rPr>
                <w:b/>
                <w:sz w:val="24"/>
              </w:rPr>
            </w:pPr>
            <w:r>
              <w:rPr>
                <w:b/>
                <w:sz w:val="24"/>
              </w:rPr>
              <w:t>6868</w:t>
            </w:r>
          </w:p>
        </w:tc>
      </w:tr>
      <w:tr>
        <w:trPr>
          <w:trHeight w:val="586" w:hRule="exact"/>
        </w:trPr>
        <w:tc>
          <w:tcPr>
            <w:tcW w:w="8275" w:type="dxa"/>
            <w:tcBorders>
              <w:left w:val="nil"/>
            </w:tcBorders>
          </w:tcPr>
          <w:p>
            <w:pPr>
              <w:pStyle w:val="TableParagraph"/>
              <w:spacing w:before="144"/>
              <w:ind w:left="107"/>
              <w:rPr>
                <w:b/>
                <w:sz w:val="24"/>
              </w:rPr>
            </w:pPr>
            <w:r>
              <w:rPr>
                <w:b/>
                <w:sz w:val="24"/>
              </w:rPr>
              <w:t>CAPITALIZED ASSETS FINANCING</w:t>
            </w:r>
          </w:p>
        </w:tc>
        <w:tc>
          <w:tcPr>
            <w:tcW w:w="1085" w:type="dxa"/>
            <w:tcBorders>
              <w:right w:val="nil"/>
            </w:tcBorders>
          </w:tcPr>
          <w:p>
            <w:pPr>
              <w:pStyle w:val="TableParagraph"/>
              <w:spacing w:before="144"/>
              <w:ind w:left="103"/>
              <w:rPr>
                <w:b/>
                <w:sz w:val="24"/>
              </w:rPr>
            </w:pPr>
            <w:r>
              <w:rPr>
                <w:b/>
                <w:sz w:val="24"/>
              </w:rPr>
              <w:t>6870</w:t>
            </w:r>
          </w:p>
        </w:tc>
      </w:tr>
      <w:tr>
        <w:trPr>
          <w:trHeight w:val="588" w:hRule="exact"/>
        </w:trPr>
        <w:tc>
          <w:tcPr>
            <w:tcW w:w="8275" w:type="dxa"/>
            <w:tcBorders>
              <w:left w:val="nil"/>
            </w:tcBorders>
          </w:tcPr>
          <w:p>
            <w:pPr>
              <w:pStyle w:val="TableParagraph"/>
              <w:spacing w:before="144"/>
              <w:ind w:left="827"/>
              <w:rPr>
                <w:b/>
                <w:sz w:val="24"/>
              </w:rPr>
            </w:pPr>
            <w:r>
              <w:rPr>
                <w:b/>
                <w:sz w:val="24"/>
              </w:rPr>
              <w:t>General Obligation (GO) Bonds</w:t>
            </w:r>
          </w:p>
        </w:tc>
        <w:tc>
          <w:tcPr>
            <w:tcW w:w="1085" w:type="dxa"/>
            <w:tcBorders>
              <w:right w:val="nil"/>
            </w:tcBorders>
          </w:tcPr>
          <w:p>
            <w:pPr>
              <w:pStyle w:val="TableParagraph"/>
              <w:spacing w:before="144"/>
              <w:ind w:left="103"/>
              <w:rPr>
                <w:b/>
                <w:sz w:val="24"/>
              </w:rPr>
            </w:pPr>
            <w:r>
              <w:rPr>
                <w:b/>
                <w:sz w:val="24"/>
              </w:rPr>
              <w:t>6871</w:t>
            </w:r>
          </w:p>
        </w:tc>
      </w:tr>
      <w:tr>
        <w:trPr>
          <w:trHeight w:val="586" w:hRule="exact"/>
        </w:trPr>
        <w:tc>
          <w:tcPr>
            <w:tcW w:w="8275" w:type="dxa"/>
            <w:tcBorders>
              <w:left w:val="nil"/>
            </w:tcBorders>
          </w:tcPr>
          <w:p>
            <w:pPr>
              <w:pStyle w:val="TableParagraph"/>
              <w:spacing w:before="139"/>
              <w:ind w:left="827"/>
              <w:rPr>
                <w:b/>
                <w:sz w:val="24"/>
              </w:rPr>
            </w:pPr>
            <w:r>
              <w:rPr>
                <w:b/>
                <w:sz w:val="24"/>
              </w:rPr>
              <w:t>Lease-Revenue Bonds</w:t>
            </w:r>
          </w:p>
        </w:tc>
        <w:tc>
          <w:tcPr>
            <w:tcW w:w="1085" w:type="dxa"/>
            <w:tcBorders>
              <w:right w:val="nil"/>
            </w:tcBorders>
          </w:tcPr>
          <w:p>
            <w:pPr>
              <w:pStyle w:val="TableParagraph"/>
              <w:spacing w:before="139"/>
              <w:ind w:left="103"/>
              <w:rPr>
                <w:b/>
                <w:sz w:val="24"/>
              </w:rPr>
            </w:pPr>
            <w:r>
              <w:rPr>
                <w:b/>
                <w:sz w:val="24"/>
              </w:rPr>
              <w:t>6872</w:t>
            </w:r>
          </w:p>
        </w:tc>
      </w:tr>
      <w:tr>
        <w:trPr>
          <w:trHeight w:val="586" w:hRule="exact"/>
        </w:trPr>
        <w:tc>
          <w:tcPr>
            <w:tcW w:w="8275" w:type="dxa"/>
            <w:tcBorders>
              <w:left w:val="nil"/>
            </w:tcBorders>
          </w:tcPr>
          <w:p>
            <w:pPr>
              <w:pStyle w:val="TableParagraph"/>
              <w:spacing w:line="247" w:lineRule="auto"/>
              <w:ind w:left="1547" w:right="1263" w:hanging="108"/>
              <w:rPr>
                <w:b/>
                <w:sz w:val="24"/>
              </w:rPr>
            </w:pPr>
            <w:r>
              <w:rPr>
                <w:b/>
                <w:sz w:val="24"/>
              </w:rPr>
              <w:t>State Public Works Board (PWB) Lease-Revenue Bond Programs</w:t>
            </w:r>
          </w:p>
        </w:tc>
        <w:tc>
          <w:tcPr>
            <w:tcW w:w="1085" w:type="dxa"/>
            <w:tcBorders>
              <w:right w:val="nil"/>
            </w:tcBorders>
          </w:tcPr>
          <w:p>
            <w:pPr>
              <w:pStyle w:val="TableParagraph"/>
              <w:spacing w:before="139"/>
              <w:ind w:left="103"/>
              <w:rPr>
                <w:b/>
                <w:sz w:val="24"/>
              </w:rPr>
            </w:pPr>
            <w:r>
              <w:rPr>
                <w:b/>
                <w:sz w:val="24"/>
              </w:rPr>
              <w:t>6873</w:t>
            </w:r>
          </w:p>
        </w:tc>
      </w:tr>
      <w:tr>
        <w:trPr>
          <w:trHeight w:val="588" w:hRule="exact"/>
        </w:trPr>
        <w:tc>
          <w:tcPr>
            <w:tcW w:w="8275" w:type="dxa"/>
            <w:tcBorders>
              <w:left w:val="nil"/>
            </w:tcBorders>
          </w:tcPr>
          <w:p>
            <w:pPr>
              <w:pStyle w:val="TableParagraph"/>
              <w:spacing w:line="247" w:lineRule="auto"/>
              <w:ind w:left="1547" w:right="1663" w:hanging="108"/>
              <w:rPr>
                <w:b/>
                <w:sz w:val="24"/>
              </w:rPr>
            </w:pPr>
            <w:r>
              <w:rPr>
                <w:b/>
                <w:sz w:val="24"/>
              </w:rPr>
              <w:t>Joint Powers Authority (JPA) Lease-Revenue Bond Programs</w:t>
            </w:r>
          </w:p>
        </w:tc>
        <w:tc>
          <w:tcPr>
            <w:tcW w:w="1085" w:type="dxa"/>
            <w:tcBorders>
              <w:right w:val="nil"/>
            </w:tcBorders>
          </w:tcPr>
          <w:p>
            <w:pPr>
              <w:pStyle w:val="TableParagraph"/>
              <w:spacing w:before="147"/>
              <w:ind w:left="103"/>
              <w:rPr>
                <w:b/>
                <w:sz w:val="24"/>
              </w:rPr>
            </w:pPr>
            <w:r>
              <w:rPr>
                <w:b/>
                <w:sz w:val="24"/>
              </w:rPr>
              <w:t>6874</w:t>
            </w:r>
          </w:p>
        </w:tc>
      </w:tr>
      <w:tr>
        <w:trPr>
          <w:trHeight w:val="586" w:hRule="exact"/>
        </w:trPr>
        <w:tc>
          <w:tcPr>
            <w:tcW w:w="8275" w:type="dxa"/>
            <w:tcBorders>
              <w:left w:val="nil"/>
            </w:tcBorders>
          </w:tcPr>
          <w:p>
            <w:pPr>
              <w:pStyle w:val="TableParagraph"/>
              <w:spacing w:before="144"/>
              <w:ind w:left="827"/>
              <w:rPr>
                <w:b/>
                <w:sz w:val="24"/>
              </w:rPr>
            </w:pPr>
            <w:r>
              <w:rPr>
                <w:b/>
                <w:sz w:val="24"/>
              </w:rPr>
              <w:t>Financing Leases Versus Operating Leases/Contracts</w:t>
            </w:r>
          </w:p>
        </w:tc>
        <w:tc>
          <w:tcPr>
            <w:tcW w:w="1085" w:type="dxa"/>
            <w:tcBorders>
              <w:right w:val="nil"/>
            </w:tcBorders>
          </w:tcPr>
          <w:p>
            <w:pPr>
              <w:pStyle w:val="TableParagraph"/>
              <w:spacing w:before="144"/>
              <w:ind w:left="103"/>
              <w:rPr>
                <w:b/>
                <w:sz w:val="24"/>
              </w:rPr>
            </w:pPr>
            <w:r>
              <w:rPr>
                <w:b/>
                <w:sz w:val="24"/>
              </w:rPr>
              <w:t>6876</w:t>
            </w:r>
          </w:p>
        </w:tc>
      </w:tr>
      <w:tr>
        <w:trPr>
          <w:trHeight w:val="586" w:hRule="exact"/>
        </w:trPr>
        <w:tc>
          <w:tcPr>
            <w:tcW w:w="8275" w:type="dxa"/>
            <w:tcBorders>
              <w:left w:val="nil"/>
            </w:tcBorders>
          </w:tcPr>
          <w:p>
            <w:pPr>
              <w:pStyle w:val="TableParagraph"/>
              <w:spacing w:before="144"/>
              <w:ind w:left="827"/>
              <w:rPr>
                <w:b/>
                <w:sz w:val="24"/>
              </w:rPr>
            </w:pPr>
            <w:r>
              <w:rPr>
                <w:b/>
                <w:sz w:val="24"/>
              </w:rPr>
              <w:t>Interim Financing</w:t>
            </w:r>
          </w:p>
        </w:tc>
        <w:tc>
          <w:tcPr>
            <w:tcW w:w="1085" w:type="dxa"/>
            <w:tcBorders>
              <w:right w:val="nil"/>
            </w:tcBorders>
          </w:tcPr>
          <w:p>
            <w:pPr>
              <w:pStyle w:val="TableParagraph"/>
              <w:spacing w:before="144"/>
              <w:ind w:left="103"/>
              <w:rPr>
                <w:b/>
                <w:sz w:val="24"/>
              </w:rPr>
            </w:pPr>
            <w:r>
              <w:rPr>
                <w:b/>
                <w:sz w:val="24"/>
              </w:rPr>
              <w:t>6878</w:t>
            </w:r>
          </w:p>
        </w:tc>
      </w:tr>
      <w:tr>
        <w:trPr>
          <w:trHeight w:val="588" w:hRule="exact"/>
        </w:trPr>
        <w:tc>
          <w:tcPr>
            <w:tcW w:w="8275" w:type="dxa"/>
            <w:tcBorders>
              <w:left w:val="nil"/>
            </w:tcBorders>
          </w:tcPr>
          <w:p>
            <w:pPr>
              <w:pStyle w:val="TableParagraph"/>
              <w:spacing w:before="144"/>
              <w:ind w:left="827"/>
              <w:rPr>
                <w:b/>
                <w:sz w:val="24"/>
              </w:rPr>
            </w:pPr>
            <w:r>
              <w:rPr>
                <w:b/>
                <w:sz w:val="24"/>
              </w:rPr>
              <w:t>The Bond Sale</w:t>
            </w:r>
          </w:p>
        </w:tc>
        <w:tc>
          <w:tcPr>
            <w:tcW w:w="1085" w:type="dxa"/>
            <w:tcBorders>
              <w:right w:val="nil"/>
            </w:tcBorders>
          </w:tcPr>
          <w:p>
            <w:pPr>
              <w:pStyle w:val="TableParagraph"/>
              <w:spacing w:before="144"/>
              <w:ind w:left="103"/>
              <w:rPr>
                <w:b/>
                <w:sz w:val="24"/>
              </w:rPr>
            </w:pPr>
            <w:r>
              <w:rPr>
                <w:b/>
                <w:sz w:val="24"/>
              </w:rPr>
              <w:t>6880</w:t>
            </w:r>
          </w:p>
        </w:tc>
      </w:tr>
      <w:tr>
        <w:trPr>
          <w:trHeight w:val="586" w:hRule="exact"/>
        </w:trPr>
        <w:tc>
          <w:tcPr>
            <w:tcW w:w="8275" w:type="dxa"/>
            <w:tcBorders>
              <w:left w:val="nil"/>
            </w:tcBorders>
          </w:tcPr>
          <w:p>
            <w:pPr>
              <w:pStyle w:val="TableParagraph"/>
              <w:spacing w:before="139"/>
              <w:ind w:left="827"/>
              <w:rPr>
                <w:b/>
                <w:sz w:val="24"/>
              </w:rPr>
            </w:pPr>
            <w:r>
              <w:rPr>
                <w:b/>
                <w:sz w:val="24"/>
              </w:rPr>
              <w:t>Post-Sale Activities</w:t>
            </w:r>
          </w:p>
        </w:tc>
        <w:tc>
          <w:tcPr>
            <w:tcW w:w="1085" w:type="dxa"/>
            <w:tcBorders>
              <w:right w:val="nil"/>
            </w:tcBorders>
          </w:tcPr>
          <w:p>
            <w:pPr>
              <w:pStyle w:val="TableParagraph"/>
              <w:spacing w:before="139"/>
              <w:ind w:left="103"/>
              <w:rPr>
                <w:b/>
                <w:sz w:val="24"/>
              </w:rPr>
            </w:pPr>
            <w:r>
              <w:rPr>
                <w:b/>
                <w:sz w:val="24"/>
              </w:rPr>
              <w:t>6882</w:t>
            </w:r>
          </w:p>
        </w:tc>
      </w:tr>
      <w:tr>
        <w:trPr>
          <w:trHeight w:val="586" w:hRule="exact"/>
        </w:trPr>
        <w:tc>
          <w:tcPr>
            <w:tcW w:w="8275" w:type="dxa"/>
            <w:tcBorders>
              <w:left w:val="nil"/>
            </w:tcBorders>
          </w:tcPr>
          <w:p>
            <w:pPr>
              <w:pStyle w:val="TableParagraph"/>
              <w:spacing w:before="139"/>
              <w:ind w:left="827"/>
              <w:rPr>
                <w:b/>
                <w:sz w:val="24"/>
              </w:rPr>
            </w:pPr>
            <w:r>
              <w:rPr>
                <w:b/>
                <w:sz w:val="24"/>
              </w:rPr>
              <w:t>Continuing Disclosure</w:t>
            </w:r>
          </w:p>
        </w:tc>
        <w:tc>
          <w:tcPr>
            <w:tcW w:w="1085" w:type="dxa"/>
            <w:tcBorders>
              <w:right w:val="nil"/>
            </w:tcBorders>
          </w:tcPr>
          <w:p>
            <w:pPr>
              <w:pStyle w:val="TableParagraph"/>
              <w:spacing w:before="139"/>
              <w:ind w:left="103"/>
              <w:rPr>
                <w:b/>
                <w:sz w:val="24"/>
              </w:rPr>
            </w:pPr>
            <w:r>
              <w:rPr>
                <w:b/>
                <w:sz w:val="24"/>
              </w:rPr>
              <w:t>6884</w:t>
            </w:r>
          </w:p>
        </w:tc>
      </w:tr>
      <w:tr>
        <w:trPr>
          <w:trHeight w:val="586" w:hRule="exact"/>
        </w:trPr>
        <w:tc>
          <w:tcPr>
            <w:tcW w:w="8275" w:type="dxa"/>
            <w:tcBorders>
              <w:left w:val="nil"/>
            </w:tcBorders>
          </w:tcPr>
          <w:p>
            <w:pPr>
              <w:pStyle w:val="TableParagraph"/>
              <w:spacing w:before="144"/>
              <w:ind w:left="827"/>
              <w:rPr>
                <w:b/>
                <w:sz w:val="24"/>
              </w:rPr>
            </w:pPr>
            <w:r>
              <w:rPr>
                <w:b/>
                <w:sz w:val="24"/>
              </w:rPr>
              <w:t>Client Department’s Responsibilities</w:t>
            </w:r>
          </w:p>
        </w:tc>
        <w:tc>
          <w:tcPr>
            <w:tcW w:w="1085" w:type="dxa"/>
            <w:tcBorders>
              <w:right w:val="nil"/>
            </w:tcBorders>
          </w:tcPr>
          <w:p>
            <w:pPr>
              <w:pStyle w:val="TableParagraph"/>
              <w:spacing w:before="144"/>
              <w:ind w:left="103"/>
              <w:rPr>
                <w:b/>
                <w:sz w:val="24"/>
              </w:rPr>
            </w:pPr>
            <w:r>
              <w:rPr>
                <w:b/>
                <w:sz w:val="24"/>
              </w:rPr>
              <w:t>6886</w:t>
            </w:r>
          </w:p>
        </w:tc>
      </w:tr>
      <w:tr>
        <w:trPr>
          <w:trHeight w:val="588" w:hRule="exact"/>
        </w:trPr>
        <w:tc>
          <w:tcPr>
            <w:tcW w:w="8275" w:type="dxa"/>
            <w:tcBorders>
              <w:left w:val="nil"/>
            </w:tcBorders>
          </w:tcPr>
          <w:p>
            <w:pPr>
              <w:pStyle w:val="TableParagraph"/>
              <w:spacing w:before="147"/>
              <w:ind w:left="827"/>
              <w:rPr>
                <w:b/>
                <w:sz w:val="24"/>
              </w:rPr>
            </w:pPr>
            <w:r>
              <w:rPr>
                <w:b/>
                <w:sz w:val="24"/>
              </w:rPr>
              <w:t>Budget Treatment Of Lease-Revenue Debt Service Payments</w:t>
            </w:r>
          </w:p>
        </w:tc>
        <w:tc>
          <w:tcPr>
            <w:tcW w:w="1085" w:type="dxa"/>
            <w:tcBorders>
              <w:right w:val="nil"/>
            </w:tcBorders>
          </w:tcPr>
          <w:p>
            <w:pPr>
              <w:pStyle w:val="TableParagraph"/>
              <w:spacing w:before="147"/>
              <w:ind w:left="103"/>
              <w:rPr>
                <w:b/>
                <w:sz w:val="24"/>
              </w:rPr>
            </w:pPr>
            <w:r>
              <w:rPr>
                <w:b/>
                <w:sz w:val="24"/>
              </w:rPr>
              <w:t>6888</w:t>
            </w:r>
          </w:p>
        </w:tc>
      </w:tr>
      <w:tr>
        <w:trPr>
          <w:trHeight w:val="586" w:hRule="exact"/>
        </w:trPr>
        <w:tc>
          <w:tcPr>
            <w:tcW w:w="8275" w:type="dxa"/>
            <w:tcBorders>
              <w:left w:val="nil"/>
            </w:tcBorders>
          </w:tcPr>
          <w:p>
            <w:pPr>
              <w:pStyle w:val="TableParagraph"/>
              <w:spacing w:line="247" w:lineRule="auto"/>
              <w:ind w:left="107" w:right="931" w:hanging="108"/>
              <w:rPr>
                <w:b/>
                <w:sz w:val="24"/>
              </w:rPr>
            </w:pPr>
            <w:r>
              <w:rPr>
                <w:b/>
                <w:sz w:val="24"/>
              </w:rPr>
              <w:t>GLOSSARY AND INDEX FOR CAPITAL OUTLAY TERMINOLOGY AND FORMS</w:t>
            </w:r>
          </w:p>
        </w:tc>
        <w:tc>
          <w:tcPr>
            <w:tcW w:w="1085" w:type="dxa"/>
            <w:tcBorders>
              <w:right w:val="nil"/>
            </w:tcBorders>
          </w:tcPr>
          <w:p>
            <w:pPr>
              <w:pStyle w:val="TableParagraph"/>
              <w:spacing w:before="144"/>
              <w:ind w:left="103"/>
              <w:rPr>
                <w:b/>
                <w:sz w:val="24"/>
              </w:rPr>
            </w:pPr>
            <w:r>
              <w:rPr>
                <w:b/>
                <w:sz w:val="24"/>
              </w:rPr>
              <w:t>6899</w:t>
            </w:r>
          </w:p>
        </w:tc>
      </w:tr>
      <w:tr>
        <w:trPr>
          <w:trHeight w:val="588" w:hRule="exact"/>
        </w:trPr>
        <w:tc>
          <w:tcPr>
            <w:tcW w:w="8275" w:type="dxa"/>
            <w:tcBorders>
              <w:left w:val="nil"/>
            </w:tcBorders>
          </w:tcPr>
          <w:p>
            <w:pPr>
              <w:pStyle w:val="TableParagraph"/>
              <w:spacing w:before="144"/>
              <w:ind w:left="107"/>
              <w:rPr>
                <w:b/>
                <w:sz w:val="24"/>
              </w:rPr>
            </w:pPr>
            <w:r>
              <w:rPr>
                <w:b/>
                <w:sz w:val="24"/>
              </w:rPr>
              <w:t>THE LEGISLATURE</w:t>
            </w:r>
          </w:p>
        </w:tc>
        <w:tc>
          <w:tcPr>
            <w:tcW w:w="1085" w:type="dxa"/>
            <w:tcBorders>
              <w:right w:val="nil"/>
            </w:tcBorders>
          </w:tcPr>
          <w:p>
            <w:pPr>
              <w:pStyle w:val="TableParagraph"/>
              <w:spacing w:before="144"/>
              <w:ind w:left="103"/>
              <w:rPr>
                <w:b/>
                <w:sz w:val="24"/>
              </w:rPr>
            </w:pPr>
            <w:r>
              <w:rPr>
                <w:b/>
                <w:sz w:val="24"/>
              </w:rPr>
              <w:t>6900</w:t>
            </w:r>
          </w:p>
        </w:tc>
      </w:tr>
      <w:tr>
        <w:trPr>
          <w:trHeight w:val="586" w:hRule="exact"/>
        </w:trPr>
        <w:tc>
          <w:tcPr>
            <w:tcW w:w="8275" w:type="dxa"/>
            <w:tcBorders>
              <w:left w:val="nil"/>
            </w:tcBorders>
          </w:tcPr>
          <w:p>
            <w:pPr>
              <w:pStyle w:val="TableParagraph"/>
              <w:spacing w:before="139"/>
              <w:ind w:left="827"/>
              <w:rPr>
                <w:b/>
                <w:sz w:val="24"/>
              </w:rPr>
            </w:pPr>
            <w:r>
              <w:rPr>
                <w:b/>
                <w:sz w:val="24"/>
              </w:rPr>
              <w:t>Legislative Calendar</w:t>
            </w:r>
          </w:p>
        </w:tc>
        <w:tc>
          <w:tcPr>
            <w:tcW w:w="1085" w:type="dxa"/>
            <w:tcBorders>
              <w:right w:val="nil"/>
            </w:tcBorders>
          </w:tcPr>
          <w:p>
            <w:pPr>
              <w:pStyle w:val="TableParagraph"/>
              <w:spacing w:before="139"/>
              <w:ind w:left="103"/>
              <w:rPr>
                <w:b/>
                <w:sz w:val="24"/>
              </w:rPr>
            </w:pPr>
            <w:r>
              <w:rPr>
                <w:b/>
                <w:sz w:val="24"/>
              </w:rPr>
              <w:t>6905</w:t>
            </w:r>
          </w:p>
        </w:tc>
      </w:tr>
      <w:tr>
        <w:trPr>
          <w:trHeight w:val="576" w:hRule="exact"/>
        </w:trPr>
        <w:tc>
          <w:tcPr>
            <w:tcW w:w="8275" w:type="dxa"/>
            <w:tcBorders>
              <w:left w:val="nil"/>
              <w:bottom w:val="nil"/>
            </w:tcBorders>
          </w:tcPr>
          <w:p>
            <w:pPr>
              <w:pStyle w:val="TableParagraph"/>
              <w:spacing w:before="139"/>
              <w:ind w:left="827"/>
              <w:rPr>
                <w:b/>
                <w:sz w:val="24"/>
              </w:rPr>
            </w:pPr>
            <w:r>
              <w:rPr>
                <w:b/>
                <w:sz w:val="24"/>
              </w:rPr>
              <w:t>Legislation</w:t>
            </w:r>
          </w:p>
        </w:tc>
        <w:tc>
          <w:tcPr>
            <w:tcW w:w="1085" w:type="dxa"/>
            <w:tcBorders>
              <w:bottom w:val="nil"/>
              <w:right w:val="nil"/>
            </w:tcBorders>
          </w:tcPr>
          <w:p>
            <w:pPr>
              <w:pStyle w:val="TableParagraph"/>
              <w:spacing w:before="139"/>
              <w:ind w:left="103"/>
              <w:rPr>
                <w:b/>
                <w:sz w:val="24"/>
              </w:rPr>
            </w:pPr>
            <w:r>
              <w:rPr>
                <w:b/>
                <w:sz w:val="24"/>
              </w:rPr>
              <w:t>6910</w:t>
            </w:r>
          </w:p>
        </w:tc>
      </w:tr>
    </w:tbl>
    <w:p>
      <w:pPr>
        <w:pStyle w:val="BodyText"/>
        <w:spacing w:before="9"/>
        <w:rPr>
          <w:sz w:val="16"/>
        </w:rPr>
      </w:pPr>
    </w:p>
    <w:p>
      <w:pPr>
        <w:pStyle w:val="BodyText"/>
        <w:spacing w:before="93"/>
        <w:ind w:left="880"/>
      </w:pPr>
      <w:r>
        <w:rPr/>
        <w:t>(Continued)</w:t>
      </w:r>
    </w:p>
    <w:p>
      <w:pPr>
        <w:spacing w:after="0"/>
        <w:sectPr>
          <w:pgSz w:w="12240" w:h="15840"/>
          <w:pgMar w:header="983" w:footer="803" w:top="1640" w:bottom="1060" w:left="560" w:right="1200"/>
        </w:sectPr>
      </w:pPr>
    </w:p>
    <w:p>
      <w:pPr>
        <w:pStyle w:val="BodyText"/>
        <w:rPr>
          <w:sz w:val="20"/>
        </w:rPr>
      </w:pPr>
    </w:p>
    <w:p>
      <w:pPr>
        <w:pStyle w:val="BodyText"/>
        <w:spacing w:before="214"/>
        <w:ind w:left="940"/>
      </w:pPr>
      <w:r>
        <w:rPr/>
        <w:t>(Continued)</w:t>
      </w:r>
    </w:p>
    <w:p>
      <w:pPr>
        <w:spacing w:before="120"/>
        <w:ind w:left="6618" w:right="0" w:firstLine="0"/>
        <w:jc w:val="left"/>
        <w:rPr>
          <w:sz w:val="24"/>
        </w:rPr>
      </w:pPr>
      <w:bookmarkStart w:name="CHAPTER 6000 INDEX (Cont. 9)" w:id="15"/>
      <w:bookmarkEnd w:id="15"/>
      <w:r>
        <w:rPr/>
      </w:r>
      <w:r>
        <w:rPr>
          <w:b/>
          <w:sz w:val="24"/>
        </w:rPr>
        <w:t>CHAPTER 6000 INDEX </w:t>
      </w:r>
      <w:r>
        <w:rPr>
          <w:sz w:val="24"/>
        </w:rPr>
        <w:t>(Cont. 9)</w:t>
      </w:r>
    </w:p>
    <w:p>
      <w:pPr>
        <w:pStyle w:val="BodyText"/>
        <w:spacing w:before="8"/>
        <w:rPr>
          <w:sz w:val="23"/>
        </w:rPr>
      </w:pPr>
      <w:r>
        <w:rPr/>
        <w:pict>
          <v:line style="position:absolute;mso-position-horizontal-relative:page;mso-position-vertical-relative:paragraph;z-index:2104;mso-wrap-distance-left:0;mso-wrap-distance-right:0" from="36.360001pt,309.337921pt" to="36.360001pt,330.337921pt" stroked="true" strokeweight=".72pt" strokecolor="#000000">
            <v:stroke dashstyle="solid"/>
            <w10:wrap type="topAndBottom"/>
          </v:line>
        </w:pict>
      </w:r>
      <w:r>
        <w:rPr/>
        <w:pict>
          <v:shape style="position:absolute;margin-left:77.519997pt;margin-top:15.57791pt;width:468.75pt;height:322.6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75"/>
                    <w:gridCol w:w="1085"/>
                  </w:tblGrid>
                  <w:tr>
                    <w:trPr>
                      <w:trHeight w:val="586" w:hRule="exact"/>
                    </w:trPr>
                    <w:tc>
                      <w:tcPr>
                        <w:tcW w:w="8275" w:type="dxa"/>
                        <w:tcBorders>
                          <w:left w:val="nil"/>
                        </w:tcBorders>
                      </w:tcPr>
                      <w:p>
                        <w:pPr>
                          <w:pStyle w:val="TableParagraph"/>
                          <w:spacing w:before="144"/>
                          <w:ind w:left="1547"/>
                          <w:rPr>
                            <w:b/>
                            <w:sz w:val="24"/>
                          </w:rPr>
                        </w:pPr>
                        <w:r>
                          <w:rPr>
                            <w:b/>
                            <w:sz w:val="24"/>
                          </w:rPr>
                          <w:t>Bills (AB/SB)</w:t>
                        </w:r>
                      </w:p>
                    </w:tc>
                    <w:tc>
                      <w:tcPr>
                        <w:tcW w:w="1085" w:type="dxa"/>
                        <w:tcBorders>
                          <w:right w:val="nil"/>
                        </w:tcBorders>
                      </w:tcPr>
                      <w:p>
                        <w:pPr>
                          <w:pStyle w:val="TableParagraph"/>
                          <w:spacing w:before="144"/>
                          <w:ind w:left="103"/>
                          <w:rPr>
                            <w:b/>
                            <w:sz w:val="24"/>
                          </w:rPr>
                        </w:pPr>
                        <w:r>
                          <w:rPr>
                            <w:b/>
                            <w:sz w:val="24"/>
                          </w:rPr>
                          <w:t>6915</w:t>
                        </w:r>
                      </w:p>
                    </w:tc>
                  </w:tr>
                  <w:tr>
                    <w:trPr>
                      <w:trHeight w:val="588" w:hRule="exact"/>
                    </w:trPr>
                    <w:tc>
                      <w:tcPr>
                        <w:tcW w:w="8275" w:type="dxa"/>
                        <w:tcBorders>
                          <w:left w:val="nil"/>
                        </w:tcBorders>
                      </w:tcPr>
                      <w:p>
                        <w:pPr>
                          <w:pStyle w:val="TableParagraph"/>
                          <w:spacing w:before="147"/>
                          <w:ind w:left="1547"/>
                          <w:rPr>
                            <w:b/>
                            <w:sz w:val="24"/>
                          </w:rPr>
                        </w:pPr>
                        <w:r>
                          <w:rPr>
                            <w:b/>
                            <w:sz w:val="24"/>
                          </w:rPr>
                          <w:t>Constitutional Amendments (ACA/SCA)</w:t>
                        </w:r>
                      </w:p>
                    </w:tc>
                    <w:tc>
                      <w:tcPr>
                        <w:tcW w:w="1085" w:type="dxa"/>
                        <w:tcBorders>
                          <w:right w:val="nil"/>
                        </w:tcBorders>
                      </w:tcPr>
                      <w:p>
                        <w:pPr>
                          <w:pStyle w:val="TableParagraph"/>
                          <w:spacing w:before="147"/>
                          <w:ind w:left="103"/>
                          <w:rPr>
                            <w:b/>
                            <w:sz w:val="24"/>
                          </w:rPr>
                        </w:pPr>
                        <w:r>
                          <w:rPr>
                            <w:b/>
                            <w:sz w:val="24"/>
                          </w:rPr>
                          <w:t>6920</w:t>
                        </w:r>
                      </w:p>
                    </w:tc>
                  </w:tr>
                  <w:tr>
                    <w:trPr>
                      <w:trHeight w:val="586" w:hRule="exact"/>
                    </w:trPr>
                    <w:tc>
                      <w:tcPr>
                        <w:tcW w:w="8275" w:type="dxa"/>
                        <w:tcBorders>
                          <w:left w:val="nil"/>
                        </w:tcBorders>
                      </w:tcPr>
                      <w:p>
                        <w:pPr>
                          <w:pStyle w:val="TableParagraph"/>
                          <w:spacing w:before="144"/>
                          <w:ind w:left="1547"/>
                          <w:rPr>
                            <w:b/>
                            <w:sz w:val="24"/>
                          </w:rPr>
                        </w:pPr>
                        <w:r>
                          <w:rPr>
                            <w:b/>
                            <w:sz w:val="24"/>
                          </w:rPr>
                          <w:t>Joint Resolutions (AJR/SJR)</w:t>
                        </w:r>
                      </w:p>
                    </w:tc>
                    <w:tc>
                      <w:tcPr>
                        <w:tcW w:w="1085" w:type="dxa"/>
                        <w:tcBorders>
                          <w:right w:val="nil"/>
                        </w:tcBorders>
                      </w:tcPr>
                      <w:p>
                        <w:pPr>
                          <w:pStyle w:val="TableParagraph"/>
                          <w:spacing w:before="144"/>
                          <w:ind w:left="103"/>
                          <w:rPr>
                            <w:b/>
                            <w:sz w:val="24"/>
                          </w:rPr>
                        </w:pPr>
                        <w:r>
                          <w:rPr>
                            <w:b/>
                            <w:sz w:val="24"/>
                          </w:rPr>
                          <w:t>6925</w:t>
                        </w:r>
                      </w:p>
                    </w:tc>
                  </w:tr>
                  <w:tr>
                    <w:trPr>
                      <w:trHeight w:val="588" w:hRule="exact"/>
                    </w:trPr>
                    <w:tc>
                      <w:tcPr>
                        <w:tcW w:w="8275" w:type="dxa"/>
                        <w:tcBorders>
                          <w:left w:val="nil"/>
                        </w:tcBorders>
                      </w:tcPr>
                      <w:p>
                        <w:pPr>
                          <w:pStyle w:val="TableParagraph"/>
                          <w:spacing w:before="144"/>
                          <w:ind w:left="1547"/>
                          <w:rPr>
                            <w:b/>
                            <w:sz w:val="24"/>
                          </w:rPr>
                        </w:pPr>
                        <w:r>
                          <w:rPr>
                            <w:b/>
                            <w:sz w:val="24"/>
                          </w:rPr>
                          <w:t>Concurrent Resolutions (ACR/SCR)</w:t>
                        </w:r>
                      </w:p>
                    </w:tc>
                    <w:tc>
                      <w:tcPr>
                        <w:tcW w:w="1085" w:type="dxa"/>
                        <w:tcBorders>
                          <w:right w:val="nil"/>
                        </w:tcBorders>
                      </w:tcPr>
                      <w:p>
                        <w:pPr>
                          <w:pStyle w:val="TableParagraph"/>
                          <w:spacing w:before="144"/>
                          <w:ind w:left="103"/>
                          <w:rPr>
                            <w:b/>
                            <w:sz w:val="24"/>
                          </w:rPr>
                        </w:pPr>
                        <w:r>
                          <w:rPr>
                            <w:b/>
                            <w:sz w:val="24"/>
                          </w:rPr>
                          <w:t>6930</w:t>
                        </w:r>
                      </w:p>
                    </w:tc>
                  </w:tr>
                  <w:tr>
                    <w:trPr>
                      <w:trHeight w:val="586" w:hRule="exact"/>
                    </w:trPr>
                    <w:tc>
                      <w:tcPr>
                        <w:tcW w:w="8275" w:type="dxa"/>
                        <w:tcBorders>
                          <w:left w:val="nil"/>
                        </w:tcBorders>
                      </w:tcPr>
                      <w:p>
                        <w:pPr>
                          <w:pStyle w:val="TableParagraph"/>
                          <w:spacing w:before="139"/>
                          <w:ind w:left="1547"/>
                          <w:rPr>
                            <w:b/>
                            <w:sz w:val="24"/>
                          </w:rPr>
                        </w:pPr>
                        <w:r>
                          <w:rPr>
                            <w:b/>
                            <w:sz w:val="24"/>
                          </w:rPr>
                          <w:t>House And Senate Resolutions</w:t>
                        </w:r>
                      </w:p>
                    </w:tc>
                    <w:tc>
                      <w:tcPr>
                        <w:tcW w:w="1085" w:type="dxa"/>
                        <w:tcBorders>
                          <w:right w:val="nil"/>
                        </w:tcBorders>
                      </w:tcPr>
                      <w:p>
                        <w:pPr>
                          <w:pStyle w:val="TableParagraph"/>
                          <w:spacing w:before="139"/>
                          <w:ind w:left="103"/>
                          <w:rPr>
                            <w:b/>
                            <w:sz w:val="24"/>
                          </w:rPr>
                        </w:pPr>
                        <w:r>
                          <w:rPr>
                            <w:b/>
                            <w:sz w:val="24"/>
                          </w:rPr>
                          <w:t>6935</w:t>
                        </w:r>
                      </w:p>
                    </w:tc>
                  </w:tr>
                  <w:tr>
                    <w:trPr>
                      <w:trHeight w:val="586" w:hRule="exact"/>
                    </w:trPr>
                    <w:tc>
                      <w:tcPr>
                        <w:tcW w:w="8275" w:type="dxa"/>
                        <w:tcBorders>
                          <w:left w:val="nil"/>
                        </w:tcBorders>
                      </w:tcPr>
                      <w:p>
                        <w:pPr>
                          <w:pStyle w:val="TableParagraph"/>
                          <w:spacing w:before="139"/>
                          <w:ind w:left="1547"/>
                          <w:rPr>
                            <w:b/>
                            <w:sz w:val="24"/>
                          </w:rPr>
                        </w:pPr>
                        <w:r>
                          <w:rPr>
                            <w:b/>
                            <w:sz w:val="24"/>
                          </w:rPr>
                          <w:t>Rules Committee Resolutions</w:t>
                        </w:r>
                      </w:p>
                    </w:tc>
                    <w:tc>
                      <w:tcPr>
                        <w:tcW w:w="1085" w:type="dxa"/>
                        <w:tcBorders>
                          <w:right w:val="nil"/>
                        </w:tcBorders>
                      </w:tcPr>
                      <w:p>
                        <w:pPr>
                          <w:pStyle w:val="TableParagraph"/>
                          <w:spacing w:before="139"/>
                          <w:ind w:left="103"/>
                          <w:rPr>
                            <w:b/>
                            <w:sz w:val="24"/>
                          </w:rPr>
                        </w:pPr>
                        <w:r>
                          <w:rPr>
                            <w:b/>
                            <w:sz w:val="24"/>
                          </w:rPr>
                          <w:t>6940</w:t>
                        </w:r>
                      </w:p>
                    </w:tc>
                  </w:tr>
                  <w:tr>
                    <w:trPr>
                      <w:trHeight w:val="586" w:hRule="exact"/>
                    </w:trPr>
                    <w:tc>
                      <w:tcPr>
                        <w:tcW w:w="8275" w:type="dxa"/>
                        <w:tcBorders>
                          <w:left w:val="nil"/>
                        </w:tcBorders>
                      </w:tcPr>
                      <w:p>
                        <w:pPr>
                          <w:pStyle w:val="TableParagraph"/>
                          <w:spacing w:before="144"/>
                          <w:ind w:left="1547"/>
                          <w:rPr>
                            <w:b/>
                            <w:sz w:val="24"/>
                          </w:rPr>
                        </w:pPr>
                        <w:r>
                          <w:rPr>
                            <w:b/>
                            <w:sz w:val="24"/>
                          </w:rPr>
                          <w:t>The Legislative Process</w:t>
                        </w:r>
                      </w:p>
                    </w:tc>
                    <w:tc>
                      <w:tcPr>
                        <w:tcW w:w="1085" w:type="dxa"/>
                        <w:tcBorders>
                          <w:right w:val="nil"/>
                        </w:tcBorders>
                      </w:tcPr>
                      <w:p>
                        <w:pPr>
                          <w:pStyle w:val="TableParagraph"/>
                          <w:spacing w:before="144"/>
                          <w:ind w:left="103"/>
                          <w:rPr>
                            <w:b/>
                            <w:sz w:val="24"/>
                          </w:rPr>
                        </w:pPr>
                        <w:r>
                          <w:rPr>
                            <w:b/>
                            <w:sz w:val="24"/>
                          </w:rPr>
                          <w:t>6945</w:t>
                        </w:r>
                      </w:p>
                    </w:tc>
                  </w:tr>
                  <w:tr>
                    <w:trPr>
                      <w:trHeight w:val="586" w:hRule="exact"/>
                    </w:trPr>
                    <w:tc>
                      <w:tcPr>
                        <w:tcW w:w="8275" w:type="dxa"/>
                        <w:tcBorders>
                          <w:left w:val="nil"/>
                        </w:tcBorders>
                      </w:tcPr>
                      <w:p>
                        <w:pPr>
                          <w:pStyle w:val="TableParagraph"/>
                          <w:spacing w:before="144"/>
                          <w:ind w:left="1547"/>
                          <w:rPr>
                            <w:b/>
                            <w:sz w:val="24"/>
                          </w:rPr>
                        </w:pPr>
                        <w:r>
                          <w:rPr>
                            <w:b/>
                            <w:sz w:val="24"/>
                          </w:rPr>
                          <w:t>Departmental Proposed Legislation</w:t>
                        </w:r>
                      </w:p>
                    </w:tc>
                    <w:tc>
                      <w:tcPr>
                        <w:tcW w:w="1085" w:type="dxa"/>
                        <w:tcBorders>
                          <w:right w:val="nil"/>
                        </w:tcBorders>
                      </w:tcPr>
                      <w:p>
                        <w:pPr>
                          <w:pStyle w:val="TableParagraph"/>
                          <w:spacing w:before="144"/>
                          <w:ind w:left="103"/>
                          <w:rPr>
                            <w:b/>
                            <w:sz w:val="24"/>
                          </w:rPr>
                        </w:pPr>
                        <w:r>
                          <w:rPr>
                            <w:b/>
                            <w:sz w:val="24"/>
                          </w:rPr>
                          <w:t>6950</w:t>
                        </w:r>
                      </w:p>
                    </w:tc>
                  </w:tr>
                  <w:tr>
                    <w:trPr>
                      <w:trHeight w:val="588" w:hRule="exact"/>
                    </w:trPr>
                    <w:tc>
                      <w:tcPr>
                        <w:tcW w:w="8275" w:type="dxa"/>
                        <w:tcBorders>
                          <w:left w:val="nil"/>
                        </w:tcBorders>
                      </w:tcPr>
                      <w:p>
                        <w:pPr>
                          <w:pStyle w:val="TableParagraph"/>
                          <w:spacing w:before="147"/>
                          <w:ind w:left="1547"/>
                          <w:rPr>
                            <w:b/>
                            <w:sz w:val="24"/>
                          </w:rPr>
                        </w:pPr>
                        <w:r>
                          <w:rPr>
                            <w:b/>
                            <w:sz w:val="24"/>
                          </w:rPr>
                          <w:t>Hearings</w:t>
                        </w:r>
                      </w:p>
                    </w:tc>
                    <w:tc>
                      <w:tcPr>
                        <w:tcW w:w="1085" w:type="dxa"/>
                        <w:tcBorders>
                          <w:right w:val="nil"/>
                        </w:tcBorders>
                      </w:tcPr>
                      <w:p>
                        <w:pPr>
                          <w:pStyle w:val="TableParagraph"/>
                          <w:spacing w:before="147"/>
                          <w:ind w:left="103"/>
                          <w:rPr>
                            <w:b/>
                            <w:sz w:val="24"/>
                          </w:rPr>
                        </w:pPr>
                        <w:r>
                          <w:rPr>
                            <w:b/>
                            <w:sz w:val="24"/>
                          </w:rPr>
                          <w:t>6955</w:t>
                        </w:r>
                      </w:p>
                    </w:tc>
                  </w:tr>
                  <w:tr>
                    <w:trPr>
                      <w:trHeight w:val="588" w:hRule="exact"/>
                    </w:trPr>
                    <w:tc>
                      <w:tcPr>
                        <w:tcW w:w="8275" w:type="dxa"/>
                        <w:tcBorders>
                          <w:left w:val="nil"/>
                        </w:tcBorders>
                      </w:tcPr>
                      <w:p>
                        <w:pPr>
                          <w:pStyle w:val="TableParagraph"/>
                          <w:spacing w:before="144"/>
                          <w:ind w:left="1547"/>
                          <w:rPr>
                            <w:b/>
                            <w:sz w:val="24"/>
                          </w:rPr>
                        </w:pPr>
                        <w:r>
                          <w:rPr>
                            <w:b/>
                            <w:sz w:val="24"/>
                          </w:rPr>
                          <w:t>Bill Analysis</w:t>
                        </w:r>
                      </w:p>
                    </w:tc>
                    <w:tc>
                      <w:tcPr>
                        <w:tcW w:w="1085" w:type="dxa"/>
                        <w:tcBorders>
                          <w:right w:val="nil"/>
                        </w:tcBorders>
                      </w:tcPr>
                      <w:p>
                        <w:pPr>
                          <w:pStyle w:val="TableParagraph"/>
                          <w:spacing w:before="144"/>
                          <w:ind w:left="103"/>
                          <w:rPr>
                            <w:b/>
                            <w:sz w:val="24"/>
                          </w:rPr>
                        </w:pPr>
                        <w:r>
                          <w:rPr>
                            <w:b/>
                            <w:sz w:val="24"/>
                          </w:rPr>
                          <w:t>6960</w:t>
                        </w:r>
                      </w:p>
                    </w:tc>
                  </w:tr>
                  <w:tr>
                    <w:trPr>
                      <w:trHeight w:val="576" w:hRule="exact"/>
                    </w:trPr>
                    <w:tc>
                      <w:tcPr>
                        <w:tcW w:w="8275" w:type="dxa"/>
                        <w:tcBorders>
                          <w:left w:val="nil"/>
                          <w:bottom w:val="nil"/>
                        </w:tcBorders>
                      </w:tcPr>
                      <w:p>
                        <w:pPr>
                          <w:pStyle w:val="TableParagraph"/>
                          <w:spacing w:before="139"/>
                          <w:ind w:left="1547"/>
                          <w:rPr>
                            <w:b/>
                            <w:sz w:val="24"/>
                          </w:rPr>
                        </w:pPr>
                        <w:r>
                          <w:rPr>
                            <w:b/>
                            <w:sz w:val="24"/>
                          </w:rPr>
                          <w:t>Enrolled Bill Report</w:t>
                        </w:r>
                      </w:p>
                    </w:tc>
                    <w:tc>
                      <w:tcPr>
                        <w:tcW w:w="1085" w:type="dxa"/>
                        <w:tcBorders>
                          <w:bottom w:val="nil"/>
                          <w:right w:val="nil"/>
                        </w:tcBorders>
                      </w:tcPr>
                      <w:p>
                        <w:pPr>
                          <w:pStyle w:val="TableParagraph"/>
                          <w:spacing w:before="139"/>
                          <w:ind w:left="103"/>
                          <w:rPr>
                            <w:b/>
                            <w:sz w:val="24"/>
                          </w:rPr>
                        </w:pPr>
                        <w:r>
                          <w:rPr>
                            <w:b/>
                            <w:sz w:val="24"/>
                          </w:rPr>
                          <w:t>6965</w:t>
                        </w:r>
                      </w:p>
                    </w:tc>
                  </w:tr>
                </w:tbl>
                <w:p>
                  <w:pPr>
                    <w:pStyle w:val="BodyText"/>
                  </w:pPr>
                </w:p>
              </w:txbxContent>
            </v:textbox>
            <w10:wrap type="topAndBottom"/>
          </v:shape>
        </w:pict>
      </w:r>
    </w:p>
    <w:p>
      <w:pPr>
        <w:spacing w:after="0"/>
        <w:rPr>
          <w:sz w:val="23"/>
        </w:rPr>
        <w:sectPr>
          <w:headerReference w:type="default" r:id="rId27"/>
          <w:pgSz w:w="12240" w:h="15840"/>
          <w:pgMar w:header="724" w:footer="803" w:top="980" w:bottom="1000" w:left="620" w:right="1200"/>
        </w:sectPr>
      </w:pPr>
    </w:p>
    <w:p>
      <w:pPr>
        <w:pStyle w:val="BodyText"/>
        <w:rPr>
          <w:sz w:val="20"/>
        </w:rPr>
      </w:pPr>
    </w:p>
    <w:p>
      <w:pPr>
        <w:tabs>
          <w:tab w:pos="9459" w:val="left" w:leader="none"/>
        </w:tabs>
        <w:spacing w:before="214"/>
        <w:ind w:left="820" w:right="0" w:firstLine="0"/>
        <w:jc w:val="both"/>
        <w:rPr>
          <w:b/>
          <w:sz w:val="24"/>
        </w:rPr>
      </w:pPr>
      <w:r>
        <w:rPr/>
        <w:pict>
          <v:line style="position:absolute;mso-position-horizontal-relative:page;mso-position-vertical-relative:paragraph;z-index:2248" from="36.360001pt,24.714882pt" to="36.360001pt,38.515882pt" stroked="true" strokeweight=".72pt" strokecolor="#000000">
            <v:stroke dashstyle="solid"/>
            <w10:wrap type="none"/>
          </v:line>
        </w:pict>
      </w:r>
      <w:r>
        <w:rPr>
          <w:b/>
          <w:sz w:val="24"/>
        </w:rPr>
        <w:t>INTRODUCTION TO THE</w:t>
      </w:r>
      <w:r>
        <w:rPr>
          <w:b/>
          <w:spacing w:val="-8"/>
          <w:sz w:val="24"/>
        </w:rPr>
        <w:t> </w:t>
      </w:r>
      <w:r>
        <w:rPr>
          <w:b/>
          <w:sz w:val="24"/>
        </w:rPr>
        <w:t>BUDGETING</w:t>
      </w:r>
      <w:r>
        <w:rPr>
          <w:b/>
          <w:spacing w:val="-3"/>
          <w:sz w:val="24"/>
        </w:rPr>
        <w:t> </w:t>
      </w:r>
      <w:r>
        <w:rPr>
          <w:b/>
          <w:sz w:val="24"/>
        </w:rPr>
        <w:t>CHAPTER</w:t>
      </w:r>
      <w:r>
        <w:rPr>
          <w:b/>
          <w:sz w:val="24"/>
          <w:u w:val="thick" w:color="2E97D3"/>
        </w:rPr>
        <w:t> </w:t>
        <w:tab/>
      </w:r>
      <w:r>
        <w:rPr>
          <w:b/>
          <w:sz w:val="24"/>
        </w:rPr>
        <w:t>6000</w:t>
      </w:r>
    </w:p>
    <w:p>
      <w:pPr>
        <w:spacing w:before="0"/>
        <w:ind w:left="820" w:right="0" w:firstLine="0"/>
        <w:jc w:val="both"/>
        <w:rPr>
          <w:sz w:val="24"/>
        </w:rPr>
      </w:pPr>
      <w:r>
        <w:rPr>
          <w:sz w:val="24"/>
        </w:rPr>
        <w:t>(Revised </w:t>
      </w:r>
      <w:r>
        <w:rPr>
          <w:rFonts w:ascii="Times New Roman"/>
          <w:b/>
          <w:strike/>
          <w:color w:val="2E97D3"/>
          <w:sz w:val="16"/>
        </w:rPr>
        <w:t>9/2010</w:t>
      </w:r>
      <w:r>
        <w:rPr>
          <w:strike w:val="0"/>
          <w:color w:val="2E97D3"/>
          <w:sz w:val="24"/>
          <w:u w:val="single" w:color="2E97D3"/>
        </w:rPr>
        <w:t>11/2017</w:t>
      </w:r>
      <w:r>
        <w:rPr>
          <w:strike w:val="0"/>
          <w:sz w:val="24"/>
        </w:rPr>
        <w:t>)</w:t>
      </w:r>
    </w:p>
    <w:p>
      <w:pPr>
        <w:spacing w:before="185"/>
        <w:ind w:left="820" w:right="0" w:firstLine="0"/>
        <w:jc w:val="left"/>
        <w:rPr>
          <w:sz w:val="24"/>
        </w:rPr>
      </w:pPr>
      <w:r>
        <w:rPr/>
        <w:pict>
          <v:line style="position:absolute;mso-position-horizontal-relative:page;mso-position-vertical-relative:paragraph;z-index:-470536" from="314.519989pt,36.045853pt" to="317.879989pt,36.045853pt" stroked="true" strokeweight=".84pt" strokecolor="#2e97d3">
            <v:stroke dashstyle="solid"/>
            <w10:wrap type="none"/>
          </v:line>
        </w:pict>
      </w:r>
      <w:r>
        <w:rPr/>
        <w:pict>
          <v:line style="position:absolute;mso-position-horizontal-relative:page;mso-position-vertical-relative:paragraph;z-index:-470512" from="225.839996pt,46.245853pt" to="227.879996pt,46.245853pt" stroked="true" strokeweight=".36pt" strokecolor="#2e97d3">
            <v:stroke dashstyle="solid"/>
            <w10:wrap type="none"/>
          </v:line>
        </w:pict>
      </w:r>
      <w:r>
        <w:rPr/>
        <w:pict>
          <v:line style="position:absolute;mso-position-horizontal-relative:page;mso-position-vertical-relative:paragraph;z-index:2272" from="36.360001pt,9.465855pt" to="36.360001pt,78.465855pt" stroked="true" strokeweight=".72pt" strokecolor="#000000">
            <v:stroke dashstyle="solid"/>
            <w10:wrap type="none"/>
          </v:line>
        </w:pict>
      </w:r>
      <w:r>
        <w:rPr>
          <w:sz w:val="24"/>
        </w:rPr>
        <w:t>The budgeting chapter of SAM provides an overview of the state’s budget process </w:t>
      </w:r>
      <w:r>
        <w:rPr>
          <w:rFonts w:ascii="Times New Roman" w:hAnsi="Times New Roman"/>
          <w:b/>
          <w:strike/>
          <w:color w:val="2E97D3"/>
          <w:sz w:val="16"/>
        </w:rPr>
        <w:t>as well as</w:t>
      </w:r>
      <w:r>
        <w:rPr>
          <w:strike w:val="0"/>
          <w:color w:val="2E97D3"/>
          <w:sz w:val="24"/>
          <w:u w:val="single" w:color="2E97D3"/>
        </w:rPr>
        <w:t>including </w:t>
      </w:r>
      <w:r>
        <w:rPr>
          <w:strike w:val="0"/>
          <w:sz w:val="24"/>
        </w:rPr>
        <w:t>a description of the events, actions</w:t>
      </w:r>
      <w:r>
        <w:rPr>
          <w:strike w:val="0"/>
          <w:color w:val="2E97D3"/>
          <w:sz w:val="24"/>
        </w:rPr>
        <w:t>, </w:t>
      </w:r>
      <w:r>
        <w:rPr>
          <w:strike w:val="0"/>
          <w:sz w:val="24"/>
        </w:rPr>
        <w:t>and documents </w:t>
      </w:r>
      <w:r>
        <w:rPr>
          <w:rFonts w:ascii="Times New Roman" w:hAnsi="Times New Roman"/>
          <w:b/>
          <w:strike/>
          <w:color w:val="2E97D3"/>
          <w:sz w:val="16"/>
        </w:rPr>
        <w:t>that make up</w:t>
      </w:r>
      <w:r>
        <w:rPr>
          <w:strike w:val="0"/>
          <w:color w:val="2E97D3"/>
          <w:sz w:val="24"/>
          <w:u w:val="single" w:color="2E97D3"/>
        </w:rPr>
        <w:t>related to </w:t>
      </w:r>
      <w:r>
        <w:rPr>
          <w:strike w:val="0"/>
          <w:sz w:val="24"/>
        </w:rPr>
        <w:t>the state's annual financial plan. It </w:t>
      </w:r>
      <w:r>
        <w:rPr>
          <w:rFonts w:ascii="Times New Roman" w:hAnsi="Times New Roman"/>
          <w:b/>
          <w:strike/>
          <w:color w:val="2E97D3"/>
          <w:sz w:val="16"/>
        </w:rPr>
        <w:t>also </w:t>
      </w:r>
      <w:r>
        <w:rPr>
          <w:strike w:val="0"/>
          <w:sz w:val="24"/>
        </w:rPr>
        <w:t>provides </w:t>
      </w:r>
      <w:r>
        <w:rPr>
          <w:strike w:val="0"/>
          <w:color w:val="2E97D3"/>
          <w:sz w:val="24"/>
          <w:u w:val="single" w:color="2E97D3"/>
        </w:rPr>
        <w:t>illustrative examples and </w:t>
      </w:r>
      <w:r>
        <w:rPr>
          <w:strike w:val="0"/>
          <w:sz w:val="24"/>
        </w:rPr>
        <w:t>instructions </w:t>
      </w:r>
      <w:r>
        <w:rPr>
          <w:rFonts w:ascii="Times New Roman" w:hAnsi="Times New Roman"/>
          <w:b/>
          <w:strike/>
          <w:color w:val="2E97D3"/>
          <w:sz w:val="16"/>
        </w:rPr>
        <w:t>and examples </w:t>
      </w:r>
      <w:r>
        <w:rPr>
          <w:strike w:val="0"/>
          <w:sz w:val="24"/>
        </w:rPr>
        <w:t>for </w:t>
      </w:r>
      <w:r>
        <w:rPr>
          <w:rFonts w:ascii="Times New Roman" w:hAnsi="Times New Roman"/>
          <w:b/>
          <w:strike/>
          <w:color w:val="2E97D3"/>
          <w:sz w:val="16"/>
        </w:rPr>
        <w:t>the preparation</w:t>
      </w:r>
      <w:r>
        <w:rPr>
          <w:strike w:val="0"/>
          <w:color w:val="2E97D3"/>
          <w:sz w:val="24"/>
          <w:u w:val="single" w:color="2E97D3"/>
        </w:rPr>
        <w:t>completion </w:t>
      </w:r>
      <w:r>
        <w:rPr>
          <w:strike w:val="0"/>
          <w:sz w:val="24"/>
        </w:rPr>
        <w:t>of the forms</w:t>
      </w:r>
      <w:r>
        <w:rPr>
          <w:rFonts w:ascii="Times New Roman" w:hAnsi="Times New Roman"/>
          <w:b/>
          <w:strike/>
          <w:color w:val="2E97D3"/>
          <w:sz w:val="16"/>
        </w:rPr>
        <w:t>, documents, </w:t>
      </w:r>
      <w:r>
        <w:rPr>
          <w:strike w:val="0"/>
          <w:sz w:val="24"/>
        </w:rPr>
        <w:t>and schedules </w:t>
      </w:r>
      <w:r>
        <w:rPr>
          <w:rFonts w:ascii="Times New Roman" w:hAnsi="Times New Roman"/>
          <w:b/>
          <w:strike/>
          <w:color w:val="2E97D3"/>
          <w:sz w:val="16"/>
        </w:rPr>
        <w:t>critical</w:t>
      </w:r>
      <w:r>
        <w:rPr>
          <w:strike w:val="0"/>
          <w:color w:val="2E97D3"/>
          <w:sz w:val="24"/>
          <w:u w:val="single" w:color="2E97D3"/>
        </w:rPr>
        <w:t>that are integral </w:t>
      </w:r>
      <w:r>
        <w:rPr>
          <w:strike w:val="0"/>
          <w:sz w:val="24"/>
        </w:rPr>
        <w:t>to the preparation, enactment, and administration of the </w:t>
      </w:r>
      <w:r>
        <w:rPr>
          <w:rFonts w:ascii="Times New Roman" w:hAnsi="Times New Roman"/>
          <w:b/>
          <w:strike/>
          <w:color w:val="2E97D3"/>
          <w:sz w:val="16"/>
        </w:rPr>
        <w:t>annual financial plan.  </w:t>
      </w:r>
      <w:r>
        <w:rPr>
          <w:strike w:val="0"/>
          <w:color w:val="2E97D3"/>
          <w:sz w:val="24"/>
          <w:u w:val="single" w:color="2E97D3"/>
        </w:rPr>
        <w:t>state budget.</w:t>
      </w:r>
    </w:p>
    <w:p>
      <w:pPr>
        <w:pStyle w:val="BodyText"/>
        <w:spacing w:before="182"/>
        <w:ind w:left="820" w:right="377"/>
        <w:jc w:val="both"/>
      </w:pPr>
      <w:r>
        <w:rPr/>
        <w:pict>
          <v:line style="position:absolute;mso-position-horizontal-relative:page;mso-position-vertical-relative:paragraph;z-index:2296" from="36.360001pt,9.314859pt" to="36.360001pt,107.355859pt" stroked="true" strokeweight=".72pt" strokecolor="#000000">
            <v:stroke dashstyle="solid"/>
            <w10:wrap type="none"/>
          </v:line>
        </w:pict>
      </w:r>
      <w:r>
        <w:rPr>
          <w:rFonts w:ascii="Times New Roman"/>
          <w:b/>
          <w:strike/>
          <w:color w:val="2E97D3"/>
          <w:sz w:val="16"/>
        </w:rPr>
        <w:t>Because of</w:t>
      </w:r>
      <w:r>
        <w:rPr>
          <w:strike w:val="0"/>
          <w:color w:val="2E97D3"/>
          <w:u w:val="single" w:color="2E97D3"/>
        </w:rPr>
        <w:t>Due to </w:t>
      </w:r>
      <w:r>
        <w:rPr>
          <w:strike w:val="0"/>
        </w:rPr>
        <w:t>the dynamic nature of </w:t>
      </w:r>
      <w:r>
        <w:rPr>
          <w:strike w:val="0"/>
          <w:color w:val="2E97D3"/>
          <w:u w:val="single" w:color="2E97D3"/>
        </w:rPr>
        <w:t>state </w:t>
      </w:r>
      <w:r>
        <w:rPr>
          <w:strike w:val="0"/>
        </w:rPr>
        <w:t>budgeting in California, this manual </w:t>
      </w:r>
      <w:r>
        <w:rPr>
          <w:strike w:val="0"/>
          <w:color w:val="2E97D3"/>
          <w:u w:val="single" w:color="2E97D3"/>
        </w:rPr>
        <w:t>cannot and </w:t>
      </w:r>
      <w:r>
        <w:rPr>
          <w:strike w:val="0"/>
        </w:rPr>
        <w:t>does not </w:t>
      </w:r>
      <w:r>
        <w:rPr>
          <w:rFonts w:ascii="Times New Roman"/>
          <w:b/>
          <w:strike/>
          <w:color w:val="2E97D3"/>
          <w:sz w:val="16"/>
        </w:rPr>
        <w:t>provide </w:t>
      </w:r>
      <w:r>
        <w:rPr>
          <w:strike w:val="0"/>
          <w:color w:val="2E97D3"/>
          <w:u w:val="single" w:color="2E97D3"/>
        </w:rPr>
        <w:t>contain a comprehensive set of </w:t>
      </w:r>
      <w:r>
        <w:rPr>
          <w:strike w:val="0"/>
        </w:rPr>
        <w:t>all the </w:t>
      </w:r>
      <w:r>
        <w:rPr>
          <w:strike w:val="0"/>
          <w:color w:val="2E97D3"/>
          <w:u w:val="single" w:color="2E97D3"/>
        </w:rPr>
        <w:t>relevant </w:t>
      </w:r>
      <w:r>
        <w:rPr>
          <w:strike w:val="0"/>
        </w:rPr>
        <w:t>instructions </w:t>
      </w:r>
      <w:r>
        <w:rPr>
          <w:rFonts w:ascii="Times New Roman"/>
          <w:b/>
          <w:strike/>
          <w:color w:val="2E97D3"/>
          <w:sz w:val="16"/>
        </w:rPr>
        <w:t>which are </w:t>
      </w:r>
      <w:r>
        <w:rPr>
          <w:strike w:val="0"/>
        </w:rPr>
        <w:t>necessary for the development, enactment </w:t>
      </w:r>
      <w:r>
        <w:rPr>
          <w:rFonts w:ascii="Times New Roman"/>
          <w:b/>
          <w:strike/>
          <w:color w:val="2E97D3"/>
          <w:sz w:val="16"/>
        </w:rPr>
        <w:t>or</w:t>
      </w:r>
      <w:r>
        <w:rPr>
          <w:strike w:val="0"/>
          <w:color w:val="2E97D3"/>
          <w:u w:val="single" w:color="2E97D3"/>
        </w:rPr>
        <w:t>, and </w:t>
      </w:r>
      <w:r>
        <w:rPr>
          <w:strike w:val="0"/>
        </w:rPr>
        <w:t>administration of the </w:t>
      </w:r>
      <w:r>
        <w:rPr>
          <w:strike w:val="0"/>
          <w:color w:val="2E97D3"/>
          <w:u w:val="single" w:color="2E97D3"/>
        </w:rPr>
        <w:t>state </w:t>
      </w:r>
      <w:r>
        <w:rPr>
          <w:strike w:val="0"/>
        </w:rPr>
        <w:t>budget.</w:t>
      </w:r>
    </w:p>
    <w:p>
      <w:pPr>
        <w:pStyle w:val="BodyText"/>
        <w:ind w:left="820" w:right="436"/>
        <w:jc w:val="both"/>
      </w:pPr>
      <w:r>
        <w:rPr>
          <w:rFonts w:ascii="Times New Roman"/>
          <w:b/>
          <w:strike/>
          <w:color w:val="2E97D3"/>
          <w:sz w:val="16"/>
        </w:rPr>
        <w:t>Budget</w:t>
      </w:r>
      <w:r>
        <w:rPr>
          <w:strike w:val="0"/>
          <w:color w:val="2E97D3"/>
          <w:u w:val="single" w:color="2E97D3"/>
        </w:rPr>
        <w:t>Evolving budget </w:t>
      </w:r>
      <w:r>
        <w:rPr>
          <w:strike w:val="0"/>
        </w:rPr>
        <w:t>policy </w:t>
      </w:r>
      <w:r>
        <w:rPr>
          <w:strike w:val="0"/>
          <w:color w:val="2E97D3"/>
          <w:u w:val="single" w:color="2E97D3"/>
        </w:rPr>
        <w:t>direction </w:t>
      </w:r>
      <w:r>
        <w:rPr>
          <w:strike w:val="0"/>
        </w:rPr>
        <w:t>and supplemental instructions are </w:t>
      </w:r>
      <w:r>
        <w:rPr>
          <w:rFonts w:ascii="Times New Roman"/>
          <w:b/>
          <w:strike/>
          <w:color w:val="2E97D3"/>
          <w:sz w:val="16"/>
        </w:rPr>
        <w:t>generally </w:t>
      </w:r>
      <w:r>
        <w:rPr>
          <w:strike w:val="0"/>
        </w:rPr>
        <w:t>issued by the Department of Finance </w:t>
      </w:r>
      <w:r>
        <w:rPr>
          <w:rFonts w:ascii="Times New Roman"/>
          <w:b/>
          <w:strike/>
          <w:color w:val="2E97D3"/>
          <w:sz w:val="16"/>
        </w:rPr>
        <w:t>(Finance) </w:t>
      </w:r>
      <w:r>
        <w:rPr>
          <w:strike w:val="0"/>
        </w:rPr>
        <w:t>through Budget Letters, </w:t>
      </w:r>
      <w:r>
        <w:rPr>
          <w:rFonts w:ascii="Times New Roman"/>
          <w:b/>
          <w:strike/>
          <w:color w:val="2E97D3"/>
          <w:sz w:val="16"/>
        </w:rPr>
        <w:t>budget related </w:t>
      </w:r>
      <w:r>
        <w:rPr>
          <w:strike w:val="0"/>
        </w:rPr>
        <w:t>Management Memos, and other </w:t>
      </w:r>
      <w:r>
        <w:rPr>
          <w:rFonts w:ascii="Times New Roman"/>
          <w:b/>
          <w:strike/>
          <w:color w:val="2E97D3"/>
          <w:sz w:val="16"/>
        </w:rPr>
        <w:t>memoranda</w:t>
      </w:r>
      <w:r>
        <w:rPr>
          <w:strike w:val="0"/>
          <w:color w:val="2E97D3"/>
          <w:u w:val="single" w:color="2E97D3"/>
        </w:rPr>
        <w:t>methods of communications </w:t>
      </w:r>
      <w:r>
        <w:rPr>
          <w:strike w:val="0"/>
        </w:rPr>
        <w:t>to supplement this manual.</w:t>
      </w:r>
    </w:p>
    <w:p>
      <w:pPr>
        <w:spacing w:before="2"/>
        <w:ind w:left="820" w:right="0" w:firstLine="0"/>
        <w:jc w:val="both"/>
        <w:rPr>
          <w:rFonts w:ascii="Times New Roman" w:hAnsi="Times New Roman"/>
          <w:b/>
          <w:sz w:val="16"/>
        </w:rPr>
      </w:pPr>
      <w:r>
        <w:rPr>
          <w:rFonts w:ascii="Times New Roman" w:hAnsi="Times New Roman"/>
          <w:b/>
          <w:strike/>
          <w:color w:val="2E97D3"/>
          <w:sz w:val="16"/>
        </w:rPr>
        <w:t>Electronic mail notices to departmental budget officers and Finance’s Internet website are also used</w:t>
      </w:r>
      <w:r>
        <w:rPr>
          <w:rFonts w:ascii="Times New Roman" w:hAnsi="Times New Roman"/>
          <w:b/>
          <w:strike w:val="0"/>
          <w:color w:val="2E97D3"/>
          <w:sz w:val="16"/>
        </w:rPr>
        <w:t>.</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4"/>
        <w:rPr>
          <w:rFonts w:ascii="Times New Roman"/>
          <w:b/>
          <w:sz w:val="20"/>
        </w:rPr>
      </w:pPr>
    </w:p>
    <w:p>
      <w:pPr>
        <w:pStyle w:val="Heading2"/>
        <w:ind w:left="820" w:right="2840"/>
      </w:pPr>
      <w:r>
        <w:rPr/>
        <w:pict>
          <v:line style="position:absolute;mso-position-horizontal-relative:page;mso-position-vertical-relative:paragraph;z-index:2176" from="398.040009pt,8.435849pt" to="432.000009pt,8.435849pt" stroked="true" strokeweight=".6pt" strokecolor="#2e97d3">
            <v:stroke dashstyle="solid"/>
            <w10:wrap type="none"/>
          </v:line>
        </w:pict>
      </w:r>
      <w:r>
        <w:rPr/>
        <w:pict>
          <v:line style="position:absolute;mso-position-horizontal-relative:page;mso-position-vertical-relative:paragraph;z-index:2320" from="36.360001pt,-25.705151pt" to="36.360001pt,14.015849pt" stroked="true" strokeweight=".72pt" strokecolor="#000000">
            <v:stroke dashstyle="solid"/>
            <w10:wrap type="none"/>
          </v:line>
        </w:pict>
      </w:r>
      <w:r>
        <w:rPr/>
        <w:pict>
          <v:line style="position:absolute;mso-position-horizontal-relative:page;mso-position-vertical-relative:paragraph;z-index:2344" from="36.360001pt,27.815849pt" to="36.360001pt,41.615849pt" stroked="true" strokeweight=".72pt" strokecolor="#000000">
            <v:stroke dashstyle="solid"/>
            <w10:wrap type="none"/>
          </v:line>
        </w:pict>
      </w:r>
      <w:r>
        <w:rPr/>
        <w:t>AVAILABILITY OF BUDGET INSTRUCTIONS AND FORMS 6005</w:t>
      </w:r>
    </w:p>
    <w:p>
      <w:pPr>
        <w:spacing w:before="0"/>
        <w:ind w:left="820" w:right="0" w:firstLine="0"/>
        <w:jc w:val="left"/>
        <w:rPr>
          <w:sz w:val="24"/>
        </w:rPr>
      </w:pPr>
      <w:r>
        <w:rPr>
          <w:sz w:val="24"/>
        </w:rPr>
        <w:t>(Revised </w:t>
      </w:r>
      <w:r>
        <w:rPr>
          <w:rFonts w:ascii="Times New Roman"/>
          <w:b/>
          <w:strike/>
          <w:color w:val="2E97D3"/>
          <w:sz w:val="16"/>
        </w:rPr>
        <w:t>9/2010</w:t>
      </w:r>
      <w:r>
        <w:rPr>
          <w:strike w:val="0"/>
          <w:color w:val="2E97D3"/>
          <w:sz w:val="24"/>
          <w:u w:val="single" w:color="2E97D3"/>
        </w:rPr>
        <w:t>09/2017</w:t>
      </w:r>
      <w:r>
        <w:rPr>
          <w:strike w:val="0"/>
          <w:sz w:val="24"/>
        </w:rPr>
        <w:t>)</w:t>
      </w:r>
    </w:p>
    <w:p>
      <w:pPr>
        <w:spacing w:before="185"/>
        <w:ind w:left="820" w:right="1419" w:firstLine="0"/>
        <w:jc w:val="left"/>
        <w:rPr>
          <w:sz w:val="24"/>
        </w:rPr>
      </w:pPr>
      <w:r>
        <w:rPr/>
        <w:pict>
          <v:line style="position:absolute;mso-position-horizontal-relative:page;mso-position-vertical-relative:paragraph;z-index:2368" from="36.360001pt,9.465865pt" to="36.360001pt,213.705865pt" stroked="true" strokeweight=".72pt" strokecolor="#000000">
            <v:stroke dashstyle="solid"/>
            <w10:wrap type="none"/>
          </v:line>
        </w:pict>
      </w:r>
      <w:r>
        <w:rPr>
          <w:sz w:val="24"/>
        </w:rPr>
        <w:t>The following information is available to departments on </w:t>
      </w:r>
      <w:r>
        <w:rPr>
          <w:color w:val="2E97D3"/>
          <w:sz w:val="24"/>
          <w:u w:val="single" w:color="2E97D3"/>
        </w:rPr>
        <w:t>the Department of </w:t>
      </w:r>
      <w:r>
        <w:rPr>
          <w:sz w:val="24"/>
        </w:rPr>
        <w:t>Finance’s </w:t>
      </w:r>
      <w:r>
        <w:rPr>
          <w:rFonts w:ascii="Times New Roman" w:hAnsi="Times New Roman"/>
          <w:b/>
          <w:strike/>
          <w:color w:val="2E97D3"/>
          <w:sz w:val="16"/>
        </w:rPr>
        <w:t>Internet </w:t>
      </w:r>
      <w:r>
        <w:rPr>
          <w:strike w:val="0"/>
          <w:sz w:val="24"/>
        </w:rPr>
        <w:t>Website</w:t>
      </w:r>
      <w:r>
        <w:rPr>
          <w:rFonts w:ascii="Times New Roman" w:hAnsi="Times New Roman"/>
          <w:b/>
          <w:strike/>
          <w:color w:val="2E97D3"/>
          <w:sz w:val="16"/>
        </w:rPr>
        <w:t>. The address is </w:t>
      </w:r>
      <w:hyperlink r:id="rId29">
        <w:r>
          <w:rPr>
            <w:rFonts w:ascii="Times New Roman" w:hAnsi="Times New Roman"/>
            <w:b/>
            <w:strike/>
            <w:color w:val="2E97D3"/>
            <w:sz w:val="16"/>
            <w:u w:val="single" w:color="2E97D3"/>
          </w:rPr>
          <w:t>http://www.dof.ca.gov/budget/budget_letters/.</w:t>
        </w:r>
        <w:r>
          <w:rPr>
            <w:strike w:val="0"/>
            <w:color w:val="2E97D3"/>
            <w:sz w:val="24"/>
            <w:u w:val="single" w:color="2E97D3"/>
          </w:rPr>
          <w:t>:</w:t>
        </w:r>
      </w:hyperlink>
    </w:p>
    <w:p>
      <w:pPr>
        <w:pStyle w:val="BodyText"/>
        <w:spacing w:before="5"/>
        <w:rPr>
          <w:sz w:val="26"/>
        </w:rPr>
      </w:pPr>
    </w:p>
    <w:p>
      <w:pPr>
        <w:pStyle w:val="ListParagraph"/>
        <w:numPr>
          <w:ilvl w:val="0"/>
          <w:numId w:val="2"/>
        </w:numPr>
        <w:tabs>
          <w:tab w:pos="1180" w:val="left" w:leader="none"/>
        </w:tabs>
        <w:spacing w:line="240" w:lineRule="auto" w:before="92" w:after="0"/>
        <w:ind w:left="1180" w:right="0" w:hanging="360"/>
        <w:jc w:val="left"/>
        <w:rPr>
          <w:sz w:val="24"/>
        </w:rPr>
      </w:pPr>
      <w:r>
        <w:rPr>
          <w:strike/>
          <w:color w:val="2E97D3"/>
          <w:sz w:val="24"/>
        </w:rPr>
        <w:t>eBudget</w:t>
      </w:r>
    </w:p>
    <w:p>
      <w:pPr>
        <w:pStyle w:val="ListParagraph"/>
        <w:numPr>
          <w:ilvl w:val="0"/>
          <w:numId w:val="2"/>
        </w:numPr>
        <w:tabs>
          <w:tab w:pos="1180" w:val="left" w:leader="none"/>
        </w:tabs>
        <w:spacing w:line="240" w:lineRule="auto" w:before="0" w:after="0"/>
        <w:ind w:left="1180" w:right="0" w:hanging="360"/>
        <w:jc w:val="left"/>
        <w:rPr>
          <w:sz w:val="24"/>
        </w:rPr>
      </w:pPr>
      <w:r>
        <w:rPr>
          <w:strike/>
          <w:color w:val="2E97D3"/>
          <w:sz w:val="24"/>
        </w:rPr>
        <w:t>Budget</w:t>
      </w:r>
      <w:r>
        <w:rPr>
          <w:strike/>
          <w:color w:val="2E97D3"/>
          <w:spacing w:val="-8"/>
          <w:sz w:val="24"/>
        </w:rPr>
        <w:t> </w:t>
      </w:r>
      <w:r>
        <w:rPr>
          <w:strike/>
          <w:color w:val="2E97D3"/>
          <w:sz w:val="24"/>
        </w:rPr>
        <w:t>Letters</w:t>
      </w:r>
    </w:p>
    <w:p>
      <w:pPr>
        <w:pStyle w:val="ListParagraph"/>
        <w:numPr>
          <w:ilvl w:val="0"/>
          <w:numId w:val="3"/>
        </w:numPr>
        <w:tabs>
          <w:tab w:pos="1359" w:val="left" w:leader="none"/>
          <w:tab w:pos="1360" w:val="left" w:leader="none"/>
          <w:tab w:pos="2259" w:val="left" w:leader="none"/>
        </w:tabs>
        <w:spacing w:line="275" w:lineRule="exact" w:before="93" w:after="0"/>
        <w:ind w:left="820" w:right="0" w:firstLine="0"/>
        <w:jc w:val="left"/>
        <w:rPr>
          <w:sz w:val="24"/>
        </w:rPr>
      </w:pPr>
      <w:r>
        <w:rPr>
          <w:strike/>
          <w:color w:val="2E97D3"/>
          <w:sz w:val="24"/>
        </w:rPr>
        <w:t>3.</w:t>
        <w:tab/>
      </w:r>
      <w:r>
        <w:rPr>
          <w:strike w:val="0"/>
          <w:color w:val="2E97D3"/>
          <w:sz w:val="24"/>
          <w:u w:val="single" w:color="2E97D3"/>
        </w:rPr>
        <w:t>eBudget:</w:t>
      </w:r>
      <w:r>
        <w:rPr>
          <w:strike w:val="0"/>
          <w:color w:val="2E97D3"/>
          <w:spacing w:val="-23"/>
          <w:sz w:val="24"/>
          <w:u w:val="single" w:color="2E97D3"/>
        </w:rPr>
        <w:t> </w:t>
      </w:r>
      <w:hyperlink r:id="rId30">
        <w:r>
          <w:rPr>
            <w:strike w:val="0"/>
            <w:color w:val="2E97D3"/>
            <w:sz w:val="24"/>
            <w:u w:val="single" w:color="2E97D3"/>
          </w:rPr>
          <w:t>http://www.ebudget.ca.gov/</w:t>
        </w:r>
      </w:hyperlink>
    </w:p>
    <w:p>
      <w:pPr>
        <w:pStyle w:val="ListParagraph"/>
        <w:numPr>
          <w:ilvl w:val="0"/>
          <w:numId w:val="3"/>
        </w:numPr>
        <w:tabs>
          <w:tab w:pos="1359" w:val="left" w:leader="none"/>
          <w:tab w:pos="1360" w:val="left" w:leader="none"/>
        </w:tabs>
        <w:spacing w:line="240" w:lineRule="auto" w:before="0" w:after="0"/>
        <w:ind w:left="820" w:right="2291" w:firstLine="0"/>
        <w:jc w:val="left"/>
        <w:rPr>
          <w:sz w:val="24"/>
        </w:rPr>
      </w:pPr>
      <w:r>
        <w:rPr/>
        <w:pict>
          <v:line style="position:absolute;mso-position-horizontal-relative:page;mso-position-vertical-relative:paragraph;z-index:-470464" from="250.320007pt,26.795849pt" to="253.681007pt,26.795849pt" stroked="true" strokeweight=".84pt" strokecolor="#2e97d3">
            <v:stroke dashstyle="solid"/>
            <w10:wrap type="none"/>
          </v:line>
        </w:pict>
      </w:r>
      <w:r>
        <w:rPr>
          <w:color w:val="2E97D3"/>
          <w:sz w:val="24"/>
          <w:u w:val="single" w:color="2E97D3"/>
        </w:rPr>
        <w:t>Budget Letters:</w:t>
      </w:r>
      <w:r>
        <w:rPr>
          <w:color w:val="2E97D3"/>
          <w:spacing w:val="-33"/>
          <w:sz w:val="24"/>
          <w:u w:val="single" w:color="2E97D3"/>
        </w:rPr>
        <w:t> </w:t>
      </w:r>
      <w:hyperlink r:id="rId31">
        <w:r>
          <w:rPr>
            <w:color w:val="2E97D3"/>
            <w:sz w:val="24"/>
            <w:u w:val="single" w:color="2E97D3"/>
          </w:rPr>
          <w:t>http://www.dof.ca.gov/budget/Budget_Letters/ </w:t>
        </w:r>
      </w:hyperlink>
      <w:r>
        <w:rPr>
          <w:color w:val="2E97D3"/>
          <w:sz w:val="24"/>
          <w:u w:val="single" w:color="2E97D3"/>
        </w:rPr>
        <w:t>c.</w:t>
        <w:tab/>
      </w:r>
      <w:r>
        <w:rPr>
          <w:sz w:val="24"/>
        </w:rPr>
        <w:t>Historical budget</w:t>
      </w:r>
      <w:r>
        <w:rPr>
          <w:spacing w:val="-32"/>
          <w:sz w:val="24"/>
        </w:rPr>
        <w:t> </w:t>
      </w:r>
      <w:r>
        <w:rPr>
          <w:sz w:val="24"/>
        </w:rPr>
        <w:t>information</w:t>
      </w:r>
      <w:r>
        <w:rPr>
          <w:color w:val="2E97D3"/>
          <w:sz w:val="24"/>
        </w:rPr>
        <w:t>:</w:t>
      </w:r>
    </w:p>
    <w:p>
      <w:pPr>
        <w:pStyle w:val="BodyText"/>
        <w:spacing w:before="2"/>
        <w:ind w:left="1360"/>
      </w:pPr>
      <w:hyperlink r:id="rId32">
        <w:r>
          <w:rPr>
            <w:color w:val="2E97D3"/>
            <w:u w:val="single" w:color="2E97D3"/>
          </w:rPr>
          <w:t>http://www.dof.ca.gov/Budget/Historical_Budget_Information/</w:t>
        </w:r>
      </w:hyperlink>
    </w:p>
    <w:p>
      <w:pPr>
        <w:pStyle w:val="BodyText"/>
        <w:spacing w:before="11"/>
        <w:rPr>
          <w:sz w:val="15"/>
        </w:rPr>
      </w:pPr>
    </w:p>
    <w:p>
      <w:pPr>
        <w:pStyle w:val="ListParagraph"/>
        <w:numPr>
          <w:ilvl w:val="0"/>
          <w:numId w:val="4"/>
        </w:numPr>
        <w:tabs>
          <w:tab w:pos="1359" w:val="left" w:leader="none"/>
          <w:tab w:pos="1360" w:val="left" w:leader="none"/>
        </w:tabs>
        <w:spacing w:line="240" w:lineRule="auto" w:before="92" w:after="0"/>
        <w:ind w:left="1360" w:right="896" w:hanging="540"/>
        <w:jc w:val="left"/>
        <w:rPr>
          <w:sz w:val="24"/>
        </w:rPr>
      </w:pPr>
      <w:r>
        <w:rPr/>
        <w:pict>
          <v:line style="position:absolute;mso-position-horizontal-relative:page;mso-position-vertical-relative:paragraph;z-index:-470440" from="476.640015pt,17.595852pt" to="480.000015pt,17.595852pt" stroked="true" strokeweight=".84pt" strokecolor="#2e97d3">
            <v:stroke dashstyle="solid"/>
            <w10:wrap type="none"/>
          </v:line>
        </w:pict>
      </w:r>
      <w:r>
        <w:rPr>
          <w:strike/>
          <w:color w:val="2E97D3"/>
          <w:sz w:val="24"/>
        </w:rPr>
        <w:t>The </w:t>
      </w:r>
      <w:r>
        <w:rPr>
          <w:strike w:val="0"/>
          <w:sz w:val="24"/>
        </w:rPr>
        <w:t>Finance budget forms </w:t>
      </w:r>
      <w:r>
        <w:rPr>
          <w:strike/>
          <w:color w:val="2E97D3"/>
          <w:sz w:val="24"/>
        </w:rPr>
        <w:t>are available at the same Internet address. </w:t>
      </w:r>
      <w:r>
        <w:rPr>
          <w:strike w:val="0"/>
          <w:color w:val="2E97D3"/>
          <w:sz w:val="24"/>
        </w:rPr>
        <w:t>: </w:t>
      </w:r>
      <w:hyperlink r:id="rId33">
        <w:r>
          <w:rPr>
            <w:strike w:val="0"/>
            <w:color w:val="2E97D3"/>
            <w:spacing w:val="-1"/>
            <w:sz w:val="24"/>
            <w:u w:val="single" w:color="2E97D3"/>
          </w:rPr>
          <w:t>http://www.dof.ca.gov/budget/Resources_for_Departments/Budget_Forms/</w:t>
        </w:r>
      </w:hyperlink>
    </w:p>
    <w:p>
      <w:pPr>
        <w:pStyle w:val="ListParagraph"/>
        <w:numPr>
          <w:ilvl w:val="0"/>
          <w:numId w:val="4"/>
        </w:numPr>
        <w:tabs>
          <w:tab w:pos="1359" w:val="left" w:leader="none"/>
          <w:tab w:pos="1360" w:val="left" w:leader="none"/>
        </w:tabs>
        <w:spacing w:line="240" w:lineRule="auto" w:before="0" w:after="0"/>
        <w:ind w:left="1360" w:right="0" w:hanging="540"/>
        <w:jc w:val="left"/>
        <w:rPr>
          <w:sz w:val="24"/>
        </w:rPr>
      </w:pPr>
      <w:r>
        <w:rPr>
          <w:color w:val="2E97D3"/>
          <w:sz w:val="24"/>
          <w:u w:val="single" w:color="2E97D3"/>
        </w:rPr>
        <w:t>FI$Cal Resources:</w:t>
      </w:r>
      <w:r>
        <w:rPr>
          <w:color w:val="2E97D3"/>
          <w:spacing w:val="-41"/>
          <w:sz w:val="24"/>
          <w:u w:val="single" w:color="2E97D3"/>
        </w:rPr>
        <w:t> </w:t>
      </w:r>
      <w:hyperlink r:id="rId34">
        <w:r>
          <w:rPr>
            <w:color w:val="2E97D3"/>
            <w:sz w:val="24"/>
            <w:u w:val="single" w:color="2E97D3"/>
          </w:rPr>
          <w:t>http://www.dof.ca.gov/Budget/Fiscal_Resources_For_Budget/</w:t>
        </w:r>
      </w:hyperlink>
    </w:p>
    <w:p>
      <w:pPr>
        <w:pStyle w:val="BodyText"/>
        <w:spacing w:before="10"/>
        <w:rPr>
          <w:sz w:val="16"/>
        </w:rPr>
      </w:pPr>
    </w:p>
    <w:p>
      <w:pPr>
        <w:spacing w:before="92"/>
        <w:ind w:left="820" w:right="171" w:firstLine="0"/>
        <w:jc w:val="left"/>
        <w:rPr>
          <w:sz w:val="24"/>
        </w:rPr>
      </w:pPr>
      <w:r>
        <w:rPr/>
        <w:pict>
          <v:line style="position:absolute;mso-position-horizontal-relative:page;mso-position-vertical-relative:paragraph;z-index:2392" from="36.360001pt,18.615860pt" to="36.360001pt,32.41586pt" stroked="true" strokeweight=".72pt" strokecolor="#000000">
            <v:stroke dashstyle="solid"/>
            <w10:wrap type="none"/>
          </v:line>
        </w:pict>
      </w:r>
      <w:r>
        <w:rPr>
          <w:sz w:val="24"/>
        </w:rPr>
        <w:t>Standard state budget forms may be obtained from the Department of General Services</w:t>
      </w:r>
      <w:r>
        <w:rPr>
          <w:rFonts w:ascii="Times New Roman"/>
          <w:b/>
          <w:strike/>
          <w:color w:val="2E97D3"/>
          <w:sz w:val="16"/>
        </w:rPr>
        <w:t>, Forms Management Office </w:t>
      </w:r>
      <w:r>
        <w:rPr>
          <w:strike w:val="0"/>
          <w:color w:val="2E97D3"/>
          <w:sz w:val="24"/>
          <w:u w:val="single" w:color="2E97D3"/>
        </w:rPr>
        <w:t>website</w:t>
      </w:r>
      <w:r>
        <w:rPr>
          <w:strike w:val="0"/>
          <w:sz w:val="24"/>
        </w:rPr>
        <w:t>.</w:t>
      </w:r>
    </w:p>
    <w:p>
      <w:pPr>
        <w:pStyle w:val="BodyText"/>
        <w:spacing w:before="184"/>
        <w:ind w:left="820" w:right="301"/>
      </w:pPr>
      <w:r>
        <w:rPr/>
        <w:pict>
          <v:line style="position:absolute;mso-position-horizontal-relative:page;mso-position-vertical-relative:paragraph;z-index:2416" from="36.360001pt,37.015865pt" to="36.360001pt,64.615865pt" stroked="true" strokeweight=".72pt" strokecolor="#000000">
            <v:stroke dashstyle="solid"/>
            <w10:wrap type="none"/>
          </v:line>
        </w:pict>
      </w:r>
      <w:r>
        <w:rPr/>
        <w:t>Publications prepared by Finance such as the Governor’s Budget, Governor’s Budget Summary, Salaries and Wages Supplement, Final Budget Summary, Final Change Book, May Revision to the Governor’s Budget, </w:t>
      </w:r>
      <w:r>
        <w:rPr>
          <w:strike/>
          <w:color w:val="2E97D3"/>
        </w:rPr>
        <w:t>Final</w:t>
      </w:r>
      <w:r>
        <w:rPr>
          <w:strike w:val="0"/>
          <w:color w:val="2E97D3"/>
          <w:u w:val="single" w:color="2E97D3"/>
        </w:rPr>
        <w:t>Enacted </w:t>
      </w:r>
      <w:r>
        <w:rPr>
          <w:strike w:val="0"/>
        </w:rPr>
        <w:t>Budget </w:t>
      </w:r>
      <w:r>
        <w:rPr>
          <w:strike/>
          <w:color w:val="2E97D3"/>
        </w:rPr>
        <w:t>highlights</w:t>
      </w:r>
      <w:r>
        <w:rPr>
          <w:strike w:val="0"/>
        </w:rPr>
        <w:t>, and </w:t>
      </w:r>
      <w:r>
        <w:rPr>
          <w:strike/>
          <w:color w:val="2E97D3"/>
        </w:rPr>
        <w:t>anwswers</w:t>
      </w:r>
      <w:r>
        <w:rPr>
          <w:strike w:val="0"/>
          <w:color w:val="2E97D3"/>
          <w:u w:val="single" w:color="2E97D3"/>
        </w:rPr>
        <w:t>answers </w:t>
      </w:r>
      <w:r>
        <w:rPr>
          <w:strike w:val="0"/>
        </w:rPr>
        <w:t>to “Frequently Asked Budget Questions” may be accessed via </w:t>
      </w:r>
      <w:hyperlink r:id="rId35">
        <w:r>
          <w:rPr>
            <w:strike w:val="0"/>
          </w:rPr>
          <w:t>http://www.dof.ca.gov/</w:t>
        </w:r>
      </w:hyperlink>
      <w:r>
        <w:rPr>
          <w:strike w:val="0"/>
        </w:rPr>
        <w:t>.</w:t>
      </w:r>
    </w:p>
    <w:p>
      <w:pPr>
        <w:spacing w:after="0"/>
        <w:sectPr>
          <w:footerReference w:type="default" r:id="rId28"/>
          <w:pgSz w:w="12240" w:h="15840"/>
          <w:pgMar w:footer="792" w:header="724" w:top="980" w:bottom="980" w:left="620" w:right="1420"/>
        </w:sectPr>
      </w:pPr>
    </w:p>
    <w:p>
      <w:pPr>
        <w:pStyle w:val="BodyText"/>
        <w:rPr>
          <w:sz w:val="20"/>
        </w:rPr>
      </w:pPr>
    </w:p>
    <w:p>
      <w:pPr>
        <w:pStyle w:val="BodyText"/>
        <w:spacing w:before="214"/>
        <w:ind w:left="820"/>
      </w:pPr>
      <w:r>
        <w:rPr/>
        <w:pict>
          <v:line style="position:absolute;mso-position-horizontal-relative:page;mso-position-vertical-relative:paragraph;z-index:2536" from="36.360001pt,10.915881pt" to="36.360001pt,79.915881pt" stroked="true" strokeweight=".72pt" strokecolor="#000000">
            <v:stroke dashstyle="solid"/>
            <w10:wrap type="none"/>
          </v:line>
        </w:pict>
      </w:r>
      <w:r>
        <w:rPr/>
        <w:t>OVERVIEW OF CALIFORNIA'S </w:t>
      </w:r>
      <w:r>
        <w:rPr>
          <w:color w:val="2E97D3"/>
          <w:u w:val="single" w:color="2E97D3"/>
        </w:rPr>
        <w:t>STATE </w:t>
      </w:r>
      <w:r>
        <w:rPr/>
        <w:t>BUDGET PROCESS</w:t>
      </w:r>
    </w:p>
    <w:p>
      <w:pPr>
        <w:pStyle w:val="BodyText"/>
        <w:spacing w:before="11"/>
        <w:rPr>
          <w:sz w:val="15"/>
        </w:rPr>
      </w:pPr>
    </w:p>
    <w:p>
      <w:pPr>
        <w:pStyle w:val="Heading2"/>
        <w:tabs>
          <w:tab w:pos="2259" w:val="left" w:leader="none"/>
          <w:tab w:pos="4194" w:val="left" w:leader="none"/>
        </w:tabs>
        <w:spacing w:before="92"/>
        <w:ind w:left="820" w:right="5389"/>
      </w:pPr>
      <w:r>
        <w:rPr>
          <w:strike/>
          <w:color w:val="2E97D3"/>
        </w:rPr>
        <w:t>PREFACE</w:t>
        <w:tab/>
      </w:r>
      <w:r>
        <w:rPr>
          <w:strike w:val="0"/>
          <w:u w:val="thick" w:color="2E97D3"/>
        </w:rPr>
        <w:t> </w:t>
        <w:tab/>
      </w:r>
      <w:r>
        <w:rPr>
          <w:strike w:val="0"/>
        </w:rPr>
        <w:t>6110 </w:t>
      </w:r>
      <w:r>
        <w:rPr>
          <w:strike w:val="0"/>
          <w:color w:val="2E97D3"/>
          <w:u w:val="thick" w:color="2E97D3"/>
        </w:rPr>
        <w:t>PREFACE</w:t>
        <w:tab/>
      </w:r>
    </w:p>
    <w:p>
      <w:pPr>
        <w:spacing w:before="0"/>
        <w:ind w:left="820" w:right="0" w:firstLine="0"/>
        <w:jc w:val="left"/>
        <w:rPr>
          <w:sz w:val="24"/>
        </w:rPr>
      </w:pPr>
      <w:r>
        <w:rPr>
          <w:sz w:val="24"/>
        </w:rPr>
        <w:t>(Revised </w:t>
      </w:r>
      <w:r>
        <w:rPr>
          <w:rFonts w:ascii="Times New Roman"/>
          <w:b/>
          <w:strike/>
          <w:color w:val="2E97D3"/>
          <w:sz w:val="16"/>
        </w:rPr>
        <w:t>9/2010</w:t>
      </w:r>
      <w:r>
        <w:rPr>
          <w:strike w:val="0"/>
          <w:color w:val="2E97D3"/>
          <w:sz w:val="24"/>
          <w:u w:val="single" w:color="2E97D3"/>
        </w:rPr>
        <w:t>10/2017</w:t>
      </w:r>
      <w:r>
        <w:rPr>
          <w:strike w:val="0"/>
          <w:sz w:val="24"/>
        </w:rPr>
        <w:t>)</w:t>
      </w:r>
    </w:p>
    <w:p>
      <w:pPr>
        <w:pStyle w:val="BodyText"/>
        <w:spacing w:before="6"/>
        <w:rPr>
          <w:sz w:val="18"/>
        </w:rPr>
      </w:pPr>
    </w:p>
    <w:p>
      <w:pPr>
        <w:spacing w:before="92"/>
        <w:ind w:left="820" w:right="112" w:firstLine="0"/>
        <w:jc w:val="both"/>
        <w:rPr>
          <w:sz w:val="24"/>
        </w:rPr>
      </w:pPr>
      <w:r>
        <w:rPr/>
        <w:pict>
          <v:line style="position:absolute;mso-position-horizontal-relative:page;mso-position-vertical-relative:paragraph;z-index:-470224" from="480.839996pt,13.995831pt" to="482.759996pt,13.995831pt" stroked="true" strokeweight=".36pt" strokecolor="#2e97d3">
            <v:stroke dashstyle="solid"/>
            <w10:wrap type="none"/>
          </v:line>
        </w:pict>
      </w:r>
      <w:r>
        <w:rPr/>
        <w:pict>
          <v:line style="position:absolute;mso-position-horizontal-relative:page;mso-position-vertical-relative:paragraph;z-index:-470200" from="348.119995pt,86.595833pt" to="351.479995pt,86.595833pt" stroked="true" strokeweight=".84pt" strokecolor="#2e97d3">
            <v:stroke dashstyle="solid"/>
            <w10:wrap type="none"/>
          </v:line>
        </w:pict>
      </w:r>
      <w:r>
        <w:rPr/>
        <w:pict>
          <v:line style="position:absolute;mso-position-horizontal-relative:page;mso-position-vertical-relative:paragraph;z-index:2560" from="36.360001pt,4.81583pt" to="36.360001pt,60.01583pt" stroked="true" strokeweight=".72pt" strokecolor="#000000">
            <v:stroke dashstyle="solid"/>
            <w10:wrap type="none"/>
          </v:line>
        </w:pict>
      </w:r>
      <w:r>
        <w:rPr/>
        <w:pict>
          <v:line style="position:absolute;mso-position-horizontal-relative:page;mso-position-vertical-relative:paragraph;z-index:2584" from="36.360001pt,73.815826pt" to="36.360001pt,87.615826pt" stroked="true" strokeweight=".72pt" strokecolor="#000000">
            <v:stroke dashstyle="solid"/>
            <w10:wrap type="none"/>
          </v:line>
        </w:pict>
      </w:r>
      <w:r>
        <w:rPr>
          <w:sz w:val="24"/>
        </w:rPr>
        <w:t>The budget process for </w:t>
      </w:r>
      <w:r>
        <w:rPr>
          <w:color w:val="2E97D3"/>
          <w:sz w:val="24"/>
          <w:u w:val="single" w:color="2E97D3"/>
        </w:rPr>
        <w:t>the State of </w:t>
      </w:r>
      <w:r>
        <w:rPr>
          <w:sz w:val="24"/>
        </w:rPr>
        <w:t>California defies a simple </w:t>
      </w:r>
      <w:r>
        <w:rPr>
          <w:rFonts w:ascii="Times New Roman"/>
          <w:b/>
          <w:strike/>
          <w:color w:val="2E97D3"/>
          <w:sz w:val="16"/>
        </w:rPr>
        <w:t>concise </w:t>
      </w:r>
      <w:r>
        <w:rPr>
          <w:strike w:val="0"/>
          <w:sz w:val="24"/>
        </w:rPr>
        <w:t>definition. It </w:t>
      </w:r>
      <w:r>
        <w:rPr>
          <w:rFonts w:ascii="Times New Roman"/>
          <w:b/>
          <w:strike/>
          <w:color w:val="2E97D3"/>
          <w:sz w:val="16"/>
        </w:rPr>
        <w:t>is a process rather than a product. It is not</w:t>
      </w:r>
      <w:r>
        <w:rPr>
          <w:strike w:val="0"/>
          <w:color w:val="2E97D3"/>
          <w:sz w:val="24"/>
          <w:u w:val="single" w:color="2E97D3"/>
        </w:rPr>
        <w:t>consists of </w:t>
      </w:r>
      <w:r>
        <w:rPr>
          <w:strike w:val="0"/>
          <w:sz w:val="24"/>
        </w:rPr>
        <w:t>the development of the Governor's Budget, the Legislature's enactment of a budget, </w:t>
      </w:r>
      <w:r>
        <w:rPr>
          <w:rFonts w:ascii="Times New Roman"/>
          <w:b/>
          <w:strike/>
          <w:color w:val="2E97D3"/>
          <w:sz w:val="16"/>
        </w:rPr>
        <w:t>or</w:t>
      </w:r>
      <w:r>
        <w:rPr>
          <w:strike w:val="0"/>
          <w:color w:val="2E97D3"/>
          <w:sz w:val="24"/>
          <w:u w:val="single" w:color="2E97D3"/>
        </w:rPr>
        <w:t>and </w:t>
      </w:r>
      <w:r>
        <w:rPr>
          <w:strike w:val="0"/>
          <w:sz w:val="24"/>
        </w:rPr>
        <w:t>the executive branch's administration of the budget</w:t>
      </w:r>
      <w:r>
        <w:rPr>
          <w:rFonts w:ascii="Times New Roman"/>
          <w:b/>
          <w:strike/>
          <w:color w:val="2E97D3"/>
          <w:sz w:val="16"/>
        </w:rPr>
        <w:t>.</w:t>
      </w:r>
      <w:r>
        <w:rPr>
          <w:rFonts w:ascii="Times New Roman"/>
          <w:b/>
          <w:strike/>
          <w:color w:val="2E97D3"/>
          <w:spacing w:val="17"/>
          <w:sz w:val="16"/>
        </w:rPr>
        <w:t> </w:t>
      </w:r>
      <w:r>
        <w:rPr>
          <w:rFonts w:ascii="Times New Roman"/>
          <w:b/>
          <w:strike/>
          <w:color w:val="2E97D3"/>
          <w:sz w:val="16"/>
        </w:rPr>
        <w:t>Rather,</w:t>
      </w:r>
      <w:r>
        <w:rPr>
          <w:rFonts w:ascii="Times New Roman"/>
          <w:b/>
          <w:strike/>
          <w:color w:val="2E97D3"/>
          <w:spacing w:val="-13"/>
          <w:sz w:val="16"/>
        </w:rPr>
        <w:t> </w:t>
      </w:r>
      <w:r>
        <w:rPr>
          <w:rFonts w:ascii="Times New Roman"/>
          <w:b/>
          <w:strike/>
          <w:color w:val="2E97D3"/>
          <w:sz w:val="16"/>
        </w:rPr>
        <w:t>it</w:t>
      </w:r>
      <w:r>
        <w:rPr>
          <w:rFonts w:ascii="Times New Roman"/>
          <w:b/>
          <w:strike/>
          <w:color w:val="2E97D3"/>
          <w:spacing w:val="-12"/>
          <w:sz w:val="16"/>
        </w:rPr>
        <w:t> </w:t>
      </w:r>
      <w:r>
        <w:rPr>
          <w:rFonts w:ascii="Times New Roman"/>
          <w:b/>
          <w:strike/>
          <w:color w:val="2E97D3"/>
          <w:sz w:val="16"/>
        </w:rPr>
        <w:t>is</w:t>
      </w:r>
      <w:r>
        <w:rPr>
          <w:rFonts w:ascii="Times New Roman"/>
          <w:b/>
          <w:strike/>
          <w:color w:val="2E97D3"/>
          <w:spacing w:val="-14"/>
          <w:sz w:val="16"/>
        </w:rPr>
        <w:t> </w:t>
      </w:r>
      <w:r>
        <w:rPr>
          <w:rFonts w:ascii="Times New Roman"/>
          <w:b/>
          <w:strike/>
          <w:color w:val="2E97D3"/>
          <w:sz w:val="16"/>
        </w:rPr>
        <w:t>the</w:t>
      </w:r>
      <w:r>
        <w:rPr>
          <w:rFonts w:ascii="Times New Roman"/>
          <w:b/>
          <w:strike/>
          <w:color w:val="2E97D3"/>
          <w:spacing w:val="-13"/>
          <w:sz w:val="16"/>
        </w:rPr>
        <w:t> </w:t>
      </w:r>
      <w:r>
        <w:rPr>
          <w:rFonts w:ascii="Times New Roman"/>
          <w:b/>
          <w:strike/>
          <w:color w:val="2E97D3"/>
          <w:sz w:val="16"/>
        </w:rPr>
        <w:t>combination</w:t>
      </w:r>
      <w:r>
        <w:rPr>
          <w:rFonts w:ascii="Times New Roman"/>
          <w:b/>
          <w:strike/>
          <w:color w:val="2E97D3"/>
          <w:spacing w:val="-14"/>
          <w:sz w:val="16"/>
        </w:rPr>
        <w:t> </w:t>
      </w:r>
      <w:r>
        <w:rPr>
          <w:rFonts w:ascii="Times New Roman"/>
          <w:b/>
          <w:strike/>
          <w:color w:val="2E97D3"/>
          <w:sz w:val="16"/>
        </w:rPr>
        <w:t>of</w:t>
      </w:r>
      <w:r>
        <w:rPr>
          <w:rFonts w:ascii="Times New Roman"/>
          <w:b/>
          <w:strike/>
          <w:color w:val="2E97D3"/>
          <w:spacing w:val="-14"/>
          <w:sz w:val="16"/>
        </w:rPr>
        <w:t> </w:t>
      </w:r>
      <w:r>
        <w:rPr>
          <w:rFonts w:ascii="Times New Roman"/>
          <w:b/>
          <w:strike/>
          <w:color w:val="2E97D3"/>
          <w:sz w:val="16"/>
        </w:rPr>
        <w:t>all</w:t>
      </w:r>
      <w:r>
        <w:rPr>
          <w:rFonts w:ascii="Times New Roman"/>
          <w:b/>
          <w:strike/>
          <w:color w:val="2E97D3"/>
          <w:spacing w:val="-15"/>
          <w:sz w:val="16"/>
        </w:rPr>
        <w:t> </w:t>
      </w:r>
      <w:r>
        <w:rPr>
          <w:rFonts w:ascii="Times New Roman"/>
          <w:b/>
          <w:strike/>
          <w:color w:val="2E97D3"/>
          <w:sz w:val="16"/>
        </w:rPr>
        <w:t>of</w:t>
      </w:r>
      <w:r>
        <w:rPr>
          <w:rFonts w:ascii="Times New Roman"/>
          <w:b/>
          <w:strike/>
          <w:color w:val="2E97D3"/>
          <w:spacing w:val="-12"/>
          <w:sz w:val="16"/>
        </w:rPr>
        <w:t> </w:t>
      </w:r>
      <w:r>
        <w:rPr>
          <w:rFonts w:ascii="Times New Roman"/>
          <w:b/>
          <w:strike/>
          <w:color w:val="2E97D3"/>
          <w:sz w:val="16"/>
        </w:rPr>
        <w:t>these</w:t>
      </w:r>
      <w:r>
        <w:rPr>
          <w:rFonts w:ascii="Times New Roman"/>
          <w:b/>
          <w:strike/>
          <w:color w:val="2E97D3"/>
          <w:spacing w:val="-13"/>
          <w:sz w:val="16"/>
        </w:rPr>
        <w:t> </w:t>
      </w:r>
      <w:r>
        <w:rPr>
          <w:rFonts w:ascii="Times New Roman"/>
          <w:b/>
          <w:strike/>
          <w:color w:val="2E97D3"/>
          <w:sz w:val="16"/>
        </w:rPr>
        <w:t>phases</w:t>
      </w:r>
      <w:r>
        <w:rPr>
          <w:rFonts w:ascii="Times New Roman"/>
          <w:b/>
          <w:strike/>
          <w:color w:val="2E97D3"/>
          <w:spacing w:val="-14"/>
          <w:sz w:val="16"/>
        </w:rPr>
        <w:t> </w:t>
      </w:r>
      <w:r>
        <w:rPr>
          <w:rFonts w:ascii="Times New Roman"/>
          <w:b/>
          <w:strike/>
          <w:color w:val="2E97D3"/>
          <w:sz w:val="16"/>
        </w:rPr>
        <w:t>with</w:t>
      </w:r>
      <w:r>
        <w:rPr>
          <w:strike w:val="0"/>
          <w:color w:val="2E97D3"/>
          <w:sz w:val="24"/>
          <w:u w:val="single" w:color="2E97D3"/>
        </w:rPr>
        <w:t>,</w:t>
      </w:r>
      <w:r>
        <w:rPr>
          <w:strike w:val="0"/>
          <w:color w:val="2E97D3"/>
          <w:spacing w:val="-19"/>
          <w:sz w:val="24"/>
          <w:u w:val="single" w:color="2E97D3"/>
        </w:rPr>
        <w:t> </w:t>
      </w:r>
      <w:r>
        <w:rPr>
          <w:strike w:val="0"/>
          <w:color w:val="2E97D3"/>
          <w:sz w:val="24"/>
          <w:u w:val="single" w:color="2E97D3"/>
        </w:rPr>
        <w:t>including</w:t>
      </w:r>
      <w:r>
        <w:rPr>
          <w:strike w:val="0"/>
          <w:color w:val="2E97D3"/>
          <w:spacing w:val="-21"/>
          <w:sz w:val="24"/>
          <w:u w:val="single" w:color="2E97D3"/>
        </w:rPr>
        <w:t> </w:t>
      </w:r>
      <w:r>
        <w:rPr>
          <w:strike w:val="0"/>
          <w:sz w:val="24"/>
        </w:rPr>
        <w:t>all</w:t>
      </w:r>
      <w:r>
        <w:rPr>
          <w:strike w:val="0"/>
          <w:spacing w:val="-20"/>
          <w:sz w:val="24"/>
        </w:rPr>
        <w:t> </w:t>
      </w:r>
      <w:r>
        <w:rPr>
          <w:strike w:val="0"/>
          <w:sz w:val="24"/>
        </w:rPr>
        <w:t>the</w:t>
      </w:r>
      <w:r>
        <w:rPr>
          <w:strike w:val="0"/>
          <w:spacing w:val="-19"/>
          <w:sz w:val="24"/>
        </w:rPr>
        <w:t> </w:t>
      </w:r>
      <w:r>
        <w:rPr>
          <w:strike w:val="0"/>
          <w:sz w:val="24"/>
        </w:rPr>
        <w:t>ramifications</w:t>
      </w:r>
      <w:r>
        <w:rPr>
          <w:strike w:val="0"/>
          <w:spacing w:val="-20"/>
          <w:sz w:val="24"/>
        </w:rPr>
        <w:t> </w:t>
      </w:r>
      <w:r>
        <w:rPr>
          <w:strike w:val="0"/>
          <w:sz w:val="24"/>
        </w:rPr>
        <w:t>and</w:t>
      </w:r>
      <w:r>
        <w:rPr>
          <w:strike w:val="0"/>
          <w:spacing w:val="-19"/>
          <w:sz w:val="24"/>
        </w:rPr>
        <w:t> </w:t>
      </w:r>
      <w:r>
        <w:rPr>
          <w:strike w:val="0"/>
          <w:sz w:val="24"/>
        </w:rPr>
        <w:t>influences of political interactions, relationships with federal and local governments, public input, natural events, legal issues, the economy, initiatives</w:t>
      </w:r>
      <w:r>
        <w:rPr>
          <w:strike w:val="0"/>
          <w:color w:val="2E97D3"/>
          <w:sz w:val="24"/>
        </w:rPr>
        <w:t>, </w:t>
      </w:r>
      <w:r>
        <w:rPr>
          <w:strike w:val="0"/>
          <w:sz w:val="24"/>
        </w:rPr>
        <w:t>and legislation,</w:t>
      </w:r>
      <w:r>
        <w:rPr>
          <w:strike w:val="0"/>
          <w:spacing w:val="-36"/>
          <w:sz w:val="24"/>
        </w:rPr>
        <w:t> </w:t>
      </w:r>
      <w:r>
        <w:rPr>
          <w:strike w:val="0"/>
          <w:sz w:val="24"/>
        </w:rPr>
        <w:t>etc.</w:t>
      </w:r>
    </w:p>
    <w:p>
      <w:pPr>
        <w:pStyle w:val="BodyText"/>
        <w:spacing w:before="182"/>
        <w:ind w:left="820" w:right="111"/>
        <w:jc w:val="both"/>
      </w:pPr>
      <w:r>
        <w:rPr/>
        <w:pict>
          <v:line style="position:absolute;mso-position-horizontal-relative:page;mso-position-vertical-relative:paragraph;z-index:-470176" from="311.880005pt,22.095848pt" to="315.120005pt,22.095848pt" stroked="true" strokeweight=".84pt" strokecolor="#2e97d3">
            <v:stroke dashstyle="solid"/>
            <w10:wrap type="none"/>
          </v:line>
        </w:pict>
      </w:r>
      <w:r>
        <w:rPr/>
        <w:pict>
          <v:line style="position:absolute;mso-position-horizontal-relative:page;mso-position-vertical-relative:paragraph;z-index:-470152" from="528pt,22.095848pt" to="531.24pt,22.095848pt" stroked="true" strokeweight=".84pt" strokecolor="#2e97d3">
            <v:stroke dashstyle="solid"/>
            <w10:wrap type="none"/>
          </v:line>
        </w:pict>
      </w:r>
      <w:r>
        <w:rPr/>
        <w:pict>
          <v:line style="position:absolute;mso-position-horizontal-relative:page;mso-position-vertical-relative:paragraph;z-index:2608" from="36.360001pt,9.315847pt" to="36.360001pt,124.035847pt" stroked="true" strokeweight=".72pt" strokecolor="#000000">
            <v:stroke dashstyle="solid"/>
            <w10:wrap type="none"/>
          </v:line>
        </w:pict>
      </w:r>
      <w:r>
        <w:rPr/>
        <w:t>Although</w:t>
      </w:r>
      <w:r>
        <w:rPr>
          <w:spacing w:val="-15"/>
        </w:rPr>
        <w:t> </w:t>
      </w:r>
      <w:r>
        <w:rPr/>
        <w:t>the</w:t>
      </w:r>
      <w:r>
        <w:rPr>
          <w:spacing w:val="-15"/>
        </w:rPr>
        <w:t> </w:t>
      </w:r>
      <w:r>
        <w:rPr/>
        <w:t>size</w:t>
      </w:r>
      <w:r>
        <w:rPr>
          <w:spacing w:val="-13"/>
        </w:rPr>
        <w:t> </w:t>
      </w:r>
      <w:r>
        <w:rPr/>
        <w:t>and</w:t>
      </w:r>
      <w:r>
        <w:rPr>
          <w:spacing w:val="-15"/>
        </w:rPr>
        <w:t> </w:t>
      </w:r>
      <w:r>
        <w:rPr/>
        <w:t>complexity</w:t>
      </w:r>
      <w:r>
        <w:rPr>
          <w:spacing w:val="-15"/>
        </w:rPr>
        <w:t> </w:t>
      </w:r>
      <w:r>
        <w:rPr/>
        <w:t>of</w:t>
      </w:r>
      <w:r>
        <w:rPr>
          <w:spacing w:val="-11"/>
        </w:rPr>
        <w:t> </w:t>
      </w:r>
      <w:r>
        <w:rPr/>
        <w:t>California</w:t>
      </w:r>
      <w:r>
        <w:rPr>
          <w:color w:val="2E97D3"/>
        </w:rPr>
        <w:t>,</w:t>
      </w:r>
      <w:r>
        <w:rPr>
          <w:color w:val="2E97D3"/>
          <w:spacing w:val="-15"/>
        </w:rPr>
        <w:t> </w:t>
      </w:r>
      <w:r>
        <w:rPr/>
        <w:t>and</w:t>
      </w:r>
      <w:r>
        <w:rPr>
          <w:spacing w:val="-15"/>
        </w:rPr>
        <w:t> </w:t>
      </w:r>
      <w:r>
        <w:rPr/>
        <w:t>the</w:t>
      </w:r>
      <w:r>
        <w:rPr>
          <w:spacing w:val="-13"/>
        </w:rPr>
        <w:t> </w:t>
      </w:r>
      <w:r>
        <w:rPr/>
        <w:t>dynamics</w:t>
      </w:r>
      <w:r>
        <w:rPr>
          <w:spacing w:val="-14"/>
        </w:rPr>
        <w:t> </w:t>
      </w:r>
      <w:r>
        <w:rPr/>
        <w:t>of</w:t>
      </w:r>
      <w:r>
        <w:rPr>
          <w:spacing w:val="-13"/>
        </w:rPr>
        <w:t> </w:t>
      </w:r>
      <w:r>
        <w:rPr/>
        <w:t>the</w:t>
      </w:r>
      <w:r>
        <w:rPr>
          <w:spacing w:val="-13"/>
        </w:rPr>
        <w:t> </w:t>
      </w:r>
      <w:r>
        <w:rPr>
          <w:color w:val="2E97D3"/>
          <w:u w:val="single" w:color="2E97D3"/>
        </w:rPr>
        <w:t>budget</w:t>
      </w:r>
      <w:r>
        <w:rPr>
          <w:color w:val="2E97D3"/>
          <w:spacing w:val="-14"/>
          <w:u w:val="single" w:color="2E97D3"/>
        </w:rPr>
        <w:t> </w:t>
      </w:r>
      <w:r>
        <w:rPr/>
        <w:t>process</w:t>
      </w:r>
      <w:r>
        <w:rPr>
          <w:color w:val="2E97D3"/>
        </w:rPr>
        <w:t>, </w:t>
      </w:r>
      <w:r>
        <w:rPr/>
        <w:t>make it </w:t>
      </w:r>
      <w:r>
        <w:rPr>
          <w:rFonts w:ascii="Times New Roman"/>
          <w:b/>
          <w:strike/>
          <w:color w:val="2E97D3"/>
          <w:sz w:val="16"/>
        </w:rPr>
        <w:t>difficult</w:t>
      </w:r>
      <w:r>
        <w:rPr>
          <w:strike w:val="0"/>
          <w:color w:val="2E97D3"/>
          <w:u w:val="single" w:color="2E97D3"/>
        </w:rPr>
        <w:t>challenging </w:t>
      </w:r>
      <w:r>
        <w:rPr>
          <w:strike w:val="0"/>
        </w:rPr>
        <w:t>to establish and maintain an orderly </w:t>
      </w:r>
      <w:r>
        <w:rPr>
          <w:strike w:val="0"/>
          <w:color w:val="2E97D3"/>
          <w:u w:val="single" w:color="2E97D3"/>
        </w:rPr>
        <w:t>and predictable state budget </w:t>
      </w:r>
      <w:r>
        <w:rPr>
          <w:strike w:val="0"/>
        </w:rPr>
        <w:t>process, </w:t>
      </w:r>
      <w:r>
        <w:rPr>
          <w:rFonts w:ascii="Times New Roman"/>
          <w:b/>
          <w:strike/>
          <w:color w:val="2E97D3"/>
          <w:sz w:val="16"/>
        </w:rPr>
        <w:t>these very reasons necessitate </w:t>
      </w:r>
      <w:r>
        <w:rPr>
          <w:strike w:val="0"/>
        </w:rPr>
        <w:t>an </w:t>
      </w:r>
      <w:r>
        <w:rPr>
          <w:rFonts w:ascii="Times New Roman"/>
          <w:b/>
          <w:strike/>
          <w:color w:val="2E97D3"/>
          <w:sz w:val="16"/>
        </w:rPr>
        <w:t>orderly formalized </w:t>
      </w:r>
      <w:r>
        <w:rPr>
          <w:strike w:val="0"/>
          <w:color w:val="2E97D3"/>
          <w:u w:val="single" w:color="2E97D3"/>
        </w:rPr>
        <w:t>effective state budget </w:t>
      </w:r>
      <w:r>
        <w:rPr>
          <w:strike w:val="0"/>
        </w:rPr>
        <w:t>process</w:t>
      </w:r>
      <w:r>
        <w:rPr>
          <w:rFonts w:ascii="Times New Roman"/>
          <w:b/>
          <w:strike/>
          <w:color w:val="2E97D3"/>
          <w:sz w:val="16"/>
        </w:rPr>
        <w:t>. </w:t>
      </w:r>
      <w:r>
        <w:rPr>
          <w:strike w:val="0"/>
          <w:color w:val="2E97D3"/>
          <w:spacing w:val="-3"/>
          <w:u w:val="single" w:color="2E97D3"/>
        </w:rPr>
        <w:t>is </w:t>
      </w:r>
      <w:r>
        <w:rPr>
          <w:strike w:val="0"/>
          <w:color w:val="2E97D3"/>
          <w:u w:val="single" w:color="2E97D3"/>
        </w:rPr>
        <w:t>essential for the important work of many indispensable state government programs to continue. </w:t>
      </w:r>
      <w:r>
        <w:rPr>
          <w:strike w:val="0"/>
        </w:rPr>
        <w:t>The following sections summarize the major steps and procedures of California's </w:t>
      </w:r>
      <w:r>
        <w:rPr>
          <w:strike w:val="0"/>
          <w:color w:val="2E97D3"/>
          <w:u w:val="single" w:color="2E97D3"/>
        </w:rPr>
        <w:t>state </w:t>
      </w:r>
      <w:r>
        <w:rPr>
          <w:strike w:val="0"/>
        </w:rPr>
        <w:t>budget</w:t>
      </w:r>
      <w:r>
        <w:rPr>
          <w:strike w:val="0"/>
          <w:spacing w:val="-17"/>
        </w:rPr>
        <w:t> </w:t>
      </w:r>
      <w:r>
        <w:rPr>
          <w:strike w:val="0"/>
        </w:rPr>
        <w:t>process.</w:t>
      </w:r>
    </w:p>
    <w:p>
      <w:pPr>
        <w:spacing w:after="0"/>
        <w:jc w:val="both"/>
        <w:sectPr>
          <w:pgSz w:w="12240" w:h="15840"/>
          <w:pgMar w:header="724" w:footer="792" w:top="980" w:bottom="980" w:left="620" w:right="1500"/>
        </w:sectPr>
      </w:pPr>
    </w:p>
    <w:p>
      <w:pPr>
        <w:pStyle w:val="BodyText"/>
        <w:rPr>
          <w:sz w:val="20"/>
        </w:rPr>
      </w:pPr>
    </w:p>
    <w:p>
      <w:pPr>
        <w:pStyle w:val="BodyText"/>
        <w:spacing w:before="216"/>
        <w:ind w:left="820"/>
      </w:pPr>
      <w:r>
        <w:rPr/>
        <w:pict>
          <v:line style="position:absolute;mso-position-horizontal-relative:page;mso-position-vertical-relative:paragraph;z-index:2632" from="36.360001pt,10.895886pt" to="36.360001pt,62.615886pt" stroked="true" strokeweight=".72pt" strokecolor="#000000">
            <v:stroke dashstyle="solid"/>
            <w10:wrap type="none"/>
          </v:line>
        </w:pict>
      </w:r>
      <w:r>
        <w:rPr>
          <w:strike/>
          <w:color w:val="2E97D3"/>
        </w:rPr>
        <w:t>Budget Development</w:t>
      </w:r>
    </w:p>
    <w:p>
      <w:pPr>
        <w:spacing w:after="0"/>
        <w:sectPr>
          <w:pgSz w:w="12240" w:h="15840"/>
          <w:pgMar w:header="724" w:footer="792" w:top="980" w:bottom="980" w:left="620" w:right="1720"/>
        </w:sectPr>
      </w:pPr>
    </w:p>
    <w:p>
      <w:pPr>
        <w:pStyle w:val="BodyText"/>
        <w:rPr>
          <w:sz w:val="20"/>
        </w:rPr>
      </w:pPr>
    </w:p>
    <w:p>
      <w:pPr>
        <w:pStyle w:val="Heading2"/>
        <w:tabs>
          <w:tab w:pos="9551" w:val="left" w:leader="none"/>
        </w:tabs>
        <w:spacing w:before="209"/>
        <w:ind w:left="820"/>
      </w:pPr>
      <w:r>
        <w:rPr/>
        <w:pict>
          <v:line style="position:absolute;mso-position-horizontal-relative:page;mso-position-vertical-relative:paragraph;z-index:2800" from="36.360001pt,10.665881pt" to="36.360001pt,38.265881pt" stroked="true" strokeweight=".72pt" strokecolor="#000000">
            <v:stroke dashstyle="solid"/>
            <w10:wrap type="none"/>
          </v:line>
        </w:pict>
      </w:r>
      <w:r>
        <w:rPr>
          <w:color w:val="2E97D3"/>
          <w:u w:val="thick" w:color="2E97D3"/>
        </w:rPr>
        <w:t>BUDGET</w:t>
      </w:r>
      <w:r>
        <w:rPr>
          <w:color w:val="2E97D3"/>
          <w:spacing w:val="-4"/>
          <w:u w:val="thick" w:color="2E97D3"/>
        </w:rPr>
        <w:t> </w:t>
      </w:r>
      <w:r>
        <w:rPr>
          <w:color w:val="2E97D3"/>
          <w:u w:val="thick" w:color="2E97D3"/>
        </w:rPr>
        <w:t>DEVELOPMENT</w:t>
      </w:r>
      <w:r>
        <w:rPr>
          <w:color w:val="2E97D3"/>
        </w:rPr>
        <w:tab/>
      </w:r>
      <w:r>
        <w:rPr/>
        <w:t>6120</w:t>
      </w:r>
    </w:p>
    <w:p>
      <w:pPr>
        <w:spacing w:before="0"/>
        <w:ind w:left="820" w:right="0" w:firstLine="0"/>
        <w:jc w:val="left"/>
        <w:rPr>
          <w:sz w:val="24"/>
        </w:rPr>
      </w:pPr>
      <w:r>
        <w:rPr>
          <w:sz w:val="24"/>
        </w:rPr>
        <w:t>(Revised </w:t>
      </w:r>
      <w:r>
        <w:rPr>
          <w:rFonts w:ascii="Times New Roman"/>
          <w:b/>
          <w:strike/>
          <w:color w:val="2E97D3"/>
          <w:sz w:val="16"/>
        </w:rPr>
        <w:t>9/2010</w:t>
      </w:r>
      <w:r>
        <w:rPr>
          <w:strike w:val="0"/>
          <w:color w:val="2E97D3"/>
          <w:sz w:val="24"/>
          <w:u w:val="single" w:color="2E97D3"/>
        </w:rPr>
        <w:t>10/2017</w:t>
      </w:r>
      <w:r>
        <w:rPr>
          <w:strike w:val="0"/>
          <w:sz w:val="24"/>
        </w:rPr>
        <w:t>)</w:t>
      </w:r>
    </w:p>
    <w:p>
      <w:pPr>
        <w:pStyle w:val="BodyText"/>
        <w:spacing w:before="5"/>
        <w:rPr>
          <w:sz w:val="18"/>
        </w:rPr>
      </w:pPr>
    </w:p>
    <w:p>
      <w:pPr>
        <w:pStyle w:val="BodyText"/>
        <w:spacing w:before="93"/>
        <w:ind w:left="820" w:right="190"/>
        <w:jc w:val="both"/>
      </w:pPr>
      <w:r>
        <w:rPr/>
        <w:pict>
          <v:line style="position:absolute;mso-position-horizontal-relative:page;mso-position-vertical-relative:paragraph;z-index:2824" from="36.360001pt,4.865854pt" to="36.360001pt,101.465854pt" stroked="true" strokeweight=".72pt" strokecolor="#000000">
            <v:stroke dashstyle="solid"/>
            <w10:wrap type="none"/>
          </v:line>
        </w:pict>
      </w:r>
      <w:r>
        <w:rPr/>
        <w:t>The</w:t>
      </w:r>
      <w:r>
        <w:rPr>
          <w:spacing w:val="-8"/>
        </w:rPr>
        <w:t> </w:t>
      </w:r>
      <w:r>
        <w:rPr/>
        <w:t>State</w:t>
      </w:r>
      <w:r>
        <w:rPr>
          <w:spacing w:val="-8"/>
        </w:rPr>
        <w:t> </w:t>
      </w:r>
      <w:r>
        <w:rPr/>
        <w:t>Constitution,</w:t>
      </w:r>
      <w:r>
        <w:rPr>
          <w:spacing w:val="-10"/>
        </w:rPr>
        <w:t> </w:t>
      </w:r>
      <w:r>
        <w:rPr>
          <w:rFonts w:ascii="Times New Roman"/>
          <w:b/>
          <w:strike/>
          <w:color w:val="2E97D3"/>
          <w:sz w:val="16"/>
          <w:u w:val="single" w:color="2E97D3"/>
        </w:rPr>
        <w:t>Article</w:t>
      </w:r>
      <w:r>
        <w:rPr>
          <w:rFonts w:ascii="Times New Roman"/>
          <w:b/>
          <w:strike/>
          <w:color w:val="2E97D3"/>
          <w:spacing w:val="-6"/>
          <w:sz w:val="16"/>
          <w:u w:val="single" w:color="2E97D3"/>
        </w:rPr>
        <w:t> </w:t>
      </w:r>
      <w:r>
        <w:rPr>
          <w:rFonts w:ascii="Times New Roman"/>
          <w:b/>
          <w:strike/>
          <w:color w:val="2E97D3"/>
          <w:sz w:val="16"/>
          <w:u w:val="single" w:color="2E97D3"/>
        </w:rPr>
        <w:t>IV,</w:t>
      </w:r>
      <w:r>
        <w:rPr>
          <w:rFonts w:ascii="Times New Roman"/>
          <w:b/>
          <w:strike/>
          <w:color w:val="2E97D3"/>
          <w:spacing w:val="-6"/>
          <w:sz w:val="16"/>
          <w:u w:val="single" w:color="2E97D3"/>
        </w:rPr>
        <w:t> </w:t>
      </w:r>
      <w:r>
        <w:rPr>
          <w:rFonts w:ascii="Times New Roman"/>
          <w:b/>
          <w:strike/>
          <w:color w:val="2E97D3"/>
          <w:sz w:val="16"/>
          <w:u w:val="single" w:color="2E97D3"/>
        </w:rPr>
        <w:t>Section</w:t>
      </w:r>
      <w:r>
        <w:rPr>
          <w:rFonts w:ascii="Times New Roman"/>
          <w:b/>
          <w:strike/>
          <w:color w:val="2E97D3"/>
          <w:spacing w:val="-7"/>
          <w:sz w:val="16"/>
          <w:u w:val="single" w:color="2E97D3"/>
        </w:rPr>
        <w:t> </w:t>
      </w:r>
      <w:r>
        <w:rPr>
          <w:rFonts w:ascii="Times New Roman"/>
          <w:b/>
          <w:strike/>
          <w:color w:val="2E97D3"/>
          <w:sz w:val="16"/>
          <w:u w:val="single" w:color="2E97D3"/>
        </w:rPr>
        <w:t>12</w:t>
      </w:r>
      <w:hyperlink r:id="rId36">
        <w:r>
          <w:rPr>
            <w:strike w:val="0"/>
            <w:color w:val="2E97D3"/>
            <w:u w:val="single" w:color="2E97D3"/>
          </w:rPr>
          <w:t>Article</w:t>
        </w:r>
        <w:r>
          <w:rPr>
            <w:strike w:val="0"/>
            <w:color w:val="2E97D3"/>
            <w:spacing w:val="-8"/>
            <w:u w:val="single" w:color="2E97D3"/>
          </w:rPr>
          <w:t> </w:t>
        </w:r>
        <w:r>
          <w:rPr>
            <w:strike w:val="0"/>
            <w:color w:val="2E97D3"/>
            <w:u w:val="single" w:color="2E97D3"/>
          </w:rPr>
          <w:t>IV,</w:t>
        </w:r>
        <w:r>
          <w:rPr>
            <w:strike w:val="0"/>
            <w:color w:val="2E97D3"/>
            <w:spacing w:val="-8"/>
            <w:u w:val="single" w:color="2E97D3"/>
          </w:rPr>
          <w:t> </w:t>
        </w:r>
        <w:r>
          <w:rPr>
            <w:strike w:val="0"/>
            <w:color w:val="2E97D3"/>
            <w:u w:val="single" w:color="2E97D3"/>
          </w:rPr>
          <w:t>Section</w:t>
        </w:r>
        <w:r>
          <w:rPr>
            <w:strike w:val="0"/>
            <w:color w:val="2E97D3"/>
            <w:spacing w:val="-10"/>
            <w:u w:val="single" w:color="2E97D3"/>
          </w:rPr>
          <w:t> </w:t>
        </w:r>
        <w:r>
          <w:rPr>
            <w:strike w:val="0"/>
            <w:color w:val="2E97D3"/>
            <w:u w:val="single" w:color="2E97D3"/>
          </w:rPr>
          <w:t>12</w:t>
        </w:r>
      </w:hyperlink>
      <w:r>
        <w:rPr>
          <w:strike w:val="0"/>
        </w:rPr>
        <w:t>,</w:t>
      </w:r>
      <w:r>
        <w:rPr>
          <w:strike w:val="0"/>
          <w:spacing w:val="-8"/>
        </w:rPr>
        <w:t> </w:t>
      </w:r>
      <w:r>
        <w:rPr>
          <w:strike w:val="0"/>
        </w:rPr>
        <w:t>requires</w:t>
      </w:r>
      <w:r>
        <w:rPr>
          <w:strike w:val="0"/>
          <w:spacing w:val="-10"/>
        </w:rPr>
        <w:t> </w:t>
      </w:r>
      <w:r>
        <w:rPr>
          <w:rFonts w:ascii="Times New Roman"/>
          <w:b/>
          <w:strike/>
          <w:color w:val="2E97D3"/>
          <w:sz w:val="16"/>
        </w:rPr>
        <w:t>that</w:t>
      </w:r>
      <w:r>
        <w:rPr>
          <w:rFonts w:ascii="Times New Roman"/>
          <w:b/>
          <w:strike/>
          <w:color w:val="2E97D3"/>
          <w:spacing w:val="-19"/>
          <w:sz w:val="16"/>
        </w:rPr>
        <w:t> </w:t>
      </w:r>
      <w:r>
        <w:rPr>
          <w:strike w:val="0"/>
        </w:rPr>
        <w:t>the</w:t>
      </w:r>
      <w:r>
        <w:rPr>
          <w:strike w:val="0"/>
          <w:spacing w:val="-10"/>
        </w:rPr>
        <w:t> </w:t>
      </w:r>
      <w:r>
        <w:rPr>
          <w:strike w:val="0"/>
        </w:rPr>
        <w:t>Governor</w:t>
      </w:r>
      <w:r>
        <w:rPr>
          <w:strike w:val="0"/>
          <w:spacing w:val="-11"/>
        </w:rPr>
        <w:t> </w:t>
      </w:r>
      <w:r>
        <w:rPr>
          <w:strike w:val="0"/>
          <w:color w:val="2E97D3"/>
          <w:u w:val="single" w:color="2E97D3"/>
        </w:rPr>
        <w:t>to </w:t>
      </w:r>
      <w:r>
        <w:rPr>
          <w:strike w:val="0"/>
        </w:rPr>
        <w:t>submit a budget to the Legislature by January 10</w:t>
      </w:r>
      <w:r>
        <w:rPr>
          <w:rFonts w:ascii="Times New Roman"/>
          <w:b/>
          <w:strike/>
          <w:color w:val="2E97D3"/>
          <w:sz w:val="16"/>
        </w:rPr>
        <w:t>. </w:t>
      </w:r>
      <w:r>
        <w:rPr>
          <w:strike w:val="0"/>
          <w:color w:val="2E97D3"/>
          <w:u w:val="single" w:color="2E97D3"/>
        </w:rPr>
        <w:t>each year. </w:t>
      </w:r>
      <w:r>
        <w:rPr>
          <w:strike w:val="0"/>
        </w:rPr>
        <w:t>The budget must contain itemized statements for </w:t>
      </w:r>
      <w:r>
        <w:rPr>
          <w:strike w:val="0"/>
          <w:color w:val="2E97D3"/>
          <w:u w:val="single" w:color="2E97D3"/>
        </w:rPr>
        <w:t>recommended </w:t>
      </w:r>
      <w:r>
        <w:rPr>
          <w:strike w:val="0"/>
        </w:rPr>
        <w:t>expenditures and </w:t>
      </w:r>
      <w:r>
        <w:rPr>
          <w:strike w:val="0"/>
          <w:color w:val="2E97D3"/>
          <w:u w:val="single" w:color="2E97D3"/>
        </w:rPr>
        <w:t>estimated </w:t>
      </w:r>
      <w:r>
        <w:rPr>
          <w:strike w:val="0"/>
        </w:rPr>
        <w:t>revenues. </w:t>
      </w:r>
      <w:r>
        <w:rPr>
          <w:rFonts w:ascii="Times New Roman"/>
          <w:b/>
          <w:strike/>
          <w:color w:val="2E97D3"/>
          <w:sz w:val="16"/>
        </w:rPr>
        <w:t>It provides for</w:t>
      </w:r>
      <w:r>
        <w:rPr>
          <w:strike w:val="0"/>
          <w:color w:val="2E97D3"/>
          <w:u w:val="single" w:color="2E97D3"/>
        </w:rPr>
        <w:t>California Constitution requires </w:t>
      </w:r>
      <w:r>
        <w:rPr>
          <w:strike w:val="0"/>
        </w:rPr>
        <w:t>a balanced budget </w:t>
      </w:r>
      <w:r>
        <w:rPr>
          <w:rFonts w:ascii="Times New Roman"/>
          <w:b/>
          <w:strike/>
          <w:color w:val="2E97D3"/>
          <w:sz w:val="16"/>
        </w:rPr>
        <w:t>in that</w:t>
      </w:r>
      <w:r>
        <w:rPr>
          <w:strike w:val="0"/>
          <w:color w:val="2E97D3"/>
          <w:u w:val="single" w:color="2E97D3"/>
        </w:rPr>
        <w:t>; therefore</w:t>
      </w:r>
      <w:r>
        <w:rPr>
          <w:strike w:val="0"/>
        </w:rPr>
        <w:t>, if the proposed </w:t>
      </w:r>
      <w:r>
        <w:rPr>
          <w:strike w:val="0"/>
          <w:color w:val="2E97D3"/>
          <w:u w:val="single" w:color="2E97D3"/>
        </w:rPr>
        <w:t>level of recommended </w:t>
      </w:r>
      <w:r>
        <w:rPr>
          <w:strike w:val="0"/>
        </w:rPr>
        <w:t>expenditures for the budget year </w:t>
      </w:r>
      <w:r>
        <w:rPr>
          <w:rFonts w:ascii="Times New Roman"/>
          <w:b/>
          <w:strike/>
          <w:color w:val="2E97D3"/>
          <w:sz w:val="16"/>
        </w:rPr>
        <w:t>exceed</w:t>
      </w:r>
      <w:r>
        <w:rPr>
          <w:strike w:val="0"/>
          <w:color w:val="2E97D3"/>
          <w:u w:val="single" w:color="2E97D3"/>
        </w:rPr>
        <w:t>exceeds </w:t>
      </w:r>
      <w:r>
        <w:rPr>
          <w:strike w:val="0"/>
        </w:rPr>
        <w:t>available resources, the Governor is required to recommend the sources </w:t>
      </w:r>
      <w:r>
        <w:rPr>
          <w:rFonts w:ascii="Times New Roman"/>
          <w:b/>
          <w:strike/>
          <w:color w:val="2E97D3"/>
          <w:sz w:val="16"/>
        </w:rPr>
        <w:t>for</w:t>
      </w:r>
      <w:r>
        <w:rPr>
          <w:strike w:val="0"/>
          <w:color w:val="2E97D3"/>
          <w:u w:val="single" w:color="2E97D3"/>
        </w:rPr>
        <w:t>from which </w:t>
      </w:r>
      <w:r>
        <w:rPr>
          <w:strike w:val="0"/>
        </w:rPr>
        <w:t>the additional </w:t>
      </w:r>
      <w:r>
        <w:rPr>
          <w:rFonts w:ascii="Times New Roman"/>
          <w:b/>
          <w:strike/>
          <w:color w:val="2E97D3"/>
          <w:sz w:val="16"/>
        </w:rPr>
        <w:t>funding</w:t>
      </w:r>
      <w:r>
        <w:rPr>
          <w:strike w:val="0"/>
          <w:color w:val="2E97D3"/>
          <w:u w:val="single" w:color="2E97D3"/>
        </w:rPr>
        <w:t>revenues should be</w:t>
      </w:r>
      <w:r>
        <w:rPr>
          <w:strike w:val="0"/>
          <w:color w:val="2E97D3"/>
          <w:spacing w:val="-28"/>
          <w:u w:val="single" w:color="2E97D3"/>
        </w:rPr>
        <w:t> </w:t>
      </w:r>
      <w:r>
        <w:rPr>
          <w:strike w:val="0"/>
          <w:color w:val="2E97D3"/>
          <w:u w:val="single" w:color="2E97D3"/>
        </w:rPr>
        <w:t>provided</w:t>
      </w:r>
      <w:r>
        <w:rPr>
          <w:strike w:val="0"/>
        </w:rPr>
        <w:t>.</w:t>
      </w:r>
    </w:p>
    <w:p>
      <w:pPr>
        <w:spacing w:before="182"/>
        <w:ind w:left="820" w:right="189" w:firstLine="0"/>
        <w:jc w:val="both"/>
        <w:rPr>
          <w:rFonts w:ascii="Times New Roman"/>
          <w:b/>
          <w:sz w:val="16"/>
        </w:rPr>
      </w:pPr>
      <w:r>
        <w:rPr/>
        <w:pict>
          <v:line style="position:absolute;mso-position-horizontal-relative:page;mso-position-vertical-relative:paragraph;z-index:2848" from="36.360001pt,9.316884pt" to="36.360001pt,36.915884pt" stroked="true" strokeweight=".72pt" strokecolor="#000000">
            <v:stroke dashstyle="solid"/>
            <w10:wrap type="none"/>
          </v:line>
        </w:pict>
      </w:r>
      <w:r>
        <w:rPr/>
        <w:pict>
          <v:line style="position:absolute;mso-position-horizontal-relative:page;mso-position-vertical-relative:paragraph;z-index:2872" from="36.360001pt,50.715885pt" to="36.360001pt,73.755885pt" stroked="true" strokeweight=".72pt" strokecolor="#000000">
            <v:stroke dashstyle="solid"/>
            <w10:wrap type="none"/>
          </v:line>
        </w:pict>
      </w:r>
      <w:r>
        <w:rPr>
          <w:sz w:val="24"/>
        </w:rPr>
        <w:t>The Director of Finance, as the chief financial advisor to the Governor, directs </w:t>
      </w:r>
      <w:r>
        <w:rPr>
          <w:rFonts w:ascii="Times New Roman"/>
          <w:b/>
          <w:strike/>
          <w:color w:val="2E97D3"/>
          <w:sz w:val="16"/>
        </w:rPr>
        <w:t>the effort for </w:t>
      </w:r>
      <w:r>
        <w:rPr>
          <w:strike w:val="0"/>
          <w:sz w:val="24"/>
        </w:rPr>
        <w:t>preparation</w:t>
      </w:r>
      <w:r>
        <w:rPr>
          <w:strike w:val="0"/>
          <w:spacing w:val="-10"/>
          <w:sz w:val="24"/>
        </w:rPr>
        <w:t> </w:t>
      </w:r>
      <w:r>
        <w:rPr>
          <w:strike w:val="0"/>
          <w:sz w:val="24"/>
        </w:rPr>
        <w:t>of</w:t>
      </w:r>
      <w:r>
        <w:rPr>
          <w:strike w:val="0"/>
          <w:spacing w:val="-11"/>
          <w:sz w:val="24"/>
        </w:rPr>
        <w:t> </w:t>
      </w:r>
      <w:r>
        <w:rPr>
          <w:strike w:val="0"/>
          <w:sz w:val="24"/>
        </w:rPr>
        <w:t>the</w:t>
      </w:r>
      <w:r>
        <w:rPr>
          <w:strike w:val="0"/>
          <w:spacing w:val="-10"/>
          <w:sz w:val="24"/>
        </w:rPr>
        <w:t> </w:t>
      </w:r>
      <w:r>
        <w:rPr>
          <w:strike w:val="0"/>
          <w:sz w:val="24"/>
        </w:rPr>
        <w:t>Governor's</w:t>
      </w:r>
      <w:r>
        <w:rPr>
          <w:strike w:val="0"/>
          <w:spacing w:val="-11"/>
          <w:sz w:val="24"/>
        </w:rPr>
        <w:t> </w:t>
      </w:r>
      <w:r>
        <w:rPr>
          <w:strike w:val="0"/>
          <w:sz w:val="24"/>
        </w:rPr>
        <w:t>Budget</w:t>
      </w:r>
      <w:r>
        <w:rPr>
          <w:strike w:val="0"/>
          <w:spacing w:val="-13"/>
          <w:sz w:val="24"/>
        </w:rPr>
        <w:t> </w:t>
      </w:r>
      <w:r>
        <w:rPr>
          <w:strike w:val="0"/>
          <w:sz w:val="24"/>
        </w:rPr>
        <w:t>and</w:t>
      </w:r>
      <w:r>
        <w:rPr>
          <w:strike w:val="0"/>
          <w:spacing w:val="-10"/>
          <w:sz w:val="24"/>
        </w:rPr>
        <w:t> </w:t>
      </w:r>
      <w:r>
        <w:rPr>
          <w:rFonts w:ascii="Times New Roman"/>
          <w:b/>
          <w:strike/>
          <w:color w:val="2E97D3"/>
          <w:sz w:val="16"/>
        </w:rPr>
        <w:t>the</w:t>
      </w:r>
      <w:r>
        <w:rPr>
          <w:strike w:val="0"/>
          <w:color w:val="2E97D3"/>
          <w:sz w:val="24"/>
          <w:u w:val="single" w:color="2E97D3"/>
        </w:rPr>
        <w:t>its</w:t>
      </w:r>
      <w:r>
        <w:rPr>
          <w:strike w:val="0"/>
          <w:color w:val="2E97D3"/>
          <w:spacing w:val="-11"/>
          <w:sz w:val="24"/>
          <w:u w:val="single" w:color="2E97D3"/>
        </w:rPr>
        <w:t> </w:t>
      </w:r>
      <w:r>
        <w:rPr>
          <w:strike w:val="0"/>
          <w:color w:val="2E97D3"/>
          <w:sz w:val="24"/>
          <w:u w:val="single" w:color="2E97D3"/>
        </w:rPr>
        <w:t>subsequent</w:t>
      </w:r>
      <w:r>
        <w:rPr>
          <w:strike w:val="0"/>
          <w:color w:val="2E97D3"/>
          <w:spacing w:val="-12"/>
          <w:sz w:val="24"/>
          <w:u w:val="single" w:color="2E97D3"/>
        </w:rPr>
        <w:t> </w:t>
      </w:r>
      <w:r>
        <w:rPr>
          <w:strike w:val="0"/>
          <w:sz w:val="24"/>
        </w:rPr>
        <w:t>update</w:t>
      </w:r>
      <w:r>
        <w:rPr>
          <w:strike w:val="0"/>
          <w:spacing w:val="-10"/>
          <w:sz w:val="24"/>
        </w:rPr>
        <w:t> </w:t>
      </w:r>
      <w:r>
        <w:rPr>
          <w:strike w:val="0"/>
          <w:sz w:val="24"/>
        </w:rPr>
        <w:t>in</w:t>
      </w:r>
      <w:r>
        <w:rPr>
          <w:strike w:val="0"/>
          <w:spacing w:val="-10"/>
          <w:sz w:val="24"/>
        </w:rPr>
        <w:t> </w:t>
      </w:r>
      <w:r>
        <w:rPr>
          <w:strike w:val="0"/>
          <w:sz w:val="24"/>
        </w:rPr>
        <w:t>the</w:t>
      </w:r>
      <w:r>
        <w:rPr>
          <w:strike w:val="0"/>
          <w:spacing w:val="-10"/>
          <w:sz w:val="24"/>
        </w:rPr>
        <w:t> </w:t>
      </w:r>
      <w:r>
        <w:rPr>
          <w:strike w:val="0"/>
          <w:sz w:val="24"/>
        </w:rPr>
        <w:t>May</w:t>
      </w:r>
      <w:r>
        <w:rPr>
          <w:strike w:val="0"/>
          <w:spacing w:val="-14"/>
          <w:sz w:val="24"/>
        </w:rPr>
        <w:t> </w:t>
      </w:r>
      <w:r>
        <w:rPr>
          <w:strike w:val="0"/>
          <w:sz w:val="24"/>
        </w:rPr>
        <w:t>Revision. Under the policy direction of the Governor, the Director of Finance issues instructions and guidelines for budget preparation to agencies and departments. </w:t>
      </w:r>
      <w:r>
        <w:rPr>
          <w:rFonts w:ascii="Times New Roman"/>
          <w:b/>
          <w:strike/>
          <w:color w:val="2E97D3"/>
          <w:sz w:val="16"/>
        </w:rPr>
        <w:t>This effort typically gets underway</w:t>
      </w:r>
      <w:r>
        <w:rPr>
          <w:rFonts w:ascii="Times New Roman"/>
          <w:b/>
          <w:strike/>
          <w:color w:val="2E97D3"/>
          <w:spacing w:val="-1"/>
          <w:sz w:val="16"/>
        </w:rPr>
        <w:t> </w:t>
      </w:r>
      <w:r>
        <w:rPr>
          <w:rFonts w:ascii="Times New Roman"/>
          <w:b/>
          <w:strike/>
          <w:color w:val="2E97D3"/>
          <w:sz w:val="16"/>
        </w:rPr>
        <w:t>even</w:t>
      </w:r>
      <w:r>
        <w:rPr>
          <w:rFonts w:ascii="Times New Roman"/>
          <w:b/>
          <w:strike/>
          <w:color w:val="2E97D3"/>
          <w:spacing w:val="-3"/>
          <w:sz w:val="16"/>
        </w:rPr>
        <w:t> </w:t>
      </w:r>
      <w:r>
        <w:rPr>
          <w:rFonts w:ascii="Times New Roman"/>
          <w:b/>
          <w:strike/>
          <w:color w:val="2E97D3"/>
          <w:sz w:val="16"/>
        </w:rPr>
        <w:t>before</w:t>
      </w:r>
      <w:r>
        <w:rPr>
          <w:rFonts w:ascii="Times New Roman"/>
          <w:b/>
          <w:strike/>
          <w:color w:val="2E97D3"/>
          <w:spacing w:val="-4"/>
          <w:sz w:val="16"/>
        </w:rPr>
        <w:t> </w:t>
      </w:r>
      <w:r>
        <w:rPr>
          <w:rFonts w:ascii="Times New Roman"/>
          <w:b/>
          <w:strike/>
          <w:color w:val="2E97D3"/>
          <w:sz w:val="16"/>
        </w:rPr>
        <w:t>the</w:t>
      </w:r>
      <w:r>
        <w:rPr>
          <w:rFonts w:ascii="Times New Roman"/>
          <w:b/>
          <w:strike/>
          <w:color w:val="2E97D3"/>
          <w:spacing w:val="-4"/>
          <w:sz w:val="16"/>
        </w:rPr>
        <w:t> </w:t>
      </w:r>
      <w:r>
        <w:rPr>
          <w:rFonts w:ascii="Times New Roman"/>
          <w:b/>
          <w:strike/>
          <w:color w:val="2E97D3"/>
          <w:sz w:val="16"/>
        </w:rPr>
        <w:t>Legislature</w:t>
      </w:r>
      <w:r>
        <w:rPr>
          <w:rFonts w:ascii="Times New Roman"/>
          <w:b/>
          <w:strike/>
          <w:color w:val="2E97D3"/>
          <w:spacing w:val="-2"/>
          <w:sz w:val="16"/>
        </w:rPr>
        <w:t> </w:t>
      </w:r>
      <w:r>
        <w:rPr>
          <w:rFonts w:ascii="Times New Roman"/>
          <w:b/>
          <w:strike/>
          <w:color w:val="2E97D3"/>
          <w:sz w:val="16"/>
        </w:rPr>
        <w:t>has</w:t>
      </w:r>
      <w:r>
        <w:rPr>
          <w:rFonts w:ascii="Times New Roman"/>
          <w:b/>
          <w:strike/>
          <w:color w:val="2E97D3"/>
          <w:spacing w:val="-3"/>
          <w:sz w:val="16"/>
        </w:rPr>
        <w:t> </w:t>
      </w:r>
      <w:r>
        <w:rPr>
          <w:rFonts w:ascii="Times New Roman"/>
          <w:b/>
          <w:strike/>
          <w:color w:val="2E97D3"/>
          <w:sz w:val="16"/>
        </w:rPr>
        <w:t>passed</w:t>
      </w:r>
      <w:r>
        <w:rPr>
          <w:rFonts w:ascii="Times New Roman"/>
          <w:b/>
          <w:strike/>
          <w:color w:val="2E97D3"/>
          <w:spacing w:val="-3"/>
          <w:sz w:val="16"/>
        </w:rPr>
        <w:t> </w:t>
      </w:r>
      <w:r>
        <w:rPr>
          <w:rFonts w:ascii="Times New Roman"/>
          <w:b/>
          <w:strike/>
          <w:color w:val="2E97D3"/>
          <w:sz w:val="16"/>
        </w:rPr>
        <w:t>the</w:t>
      </w:r>
      <w:r>
        <w:rPr>
          <w:rFonts w:ascii="Times New Roman"/>
          <w:b/>
          <w:strike/>
          <w:color w:val="2E97D3"/>
          <w:spacing w:val="-2"/>
          <w:sz w:val="16"/>
        </w:rPr>
        <w:t> </w:t>
      </w:r>
      <w:r>
        <w:rPr>
          <w:rFonts w:ascii="Times New Roman"/>
          <w:b/>
          <w:strike/>
          <w:color w:val="2E97D3"/>
          <w:sz w:val="16"/>
        </w:rPr>
        <w:t>budget</w:t>
      </w:r>
      <w:r>
        <w:rPr>
          <w:rFonts w:ascii="Times New Roman"/>
          <w:b/>
          <w:strike/>
          <w:color w:val="2E97D3"/>
          <w:spacing w:val="-3"/>
          <w:sz w:val="16"/>
        </w:rPr>
        <w:t> </w:t>
      </w:r>
      <w:r>
        <w:rPr>
          <w:rFonts w:ascii="Times New Roman"/>
          <w:b/>
          <w:strike/>
          <w:color w:val="2E97D3"/>
          <w:sz w:val="16"/>
        </w:rPr>
        <w:t>it</w:t>
      </w:r>
      <w:r>
        <w:rPr>
          <w:rFonts w:ascii="Times New Roman"/>
          <w:b/>
          <w:strike/>
          <w:color w:val="2E97D3"/>
          <w:spacing w:val="-5"/>
          <w:sz w:val="16"/>
        </w:rPr>
        <w:t> </w:t>
      </w:r>
      <w:r>
        <w:rPr>
          <w:rFonts w:ascii="Times New Roman"/>
          <w:b/>
          <w:strike/>
          <w:color w:val="2E97D3"/>
          <w:sz w:val="16"/>
        </w:rPr>
        <w:t>is</w:t>
      </w:r>
      <w:r>
        <w:rPr>
          <w:rFonts w:ascii="Times New Roman"/>
          <w:b/>
          <w:strike/>
          <w:color w:val="2E97D3"/>
          <w:spacing w:val="-4"/>
          <w:sz w:val="16"/>
        </w:rPr>
        <w:t> </w:t>
      </w:r>
      <w:r>
        <w:rPr>
          <w:rFonts w:ascii="Times New Roman"/>
          <w:b/>
          <w:strike/>
          <w:color w:val="2E97D3"/>
          <w:sz w:val="16"/>
        </w:rPr>
        <w:t>currently</w:t>
      </w:r>
      <w:r>
        <w:rPr>
          <w:rFonts w:ascii="Times New Roman"/>
          <w:b/>
          <w:strike/>
          <w:color w:val="2E97D3"/>
          <w:spacing w:val="-4"/>
          <w:sz w:val="16"/>
        </w:rPr>
        <w:t> </w:t>
      </w:r>
      <w:r>
        <w:rPr>
          <w:rFonts w:ascii="Times New Roman"/>
          <w:b/>
          <w:strike/>
          <w:color w:val="2E97D3"/>
          <w:sz w:val="16"/>
        </w:rPr>
        <w:t>considering</w:t>
      </w:r>
      <w:r>
        <w:rPr>
          <w:rFonts w:ascii="Times New Roman"/>
          <w:b/>
          <w:strike w:val="0"/>
          <w:color w:val="2E97D3"/>
          <w:sz w:val="16"/>
        </w:rPr>
        <w:t>.</w:t>
      </w:r>
    </w:p>
    <w:p>
      <w:pPr>
        <w:pStyle w:val="BodyText"/>
        <w:spacing w:before="11"/>
        <w:rPr>
          <w:rFonts w:ascii="Times New Roman"/>
          <w:b/>
          <w:sz w:val="15"/>
        </w:rPr>
      </w:pPr>
    </w:p>
    <w:p>
      <w:pPr>
        <w:pStyle w:val="BodyText"/>
        <w:ind w:left="820" w:right="189"/>
        <w:jc w:val="both"/>
        <w:rPr>
          <w:rFonts w:ascii="Times New Roman"/>
          <w:b/>
          <w:sz w:val="16"/>
        </w:rPr>
      </w:pPr>
      <w:r>
        <w:rPr/>
        <w:pict>
          <v:line style="position:absolute;mso-position-horizontal-relative:page;mso-position-vertical-relative:paragraph;z-index:-470008" from="527.280029pt,36.875862pt" to="531.240029pt,36.875862pt" stroked="true" strokeweight=".36pt" strokecolor="#2e97d3">
            <v:stroke dashstyle="solid"/>
            <w10:wrap type="none"/>
          </v:line>
        </w:pict>
      </w:r>
      <w:r>
        <w:rPr/>
        <w:pict>
          <v:line style="position:absolute;mso-position-horizontal-relative:page;mso-position-vertical-relative:paragraph;z-index:2896" from="36.360001pt,.214861pt" to="36.360001pt,193.295861pt" stroked="true" strokeweight=".72pt" strokecolor="#000000">
            <v:stroke dashstyle="solid"/>
            <w10:wrap type="none"/>
          </v:line>
        </w:pict>
      </w:r>
      <w:r>
        <w:rPr/>
        <w:t>Although California </w:t>
      </w:r>
      <w:r>
        <w:rPr>
          <w:rFonts w:ascii="Times New Roman"/>
          <w:b/>
          <w:strike/>
          <w:color w:val="2E97D3"/>
          <w:sz w:val="16"/>
        </w:rPr>
        <w:t>has and </w:t>
      </w:r>
      <w:r>
        <w:rPr>
          <w:strike w:val="0"/>
        </w:rPr>
        <w:t>does </w:t>
      </w:r>
      <w:r>
        <w:rPr>
          <w:rFonts w:ascii="Times New Roman"/>
          <w:b/>
          <w:strike/>
          <w:color w:val="2E97D3"/>
          <w:sz w:val="16"/>
        </w:rPr>
        <w:t>utilize</w:t>
      </w:r>
      <w:r>
        <w:rPr>
          <w:strike w:val="0"/>
          <w:color w:val="2E97D3"/>
          <w:u w:val="single" w:color="2E97D3"/>
        </w:rPr>
        <w:t>occasionally use budgeting </w:t>
      </w:r>
      <w:r>
        <w:rPr>
          <w:strike w:val="0"/>
        </w:rPr>
        <w:t>concepts such as Zero- Based Budgeting, </w:t>
      </w:r>
      <w:r>
        <w:rPr>
          <w:strike w:val="0"/>
          <w:color w:val="2E97D3"/>
          <w:u w:val="single" w:color="2E97D3"/>
        </w:rPr>
        <w:t>Mission-Based Budgeting, </w:t>
      </w:r>
      <w:r>
        <w:rPr>
          <w:strike w:val="0"/>
        </w:rPr>
        <w:t>Management by Objectives, and Total Quality Management, the </w:t>
      </w:r>
      <w:r>
        <w:rPr>
          <w:rFonts w:ascii="Times New Roman"/>
          <w:b/>
          <w:strike/>
          <w:color w:val="2E97D3"/>
          <w:sz w:val="16"/>
        </w:rPr>
        <w:t>basic approach</w:t>
      </w:r>
      <w:r>
        <w:rPr>
          <w:strike w:val="0"/>
          <w:color w:val="2E97D3"/>
          <w:u w:val="single" w:color="2E97D3"/>
        </w:rPr>
        <w:t>primary method </w:t>
      </w:r>
      <w:r>
        <w:rPr>
          <w:strike w:val="0"/>
        </w:rPr>
        <w:t>utilized </w:t>
      </w:r>
      <w:r>
        <w:rPr>
          <w:strike w:val="0"/>
          <w:color w:val="2E97D3"/>
          <w:u w:val="single" w:color="2E97D3"/>
        </w:rPr>
        <w:t>to prepare the budget </w:t>
      </w:r>
      <w:r>
        <w:rPr>
          <w:strike w:val="0"/>
        </w:rPr>
        <w:t>is </w:t>
      </w:r>
      <w:r>
        <w:rPr>
          <w:rFonts w:ascii="Times New Roman"/>
          <w:b/>
          <w:strike w:val="0"/>
          <w:color w:val="2E97D3"/>
          <w:sz w:val="16"/>
        </w:rPr>
        <w:t>a </w:t>
      </w:r>
      <w:r>
        <w:rPr>
          <w:rFonts w:ascii="Times New Roman"/>
          <w:b/>
          <w:strike/>
          <w:color w:val="2E97D3"/>
          <w:sz w:val="16"/>
        </w:rPr>
        <w:t>mixture of </w:t>
      </w:r>
      <w:r>
        <w:rPr>
          <w:strike w:val="0"/>
        </w:rPr>
        <w:t>incremental budgeting</w:t>
      </w:r>
      <w:r>
        <w:rPr>
          <w:rFonts w:ascii="Times New Roman"/>
          <w:b/>
          <w:strike/>
          <w:color w:val="2E97D3"/>
          <w:sz w:val="16"/>
        </w:rPr>
        <w:t>, </w:t>
      </w:r>
      <w:r>
        <w:rPr>
          <w:strike w:val="0"/>
          <w:color w:val="2E97D3"/>
          <w:u w:val="single" w:color="2E97D3"/>
        </w:rPr>
        <w:t>for support budgets and </w:t>
      </w:r>
      <w:r>
        <w:rPr>
          <w:strike w:val="0"/>
        </w:rPr>
        <w:t>zero-</w:t>
      </w:r>
      <w:r>
        <w:rPr>
          <w:rFonts w:ascii="Times New Roman"/>
          <w:b/>
          <w:strike/>
          <w:color w:val="2E97D3"/>
          <w:sz w:val="16"/>
        </w:rPr>
        <w:t>basing and special reviews. This approach</w:t>
      </w:r>
      <w:r>
        <w:rPr>
          <w:strike w:val="0"/>
          <w:color w:val="2E97D3"/>
          <w:u w:val="single" w:color="2E97D3"/>
        </w:rPr>
        <w:t>based</w:t>
      </w:r>
      <w:r>
        <w:rPr>
          <w:strike w:val="0"/>
          <w:color w:val="2E97D3"/>
          <w:spacing w:val="-13"/>
          <w:u w:val="single" w:color="2E97D3"/>
        </w:rPr>
        <w:t> </w:t>
      </w:r>
      <w:r>
        <w:rPr>
          <w:strike w:val="0"/>
          <w:color w:val="2E97D3"/>
          <w:u w:val="single" w:color="2E97D3"/>
        </w:rPr>
        <w:t>budgeting</w:t>
      </w:r>
      <w:r>
        <w:rPr>
          <w:strike w:val="0"/>
          <w:color w:val="2E97D3"/>
          <w:spacing w:val="-15"/>
          <w:u w:val="single" w:color="2E97D3"/>
        </w:rPr>
        <w:t> </w:t>
      </w:r>
      <w:r>
        <w:rPr>
          <w:strike w:val="0"/>
          <w:color w:val="2E97D3"/>
          <w:u w:val="single" w:color="2E97D3"/>
        </w:rPr>
        <w:t>for</w:t>
      </w:r>
      <w:r>
        <w:rPr>
          <w:strike w:val="0"/>
          <w:color w:val="2E97D3"/>
          <w:spacing w:val="-13"/>
          <w:u w:val="single" w:color="2E97D3"/>
        </w:rPr>
        <w:t> </w:t>
      </w:r>
      <w:r>
        <w:rPr>
          <w:strike w:val="0"/>
          <w:color w:val="2E97D3"/>
          <w:u w:val="single" w:color="2E97D3"/>
        </w:rPr>
        <w:t>capital</w:t>
      </w:r>
      <w:r>
        <w:rPr>
          <w:strike w:val="0"/>
          <w:color w:val="2E97D3"/>
          <w:spacing w:val="-14"/>
          <w:u w:val="single" w:color="2E97D3"/>
        </w:rPr>
        <w:t> </w:t>
      </w:r>
      <w:r>
        <w:rPr>
          <w:strike w:val="0"/>
          <w:color w:val="2E97D3"/>
          <w:u w:val="single" w:color="2E97D3"/>
        </w:rPr>
        <w:t>outlay</w:t>
      </w:r>
      <w:r>
        <w:rPr>
          <w:strike w:val="0"/>
          <w:color w:val="2E97D3"/>
          <w:spacing w:val="-14"/>
          <w:u w:val="single" w:color="2E97D3"/>
        </w:rPr>
        <w:t> </w:t>
      </w:r>
      <w:r>
        <w:rPr>
          <w:strike w:val="0"/>
          <w:color w:val="2E97D3"/>
          <w:u w:val="single" w:color="2E97D3"/>
        </w:rPr>
        <w:t>appropriations..</w:t>
      </w:r>
      <w:r>
        <w:rPr>
          <w:strike w:val="0"/>
          <w:color w:val="2E97D3"/>
          <w:spacing w:val="-12"/>
          <w:u w:val="single" w:color="2E97D3"/>
        </w:rPr>
        <w:t> </w:t>
      </w:r>
      <w:r>
        <w:rPr>
          <w:strike w:val="0"/>
          <w:color w:val="2E97D3"/>
          <w:u w:val="single" w:color="2E97D3"/>
        </w:rPr>
        <w:t>Incremental</w:t>
      </w:r>
      <w:r>
        <w:rPr>
          <w:strike w:val="0"/>
          <w:color w:val="2E97D3"/>
          <w:spacing w:val="-13"/>
          <w:u w:val="single" w:color="2E97D3"/>
        </w:rPr>
        <w:t> </w:t>
      </w:r>
      <w:r>
        <w:rPr>
          <w:strike w:val="0"/>
          <w:color w:val="2E97D3"/>
          <w:u w:val="single" w:color="2E97D3"/>
        </w:rPr>
        <w:t>budgeting</w:t>
      </w:r>
      <w:r>
        <w:rPr>
          <w:strike w:val="0"/>
          <w:color w:val="2E97D3"/>
          <w:spacing w:val="-16"/>
          <w:u w:val="single" w:color="2E97D3"/>
        </w:rPr>
        <w:t> </w:t>
      </w:r>
      <w:r>
        <w:rPr>
          <w:strike w:val="0"/>
        </w:rPr>
        <w:t>uses</w:t>
      </w:r>
      <w:r>
        <w:rPr>
          <w:strike w:val="0"/>
          <w:spacing w:val="-12"/>
        </w:rPr>
        <w:t> </w:t>
      </w:r>
      <w:r>
        <w:rPr>
          <w:rFonts w:ascii="Times New Roman"/>
          <w:b/>
          <w:strike/>
          <w:color w:val="2E97D3"/>
          <w:spacing w:val="-3"/>
          <w:sz w:val="16"/>
        </w:rPr>
        <w:t>the</w:t>
      </w:r>
    </w:p>
    <w:p>
      <w:pPr>
        <w:spacing w:before="0"/>
        <w:ind w:left="820" w:right="189" w:firstLine="0"/>
        <w:jc w:val="both"/>
        <w:rPr>
          <w:rFonts w:ascii="Times New Roman"/>
          <w:b/>
          <w:sz w:val="16"/>
        </w:rPr>
      </w:pPr>
      <w:r>
        <w:rPr/>
        <w:pict>
          <v:line style="position:absolute;mso-position-horizontal-relative:page;mso-position-vertical-relative:paragraph;z-index:-469984" from="527.400024pt,50.795856pt" to="531.240024pt,50.795856pt" stroked="true" strokeweight=".36pt" strokecolor="#2e97d3">
            <v:stroke dashstyle="solid"/>
            <w10:wrap type="none"/>
          </v:line>
        </w:pict>
      </w:r>
      <w:r>
        <w:rPr>
          <w:sz w:val="24"/>
        </w:rPr>
        <w:t>current </w:t>
      </w:r>
      <w:r>
        <w:rPr>
          <w:rFonts w:ascii="Times New Roman"/>
          <w:b/>
          <w:strike/>
          <w:color w:val="2E97D3"/>
          <w:sz w:val="16"/>
        </w:rPr>
        <w:t>departmental</w:t>
      </w:r>
      <w:r>
        <w:rPr>
          <w:strike w:val="0"/>
          <w:color w:val="2E97D3"/>
          <w:sz w:val="24"/>
          <w:u w:val="single" w:color="2E97D3"/>
        </w:rPr>
        <w:t>department</w:t>
      </w:r>
      <w:r>
        <w:rPr>
          <w:strike w:val="0"/>
          <w:sz w:val="24"/>
        </w:rPr>
        <w:t>/program </w:t>
      </w:r>
      <w:r>
        <w:rPr>
          <w:rFonts w:ascii="Times New Roman"/>
          <w:b/>
          <w:strike/>
          <w:color w:val="2E97D3"/>
          <w:sz w:val="16"/>
        </w:rPr>
        <w:t>level</w:t>
      </w:r>
      <w:r>
        <w:rPr>
          <w:strike w:val="0"/>
          <w:color w:val="2E97D3"/>
          <w:sz w:val="24"/>
          <w:u w:val="single" w:color="2E97D3"/>
        </w:rPr>
        <w:t>levels </w:t>
      </w:r>
      <w:r>
        <w:rPr>
          <w:strike w:val="0"/>
          <w:sz w:val="24"/>
        </w:rPr>
        <w:t>of funding as a base amount to be adjusted by </w:t>
      </w:r>
      <w:r>
        <w:rPr>
          <w:strike w:val="0"/>
          <w:color w:val="2E97D3"/>
          <w:sz w:val="24"/>
          <w:u w:val="single" w:color="2E97D3"/>
        </w:rPr>
        <w:t>budget </w:t>
      </w:r>
      <w:r>
        <w:rPr>
          <w:strike w:val="0"/>
          <w:sz w:val="24"/>
        </w:rPr>
        <w:t>change proposals</w:t>
      </w:r>
      <w:r>
        <w:rPr>
          <w:rFonts w:ascii="Times New Roman"/>
          <w:b/>
          <w:strike/>
          <w:color w:val="2E97D3"/>
          <w:sz w:val="16"/>
        </w:rPr>
        <w:t>, including zero-basing of some items/programs and subjecting others </w:t>
      </w:r>
      <w:r>
        <w:rPr>
          <w:rFonts w:ascii="Times New Roman"/>
          <w:b/>
          <w:strike/>
          <w:color w:val="2E97D3"/>
          <w:spacing w:val="-3"/>
          <w:sz w:val="16"/>
        </w:rPr>
        <w:t>to </w:t>
      </w:r>
      <w:r>
        <w:rPr>
          <w:rFonts w:ascii="Times New Roman"/>
          <w:b/>
          <w:strike/>
          <w:color w:val="2E97D3"/>
          <w:sz w:val="16"/>
        </w:rPr>
        <w:t>special reviews to determine the proper funding level. The Budget Change Proposal (BCP) has </w:t>
      </w:r>
      <w:r>
        <w:rPr>
          <w:strike w:val="0"/>
          <w:color w:val="2E97D3"/>
          <w:sz w:val="24"/>
          <w:u w:val="single" w:color="2E97D3"/>
        </w:rPr>
        <w:t>(BCPs). BCPs have traditionally </w:t>
      </w:r>
      <w:r>
        <w:rPr>
          <w:strike w:val="0"/>
          <w:sz w:val="24"/>
        </w:rPr>
        <w:t>been the </w:t>
      </w:r>
      <w:r>
        <w:rPr>
          <w:rFonts w:ascii="Times New Roman"/>
          <w:b/>
          <w:strike/>
          <w:color w:val="2E97D3"/>
          <w:sz w:val="16"/>
        </w:rPr>
        <w:t>traditional decision document</w:t>
      </w:r>
      <w:r>
        <w:rPr>
          <w:strike w:val="0"/>
          <w:color w:val="2E97D3"/>
          <w:sz w:val="24"/>
          <w:u w:val="single" w:color="2E97D3"/>
        </w:rPr>
        <w:t>method </w:t>
      </w:r>
      <w:r>
        <w:rPr>
          <w:strike w:val="0"/>
          <w:sz w:val="24"/>
        </w:rPr>
        <w:t>for departments to propose </w:t>
      </w:r>
      <w:r>
        <w:rPr>
          <w:rFonts w:ascii="Times New Roman"/>
          <w:b/>
          <w:strike w:val="0"/>
          <w:color w:val="2E97D3"/>
          <w:sz w:val="16"/>
        </w:rPr>
        <w:t>a </w:t>
      </w:r>
      <w:r>
        <w:rPr>
          <w:rFonts w:ascii="Times New Roman"/>
          <w:b/>
          <w:strike/>
          <w:color w:val="2E97D3"/>
          <w:sz w:val="16"/>
        </w:rPr>
        <w:t>change</w:t>
      </w:r>
      <w:r>
        <w:rPr>
          <w:strike w:val="0"/>
          <w:color w:val="2E97D3"/>
          <w:sz w:val="24"/>
          <w:u w:val="single" w:color="2E97D3"/>
        </w:rPr>
        <w:t>changes </w:t>
      </w:r>
      <w:r>
        <w:rPr>
          <w:strike w:val="0"/>
          <w:sz w:val="24"/>
        </w:rPr>
        <w:t>to </w:t>
      </w:r>
      <w:r>
        <w:rPr>
          <w:rFonts w:ascii="Times New Roman"/>
          <w:b/>
          <w:strike/>
          <w:color w:val="2E97D3"/>
          <w:sz w:val="16"/>
        </w:rPr>
        <w:t>the</w:t>
      </w:r>
      <w:r>
        <w:rPr>
          <w:strike w:val="0"/>
          <w:color w:val="2E97D3"/>
          <w:sz w:val="24"/>
          <w:u w:val="single" w:color="2E97D3"/>
        </w:rPr>
        <w:t>their </w:t>
      </w:r>
      <w:r>
        <w:rPr>
          <w:strike w:val="0"/>
          <w:sz w:val="24"/>
        </w:rPr>
        <w:t>existing </w:t>
      </w:r>
      <w:r>
        <w:rPr>
          <w:rFonts w:ascii="Times New Roman"/>
          <w:b/>
          <w:strike/>
          <w:color w:val="2E97D3"/>
          <w:sz w:val="16"/>
        </w:rPr>
        <w:t>budget level. BCPs are submitted to Finance for review and analysis</w:t>
      </w:r>
      <w:r>
        <w:rPr>
          <w:rFonts w:ascii="Times New Roman"/>
          <w:b/>
          <w:strike w:val="0"/>
          <w:color w:val="2E97D3"/>
          <w:sz w:val="16"/>
        </w:rPr>
        <w:t>. </w:t>
      </w:r>
      <w:r>
        <w:rPr>
          <w:rFonts w:ascii="Times New Roman"/>
          <w:b/>
          <w:strike/>
          <w:color w:val="2E97D3"/>
          <w:sz w:val="16"/>
        </w:rPr>
        <w:t>(Specific</w:t>
      </w:r>
      <w:r>
        <w:rPr>
          <w:strike w:val="0"/>
          <w:color w:val="2E97D3"/>
          <w:sz w:val="24"/>
          <w:u w:val="single" w:color="2E97D3"/>
        </w:rPr>
        <w:t>budgets.</w:t>
      </w:r>
      <w:r>
        <w:rPr>
          <w:strike w:val="0"/>
          <w:color w:val="2E97D3"/>
          <w:spacing w:val="51"/>
          <w:sz w:val="24"/>
          <w:u w:val="single" w:color="2E97D3"/>
        </w:rPr>
        <w:t> </w:t>
      </w:r>
      <w:r>
        <w:rPr>
          <w:strike w:val="0"/>
          <w:color w:val="2E97D3"/>
          <w:sz w:val="24"/>
          <w:u w:val="single" w:color="2E97D3"/>
        </w:rPr>
        <w:t>Finance</w:t>
      </w:r>
      <w:r>
        <w:rPr>
          <w:strike w:val="0"/>
          <w:color w:val="2E97D3"/>
          <w:spacing w:val="52"/>
          <w:sz w:val="24"/>
          <w:u w:val="single" w:color="2E97D3"/>
        </w:rPr>
        <w:t> </w:t>
      </w:r>
      <w:r>
        <w:rPr>
          <w:strike w:val="0"/>
          <w:color w:val="2E97D3"/>
          <w:sz w:val="24"/>
          <w:u w:val="single" w:color="2E97D3"/>
        </w:rPr>
        <w:t>issues</w:t>
      </w:r>
      <w:r>
        <w:rPr>
          <w:strike w:val="0"/>
          <w:color w:val="2E97D3"/>
          <w:spacing w:val="51"/>
          <w:sz w:val="24"/>
          <w:u w:val="single" w:color="2E97D3"/>
        </w:rPr>
        <w:t> </w:t>
      </w:r>
      <w:r>
        <w:rPr>
          <w:strike w:val="0"/>
          <w:color w:val="2E97D3"/>
          <w:sz w:val="24"/>
          <w:u w:val="single" w:color="2E97D3"/>
        </w:rPr>
        <w:t>specific</w:t>
      </w:r>
      <w:r>
        <w:rPr>
          <w:strike w:val="0"/>
          <w:color w:val="2E97D3"/>
          <w:spacing w:val="51"/>
          <w:sz w:val="24"/>
          <w:u w:val="single" w:color="2E97D3"/>
        </w:rPr>
        <w:t> </w:t>
      </w:r>
      <w:r>
        <w:rPr>
          <w:strike w:val="0"/>
          <w:sz w:val="24"/>
        </w:rPr>
        <w:t>instructions for</w:t>
      </w:r>
      <w:r>
        <w:rPr>
          <w:strike w:val="0"/>
          <w:spacing w:val="50"/>
          <w:sz w:val="24"/>
        </w:rPr>
        <w:t> </w:t>
      </w:r>
      <w:r>
        <w:rPr>
          <w:strike w:val="0"/>
          <w:sz w:val="24"/>
        </w:rPr>
        <w:t>preparation</w:t>
      </w:r>
      <w:r>
        <w:rPr>
          <w:strike w:val="0"/>
          <w:spacing w:val="52"/>
          <w:sz w:val="24"/>
        </w:rPr>
        <w:t> </w:t>
      </w:r>
      <w:r>
        <w:rPr>
          <w:strike w:val="0"/>
          <w:sz w:val="24"/>
        </w:rPr>
        <w:t>of</w:t>
      </w:r>
      <w:r>
        <w:rPr>
          <w:strike w:val="0"/>
          <w:spacing w:val="53"/>
          <w:sz w:val="24"/>
        </w:rPr>
        <w:t> </w:t>
      </w:r>
      <w:r>
        <w:rPr>
          <w:strike w:val="0"/>
          <w:sz w:val="24"/>
        </w:rPr>
        <w:t>BCPs</w:t>
      </w:r>
      <w:r>
        <w:rPr>
          <w:strike w:val="0"/>
          <w:spacing w:val="51"/>
          <w:sz w:val="24"/>
        </w:rPr>
        <w:t> </w:t>
      </w:r>
      <w:r>
        <w:rPr>
          <w:rFonts w:ascii="Times New Roman"/>
          <w:b/>
          <w:strike/>
          <w:color w:val="2E97D3"/>
          <w:sz w:val="16"/>
        </w:rPr>
        <w:t>are issued</w:t>
      </w:r>
    </w:p>
    <w:p>
      <w:pPr>
        <w:pStyle w:val="BodyText"/>
        <w:ind w:left="820" w:right="190"/>
        <w:jc w:val="both"/>
      </w:pPr>
      <w:r>
        <w:rPr/>
        <w:t>annually in a Budget Letter</w:t>
      </w:r>
      <w:r>
        <w:rPr>
          <w:rFonts w:ascii="Times New Roman"/>
          <w:b/>
          <w:strike/>
          <w:color w:val="2E97D3"/>
          <w:sz w:val="16"/>
        </w:rPr>
        <w:t>.)</w:t>
      </w:r>
      <w:r>
        <w:rPr>
          <w:strike w:val="0"/>
          <w:color w:val="2E97D3"/>
          <w:u w:val="single" w:color="2E97D3"/>
        </w:rPr>
        <w:t>, and departments submit BCPs to Finance for review and analysis. Capital outlay budgets do not generally have a base amount. The amount of funding is one-time in nature.</w:t>
      </w:r>
    </w:p>
    <w:p>
      <w:pPr>
        <w:pStyle w:val="BodyText"/>
        <w:spacing w:before="184"/>
        <w:ind w:left="820" w:right="187"/>
        <w:jc w:val="both"/>
      </w:pPr>
      <w:r>
        <w:rPr/>
        <w:pict>
          <v:line style="position:absolute;mso-position-horizontal-relative:page;mso-position-vertical-relative:paragraph;z-index:-469960" from="529.320007pt,46.195854pt" to="531.241007pt,46.195854pt" stroked="true" strokeweight=".36pt" strokecolor="#2e97d3">
            <v:stroke dashstyle="solid"/>
            <w10:wrap type="none"/>
          </v:line>
        </w:pict>
      </w:r>
      <w:r>
        <w:rPr/>
        <w:pict>
          <v:line style="position:absolute;mso-position-horizontal-relative:page;mso-position-vertical-relative:paragraph;z-index:-469936" from="231.600006pt,73.795853pt" to="233.400006pt,73.795853pt" stroked="true" strokeweight=".36pt" strokecolor="#2e97d3">
            <v:stroke dashstyle="solid"/>
            <w10:wrap type="none"/>
          </v:line>
        </w:pict>
      </w:r>
      <w:r>
        <w:rPr/>
        <w:pict>
          <v:line style="position:absolute;mso-position-horizontal-relative:page;mso-position-vertical-relative:paragraph;z-index:-469912" from="494.640015pt,87.595856pt" to="496.560015pt,87.595856pt" stroked="true" strokeweight=".36pt" strokecolor="#2e97d3">
            <v:stroke dashstyle="solid"/>
            <w10:wrap type="none"/>
          </v:line>
        </w:pict>
      </w:r>
      <w:r>
        <w:rPr/>
        <w:pict>
          <v:line style="position:absolute;mso-position-horizontal-relative:page;mso-position-vertical-relative:paragraph;z-index:-469888" from="208.679993pt,115.195854pt" to="212.039993pt,115.195854pt" stroked="true" strokeweight=".36pt" strokecolor="#2e97d3">
            <v:stroke dashstyle="solid"/>
            <w10:wrap type="none"/>
          </v:line>
        </w:pict>
      </w:r>
      <w:r>
        <w:rPr/>
        <w:pict>
          <v:line style="position:absolute;mso-position-horizontal-relative:page;mso-position-vertical-relative:paragraph;z-index:2920" from="36.360001pt,9.415854pt" to="36.360001pt,119.815854pt" stroked="true" strokeweight=".72pt" strokecolor="#000000">
            <v:stroke dashstyle="solid"/>
            <w10:wrap type="none"/>
          </v:line>
        </w:pict>
      </w:r>
      <w:r>
        <w:rPr>
          <w:rFonts w:ascii="Times New Roman"/>
          <w:b/>
          <w:strike/>
          <w:color w:val="2E97D3"/>
          <w:sz w:val="16"/>
        </w:rPr>
        <w:t>The general</w:t>
      </w:r>
      <w:r>
        <w:rPr>
          <w:strike w:val="0"/>
          <w:color w:val="2E97D3"/>
          <w:u w:val="single" w:color="2E97D3"/>
        </w:rPr>
        <w:t>A fundamental </w:t>
      </w:r>
      <w:r>
        <w:rPr>
          <w:strike w:val="0"/>
        </w:rPr>
        <w:t>goal in the budget </w:t>
      </w:r>
      <w:r>
        <w:rPr>
          <w:rFonts w:ascii="Times New Roman"/>
          <w:b/>
          <w:strike/>
          <w:color w:val="2E97D3"/>
          <w:sz w:val="16"/>
        </w:rPr>
        <w:t>decision</w:t>
      </w:r>
      <w:r>
        <w:rPr>
          <w:strike w:val="0"/>
          <w:color w:val="2E97D3"/>
          <w:u w:val="single" w:color="2E97D3"/>
        </w:rPr>
        <w:t>development </w:t>
      </w:r>
      <w:r>
        <w:rPr>
          <w:strike w:val="0"/>
        </w:rPr>
        <w:t>process is to resolve budget issues at the lowest level possible. </w:t>
      </w:r>
      <w:r>
        <w:rPr>
          <w:rFonts w:ascii="Times New Roman"/>
          <w:b/>
          <w:strike/>
          <w:color w:val="2E97D3"/>
          <w:sz w:val="16"/>
        </w:rPr>
        <w:t>For those departments that are</w:t>
      </w:r>
      <w:r>
        <w:rPr>
          <w:strike w:val="0"/>
          <w:color w:val="2E97D3"/>
          <w:u w:val="single" w:color="2E97D3"/>
        </w:rPr>
        <w:t>Departments </w:t>
      </w:r>
      <w:r>
        <w:rPr>
          <w:strike w:val="0"/>
        </w:rPr>
        <w:t>under an Agency Secretary</w:t>
      </w:r>
      <w:r>
        <w:rPr>
          <w:rFonts w:ascii="Times New Roman"/>
          <w:b/>
          <w:strike/>
          <w:color w:val="2E97D3"/>
          <w:sz w:val="16"/>
        </w:rPr>
        <w:t>, departments </w:t>
      </w:r>
      <w:r>
        <w:rPr>
          <w:strike w:val="0"/>
        </w:rPr>
        <w:t>must clear their proposals through their respective Agency</w:t>
      </w:r>
      <w:r>
        <w:rPr>
          <w:rFonts w:ascii="Times New Roman"/>
          <w:b/>
          <w:strike w:val="0"/>
          <w:color w:val="2E97D3"/>
          <w:sz w:val="16"/>
        </w:rPr>
        <w:t>. </w:t>
      </w:r>
      <w:r>
        <w:rPr>
          <w:strike w:val="0"/>
          <w:color w:val="2E97D3"/>
          <w:u w:val="single" w:color="2E97D3"/>
        </w:rPr>
        <w:t>before submitting them to Finance. </w:t>
      </w:r>
      <w:r>
        <w:rPr>
          <w:strike w:val="0"/>
        </w:rPr>
        <w:t>For non-Agency departments, proposals are presented</w:t>
      </w:r>
      <w:r>
        <w:rPr>
          <w:strike w:val="0"/>
          <w:spacing w:val="-9"/>
        </w:rPr>
        <w:t> </w:t>
      </w:r>
      <w:r>
        <w:rPr>
          <w:strike w:val="0"/>
        </w:rPr>
        <w:t>directly</w:t>
      </w:r>
      <w:r>
        <w:rPr>
          <w:strike w:val="0"/>
          <w:spacing w:val="-13"/>
        </w:rPr>
        <w:t> </w:t>
      </w:r>
      <w:r>
        <w:rPr>
          <w:strike w:val="0"/>
        </w:rPr>
        <w:t>to</w:t>
      </w:r>
      <w:r>
        <w:rPr>
          <w:strike w:val="0"/>
          <w:spacing w:val="-9"/>
        </w:rPr>
        <w:t> </w:t>
      </w:r>
      <w:r>
        <w:rPr>
          <w:strike w:val="0"/>
        </w:rPr>
        <w:t>Finance.</w:t>
      </w:r>
      <w:r>
        <w:rPr>
          <w:strike w:val="0"/>
          <w:spacing w:val="24"/>
        </w:rPr>
        <w:t> </w:t>
      </w:r>
      <w:r>
        <w:rPr>
          <w:strike w:val="0"/>
        </w:rPr>
        <w:t>Issues</w:t>
      </w:r>
      <w:r>
        <w:rPr>
          <w:strike w:val="0"/>
          <w:spacing w:val="-10"/>
        </w:rPr>
        <w:t> </w:t>
      </w:r>
      <w:r>
        <w:rPr>
          <w:strike w:val="0"/>
        </w:rPr>
        <w:t>which</w:t>
      </w:r>
      <w:r>
        <w:rPr>
          <w:strike w:val="0"/>
          <w:spacing w:val="-9"/>
        </w:rPr>
        <w:t> </w:t>
      </w:r>
      <w:r>
        <w:rPr>
          <w:strike w:val="0"/>
        </w:rPr>
        <w:t>are</w:t>
      </w:r>
      <w:r>
        <w:rPr>
          <w:strike w:val="0"/>
          <w:spacing w:val="-9"/>
        </w:rPr>
        <w:t> </w:t>
      </w:r>
      <w:r>
        <w:rPr>
          <w:strike w:val="0"/>
        </w:rPr>
        <w:t>not</w:t>
      </w:r>
      <w:r>
        <w:rPr>
          <w:strike w:val="0"/>
          <w:spacing w:val="-10"/>
        </w:rPr>
        <w:t> </w:t>
      </w:r>
      <w:r>
        <w:rPr>
          <w:strike w:val="0"/>
        </w:rPr>
        <w:t>resolved</w:t>
      </w:r>
      <w:r>
        <w:rPr>
          <w:strike w:val="0"/>
          <w:spacing w:val="-9"/>
        </w:rPr>
        <w:t> </w:t>
      </w:r>
      <w:r>
        <w:rPr>
          <w:strike w:val="0"/>
        </w:rPr>
        <w:t>between</w:t>
      </w:r>
      <w:r>
        <w:rPr>
          <w:strike w:val="0"/>
          <w:spacing w:val="-9"/>
        </w:rPr>
        <w:t> </w:t>
      </w:r>
      <w:r>
        <w:rPr>
          <w:strike w:val="0"/>
        </w:rPr>
        <w:t>departments</w:t>
      </w:r>
      <w:r>
        <w:rPr>
          <w:strike w:val="0"/>
          <w:spacing w:val="-13"/>
        </w:rPr>
        <w:t> </w:t>
      </w:r>
      <w:r>
        <w:rPr>
          <w:strike w:val="0"/>
        </w:rPr>
        <w:t>and Finance staff are discussed </w:t>
      </w:r>
      <w:r>
        <w:rPr>
          <w:rFonts w:ascii="Times New Roman"/>
          <w:b/>
          <w:strike/>
          <w:color w:val="2E97D3"/>
          <w:sz w:val="16"/>
        </w:rPr>
        <w:t>at hearings </w:t>
      </w:r>
      <w:r>
        <w:rPr>
          <w:strike w:val="0"/>
        </w:rPr>
        <w:t>with the Finance Program Budget Manager. Issues </w:t>
      </w:r>
      <w:r>
        <w:rPr>
          <w:strike w:val="0"/>
          <w:color w:val="2E97D3"/>
          <w:u w:val="single" w:color="2E97D3"/>
        </w:rPr>
        <w:t>still </w:t>
      </w:r>
      <w:r>
        <w:rPr>
          <w:strike w:val="0"/>
        </w:rPr>
        <w:t>not resolved at this level are </w:t>
      </w:r>
      <w:r>
        <w:rPr>
          <w:strike w:val="0"/>
          <w:color w:val="2E97D3"/>
          <w:u w:val="single" w:color="2E97D3"/>
        </w:rPr>
        <w:t>potentially </w:t>
      </w:r>
      <w:r>
        <w:rPr>
          <w:strike w:val="0"/>
        </w:rPr>
        <w:t>discussed </w:t>
      </w:r>
      <w:r>
        <w:rPr>
          <w:strike w:val="0"/>
          <w:color w:val="2E97D3"/>
          <w:u w:val="single" w:color="2E97D3"/>
        </w:rPr>
        <w:t>further </w:t>
      </w:r>
      <w:r>
        <w:rPr>
          <w:strike w:val="0"/>
        </w:rPr>
        <w:t>at appeals conducted by the Director of Finance. The most sensitive issues are ultimately presented to the Governor for a</w:t>
      </w:r>
      <w:r>
        <w:rPr>
          <w:strike w:val="0"/>
          <w:spacing w:val="-12"/>
        </w:rPr>
        <w:t> </w:t>
      </w:r>
      <w:r>
        <w:rPr>
          <w:strike w:val="0"/>
        </w:rPr>
        <w:t>decision.</w:t>
      </w:r>
    </w:p>
    <w:p>
      <w:pPr>
        <w:spacing w:before="184"/>
        <w:ind w:left="820" w:right="188" w:firstLine="0"/>
        <w:jc w:val="both"/>
        <w:rPr>
          <w:sz w:val="24"/>
        </w:rPr>
      </w:pPr>
      <w:r>
        <w:rPr/>
        <w:pict>
          <v:line style="position:absolute;mso-position-horizontal-relative:page;mso-position-vertical-relative:paragraph;z-index:2944" from="36.360001pt,9.415866pt" to="36.360001pt,64.615866pt" stroked="true" strokeweight=".72pt" strokecolor="#000000">
            <v:stroke dashstyle="solid"/>
            <w10:wrap type="none"/>
          </v:line>
        </w:pict>
      </w:r>
      <w:r>
        <w:rPr>
          <w:sz w:val="24"/>
        </w:rPr>
        <w:t>After all decisions are completed, Finance coordinates </w:t>
      </w:r>
      <w:r>
        <w:rPr>
          <w:color w:val="2E97D3"/>
          <w:sz w:val="24"/>
          <w:u w:val="single" w:color="2E97D3"/>
        </w:rPr>
        <w:t>with </w:t>
      </w:r>
      <w:r>
        <w:rPr>
          <w:sz w:val="24"/>
        </w:rPr>
        <w:t>the </w:t>
      </w:r>
      <w:r>
        <w:rPr>
          <w:color w:val="2E97D3"/>
          <w:sz w:val="24"/>
          <w:u w:val="single" w:color="2E97D3"/>
        </w:rPr>
        <w:t>Office of State Publishing for </w:t>
      </w:r>
      <w:r>
        <w:rPr>
          <w:sz w:val="24"/>
        </w:rPr>
        <w:t>printing of the </w:t>
      </w:r>
      <w:r>
        <w:rPr>
          <w:rFonts w:ascii="Times New Roman" w:hAnsi="Times New Roman"/>
          <w:b/>
          <w:strike/>
          <w:color w:val="2E97D3"/>
          <w:sz w:val="16"/>
        </w:rPr>
        <w:t>following</w:t>
      </w:r>
      <w:r>
        <w:rPr>
          <w:strike w:val="0"/>
          <w:color w:val="2E97D3"/>
          <w:sz w:val="24"/>
          <w:u w:val="single" w:color="2E97D3"/>
        </w:rPr>
        <w:t>various </w:t>
      </w:r>
      <w:r>
        <w:rPr>
          <w:strike w:val="0"/>
          <w:sz w:val="24"/>
        </w:rPr>
        <w:t>publications </w:t>
      </w:r>
      <w:r>
        <w:rPr>
          <w:rFonts w:ascii="Times New Roman" w:hAnsi="Times New Roman"/>
          <w:b/>
          <w:strike/>
          <w:color w:val="2E97D3"/>
          <w:sz w:val="16"/>
        </w:rPr>
        <w:t>which comprise</w:t>
      </w:r>
      <w:r>
        <w:rPr>
          <w:strike w:val="0"/>
          <w:color w:val="2E97D3"/>
          <w:sz w:val="24"/>
          <w:u w:val="single" w:color="2E97D3"/>
        </w:rPr>
        <w:t>related to </w:t>
      </w:r>
      <w:r>
        <w:rPr>
          <w:strike w:val="0"/>
          <w:sz w:val="24"/>
        </w:rPr>
        <w:t>the Governor's Budget </w:t>
      </w:r>
      <w:r>
        <w:rPr>
          <w:rFonts w:ascii="Times New Roman" w:hAnsi="Times New Roman"/>
          <w:b/>
          <w:strike/>
          <w:color w:val="2E97D3"/>
          <w:sz w:val="16"/>
        </w:rPr>
        <w:t>package. The Budget Summary is</w:t>
      </w:r>
      <w:r>
        <w:rPr>
          <w:strike w:val="0"/>
          <w:color w:val="2E97D3"/>
          <w:sz w:val="24"/>
          <w:u w:val="single" w:color="2E97D3"/>
        </w:rPr>
        <w:t>. They are </w:t>
      </w:r>
      <w:r>
        <w:rPr>
          <w:strike w:val="0"/>
          <w:sz w:val="24"/>
        </w:rPr>
        <w:t>also available </w:t>
      </w:r>
      <w:r>
        <w:rPr>
          <w:rFonts w:ascii="Times New Roman" w:hAnsi="Times New Roman"/>
          <w:b/>
          <w:strike/>
          <w:color w:val="2E97D3"/>
          <w:sz w:val="16"/>
        </w:rPr>
        <w:t>from the Finance Website</w:t>
      </w:r>
      <w:r>
        <w:rPr>
          <w:rFonts w:ascii="Times New Roman" w:hAnsi="Times New Roman"/>
          <w:b/>
          <w:strike w:val="0"/>
          <w:color w:val="2E97D3"/>
          <w:sz w:val="16"/>
        </w:rPr>
        <w:t>,</w:t>
      </w:r>
      <w:r>
        <w:rPr>
          <w:strike w:val="0"/>
          <w:color w:val="2E97D3"/>
          <w:sz w:val="24"/>
          <w:u w:val="single" w:color="2E97D3"/>
        </w:rPr>
        <w:t>on Finance’s public website at </w:t>
      </w:r>
      <w:hyperlink r:id="rId35">
        <w:r>
          <w:rPr>
            <w:rFonts w:ascii="Times New Roman" w:hAnsi="Times New Roman"/>
            <w:b/>
            <w:strike/>
            <w:color w:val="2E97D3"/>
            <w:sz w:val="16"/>
            <w:u w:val="single" w:color="2E97D3"/>
          </w:rPr>
          <w:t>http://www.dof.ca.gov</w:t>
        </w:r>
        <w:r>
          <w:rPr>
            <w:rFonts w:ascii="Times New Roman" w:hAnsi="Times New Roman"/>
            <w:b/>
            <w:strike/>
            <w:color w:val="2E97D3"/>
            <w:sz w:val="16"/>
          </w:rPr>
          <w:t>.</w:t>
        </w:r>
      </w:hyperlink>
      <w:r>
        <w:rPr>
          <w:rFonts w:ascii="Times New Roman" w:hAnsi="Times New Roman"/>
          <w:b/>
          <w:strike/>
          <w:color w:val="2E97D3"/>
          <w:sz w:val="16"/>
        </w:rPr>
        <w:t> </w:t>
      </w:r>
      <w:hyperlink r:id="rId35">
        <w:r>
          <w:rPr>
            <w:strike w:val="0"/>
            <w:color w:val="2E97D3"/>
            <w:sz w:val="24"/>
            <w:u w:val="single" w:color="2E97D3"/>
          </w:rPr>
          <w:t>http://www.dof.ca.gov</w:t>
        </w:r>
      </w:hyperlink>
      <w:r>
        <w:rPr>
          <w:strike w:val="0"/>
          <w:color w:val="2E97D3"/>
          <w:sz w:val="24"/>
          <w:u w:val="single" w:color="2E97D3"/>
        </w:rPr>
        <w:t>:</w:t>
      </w:r>
    </w:p>
    <w:p>
      <w:pPr>
        <w:spacing w:after="0"/>
        <w:jc w:val="both"/>
        <w:rPr>
          <w:sz w:val="24"/>
        </w:rPr>
        <w:sectPr>
          <w:pgSz w:w="12240" w:h="15840"/>
          <w:pgMar w:header="724" w:footer="792" w:top="980" w:bottom="1060" w:left="620" w:right="1420"/>
        </w:sectPr>
      </w:pPr>
    </w:p>
    <w:p>
      <w:pPr>
        <w:pStyle w:val="BodyText"/>
        <w:rPr>
          <w:sz w:val="20"/>
        </w:rPr>
      </w:pPr>
    </w:p>
    <w:p>
      <w:pPr>
        <w:pStyle w:val="BodyText"/>
        <w:spacing w:before="209"/>
        <w:ind w:left="820" w:right="113"/>
        <w:jc w:val="both"/>
      </w:pPr>
      <w:r>
        <w:rPr/>
        <w:pict>
          <v:line style="position:absolute;mso-position-horizontal-relative:page;mso-position-vertical-relative:paragraph;z-index:2968" from="36.360001pt,24.464882pt" to="36.360001pt,38.265882pt" stroked="true" strokeweight=".72pt" strokecolor="#000000">
            <v:stroke dashstyle="solid"/>
            <w10:wrap type="none"/>
          </v:line>
        </w:pict>
      </w:r>
      <w:r>
        <w:rPr/>
        <w:pict>
          <v:line style="position:absolute;mso-position-horizontal-relative:page;mso-position-vertical-relative:paragraph;z-index:2992" from="36.360001pt,58.06588pt" to="36.360001pt,101.62588pt" stroked="true" strokeweight=".72pt" strokecolor="#000000">
            <v:stroke dashstyle="solid"/>
            <w10:wrap type="none"/>
          </v:line>
        </w:pict>
      </w:r>
      <w:r>
        <w:rPr/>
        <w:t>Governor's Budget Summary–A summary volume which includes the Governor's goals and</w:t>
      </w:r>
      <w:r>
        <w:rPr>
          <w:spacing w:val="-19"/>
        </w:rPr>
        <w:t> </w:t>
      </w:r>
      <w:r>
        <w:rPr/>
        <w:t>objectives</w:t>
      </w:r>
      <w:r>
        <w:rPr>
          <w:spacing w:val="-20"/>
        </w:rPr>
        <w:t> </w:t>
      </w:r>
      <w:r>
        <w:rPr/>
        <w:t>for</w:t>
      </w:r>
      <w:r>
        <w:rPr>
          <w:spacing w:val="-18"/>
        </w:rPr>
        <w:t> </w:t>
      </w:r>
      <w:r>
        <w:rPr/>
        <w:t>the</w:t>
      </w:r>
      <w:r>
        <w:rPr>
          <w:spacing w:val="-19"/>
        </w:rPr>
        <w:t> </w:t>
      </w:r>
      <w:r>
        <w:rPr/>
        <w:t>forthcoming</w:t>
      </w:r>
      <w:r>
        <w:rPr>
          <w:spacing w:val="-21"/>
        </w:rPr>
        <w:t> </w:t>
      </w:r>
      <w:r>
        <w:rPr>
          <w:color w:val="2E97D3"/>
          <w:u w:val="single" w:color="2E97D3"/>
        </w:rPr>
        <w:t>fiscal-</w:t>
      </w:r>
      <w:r>
        <w:rPr/>
        <w:t>year,</w:t>
      </w:r>
      <w:r>
        <w:rPr>
          <w:spacing w:val="-17"/>
        </w:rPr>
        <w:t> </w:t>
      </w:r>
      <w:r>
        <w:rPr/>
        <w:t>and</w:t>
      </w:r>
      <w:r>
        <w:rPr>
          <w:spacing w:val="-16"/>
        </w:rPr>
        <w:t> </w:t>
      </w:r>
      <w:r>
        <w:rPr/>
        <w:t>the</w:t>
      </w:r>
      <w:r>
        <w:rPr>
          <w:spacing w:val="-19"/>
        </w:rPr>
        <w:t> </w:t>
      </w:r>
      <w:r>
        <w:rPr/>
        <w:t>policy</w:t>
      </w:r>
      <w:r>
        <w:rPr>
          <w:spacing w:val="-20"/>
        </w:rPr>
        <w:t> </w:t>
      </w:r>
      <w:r>
        <w:rPr/>
        <w:t>perspectives</w:t>
      </w:r>
      <w:r>
        <w:rPr>
          <w:spacing w:val="-17"/>
        </w:rPr>
        <w:t> </w:t>
      </w:r>
      <w:r>
        <w:rPr/>
        <w:t>and</w:t>
      </w:r>
      <w:r>
        <w:rPr>
          <w:spacing w:val="-16"/>
        </w:rPr>
        <w:t> </w:t>
      </w:r>
      <w:r>
        <w:rPr/>
        <w:t>highlights of the changes in the Governor’s</w:t>
      </w:r>
      <w:r>
        <w:rPr>
          <w:spacing w:val="-19"/>
        </w:rPr>
        <w:t> </w:t>
      </w:r>
      <w:r>
        <w:rPr/>
        <w:t>Budget.</w:t>
      </w:r>
    </w:p>
    <w:p>
      <w:pPr>
        <w:pStyle w:val="BodyText"/>
        <w:rPr>
          <w:sz w:val="26"/>
        </w:rPr>
      </w:pPr>
    </w:p>
    <w:p>
      <w:pPr>
        <w:pStyle w:val="BodyText"/>
        <w:spacing w:before="8"/>
        <w:rPr>
          <w:sz w:val="25"/>
        </w:rPr>
      </w:pPr>
    </w:p>
    <w:p>
      <w:pPr>
        <w:pStyle w:val="BodyText"/>
        <w:ind w:left="820"/>
        <w:jc w:val="both"/>
      </w:pPr>
      <w:r>
        <w:rPr/>
        <w:t>(Continued)</w:t>
      </w:r>
    </w:p>
    <w:p>
      <w:pPr>
        <w:spacing w:after="0"/>
        <w:jc w:val="both"/>
        <w:sectPr>
          <w:pgSz w:w="12240" w:h="15840"/>
          <w:pgMar w:header="724" w:footer="792" w:top="980" w:bottom="1060" w:left="620" w:right="1500"/>
        </w:sectPr>
      </w:pPr>
    </w:p>
    <w:p>
      <w:pPr>
        <w:pStyle w:val="BodyText"/>
        <w:spacing w:before="4"/>
        <w:rPr>
          <w:rFonts w:ascii="Times New Roman"/>
          <w:sz w:val="17"/>
        </w:rPr>
      </w:pPr>
    </w:p>
    <w:p>
      <w:pPr>
        <w:spacing w:after="0"/>
        <w:rPr>
          <w:rFonts w:ascii="Times New Roman"/>
          <w:sz w:val="17"/>
        </w:rPr>
        <w:sectPr>
          <w:pgSz w:w="12240" w:h="15840"/>
          <w:pgMar w:header="724" w:footer="792" w:top="980" w:bottom="1060" w:left="1720" w:right="1720"/>
        </w:sectPr>
      </w:pPr>
    </w:p>
    <w:p>
      <w:pPr>
        <w:pStyle w:val="BodyText"/>
        <w:rPr>
          <w:rFonts w:ascii="Times New Roman"/>
          <w:sz w:val="20"/>
        </w:rPr>
      </w:pPr>
    </w:p>
    <w:p>
      <w:pPr>
        <w:pStyle w:val="BodyText"/>
        <w:spacing w:before="209"/>
        <w:ind w:left="819"/>
      </w:pPr>
      <w:r>
        <w:rPr/>
        <w:t>(Continued)</w:t>
      </w:r>
    </w:p>
    <w:p>
      <w:pPr>
        <w:tabs>
          <w:tab w:pos="8651" w:val="left" w:leader="none"/>
        </w:tabs>
        <w:spacing w:before="119"/>
        <w:ind w:left="820" w:right="113" w:firstLine="0"/>
        <w:jc w:val="left"/>
        <w:rPr>
          <w:sz w:val="24"/>
        </w:rPr>
      </w:pPr>
      <w:r>
        <w:rPr/>
        <w:pict>
          <v:line style="position:absolute;mso-position-horizontal-relative:page;mso-position-vertical-relative:paragraph;z-index:3040" from="36.360001pt,6.165833pt" to="36.360001pt,33.765833pt" stroked="true" strokeweight=".72pt" strokecolor="#000000">
            <v:stroke dashstyle="solid"/>
            <w10:wrap type="none"/>
          </v:line>
        </w:pict>
      </w:r>
      <w:r>
        <w:rPr>
          <w:strike/>
          <w:color w:val="2E97D3"/>
          <w:sz w:val="24"/>
        </w:rPr>
        <w:t>Budget</w:t>
      </w:r>
      <w:r>
        <w:rPr>
          <w:strike/>
          <w:color w:val="2E97D3"/>
          <w:spacing w:val="-5"/>
          <w:sz w:val="24"/>
        </w:rPr>
        <w:t> </w:t>
      </w:r>
      <w:r>
        <w:rPr>
          <w:strike/>
          <w:color w:val="2E97D3"/>
          <w:sz w:val="24"/>
        </w:rPr>
        <w:t>Development</w:t>
      </w:r>
      <w:r>
        <w:rPr>
          <w:b/>
          <w:strike w:val="0"/>
          <w:color w:val="2E97D3"/>
          <w:sz w:val="24"/>
          <w:u w:val="thick" w:color="2E97D3"/>
        </w:rPr>
        <w:t>BUDGET</w:t>
      </w:r>
      <w:r>
        <w:rPr>
          <w:b/>
          <w:strike w:val="0"/>
          <w:color w:val="2E97D3"/>
          <w:spacing w:val="-10"/>
          <w:sz w:val="24"/>
          <w:u w:val="thick" w:color="2E97D3"/>
        </w:rPr>
        <w:t> </w:t>
      </w:r>
      <w:r>
        <w:rPr>
          <w:b/>
          <w:strike w:val="0"/>
          <w:color w:val="2E97D3"/>
          <w:sz w:val="24"/>
          <w:u w:val="thick" w:color="2E97D3"/>
        </w:rPr>
        <w:t>DEVELOPMENT</w:t>
      </w:r>
      <w:r>
        <w:rPr>
          <w:b/>
          <w:strike w:val="0"/>
          <w:color w:val="2E97D3"/>
          <w:sz w:val="24"/>
        </w:rPr>
        <w:tab/>
      </w:r>
      <w:r>
        <w:rPr>
          <w:b/>
          <w:strike w:val="0"/>
          <w:sz w:val="24"/>
        </w:rPr>
        <w:t>6120</w:t>
      </w:r>
      <w:r>
        <w:rPr>
          <w:b/>
          <w:strike w:val="0"/>
          <w:spacing w:val="-2"/>
          <w:sz w:val="24"/>
        </w:rPr>
        <w:t> </w:t>
      </w:r>
      <w:r>
        <w:rPr>
          <w:strike w:val="0"/>
          <w:sz w:val="24"/>
        </w:rPr>
        <w:t>(Cont.</w:t>
      </w:r>
      <w:r>
        <w:rPr>
          <w:strike w:val="0"/>
          <w:spacing w:val="-9"/>
          <w:sz w:val="24"/>
        </w:rPr>
        <w:t> </w:t>
      </w:r>
      <w:r>
        <w:rPr>
          <w:strike w:val="0"/>
          <w:sz w:val="24"/>
        </w:rPr>
        <w:t>1)</w:t>
      </w:r>
      <w:r>
        <w:rPr>
          <w:strike w:val="0"/>
          <w:w w:val="99"/>
          <w:sz w:val="24"/>
        </w:rPr>
        <w:t> </w:t>
      </w:r>
      <w:r>
        <w:rPr>
          <w:strike w:val="0"/>
          <w:sz w:val="24"/>
        </w:rPr>
        <w:t>(Revised</w:t>
      </w:r>
      <w:r>
        <w:rPr>
          <w:strike w:val="0"/>
          <w:spacing w:val="-11"/>
          <w:sz w:val="24"/>
        </w:rPr>
        <w:t> </w:t>
      </w:r>
      <w:r>
        <w:rPr>
          <w:rFonts w:ascii="Times New Roman"/>
          <w:b/>
          <w:strike/>
          <w:color w:val="2E97D3"/>
          <w:sz w:val="16"/>
        </w:rPr>
        <w:t>9/2010</w:t>
      </w:r>
      <w:r>
        <w:rPr>
          <w:strike w:val="0"/>
          <w:color w:val="2E97D3"/>
          <w:sz w:val="24"/>
          <w:u w:val="single" w:color="2E97D3"/>
        </w:rPr>
        <w:t>10/2017</w:t>
      </w:r>
      <w:r>
        <w:rPr>
          <w:strike w:val="0"/>
          <w:sz w:val="24"/>
        </w:rPr>
        <w:t>)</w:t>
      </w:r>
    </w:p>
    <w:p>
      <w:pPr>
        <w:pStyle w:val="BodyText"/>
        <w:spacing w:before="184"/>
        <w:ind w:left="820" w:right="454"/>
      </w:pPr>
      <w:r>
        <w:rPr/>
        <w:pict>
          <v:line style="position:absolute;mso-position-horizontal-relative:page;mso-position-vertical-relative:paragraph;z-index:3064" from="36.360001pt,23.215866pt" to="36.360001pt,37.015866pt" stroked="true" strokeweight=".72pt" strokecolor="#000000">
            <v:stroke dashstyle="solid"/>
            <w10:wrap type="none"/>
          </v:line>
        </w:pict>
      </w:r>
      <w:r>
        <w:rPr/>
        <w:t>Governor's</w:t>
      </w:r>
      <w:r>
        <w:rPr>
          <w:spacing w:val="-14"/>
        </w:rPr>
        <w:t> </w:t>
      </w:r>
      <w:r>
        <w:rPr/>
        <w:t>Budget–A</w:t>
      </w:r>
      <w:r>
        <w:rPr>
          <w:spacing w:val="-15"/>
        </w:rPr>
        <w:t> </w:t>
      </w:r>
      <w:r>
        <w:rPr/>
        <w:t>detailed</w:t>
      </w:r>
      <w:r>
        <w:rPr>
          <w:spacing w:val="-13"/>
        </w:rPr>
        <w:t> </w:t>
      </w:r>
      <w:r>
        <w:rPr/>
        <w:t>presentation</w:t>
      </w:r>
      <w:r>
        <w:rPr>
          <w:spacing w:val="-15"/>
        </w:rPr>
        <w:t> </w:t>
      </w:r>
      <w:r>
        <w:rPr/>
        <w:t>for</w:t>
      </w:r>
      <w:r>
        <w:rPr>
          <w:spacing w:val="-14"/>
        </w:rPr>
        <w:t> </w:t>
      </w:r>
      <w:r>
        <w:rPr/>
        <w:t>each</w:t>
      </w:r>
      <w:r>
        <w:rPr>
          <w:spacing w:val="-13"/>
        </w:rPr>
        <w:t> </w:t>
      </w:r>
      <w:r>
        <w:rPr/>
        <w:t>department</w:t>
      </w:r>
      <w:r>
        <w:rPr>
          <w:spacing w:val="-15"/>
        </w:rPr>
        <w:t> </w:t>
      </w:r>
      <w:r>
        <w:rPr/>
        <w:t>for</w:t>
      </w:r>
      <w:r>
        <w:rPr>
          <w:spacing w:val="-17"/>
        </w:rPr>
        <w:t> </w:t>
      </w:r>
      <w:r>
        <w:rPr/>
        <w:t>the</w:t>
      </w:r>
      <w:r>
        <w:rPr>
          <w:spacing w:val="-15"/>
        </w:rPr>
        <w:t> </w:t>
      </w:r>
      <w:r>
        <w:rPr/>
        <w:t>past,</w:t>
      </w:r>
      <w:r>
        <w:rPr>
          <w:spacing w:val="-13"/>
        </w:rPr>
        <w:t> </w:t>
      </w:r>
      <w:r>
        <w:rPr/>
        <w:t>current, and budget</w:t>
      </w:r>
      <w:r>
        <w:rPr>
          <w:spacing w:val="-13"/>
        </w:rPr>
        <w:t> </w:t>
      </w:r>
      <w:r>
        <w:rPr>
          <w:color w:val="2E97D3"/>
          <w:u w:val="single" w:color="2E97D3"/>
        </w:rPr>
        <w:t>fiscal-</w:t>
      </w:r>
      <w:r>
        <w:rPr/>
        <w:t>years.</w:t>
      </w:r>
    </w:p>
    <w:p>
      <w:pPr>
        <w:pStyle w:val="BodyText"/>
        <w:spacing w:before="182"/>
        <w:ind w:left="820" w:right="113"/>
      </w:pPr>
      <w:r>
        <w:rPr/>
        <w:t>Salaries</w:t>
      </w:r>
      <w:r>
        <w:rPr>
          <w:spacing w:val="-16"/>
        </w:rPr>
        <w:t> </w:t>
      </w:r>
      <w:r>
        <w:rPr/>
        <w:t>and</w:t>
      </w:r>
      <w:r>
        <w:rPr>
          <w:spacing w:val="-20"/>
        </w:rPr>
        <w:t> </w:t>
      </w:r>
      <w:r>
        <w:rPr/>
        <w:t>Wages</w:t>
      </w:r>
      <w:r>
        <w:rPr>
          <w:spacing w:val="-16"/>
        </w:rPr>
        <w:t> </w:t>
      </w:r>
      <w:r>
        <w:rPr/>
        <w:t>Supplement–A</w:t>
      </w:r>
      <w:r>
        <w:rPr>
          <w:spacing w:val="-15"/>
        </w:rPr>
        <w:t> </w:t>
      </w:r>
      <w:r>
        <w:rPr/>
        <w:t>detailed</w:t>
      </w:r>
      <w:r>
        <w:rPr>
          <w:spacing w:val="-17"/>
        </w:rPr>
        <w:t> </w:t>
      </w:r>
      <w:r>
        <w:rPr/>
        <w:t>presentation</w:t>
      </w:r>
      <w:r>
        <w:rPr>
          <w:spacing w:val="-15"/>
        </w:rPr>
        <w:t> </w:t>
      </w:r>
      <w:r>
        <w:rPr/>
        <w:t>of</w:t>
      </w:r>
      <w:r>
        <w:rPr>
          <w:spacing w:val="-13"/>
        </w:rPr>
        <w:t> </w:t>
      </w:r>
      <w:r>
        <w:rPr/>
        <w:t>authorized</w:t>
      </w:r>
      <w:r>
        <w:rPr>
          <w:spacing w:val="-15"/>
        </w:rPr>
        <w:t> </w:t>
      </w:r>
      <w:r>
        <w:rPr/>
        <w:t>staffing</w:t>
      </w:r>
      <w:r>
        <w:rPr>
          <w:spacing w:val="-17"/>
        </w:rPr>
        <w:t> </w:t>
      </w:r>
      <w:r>
        <w:rPr/>
        <w:t>and related</w:t>
      </w:r>
      <w:r>
        <w:rPr>
          <w:spacing w:val="-8"/>
        </w:rPr>
        <w:t> </w:t>
      </w:r>
      <w:r>
        <w:rPr/>
        <w:t>salaries.</w:t>
      </w:r>
    </w:p>
    <w:p>
      <w:pPr>
        <w:pStyle w:val="BodyText"/>
        <w:spacing w:before="184"/>
        <w:ind w:left="820" w:right="579"/>
        <w:jc w:val="both"/>
      </w:pPr>
      <w:r>
        <w:rPr/>
        <w:pict>
          <v:line style="position:absolute;mso-position-horizontal-relative:page;mso-position-vertical-relative:paragraph;z-index:-469648" from="491.880005pt,18.595869pt" to="496.321005pt,18.595869pt" stroked="true" strokeweight=".36pt" strokecolor="#2e97d3">
            <v:stroke dashstyle="solid"/>
            <w10:wrap type="none"/>
          </v:line>
        </w:pict>
      </w:r>
      <w:r>
        <w:rPr/>
        <w:pict>
          <v:line style="position:absolute;mso-position-horizontal-relative:page;mso-position-vertical-relative:paragraph;z-index:3088" from="36.360001pt,9.416869pt" to="36.360001pt,37.015869pt" stroked="true" strokeweight=".72pt" strokecolor="#000000">
            <v:stroke dashstyle="solid"/>
            <w10:wrap type="none"/>
          </v:line>
        </w:pict>
      </w:r>
      <w:r>
        <w:rPr/>
        <w:t>The Governor annually unveils the budget at a formal press conference. The Governor's State of the State address </w:t>
      </w:r>
      <w:r>
        <w:rPr>
          <w:color w:val="2E97D3"/>
          <w:u w:val="single" w:color="2E97D3"/>
        </w:rPr>
        <w:t>also </w:t>
      </w:r>
      <w:r>
        <w:rPr/>
        <w:t>typically includes a general presentation of the Administration’s budget policies and priorities.</w:t>
      </w:r>
    </w:p>
    <w:p>
      <w:pPr>
        <w:pStyle w:val="BodyText"/>
        <w:spacing w:before="184"/>
        <w:ind w:left="820" w:right="173"/>
      </w:pPr>
      <w:r>
        <w:rPr/>
        <w:pict>
          <v:line style="position:absolute;mso-position-horizontal-relative:page;mso-position-vertical-relative:paragraph;z-index:3112" from="36.360001pt,23.215855pt" to="36.360001pt,119.695855pt" stroked="true" strokeweight=".72pt" strokecolor="#000000">
            <v:stroke dashstyle="solid"/>
            <w10:wrap type="none"/>
          </v:line>
        </w:pict>
      </w:r>
      <w:r>
        <w:rPr/>
        <w:t>By constitutional requirement, the Governor's Budget must be accompanied by a Budget Bill itemizing recommended expenditures </w:t>
      </w:r>
      <w:r>
        <w:rPr>
          <w:color w:val="2E97D3"/>
          <w:u w:val="single" w:color="2E97D3"/>
        </w:rPr>
        <w:t>not to exceed estimated revenues </w:t>
      </w:r>
      <w:r>
        <w:rPr/>
        <w:t>which shall be introduced in each house of the Legislature. </w:t>
      </w:r>
      <w:r>
        <w:rPr>
          <w:color w:val="2E97D3"/>
          <w:u w:val="single" w:color="2E97D3"/>
        </w:rPr>
        <w:t>Proposition 58 (2004) amended the Constitution by requiring the Legislature to send a balanced Budget to the Governor for consideration and the Governor to sign a balanced budget. </w:t>
      </w:r>
      <w:r>
        <w:rPr/>
        <w:t>The Constitution also requires that the Legislature pass a </w:t>
      </w:r>
      <w:r>
        <w:rPr>
          <w:strike/>
          <w:color w:val="2E97D3"/>
        </w:rPr>
        <w:t>balanced </w:t>
      </w:r>
      <w:r>
        <w:rPr>
          <w:strike w:val="0"/>
        </w:rPr>
        <w:t>Budget Bill by June 15 </w:t>
      </w:r>
      <w:r>
        <w:rPr>
          <w:strike/>
          <w:color w:val="2E97D3"/>
        </w:rPr>
        <w:t>and that the Budget Bill signed by the Governor </w:t>
      </w:r>
      <w:r>
        <w:rPr>
          <w:strike w:val="0"/>
          <w:color w:val="2E97D3"/>
          <w:u w:val="single" w:color="2E97D3"/>
        </w:rPr>
        <w:t>(or the legislators’ pay will </w:t>
      </w:r>
      <w:r>
        <w:rPr>
          <w:strike w:val="0"/>
        </w:rPr>
        <w:t>be </w:t>
      </w:r>
      <w:r>
        <w:rPr>
          <w:strike/>
          <w:color w:val="2E97D3"/>
        </w:rPr>
        <w:t>balanced.</w:t>
      </w:r>
      <w:r>
        <w:rPr>
          <w:strike w:val="0"/>
          <w:color w:val="2E97D3"/>
          <w:u w:val="single" w:color="2E97D3"/>
        </w:rPr>
        <w:t>forfeited during the delay).</w:t>
      </w:r>
    </w:p>
    <w:p>
      <w:pPr>
        <w:spacing w:after="0"/>
        <w:sectPr>
          <w:pgSz w:w="12240" w:h="15840"/>
          <w:pgMar w:header="724" w:footer="792" w:top="980" w:bottom="1060" w:left="620" w:right="1320"/>
        </w:sectPr>
      </w:pPr>
    </w:p>
    <w:p>
      <w:pPr>
        <w:pStyle w:val="BodyText"/>
        <w:rPr>
          <w:sz w:val="20"/>
        </w:rPr>
      </w:pPr>
    </w:p>
    <w:p>
      <w:pPr>
        <w:pStyle w:val="Heading2"/>
        <w:tabs>
          <w:tab w:pos="9639" w:val="left" w:leader="none"/>
        </w:tabs>
        <w:spacing w:before="209"/>
        <w:ind w:left="819"/>
      </w:pPr>
      <w:r>
        <w:rPr/>
        <w:pict>
          <v:line style="position:absolute;mso-position-horizontal-relative:page;mso-position-vertical-relative:paragraph;z-index:3520" from="36.360001pt,24.464882pt" to="36.360001pt,38.265882pt" stroked="true" strokeweight=".72pt" strokecolor="#000000">
            <v:stroke dashstyle="solid"/>
            <w10:wrap type="none"/>
          </v:line>
        </w:pict>
      </w:r>
      <w:r>
        <w:rPr/>
        <w:t>BUDGET</w:t>
      </w:r>
      <w:r>
        <w:rPr>
          <w:spacing w:val="-3"/>
        </w:rPr>
        <w:t> </w:t>
      </w:r>
      <w:r>
        <w:rPr/>
        <w:t>ENACTMENT</w:t>
        <w:tab/>
        <w:t>6130</w:t>
      </w:r>
    </w:p>
    <w:p>
      <w:pPr>
        <w:spacing w:before="0"/>
        <w:ind w:left="820" w:right="0" w:firstLine="0"/>
        <w:jc w:val="left"/>
        <w:rPr>
          <w:sz w:val="24"/>
        </w:rPr>
      </w:pPr>
      <w:r>
        <w:rPr>
          <w:sz w:val="24"/>
        </w:rPr>
        <w:t>(Revised </w:t>
      </w:r>
      <w:r>
        <w:rPr>
          <w:rFonts w:ascii="Times New Roman"/>
          <w:b/>
          <w:strike/>
          <w:color w:val="2E97D3"/>
          <w:sz w:val="16"/>
        </w:rPr>
        <w:t>9/2010</w:t>
      </w:r>
      <w:r>
        <w:rPr>
          <w:strike w:val="0"/>
          <w:color w:val="2E97D3"/>
          <w:sz w:val="24"/>
          <w:u w:val="single" w:color="2E97D3"/>
        </w:rPr>
        <w:t>10/2017</w:t>
      </w:r>
      <w:r>
        <w:rPr>
          <w:strike w:val="0"/>
          <w:sz w:val="24"/>
        </w:rPr>
        <w:t>)</w:t>
      </w:r>
    </w:p>
    <w:p>
      <w:pPr>
        <w:pStyle w:val="BodyText"/>
        <w:spacing w:before="5"/>
        <w:rPr>
          <w:sz w:val="18"/>
        </w:rPr>
      </w:pPr>
    </w:p>
    <w:p>
      <w:pPr>
        <w:pStyle w:val="BodyText"/>
        <w:spacing w:before="93"/>
        <w:ind w:left="820" w:right="112"/>
        <w:jc w:val="both"/>
      </w:pPr>
      <w:r>
        <w:rPr/>
        <w:pict>
          <v:line style="position:absolute;mso-position-horizontal-relative:page;mso-position-vertical-relative:paragraph;z-index:-469528" from="393pt,27.845854pt" to="395.16pt,27.845854pt" stroked="true" strokeweight=".36pt" strokecolor="#2e97d3">
            <v:stroke dashstyle="solid"/>
            <w10:wrap type="none"/>
          </v:line>
        </w:pict>
      </w:r>
      <w:r>
        <w:rPr/>
        <w:pict>
          <v:line style="position:absolute;mso-position-horizontal-relative:page;mso-position-vertical-relative:paragraph;z-index:-469504" from="121.559998pt,41.645855pt" to="123.238998pt,41.645855pt" stroked="true" strokeweight=".36pt" strokecolor="#2e97d3">
            <v:stroke dashstyle="solid"/>
            <w10:wrap type="none"/>
          </v:line>
        </w:pict>
      </w:r>
      <w:r>
        <w:rPr/>
        <w:pict>
          <v:line style="position:absolute;mso-position-horizontal-relative:page;mso-position-vertical-relative:paragraph;z-index:-469480" from="126.239998pt,69.245857pt" to="129.119998pt,69.245857pt" stroked="true" strokeweight=".36pt" strokecolor="#2e97d3">
            <v:stroke dashstyle="solid"/>
            <w10:wrap type="none"/>
          </v:line>
        </w:pict>
      </w:r>
      <w:r>
        <w:rPr/>
        <w:pict>
          <v:line style="position:absolute;mso-position-horizontal-relative:page;mso-position-vertical-relative:paragraph;z-index:-469456" from="173.520004pt,86.645851pt" to="176.880004pt,86.645851pt" stroked="true" strokeweight=".84pt" strokecolor="#2e97d3">
            <v:stroke dashstyle="solid"/>
            <w10:wrap type="none"/>
          </v:line>
        </w:pict>
      </w:r>
      <w:r>
        <w:rPr/>
        <w:pict>
          <v:line style="position:absolute;mso-position-horizontal-relative:page;mso-position-vertical-relative:paragraph;z-index:3544" from="36.360001pt,18.665855pt" to="36.360001pt,87.665855pt" stroked="true" strokeweight=".72pt" strokecolor="#000000">
            <v:stroke dashstyle="solid"/>
            <w10:wrap type="none"/>
          </v:line>
        </w:pict>
      </w:r>
      <w:r>
        <w:rPr/>
        <w:pict>
          <v:line style="position:absolute;mso-position-horizontal-relative:page;mso-position-vertical-relative:paragraph;z-index:3568" from="36.360001pt,101.465851pt" to="36.360001pt,142.865851pt" stroked="true" strokeweight=".72pt" strokecolor="#000000">
            <v:stroke dashstyle="solid"/>
            <w10:wrap type="none"/>
          </v:line>
        </w:pict>
      </w:r>
      <w:r>
        <w:rPr/>
        <w:t>The Senate Budget and Fiscal Review Committee and the Assembly Budget Committee are the two </w:t>
      </w:r>
      <w:r>
        <w:rPr>
          <w:color w:val="2E97D3"/>
          <w:u w:val="single" w:color="2E97D3"/>
        </w:rPr>
        <w:t>legislative </w:t>
      </w:r>
      <w:r>
        <w:rPr/>
        <w:t>committees that hear the Budget Bill. See SAM 6945, Legislative Process.</w:t>
      </w:r>
      <w:r>
        <w:rPr>
          <w:spacing w:val="18"/>
        </w:rPr>
        <w:t> </w:t>
      </w:r>
      <w:r>
        <w:rPr/>
        <w:t>They</w:t>
      </w:r>
      <w:r>
        <w:rPr>
          <w:spacing w:val="-15"/>
        </w:rPr>
        <w:t> </w:t>
      </w:r>
      <w:r>
        <w:rPr>
          <w:color w:val="2E97D3"/>
          <w:u w:val="single" w:color="2E97D3"/>
        </w:rPr>
        <w:t>each</w:t>
      </w:r>
      <w:r>
        <w:rPr>
          <w:color w:val="2E97D3"/>
          <w:spacing w:val="-14"/>
          <w:u w:val="single" w:color="2E97D3"/>
        </w:rPr>
        <w:t> </w:t>
      </w:r>
      <w:r>
        <w:rPr/>
        <w:t>assign</w:t>
      </w:r>
      <w:r>
        <w:rPr>
          <w:spacing w:val="-35"/>
        </w:rPr>
        <w:t> </w:t>
      </w:r>
      <w:r>
        <w:rPr>
          <w:rFonts w:ascii="Times New Roman"/>
          <w:b/>
          <w:strike/>
          <w:color w:val="2E97D3"/>
          <w:sz w:val="16"/>
        </w:rPr>
        <w:t>the</w:t>
      </w:r>
      <w:r>
        <w:rPr>
          <w:rFonts w:ascii="Times New Roman"/>
          <w:b/>
          <w:strike/>
          <w:color w:val="2E97D3"/>
          <w:spacing w:val="-3"/>
          <w:sz w:val="16"/>
        </w:rPr>
        <w:t> </w:t>
      </w:r>
      <w:r>
        <w:rPr>
          <w:strike w:val="0"/>
        </w:rPr>
        <w:t>items</w:t>
      </w:r>
      <w:r>
        <w:rPr>
          <w:strike w:val="0"/>
          <w:spacing w:val="-15"/>
        </w:rPr>
        <w:t> </w:t>
      </w:r>
      <w:r>
        <w:rPr>
          <w:strike w:val="0"/>
        </w:rPr>
        <w:t>in</w:t>
      </w:r>
      <w:r>
        <w:rPr>
          <w:strike w:val="0"/>
          <w:spacing w:val="-14"/>
        </w:rPr>
        <w:t> </w:t>
      </w:r>
      <w:r>
        <w:rPr>
          <w:strike w:val="0"/>
        </w:rPr>
        <w:t>the</w:t>
      </w:r>
      <w:r>
        <w:rPr>
          <w:strike w:val="0"/>
          <w:spacing w:val="-14"/>
        </w:rPr>
        <w:t> </w:t>
      </w:r>
      <w:r>
        <w:rPr>
          <w:strike w:val="0"/>
        </w:rPr>
        <w:t>bill</w:t>
      </w:r>
      <w:r>
        <w:rPr>
          <w:strike w:val="0"/>
          <w:spacing w:val="-13"/>
        </w:rPr>
        <w:t> </w:t>
      </w:r>
      <w:r>
        <w:rPr>
          <w:strike w:val="0"/>
        </w:rPr>
        <w:t>to</w:t>
      </w:r>
      <w:r>
        <w:rPr>
          <w:strike w:val="0"/>
          <w:spacing w:val="-12"/>
        </w:rPr>
        <w:t> </w:t>
      </w:r>
      <w:r>
        <w:rPr>
          <w:strike w:val="0"/>
        </w:rPr>
        <w:t>several</w:t>
      </w:r>
      <w:r>
        <w:rPr>
          <w:strike w:val="0"/>
          <w:spacing w:val="-13"/>
        </w:rPr>
        <w:t> </w:t>
      </w:r>
      <w:r>
        <w:rPr>
          <w:strike w:val="0"/>
        </w:rPr>
        <w:t>subcommittees</w:t>
      </w:r>
      <w:r>
        <w:rPr>
          <w:strike w:val="0"/>
          <w:spacing w:val="-13"/>
        </w:rPr>
        <w:t> </w:t>
      </w:r>
      <w:r>
        <w:rPr>
          <w:strike w:val="0"/>
        </w:rPr>
        <w:t>(by</w:t>
      </w:r>
      <w:r>
        <w:rPr>
          <w:strike w:val="0"/>
          <w:spacing w:val="-15"/>
        </w:rPr>
        <w:t> </w:t>
      </w:r>
      <w:r>
        <w:rPr>
          <w:strike w:val="0"/>
        </w:rPr>
        <w:t>major</w:t>
      </w:r>
      <w:r>
        <w:rPr>
          <w:strike w:val="0"/>
          <w:spacing w:val="-13"/>
        </w:rPr>
        <w:t> </w:t>
      </w:r>
      <w:r>
        <w:rPr>
          <w:strike w:val="0"/>
        </w:rPr>
        <w:t>subject areas such as Education or Health and </w:t>
      </w:r>
      <w:r>
        <w:rPr>
          <w:rFonts w:ascii="Times New Roman"/>
          <w:b/>
          <w:strike/>
          <w:color w:val="2E97D3"/>
          <w:sz w:val="16"/>
        </w:rPr>
        <w:t>Welfare</w:t>
      </w:r>
      <w:r>
        <w:rPr>
          <w:strike w:val="0"/>
          <w:color w:val="2E97D3"/>
          <w:u w:val="single" w:color="2E97D3"/>
        </w:rPr>
        <w:t>Human Services</w:t>
      </w:r>
      <w:r>
        <w:rPr>
          <w:strike w:val="0"/>
        </w:rPr>
        <w:t>) which conduct budget hearings. These hearings generally begin in </w:t>
      </w:r>
      <w:r>
        <w:rPr>
          <w:rFonts w:ascii="Times New Roman"/>
          <w:b/>
          <w:strike/>
          <w:color w:val="2E97D3"/>
          <w:sz w:val="16"/>
        </w:rPr>
        <w:t>late </w:t>
      </w:r>
      <w:r>
        <w:rPr>
          <w:strike w:val="0"/>
        </w:rPr>
        <w:t>February </w:t>
      </w:r>
      <w:r>
        <w:rPr>
          <w:rFonts w:ascii="Times New Roman"/>
          <w:b/>
          <w:strike/>
          <w:color w:val="2E97D3"/>
          <w:sz w:val="16"/>
        </w:rPr>
        <w:t>soon after the Legislative Analyst issues the "Analysis of the Budget Bill."</w:t>
      </w:r>
      <w:r>
        <w:rPr>
          <w:strike w:val="0"/>
          <w:color w:val="2E97D3"/>
        </w:rPr>
        <w:t>. </w:t>
      </w:r>
      <w:r>
        <w:rPr>
          <w:strike w:val="0"/>
        </w:rPr>
        <w:t>The Legislative Analyst is appointed by the Joint Legislative Budget Committee and is charged with providing a nonpartisan analysis and recommendations for changes to the Governor's budget plan. </w:t>
      </w:r>
      <w:r>
        <w:rPr>
          <w:strike w:val="0"/>
          <w:color w:val="2E97D3"/>
          <w:u w:val="single" w:color="2E97D3"/>
        </w:rPr>
        <w:t>The Legislative Analyst publishes a number of reports on its website and in hard copy form that include these analyses and recommendations.</w:t>
      </w:r>
    </w:p>
    <w:p>
      <w:pPr>
        <w:pStyle w:val="BodyText"/>
        <w:spacing w:before="182"/>
        <w:ind w:left="820" w:right="115"/>
        <w:jc w:val="both"/>
      </w:pPr>
      <w:r>
        <w:rPr/>
        <w:pict>
          <v:line style="position:absolute;mso-position-horizontal-relative:page;mso-position-vertical-relative:paragraph;z-index:-469432" from="111.480003pt,59.895859pt" to="113.400003pt,59.895859pt" stroked="true" strokeweight=".36pt" strokecolor="#2e97d3">
            <v:stroke dashstyle="solid"/>
            <w10:wrap type="none"/>
          </v:line>
        </w:pict>
      </w:r>
      <w:r>
        <w:rPr/>
        <w:pict>
          <v:line style="position:absolute;mso-position-horizontal-relative:page;mso-position-vertical-relative:paragraph;z-index:3592" from="36.360001pt,23.11586pt" to="36.360001pt,64.51586pt" stroked="true" strokeweight=".72pt" strokecolor="#000000">
            <v:stroke dashstyle="solid"/>
            <w10:wrap type="none"/>
          </v:line>
        </w:pict>
      </w:r>
      <w:r>
        <w:rPr/>
        <w:t>In addition to the Legislative Analyst, Finance and departments typically provide testimony</w:t>
      </w:r>
      <w:r>
        <w:rPr>
          <w:spacing w:val="-16"/>
        </w:rPr>
        <w:t> </w:t>
      </w:r>
      <w:r>
        <w:rPr/>
        <w:t>at</w:t>
      </w:r>
      <w:r>
        <w:rPr>
          <w:spacing w:val="-13"/>
        </w:rPr>
        <w:t> </w:t>
      </w:r>
      <w:r>
        <w:rPr/>
        <w:t>the</w:t>
      </w:r>
      <w:r>
        <w:rPr>
          <w:spacing w:val="-13"/>
        </w:rPr>
        <w:t> </w:t>
      </w:r>
      <w:r>
        <w:rPr/>
        <w:t>subcommittee</w:t>
      </w:r>
      <w:r>
        <w:rPr>
          <w:spacing w:val="-15"/>
        </w:rPr>
        <w:t> </w:t>
      </w:r>
      <w:r>
        <w:rPr/>
        <w:t>hearings.</w:t>
      </w:r>
      <w:r>
        <w:rPr>
          <w:spacing w:val="20"/>
        </w:rPr>
        <w:t> </w:t>
      </w:r>
      <w:r>
        <w:rPr>
          <w:rFonts w:ascii="Times New Roman"/>
          <w:b/>
          <w:strike/>
          <w:color w:val="2E97D3"/>
          <w:sz w:val="16"/>
        </w:rPr>
        <w:t>In</w:t>
      </w:r>
      <w:r>
        <w:rPr>
          <w:rFonts w:ascii="Times New Roman"/>
          <w:b/>
          <w:strike/>
          <w:color w:val="2E97D3"/>
          <w:spacing w:val="-9"/>
          <w:sz w:val="16"/>
        </w:rPr>
        <w:t> </w:t>
      </w:r>
      <w:r>
        <w:rPr>
          <w:rFonts w:ascii="Times New Roman"/>
          <w:b/>
          <w:strike/>
          <w:color w:val="2E97D3"/>
          <w:sz w:val="16"/>
        </w:rPr>
        <w:t>recent</w:t>
      </w:r>
      <w:r>
        <w:rPr>
          <w:rFonts w:ascii="Times New Roman"/>
          <w:b/>
          <w:strike/>
          <w:color w:val="2E97D3"/>
          <w:spacing w:val="-7"/>
          <w:sz w:val="16"/>
        </w:rPr>
        <w:t> </w:t>
      </w:r>
      <w:r>
        <w:rPr>
          <w:rFonts w:ascii="Times New Roman"/>
          <w:b/>
          <w:strike/>
          <w:color w:val="2E97D3"/>
          <w:sz w:val="16"/>
        </w:rPr>
        <w:t>years,</w:t>
      </w:r>
      <w:r>
        <w:rPr>
          <w:rFonts w:ascii="Times New Roman"/>
          <w:b/>
          <w:strike/>
          <w:color w:val="2E97D3"/>
          <w:spacing w:val="-8"/>
          <w:sz w:val="16"/>
        </w:rPr>
        <w:t> </w:t>
      </w:r>
      <w:r>
        <w:rPr>
          <w:rFonts w:ascii="Times New Roman"/>
          <w:b/>
          <w:strike/>
          <w:color w:val="2E97D3"/>
          <w:sz w:val="16"/>
        </w:rPr>
        <w:t>there</w:t>
      </w:r>
      <w:r>
        <w:rPr>
          <w:rFonts w:ascii="Times New Roman"/>
          <w:b/>
          <w:strike/>
          <w:color w:val="2E97D3"/>
          <w:spacing w:val="-7"/>
          <w:sz w:val="16"/>
        </w:rPr>
        <w:t> </w:t>
      </w:r>
      <w:r>
        <w:rPr>
          <w:rFonts w:ascii="Times New Roman"/>
          <w:b/>
          <w:strike/>
          <w:color w:val="2E97D3"/>
          <w:sz w:val="16"/>
        </w:rPr>
        <w:t>has</w:t>
      </w:r>
      <w:r>
        <w:rPr>
          <w:rFonts w:ascii="Times New Roman"/>
          <w:b/>
          <w:strike/>
          <w:color w:val="2E97D3"/>
          <w:spacing w:val="-7"/>
          <w:sz w:val="16"/>
        </w:rPr>
        <w:t> </w:t>
      </w:r>
      <w:r>
        <w:rPr>
          <w:rFonts w:ascii="Times New Roman"/>
          <w:b/>
          <w:strike/>
          <w:color w:val="2E97D3"/>
          <w:sz w:val="16"/>
        </w:rPr>
        <w:t>been</w:t>
      </w:r>
      <w:r>
        <w:rPr>
          <w:rFonts w:ascii="Times New Roman"/>
          <w:b/>
          <w:strike/>
          <w:color w:val="2E97D3"/>
          <w:spacing w:val="-9"/>
          <w:sz w:val="16"/>
        </w:rPr>
        <w:t> </w:t>
      </w:r>
      <w:r>
        <w:rPr>
          <w:rFonts w:ascii="Times New Roman"/>
          <w:b/>
          <w:strike/>
          <w:color w:val="2E97D3"/>
          <w:sz w:val="16"/>
        </w:rPr>
        <w:t>increasing</w:t>
      </w:r>
      <w:r>
        <w:rPr>
          <w:rFonts w:ascii="Times New Roman"/>
          <w:b/>
          <w:strike/>
          <w:color w:val="2E97D3"/>
          <w:spacing w:val="-10"/>
          <w:sz w:val="16"/>
        </w:rPr>
        <w:t> </w:t>
      </w:r>
      <w:r>
        <w:rPr>
          <w:rFonts w:ascii="Times New Roman"/>
          <w:b/>
          <w:strike/>
          <w:color w:val="2E97D3"/>
          <w:sz w:val="16"/>
        </w:rPr>
        <w:t>input</w:t>
      </w:r>
      <w:r>
        <w:rPr>
          <w:strike w:val="0"/>
          <w:color w:val="2E97D3"/>
          <w:u w:val="single" w:color="2E97D3"/>
        </w:rPr>
        <w:t>Input</w:t>
      </w:r>
      <w:r>
        <w:rPr>
          <w:strike w:val="0"/>
          <w:color w:val="2E97D3"/>
          <w:spacing w:val="-13"/>
          <w:u w:val="single" w:color="2E97D3"/>
        </w:rPr>
        <w:t> </w:t>
      </w:r>
      <w:r>
        <w:rPr>
          <w:strike w:val="0"/>
          <w:color w:val="2E97D3"/>
          <w:u w:val="single" w:color="2E97D3"/>
        </w:rPr>
        <w:t>is</w:t>
      </w:r>
      <w:r>
        <w:rPr>
          <w:strike w:val="0"/>
          <w:color w:val="2E97D3"/>
          <w:spacing w:val="-14"/>
          <w:u w:val="single" w:color="2E97D3"/>
        </w:rPr>
        <w:t> </w:t>
      </w:r>
      <w:r>
        <w:rPr>
          <w:strike w:val="0"/>
          <w:color w:val="2E97D3"/>
          <w:u w:val="single" w:color="2E97D3"/>
        </w:rPr>
        <w:t>generally provided </w:t>
      </w:r>
      <w:r>
        <w:rPr>
          <w:strike w:val="0"/>
        </w:rPr>
        <w:t>by partisan fiscal committee consultants of both the majority and minority parties. Additionally, lobbyists and the public may provide testimony at the</w:t>
      </w:r>
      <w:r>
        <w:rPr>
          <w:strike w:val="0"/>
          <w:spacing w:val="-3"/>
        </w:rPr>
        <w:t> </w:t>
      </w:r>
      <w:r>
        <w:rPr>
          <w:strike w:val="0"/>
        </w:rPr>
        <w:t>hearings.</w:t>
      </w:r>
    </w:p>
    <w:p>
      <w:pPr>
        <w:pStyle w:val="BodyText"/>
        <w:spacing w:before="184"/>
        <w:ind w:left="820" w:right="113"/>
        <w:jc w:val="both"/>
      </w:pPr>
      <w:r>
        <w:rPr/>
        <w:pict>
          <v:line style="position:absolute;mso-position-horizontal-relative:page;mso-position-vertical-relative:paragraph;z-index:-469408" from="523.679993pt,18.595858pt" to="526.078993pt,18.595858pt" stroked="true" strokeweight=".36pt" strokecolor="#2e97d3">
            <v:stroke dashstyle="solid"/>
            <w10:wrap type="none"/>
          </v:line>
        </w:pict>
      </w:r>
      <w:r>
        <w:rPr/>
        <w:pict>
          <v:line style="position:absolute;mso-position-horizontal-relative:page;mso-position-vertical-relative:paragraph;z-index:-469384" from="460.920013pt,46.195858pt" to="463.680013pt,46.195858pt" stroked="true" strokeweight=".36pt" strokecolor="#2e97d3">
            <v:stroke dashstyle="solid"/>
            <w10:wrap type="none"/>
          </v:line>
        </w:pict>
      </w:r>
      <w:r>
        <w:rPr/>
        <w:pict>
          <v:line style="position:absolute;mso-position-horizontal-relative:page;mso-position-vertical-relative:paragraph;z-index:-469360" from="247.919998pt,59.995857pt" to="250.678998pt,59.995857pt" stroked="true" strokeweight=".36pt" strokecolor="#2e97d3">
            <v:stroke dashstyle="solid"/>
            <w10:wrap type="none"/>
          </v:line>
        </w:pict>
      </w:r>
      <w:r>
        <w:rPr/>
        <w:pict>
          <v:group style="position:absolute;margin-left:94.360001pt;margin-top:73.595856pt;width:6.65pt;height:4.25pt;mso-position-horizontal-relative:page;mso-position-vertical-relative:paragraph;z-index:-469336" coordorigin="1887,1472" coordsize="133,85">
            <v:line style="position:absolute" from="1932,1548" to="2011,1548" stroked="true" strokeweight=".841pt" strokecolor="#2e97d3">
              <v:stroke dashstyle="solid"/>
            </v:line>
            <v:line style="position:absolute" from="1891,1476" to="1932,1476" stroked="true" strokeweight=".36pt" strokecolor="#2e97d3">
              <v:stroke dashstyle="solid"/>
            </v:line>
            <w10:wrap type="none"/>
          </v:group>
        </w:pict>
      </w:r>
      <w:r>
        <w:rPr/>
        <w:pict>
          <v:line style="position:absolute;mso-position-horizontal-relative:page;mso-position-vertical-relative:paragraph;z-index:-469312" from="214.679993pt,101.395859pt" to="217.439993pt,101.395859pt" stroked="true" strokeweight=".36pt" strokecolor="#2e97d3">
            <v:stroke dashstyle="solid"/>
            <w10:wrap type="none"/>
          </v:line>
        </w:pict>
      </w:r>
      <w:r>
        <w:rPr/>
        <w:pict>
          <v:line style="position:absolute;mso-position-horizontal-relative:page;mso-position-vertical-relative:paragraph;z-index:3616" from="36.360001pt,9.415857pt" to="36.360001pt,23.215857pt" stroked="true" strokeweight=".72pt" strokecolor="#000000">
            <v:stroke dashstyle="solid"/>
            <w10:wrap type="none"/>
          </v:line>
        </w:pict>
      </w:r>
      <w:r>
        <w:rPr/>
        <w:pict>
          <v:line style="position:absolute;mso-position-horizontal-relative:page;mso-position-vertical-relative:paragraph;z-index:3640" from="36.360001pt,37.015858pt" to="36.360001pt,78.415858pt" stroked="true" strokeweight=".72pt" strokecolor="#000000">
            <v:stroke dashstyle="solid"/>
            <w10:wrap type="none"/>
          </v:line>
        </w:pict>
      </w:r>
      <w:r>
        <w:rPr/>
        <w:pict>
          <v:line style="position:absolute;mso-position-horizontal-relative:page;mso-position-vertical-relative:paragraph;z-index:3664" from="36.360001pt,92.215858pt" to="36.360001pt,106.015858pt" stroked="true" strokeweight=".72pt" strokecolor="#000000">
            <v:stroke dashstyle="solid"/>
            <w10:wrap type="none"/>
          </v:line>
        </w:pict>
      </w:r>
      <w:r>
        <w:rPr/>
        <w:t>Finance proposes adjustments to the Governor's Budget through "Finance Letters." By statute, Finance is required to give the Legislature all proposed adjustments, other than Capital Outlay and May Revision, to the Governor’s Budget by April 1. Capital Outlay adjustments are due by May 1. The traditional May Revision adjustments are due by May 14, and consist of an update of General Fund revenues and changes in </w:t>
      </w:r>
      <w:r>
        <w:rPr>
          <w:color w:val="2E97D3"/>
          <w:u w:val="single" w:color="2E97D3"/>
        </w:rPr>
        <w:t>proposed </w:t>
      </w:r>
      <w:r>
        <w:rPr/>
        <w:t>expenditures for school funding requirements pursuant to Proposition 98, caseload, enrollment, or population. The Legislature typically waits for the May Revision update before final budget decisions are made on major programs such as Education, Corrections, and Health and Human Services.</w:t>
      </w:r>
    </w:p>
    <w:p>
      <w:pPr>
        <w:pStyle w:val="BodyText"/>
        <w:spacing w:before="182"/>
        <w:ind w:left="820" w:right="114"/>
        <w:jc w:val="both"/>
      </w:pPr>
      <w:r>
        <w:rPr/>
        <w:pict>
          <v:line style="position:absolute;mso-position-horizontal-relative:page;mso-position-vertical-relative:paragraph;z-index:-469288" from="303.239990pt,32.295849pt" to="308.27999pt,32.295849pt" stroked="true" strokeweight=".36pt" strokecolor="#2e97d3">
            <v:stroke dashstyle="solid"/>
            <w10:wrap type="none"/>
          </v:line>
        </w:pict>
      </w:r>
      <w:r>
        <w:rPr/>
        <w:pict>
          <v:line style="position:absolute;mso-position-horizontal-relative:page;mso-position-vertical-relative:paragraph;z-index:-469264" from="432.359985pt,46.095848pt" to="435.719985pt,46.095848pt" stroked="true" strokeweight=".36pt" strokecolor="#2e97d3">
            <v:stroke dashstyle="solid"/>
            <w10:wrap type="none"/>
          </v:line>
        </w:pict>
      </w:r>
      <w:r>
        <w:rPr/>
        <w:pict>
          <v:line style="position:absolute;mso-position-horizontal-relative:page;mso-position-vertical-relative:paragraph;z-index:-469240" from="479.399994pt,59.895851pt" to="482.999994pt,59.895851pt" stroked="true" strokeweight=".36pt" strokecolor="#2e97d3">
            <v:stroke dashstyle="solid"/>
            <w10:wrap type="none"/>
          </v:line>
        </w:pict>
      </w:r>
      <w:r>
        <w:rPr/>
        <w:pict>
          <v:line style="position:absolute;mso-position-horizontal-relative:page;mso-position-vertical-relative:paragraph;z-index:-469216" from="232.679993pt,87.49585pt" to="235.079993pt,87.49585pt" stroked="true" strokeweight=".36pt" strokecolor="#2e97d3">
            <v:stroke dashstyle="solid"/>
            <w10:wrap type="none"/>
          </v:line>
        </w:pict>
      </w:r>
      <w:r>
        <w:rPr/>
        <w:pict>
          <v:line style="position:absolute;mso-position-horizontal-relative:page;mso-position-vertical-relative:paragraph;z-index:3688" from="36.360001pt,23.11585pt" to="36.360001pt,64.51585pt" stroked="true" strokeweight=".72pt" strokecolor="#000000">
            <v:stroke dashstyle="solid"/>
            <w10:wrap type="none"/>
          </v:line>
        </w:pict>
      </w:r>
      <w:r>
        <w:rPr/>
        <w:pict>
          <v:line style="position:absolute;mso-position-horizontal-relative:page;mso-position-vertical-relative:paragraph;z-index:3712" from="36.360001pt,78.316849pt" to="36.360001pt,105.915849pt" stroked="true" strokeweight=".72pt" strokecolor="#000000">
            <v:stroke dashstyle="solid"/>
            <w10:wrap type="none"/>
          </v:line>
        </w:pict>
      </w:r>
      <w:r>
        <w:rPr/>
        <w:t>Typically, when the subcommittees complete their actions, they report their recommendations to the full committee. Upon adoption of the budget by the full committee, a recommendation is made to the Floor (full house). Upon </w:t>
      </w:r>
      <w:r>
        <w:rPr>
          <w:rFonts w:ascii="Times New Roman"/>
          <w:b/>
          <w:strike/>
          <w:color w:val="2E97D3"/>
          <w:sz w:val="16"/>
        </w:rPr>
        <w:t>two-thirds</w:t>
      </w:r>
      <w:r>
        <w:rPr>
          <w:strike w:val="0"/>
          <w:color w:val="2E97D3"/>
          <w:u w:val="single" w:color="2E97D3"/>
        </w:rPr>
        <w:t>simple majority </w:t>
      </w:r>
      <w:r>
        <w:rPr>
          <w:strike w:val="0"/>
        </w:rPr>
        <w:t>vote of the house, the Budget Bill is passed to the other house. A Budget Conference</w:t>
      </w:r>
      <w:r>
        <w:rPr>
          <w:strike w:val="0"/>
          <w:spacing w:val="-15"/>
        </w:rPr>
        <w:t> </w:t>
      </w:r>
      <w:r>
        <w:rPr>
          <w:strike w:val="0"/>
        </w:rPr>
        <w:t>Committee</w:t>
      </w:r>
      <w:r>
        <w:rPr>
          <w:strike w:val="0"/>
          <w:spacing w:val="-17"/>
        </w:rPr>
        <w:t> </w:t>
      </w:r>
      <w:r>
        <w:rPr>
          <w:strike w:val="0"/>
        </w:rPr>
        <w:t>is</w:t>
      </w:r>
      <w:r>
        <w:rPr>
          <w:strike w:val="0"/>
          <w:spacing w:val="-16"/>
        </w:rPr>
        <w:t> </w:t>
      </w:r>
      <w:r>
        <w:rPr>
          <w:strike w:val="0"/>
        </w:rPr>
        <w:t>then</w:t>
      </w:r>
      <w:r>
        <w:rPr>
          <w:strike w:val="0"/>
          <w:spacing w:val="-17"/>
        </w:rPr>
        <w:t> </w:t>
      </w:r>
      <w:r>
        <w:rPr>
          <w:strike w:val="0"/>
        </w:rPr>
        <w:t>appointed</w:t>
      </w:r>
      <w:r>
        <w:rPr>
          <w:strike w:val="0"/>
          <w:spacing w:val="-17"/>
        </w:rPr>
        <w:t> </w:t>
      </w:r>
      <w:r>
        <w:rPr>
          <w:strike w:val="0"/>
        </w:rPr>
        <w:t>to</w:t>
      </w:r>
      <w:r>
        <w:rPr>
          <w:strike w:val="0"/>
          <w:spacing w:val="-17"/>
        </w:rPr>
        <w:t> </w:t>
      </w:r>
      <w:r>
        <w:rPr>
          <w:strike w:val="0"/>
        </w:rPr>
        <w:t>work</w:t>
      </w:r>
      <w:r>
        <w:rPr>
          <w:strike w:val="0"/>
          <w:spacing w:val="-16"/>
        </w:rPr>
        <w:t> </w:t>
      </w:r>
      <w:r>
        <w:rPr>
          <w:strike w:val="0"/>
        </w:rPr>
        <w:t>out</w:t>
      </w:r>
      <w:r>
        <w:rPr>
          <w:strike w:val="0"/>
          <w:spacing w:val="-15"/>
        </w:rPr>
        <w:t> </w:t>
      </w:r>
      <w:r>
        <w:rPr>
          <w:strike w:val="0"/>
        </w:rPr>
        <w:t>differences</w:t>
      </w:r>
      <w:r>
        <w:rPr>
          <w:strike w:val="0"/>
          <w:spacing w:val="-18"/>
        </w:rPr>
        <w:t> </w:t>
      </w:r>
      <w:r>
        <w:rPr>
          <w:strike w:val="0"/>
        </w:rPr>
        <w:t>between</w:t>
      </w:r>
      <w:r>
        <w:rPr>
          <w:strike w:val="0"/>
          <w:spacing w:val="-15"/>
        </w:rPr>
        <w:t> </w:t>
      </w:r>
      <w:r>
        <w:rPr>
          <w:strike w:val="0"/>
        </w:rPr>
        <w:t>the</w:t>
      </w:r>
      <w:r>
        <w:rPr>
          <w:strike w:val="0"/>
          <w:spacing w:val="-17"/>
        </w:rPr>
        <w:t> </w:t>
      </w:r>
      <w:r>
        <w:rPr>
          <w:strike w:val="0"/>
        </w:rPr>
        <w:t>Senate</w:t>
      </w:r>
      <w:r>
        <w:rPr>
          <w:strike w:val="0"/>
          <w:spacing w:val="-17"/>
        </w:rPr>
        <w:t> </w:t>
      </w:r>
      <w:r>
        <w:rPr>
          <w:strike w:val="0"/>
        </w:rPr>
        <w:t>and Assembly versions of the bill. Upon completion of action by the Conference Committee and a </w:t>
      </w:r>
      <w:r>
        <w:rPr>
          <w:rFonts w:ascii="Times New Roman"/>
          <w:b/>
          <w:strike/>
          <w:color w:val="2E97D3"/>
          <w:sz w:val="16"/>
        </w:rPr>
        <w:t>two-thirds</w:t>
      </w:r>
      <w:r>
        <w:rPr>
          <w:strike w:val="0"/>
          <w:color w:val="2E97D3"/>
          <w:u w:val="single" w:color="2E97D3"/>
        </w:rPr>
        <w:t>simple majority </w:t>
      </w:r>
      <w:r>
        <w:rPr>
          <w:strike w:val="0"/>
        </w:rPr>
        <w:t>vote, this conference version is then sent to the two houses for</w:t>
      </w:r>
      <w:r>
        <w:rPr>
          <w:strike w:val="0"/>
          <w:spacing w:val="-9"/>
        </w:rPr>
        <w:t> </w:t>
      </w:r>
      <w:r>
        <w:rPr>
          <w:strike w:val="0"/>
        </w:rPr>
        <w:t>approval.</w:t>
      </w:r>
    </w:p>
    <w:p>
      <w:pPr>
        <w:pStyle w:val="BodyText"/>
        <w:spacing w:before="185"/>
        <w:ind w:left="820" w:right="114"/>
        <w:jc w:val="both"/>
      </w:pPr>
      <w:r>
        <w:rPr/>
        <w:pict>
          <v:line style="position:absolute;mso-position-horizontal-relative:page;mso-position-vertical-relative:paragraph;z-index:-469192" from="463.440002pt,32.445866pt" to="465.600002pt,32.445866pt" stroked="true" strokeweight=".36pt" strokecolor="#2e97d3">
            <v:stroke dashstyle="solid"/>
            <w10:wrap type="none"/>
          </v:line>
        </w:pict>
      </w:r>
      <w:r>
        <w:rPr/>
        <w:pict>
          <v:line style="position:absolute;mso-position-horizontal-relative:page;mso-position-vertical-relative:paragraph;z-index:3736" from="36.360001pt,9.465865pt" to="36.360001pt,37.065865pt" stroked="true" strokeweight=".72pt" strokecolor="#000000">
            <v:stroke dashstyle="solid"/>
            <w10:wrap type="none"/>
          </v:line>
        </w:pict>
      </w:r>
      <w:r>
        <w:rPr/>
        <w:t>Sometimes the Conference Committee does not reach final resolution on the budget. This stalemate typically results from non-resolution of a few major issues. These issues are then resolved by the "Leadership" or "Big 5" (Governor, Speaker of the Assembly, President Pro Tempore, and the minority leaders of both houses).</w:t>
      </w:r>
    </w:p>
    <w:p>
      <w:pPr>
        <w:pStyle w:val="BodyText"/>
        <w:spacing w:before="185"/>
        <w:ind w:left="820" w:right="116"/>
        <w:jc w:val="both"/>
      </w:pPr>
      <w:r>
        <w:rPr/>
        <w:pict>
          <v:line style="position:absolute;mso-position-horizontal-relative:page;mso-position-vertical-relative:paragraph;z-index:-469168" from="175.559998pt,32.445862pt" to="177.598998pt,32.445862pt" stroked="true" strokeweight=".36pt" strokecolor="#2e97d3">
            <v:stroke dashstyle="solid"/>
            <w10:wrap type="none"/>
          </v:line>
        </w:pict>
      </w:r>
      <w:r>
        <w:rPr/>
        <w:pict>
          <v:line style="position:absolute;mso-position-horizontal-relative:page;mso-position-vertical-relative:paragraph;z-index:3760" from="36.360001pt,9.465863pt" to="36.360001pt,37.065863pt" stroked="true" strokeweight=".72pt" strokecolor="#000000">
            <v:stroke dashstyle="solid"/>
            <w10:wrap type="none"/>
          </v:line>
        </w:pict>
      </w:r>
      <w:r>
        <w:rPr/>
        <w:t>When the Budget Bill receives a </w:t>
      </w:r>
      <w:r>
        <w:rPr>
          <w:rFonts w:ascii="Times New Roman"/>
          <w:b/>
          <w:strike/>
          <w:color w:val="2E97D3"/>
          <w:sz w:val="16"/>
        </w:rPr>
        <w:t>two-thirds</w:t>
      </w:r>
      <w:r>
        <w:rPr>
          <w:strike w:val="0"/>
          <w:color w:val="2E97D3"/>
          <w:u w:val="single" w:color="2E97D3"/>
        </w:rPr>
        <w:t>simple majority </w:t>
      </w:r>
      <w:r>
        <w:rPr>
          <w:strike w:val="0"/>
        </w:rPr>
        <w:t>vote of each house, it is passed on to the Governor. The Constitution allows the Governor to reduce or eliminate an item of appropriation.</w:t>
      </w:r>
    </w:p>
    <w:p>
      <w:pPr>
        <w:spacing w:before="182"/>
        <w:ind w:left="820" w:right="0" w:firstLine="0"/>
        <w:jc w:val="both"/>
        <w:rPr>
          <w:rFonts w:ascii="Times New Roman"/>
          <w:sz w:val="20"/>
        </w:rPr>
      </w:pPr>
      <w:r>
        <w:rPr/>
        <w:pict>
          <v:line style="position:absolute;mso-position-horizontal-relative:page;mso-position-vertical-relative:paragraph;z-index:3784" from="36.360001pt,9.316935pt" to="36.360001pt,30.795935pt" stroked="true" strokeweight=".72pt" strokecolor="#000000">
            <v:stroke dashstyle="solid"/>
            <w10:wrap type="none"/>
          </v:line>
        </w:pict>
      </w:r>
      <w:r>
        <w:rPr>
          <w:rFonts w:ascii="Times New Roman"/>
          <w:sz w:val="20"/>
        </w:rPr>
        <w:t>(Continued)</w:t>
      </w:r>
    </w:p>
    <w:p>
      <w:pPr>
        <w:spacing w:after="0"/>
        <w:jc w:val="both"/>
        <w:rPr>
          <w:rFonts w:ascii="Times New Roman"/>
          <w:sz w:val="20"/>
        </w:rPr>
        <w:sectPr>
          <w:pgSz w:w="12240" w:h="15840"/>
          <w:pgMar w:header="724" w:footer="792" w:top="980" w:bottom="1060" w:left="620" w:right="1320"/>
        </w:sectPr>
      </w:pPr>
    </w:p>
    <w:p>
      <w:pPr>
        <w:pStyle w:val="BodyText"/>
        <w:spacing w:before="4"/>
        <w:rPr>
          <w:rFonts w:ascii="Times New Roman"/>
          <w:sz w:val="17"/>
        </w:rPr>
      </w:pPr>
      <w:r>
        <w:rPr/>
        <w:pict>
          <v:line style="position:absolute;mso-position-horizontal-relative:page;mso-position-vertical-relative:page;z-index:3808" from="36.360001pt,72pt" to="36.360001pt,97.92pt" stroked="true" strokeweight=".72pt" strokecolor="#000000">
            <v:stroke dashstyle="solid"/>
            <w10:wrap type="none"/>
          </v:line>
        </w:pict>
      </w:r>
    </w:p>
    <w:p>
      <w:pPr>
        <w:spacing w:after="0"/>
        <w:rPr>
          <w:rFonts w:ascii="Times New Roman"/>
          <w:sz w:val="17"/>
        </w:rPr>
        <w:sectPr>
          <w:pgSz w:w="12240" w:h="15840"/>
          <w:pgMar w:header="724" w:footer="792" w:top="980" w:bottom="1060" w:left="620" w:right="1720"/>
        </w:sectPr>
      </w:pPr>
    </w:p>
    <w:p>
      <w:pPr>
        <w:pStyle w:val="BodyText"/>
        <w:rPr>
          <w:rFonts w:ascii="Times New Roman"/>
          <w:sz w:val="20"/>
        </w:rPr>
      </w:pPr>
    </w:p>
    <w:p>
      <w:pPr>
        <w:pStyle w:val="BodyText"/>
        <w:spacing w:before="214"/>
        <w:ind w:left="728"/>
      </w:pPr>
      <w:r>
        <w:rPr/>
        <w:pict>
          <v:line style="position:absolute;mso-position-horizontal-relative:page;mso-position-vertical-relative:paragraph;z-index:4048" from="36.360001pt,24.715881pt" to="36.360001pt,52.315881pt" stroked="true" strokeweight=".72pt" strokecolor="#000000">
            <v:stroke dashstyle="solid"/>
            <w10:wrap type="none"/>
          </v:line>
        </w:pict>
      </w:r>
      <w:r>
        <w:rPr/>
        <w:t>(Continued)</w:t>
      </w:r>
    </w:p>
    <w:p>
      <w:pPr>
        <w:tabs>
          <w:tab w:pos="8471" w:val="left" w:leader="none"/>
        </w:tabs>
        <w:spacing w:before="0"/>
        <w:ind w:left="728" w:right="0" w:firstLine="0"/>
        <w:jc w:val="left"/>
        <w:rPr>
          <w:sz w:val="24"/>
        </w:rPr>
      </w:pPr>
      <w:r>
        <w:rPr/>
        <w:pict>
          <v:line style="position:absolute;mso-position-horizontal-relative:page;mso-position-vertical-relative:paragraph;z-index:-468832" from="196.800003pt,13.175833pt" to="200.160003pt,13.175833pt" stroked="true" strokeweight="1.2pt" strokecolor="#2e97d3">
            <v:stroke dashstyle="solid"/>
            <w10:wrap type="none"/>
          </v:line>
        </w:pict>
      </w:r>
      <w:r>
        <w:rPr>
          <w:b/>
          <w:sz w:val="24"/>
        </w:rPr>
        <w:t>BUDGET</w:t>
      </w:r>
      <w:r>
        <w:rPr>
          <w:b/>
          <w:spacing w:val="-3"/>
          <w:sz w:val="24"/>
        </w:rPr>
        <w:t> </w:t>
      </w:r>
      <w:r>
        <w:rPr>
          <w:b/>
          <w:sz w:val="24"/>
        </w:rPr>
        <w:t>ENACTMENT</w:t>
        <w:tab/>
        <w:t>6130 </w:t>
      </w:r>
      <w:r>
        <w:rPr>
          <w:sz w:val="24"/>
        </w:rPr>
        <w:t>(Cont.</w:t>
      </w:r>
      <w:r>
        <w:rPr>
          <w:spacing w:val="-6"/>
          <w:sz w:val="24"/>
        </w:rPr>
        <w:t> </w:t>
      </w:r>
      <w:r>
        <w:rPr>
          <w:sz w:val="24"/>
        </w:rPr>
        <w:t>1)</w:t>
      </w:r>
    </w:p>
    <w:p>
      <w:pPr>
        <w:spacing w:before="0"/>
        <w:ind w:left="728" w:right="0" w:firstLine="0"/>
        <w:jc w:val="left"/>
        <w:rPr>
          <w:sz w:val="24"/>
        </w:rPr>
      </w:pPr>
      <w:r>
        <w:rPr>
          <w:sz w:val="24"/>
        </w:rPr>
        <w:t>(Revised </w:t>
      </w:r>
      <w:r>
        <w:rPr>
          <w:rFonts w:ascii="Times New Roman"/>
          <w:b/>
          <w:strike/>
          <w:color w:val="2E97D3"/>
          <w:sz w:val="16"/>
        </w:rPr>
        <w:t>9/2010</w:t>
      </w:r>
      <w:r>
        <w:rPr>
          <w:strike w:val="0"/>
          <w:color w:val="2E97D3"/>
          <w:sz w:val="24"/>
          <w:u w:val="single" w:color="2E97D3"/>
        </w:rPr>
        <w:t>10/2017</w:t>
      </w:r>
      <w:r>
        <w:rPr>
          <w:strike w:val="0"/>
          <w:sz w:val="24"/>
        </w:rPr>
        <w:t>)</w:t>
      </w:r>
    </w:p>
    <w:p>
      <w:pPr>
        <w:pStyle w:val="BodyText"/>
        <w:spacing w:before="5"/>
        <w:rPr>
          <w:sz w:val="18"/>
        </w:rPr>
      </w:pPr>
    </w:p>
    <w:p>
      <w:pPr>
        <w:spacing w:before="92"/>
        <w:ind w:left="728" w:right="114" w:firstLine="0"/>
        <w:jc w:val="both"/>
        <w:rPr>
          <w:sz w:val="24"/>
        </w:rPr>
      </w:pPr>
      <w:r>
        <w:rPr/>
        <w:pict>
          <v:line style="position:absolute;mso-position-horizontal-relative:page;mso-position-vertical-relative:paragraph;z-index:4072" from="36.360001pt,4.814867pt" to="36.360001pt,60.015867pt" stroked="true" strokeweight=".72pt" strokecolor="#000000">
            <v:stroke dashstyle="solid"/>
            <w10:wrap type="none"/>
          </v:line>
        </w:pict>
      </w:r>
      <w:r>
        <w:rPr>
          <w:sz w:val="24"/>
        </w:rPr>
        <w:t>The Constitution requires </w:t>
      </w:r>
      <w:r>
        <w:rPr>
          <w:rFonts w:ascii="Times New Roman"/>
          <w:b/>
          <w:strike/>
          <w:color w:val="2E97D3"/>
          <w:sz w:val="16"/>
        </w:rPr>
        <w:t>that </w:t>
      </w:r>
      <w:r>
        <w:rPr>
          <w:strike w:val="0"/>
          <w:sz w:val="24"/>
        </w:rPr>
        <w:t>the Legislature </w:t>
      </w:r>
      <w:r>
        <w:rPr>
          <w:strike w:val="0"/>
          <w:color w:val="2E97D3"/>
          <w:sz w:val="24"/>
          <w:u w:val="single" w:color="2E97D3"/>
        </w:rPr>
        <w:t>to </w:t>
      </w:r>
      <w:r>
        <w:rPr>
          <w:strike w:val="0"/>
          <w:sz w:val="24"/>
        </w:rPr>
        <w:t>submit a balanced budget to the Governor </w:t>
      </w:r>
      <w:r>
        <w:rPr>
          <w:rFonts w:ascii="Times New Roman"/>
          <w:b/>
          <w:strike/>
          <w:color w:val="2E97D3"/>
          <w:sz w:val="16"/>
        </w:rPr>
        <w:t>by June 15, In addition, the</w:t>
      </w:r>
      <w:r>
        <w:rPr>
          <w:strike w:val="0"/>
          <w:color w:val="2E97D3"/>
          <w:sz w:val="24"/>
          <w:u w:val="single" w:color="2E97D3"/>
        </w:rPr>
        <w:t>for consideration, and the Governor sign a balanced budget. The </w:t>
      </w:r>
      <w:r>
        <w:rPr>
          <w:strike w:val="0"/>
          <w:sz w:val="24"/>
        </w:rPr>
        <w:t>Constitution </w:t>
      </w:r>
      <w:r>
        <w:rPr>
          <w:strike w:val="0"/>
          <w:color w:val="2E97D3"/>
          <w:sz w:val="24"/>
          <w:u w:val="single" w:color="2E97D3"/>
        </w:rPr>
        <w:t>also </w:t>
      </w:r>
      <w:r>
        <w:rPr>
          <w:strike w:val="0"/>
          <w:sz w:val="24"/>
        </w:rPr>
        <w:t>requires </w:t>
      </w:r>
      <w:r>
        <w:rPr>
          <w:rFonts w:ascii="Times New Roman"/>
          <w:b/>
          <w:strike/>
          <w:color w:val="2E97D3"/>
          <w:sz w:val="16"/>
        </w:rPr>
        <w:t>that </w:t>
      </w:r>
      <w:r>
        <w:rPr>
          <w:strike w:val="0"/>
          <w:sz w:val="24"/>
        </w:rPr>
        <w:t>the </w:t>
      </w:r>
      <w:r>
        <w:rPr>
          <w:strike w:val="0"/>
          <w:color w:val="2E97D3"/>
          <w:sz w:val="24"/>
          <w:u w:val="single" w:color="2E97D3"/>
        </w:rPr>
        <w:t>Legislature to pass a </w:t>
      </w:r>
      <w:r>
        <w:rPr>
          <w:strike w:val="0"/>
          <w:sz w:val="24"/>
        </w:rPr>
        <w:t>Budget Bill </w:t>
      </w:r>
      <w:r>
        <w:rPr>
          <w:rFonts w:ascii="Times New Roman"/>
          <w:b/>
          <w:strike/>
          <w:color w:val="2E97D3"/>
          <w:sz w:val="16"/>
        </w:rPr>
        <w:t>signed by the Governor be balanced</w:t>
      </w:r>
      <w:r>
        <w:rPr>
          <w:strike w:val="0"/>
          <w:color w:val="2E97D3"/>
          <w:sz w:val="24"/>
          <w:u w:val="single" w:color="2E97D3"/>
        </w:rPr>
        <w:t>by June 15, or forfeit their pay during any delay</w:t>
      </w:r>
      <w:r>
        <w:rPr>
          <w:strike w:val="0"/>
          <w:sz w:val="24"/>
        </w:rPr>
        <w:t>.</w:t>
      </w:r>
    </w:p>
    <w:p>
      <w:pPr>
        <w:pStyle w:val="BodyText"/>
        <w:spacing w:before="181"/>
        <w:ind w:left="728" w:right="115"/>
        <w:jc w:val="both"/>
      </w:pPr>
      <w:r>
        <w:rPr/>
        <w:pict>
          <v:line style="position:absolute;mso-position-horizontal-relative:page;mso-position-vertical-relative:paragraph;z-index:-468808" from="537.960022pt,18.44586pt" to="540.000022pt,18.44586pt" stroked="true" strokeweight=".36pt" strokecolor="#2e97d3">
            <v:stroke dashstyle="solid"/>
            <w10:wrap type="none"/>
          </v:line>
        </w:pict>
      </w:r>
      <w:r>
        <w:rPr/>
        <w:pict>
          <v:line style="position:absolute;mso-position-horizontal-relative:page;mso-position-vertical-relative:paragraph;z-index:4096" from="36.360001pt,9.26586pt" to="36.360001pt,50.66586pt" stroked="true" strokeweight=".72pt" strokecolor="#000000">
            <v:stroke dashstyle="solid"/>
            <w10:wrap type="none"/>
          </v:line>
        </w:pict>
      </w:r>
      <w:r>
        <w:rPr/>
        <w:t>Finance publishes </w:t>
      </w:r>
      <w:r>
        <w:rPr>
          <w:rFonts w:ascii="Times New Roman" w:hAnsi="Times New Roman"/>
          <w:b/>
          <w:strike/>
          <w:color w:val="2E97D3"/>
          <w:sz w:val="16"/>
        </w:rPr>
        <w:t>three</w:t>
      </w:r>
      <w:r>
        <w:rPr>
          <w:strike w:val="0"/>
          <w:color w:val="2E97D3"/>
          <w:u w:val="single" w:color="2E97D3"/>
        </w:rPr>
        <w:t>these two particular </w:t>
      </w:r>
      <w:r>
        <w:rPr>
          <w:strike w:val="0"/>
        </w:rPr>
        <w:t>documents upon enactment of the Budget Act</w:t>
      </w:r>
      <w:r>
        <w:rPr>
          <w:rFonts w:ascii="Times New Roman" w:hAnsi="Times New Roman"/>
          <w:b/>
          <w:strike w:val="0"/>
          <w:color w:val="2E97D3"/>
          <w:sz w:val="16"/>
        </w:rPr>
        <w:t>. </w:t>
      </w:r>
      <w:r>
        <w:rPr>
          <w:rFonts w:ascii="Times New Roman" w:hAnsi="Times New Roman"/>
          <w:b/>
          <w:strike/>
          <w:color w:val="2E97D3"/>
          <w:sz w:val="16"/>
        </w:rPr>
        <w:t>All three </w:t>
      </w:r>
      <w:r>
        <w:rPr>
          <w:strike w:val="0"/>
          <w:color w:val="2E97D3"/>
          <w:u w:val="single" w:color="2E97D3"/>
        </w:rPr>
        <w:t>which are available for purchase in hard copy from the Office of State Publishing and </w:t>
      </w:r>
      <w:r>
        <w:rPr>
          <w:strike w:val="0"/>
        </w:rPr>
        <w:t>are available on </w:t>
      </w:r>
      <w:r>
        <w:rPr>
          <w:rFonts w:ascii="Times New Roman" w:hAnsi="Times New Roman"/>
          <w:b/>
          <w:strike/>
          <w:color w:val="2E97D3"/>
          <w:sz w:val="16"/>
        </w:rPr>
        <w:t>the Finance Website.</w:t>
      </w:r>
      <w:r>
        <w:rPr>
          <w:strike w:val="0"/>
          <w:color w:val="2E97D3"/>
          <w:u w:val="single" w:color="2E97D3"/>
        </w:rPr>
        <w:t>Finance’s website:</w:t>
      </w:r>
    </w:p>
    <w:p>
      <w:pPr>
        <w:pStyle w:val="ListParagraph"/>
        <w:numPr>
          <w:ilvl w:val="0"/>
          <w:numId w:val="5"/>
        </w:numPr>
        <w:tabs>
          <w:tab w:pos="1180" w:val="left" w:leader="none"/>
        </w:tabs>
        <w:spacing w:line="242" w:lineRule="auto" w:before="184" w:after="0"/>
        <w:ind w:left="1180" w:right="656" w:hanging="360"/>
        <w:jc w:val="left"/>
        <w:rPr>
          <w:sz w:val="24"/>
        </w:rPr>
      </w:pPr>
      <w:r>
        <w:rPr/>
        <w:pict>
          <v:line style="position:absolute;mso-position-horizontal-relative:page;mso-position-vertical-relative:paragraph;z-index:4120" from="36.360001pt,9.415845pt" to="36.360001pt,61.615845pt" stroked="true" strokeweight=".72pt" strokecolor="#000000">
            <v:stroke dashstyle="solid"/>
            <w10:wrap type="none"/>
          </v:line>
        </w:pict>
      </w:r>
      <w:r>
        <w:rPr>
          <w:strike/>
          <w:color w:val="2E97D3"/>
          <w:sz w:val="24"/>
        </w:rPr>
        <w:t>Budget Highlights – A highlight publication of narrative, charts, graphs, and veto messages (web only</w:t>
      </w:r>
      <w:r>
        <w:rPr>
          <w:strike/>
          <w:color w:val="2E97D3"/>
          <w:spacing w:val="-14"/>
          <w:sz w:val="24"/>
        </w:rPr>
        <w:t> </w:t>
      </w:r>
      <w:r>
        <w:rPr>
          <w:strike/>
          <w:color w:val="2E97D3"/>
          <w:sz w:val="24"/>
        </w:rPr>
        <w:t>publication).</w:t>
      </w:r>
    </w:p>
    <w:p>
      <w:pPr>
        <w:pStyle w:val="BodyText"/>
        <w:spacing w:before="194"/>
        <w:ind w:left="1540" w:right="654" w:hanging="360"/>
      </w:pPr>
      <w:r>
        <w:rPr/>
        <w:pict>
          <v:line style="position:absolute;mso-position-horizontal-relative:page;mso-position-vertical-relative:paragraph;z-index:-468784" from="170.759995pt,78.704445pt" to="173.999995pt,78.704445pt" stroked="true" strokeweight=".84pt" strokecolor="#2e97d3">
            <v:stroke dashstyle="solid"/>
            <w10:wrap type="none"/>
          </v:line>
        </w:pict>
      </w:r>
      <w:r>
        <w:rPr/>
        <w:pict>
          <v:line style="position:absolute;mso-position-horizontal-relative:page;mso-position-vertical-relative:paragraph;z-index:4144" from="36.360001pt,52.123444pt" to="36.360001pt,249.164444pt" stroked="true" strokeweight=".72pt" strokecolor="#000000">
            <v:stroke dashstyle="solid"/>
            <w10:wrap type="none"/>
          </v:line>
        </w:pict>
      </w:r>
      <w:r>
        <w:rPr>
          <w:rFonts w:ascii="Symbol" w:hAnsi="Symbol"/>
          <w:color w:val="2E97D3"/>
          <w:u w:val="single" w:color="2E97D3"/>
        </w:rPr>
        <w:t></w:t>
      </w:r>
      <w:r>
        <w:rPr>
          <w:strike/>
          <w:color w:val="2E97D3"/>
        </w:rPr>
        <w:t>2. </w:t>
      </w:r>
      <w:r>
        <w:rPr>
          <w:strike w:val="0"/>
        </w:rPr>
        <w:t>Final Budget Summary – </w:t>
      </w:r>
      <w:r>
        <w:rPr>
          <w:strike/>
          <w:color w:val="2E97D3"/>
        </w:rPr>
        <w:t>This document is an </w:t>
      </w:r>
      <w:r>
        <w:rPr>
          <w:strike w:val="0"/>
          <w:color w:val="2E97D3"/>
          <w:u w:val="single" w:color="2E97D3"/>
        </w:rPr>
        <w:t>An </w:t>
      </w:r>
      <w:r>
        <w:rPr>
          <w:strike w:val="0"/>
        </w:rPr>
        <w:t>annotated version of the Budget Act which includes summary tables, technical corrections to the Budget Act, and the effect of vetoes on the items and sections of the Budget Act </w:t>
      </w:r>
      <w:r>
        <w:rPr>
          <w:strike/>
          <w:color w:val="2E97D3"/>
        </w:rPr>
        <w:t>(also available for purchase in hard copy from the Office of State Publishing).</w:t>
      </w:r>
      <w:r>
        <w:rPr>
          <w:strike w:val="0"/>
          <w:color w:val="2E97D3"/>
        </w:rPr>
        <w:t>.</w:t>
      </w:r>
    </w:p>
    <w:p>
      <w:pPr>
        <w:pStyle w:val="BodyText"/>
        <w:spacing w:before="10"/>
        <w:rPr>
          <w:sz w:val="20"/>
        </w:rPr>
      </w:pPr>
    </w:p>
    <w:p>
      <w:pPr>
        <w:pStyle w:val="BodyText"/>
        <w:ind w:left="1540" w:right="454" w:hanging="360"/>
      </w:pPr>
      <w:r>
        <w:rPr/>
        <w:pict>
          <v:line style="position:absolute;mso-position-horizontal-relative:page;mso-position-vertical-relative:paragraph;z-index:-468760" from="486.839996pt,41.404449pt" to="490.200996pt,41.404449pt" stroked="true" strokeweight=".84pt" strokecolor="#2e97d3">
            <v:stroke dashstyle="solid"/>
            <w10:wrap type="none"/>
          </v:line>
        </w:pict>
      </w:r>
      <w:r>
        <w:rPr>
          <w:rFonts w:ascii="Symbol" w:hAnsi="Symbol"/>
          <w:color w:val="2E97D3"/>
          <w:u w:val="single" w:color="2E97D3"/>
        </w:rPr>
        <w:t></w:t>
      </w:r>
      <w:r>
        <w:rPr>
          <w:strike/>
          <w:color w:val="2E97D3"/>
        </w:rPr>
        <w:t>3. </w:t>
      </w:r>
      <w:r>
        <w:rPr>
          <w:strike w:val="0"/>
        </w:rPr>
        <w:t>Final Change Book</w:t>
      </w:r>
      <w:r>
        <w:rPr>
          <w:strike/>
          <w:color w:val="2E97D3"/>
        </w:rPr>
        <w:t>—This document provides the </w:t>
      </w:r>
      <w:r>
        <w:rPr>
          <w:strike w:val="0"/>
          <w:color w:val="2E97D3"/>
          <w:u w:val="single" w:color="2E97D3"/>
        </w:rPr>
        <w:t>– The </w:t>
      </w:r>
      <w:r>
        <w:rPr>
          <w:strike w:val="0"/>
        </w:rPr>
        <w:t>detail of changes between the January 10 budget </w:t>
      </w:r>
      <w:r>
        <w:rPr>
          <w:strike w:val="0"/>
          <w:color w:val="2E97D3"/>
          <w:u w:val="single" w:color="2E97D3"/>
        </w:rPr>
        <w:t>proposal </w:t>
      </w:r>
      <w:r>
        <w:rPr>
          <w:strike w:val="0"/>
        </w:rPr>
        <w:t>and the enacted budget </w:t>
      </w:r>
      <w:r>
        <w:rPr>
          <w:strike/>
          <w:color w:val="2E97D3"/>
        </w:rPr>
        <w:t>(also available for purchase in hard copy from the Office of State Publishing).</w:t>
      </w:r>
      <w:r>
        <w:rPr>
          <w:strike w:val="0"/>
          <w:color w:val="2E97D3"/>
        </w:rPr>
        <w:t>.</w:t>
      </w:r>
    </w:p>
    <w:p>
      <w:pPr>
        <w:spacing w:line="183" w:lineRule="exact" w:before="1"/>
        <w:ind w:left="728" w:right="0" w:firstLine="0"/>
        <w:jc w:val="both"/>
        <w:rPr>
          <w:rFonts w:ascii="Times New Roman"/>
          <w:b/>
          <w:sz w:val="16"/>
        </w:rPr>
      </w:pPr>
      <w:r>
        <w:rPr>
          <w:rFonts w:ascii="Times New Roman"/>
          <w:b/>
          <w:strike/>
          <w:color w:val="2E97D3"/>
          <w:sz w:val="16"/>
        </w:rPr>
        <w:t>There are generally</w:t>
      </w:r>
    </w:p>
    <w:p>
      <w:pPr>
        <w:spacing w:before="0"/>
        <w:ind w:left="728" w:right="115" w:firstLine="0"/>
        <w:jc w:val="both"/>
        <w:rPr>
          <w:sz w:val="24"/>
        </w:rPr>
      </w:pPr>
      <w:r>
        <w:rPr/>
        <w:pict>
          <v:line style="position:absolute;mso-position-horizontal-relative:page;mso-position-vertical-relative:paragraph;z-index:-468736" from="536.640015pt,26.795866pt" to="540.000015pt,26.795866pt" stroked="true" strokeweight=".84pt" strokecolor="#2e97d3">
            <v:stroke dashstyle="solid"/>
            <w10:wrap type="none"/>
          </v:line>
        </w:pict>
      </w:r>
      <w:r>
        <w:rPr/>
        <w:pict>
          <v:line style="position:absolute;mso-position-horizontal-relative:page;mso-position-vertical-relative:paragraph;z-index:-468712" from="462.480011pt,40.595867pt" to="466.440011pt,40.595867pt" stroked="true" strokeweight=".84pt" strokecolor="#2e97d3">
            <v:stroke dashstyle="solid"/>
            <w10:wrap type="none"/>
          </v:line>
        </w:pict>
      </w:r>
      <w:r>
        <w:rPr/>
        <w:pict>
          <v:line style="position:absolute;mso-position-horizontal-relative:page;mso-position-vertical-relative:paragraph;z-index:-468688" from="506.040009pt,40.595867pt" to="510.000009pt,40.595867pt" stroked="true" strokeweight=".84pt" strokecolor="#2e97d3">
            <v:stroke dashstyle="solid"/>
            <w10:wrap type="none"/>
          </v:line>
        </w:pict>
      </w:r>
      <w:r>
        <w:rPr/>
        <w:pict>
          <v:line style="position:absolute;mso-position-horizontal-relative:page;mso-position-vertical-relative:paragraph;z-index:-468664" from="382.559998pt,50.795864pt" to="386.279998pt,50.795864pt" stroked="true" strokeweight=".36pt" strokecolor="#2e97d3">
            <v:stroke dashstyle="solid"/>
            <w10:wrap type="none"/>
          </v:line>
        </w:pict>
      </w:r>
      <w:r>
        <w:rPr/>
        <w:pict>
          <v:group style="position:absolute;margin-left:373.959991pt;margin-top:78.195862pt;width:6.05pt;height:4.25pt;mso-position-horizontal-relative:page;mso-position-vertical-relative:paragraph;z-index:-468640" coordorigin="7479,1564" coordsize="121,85">
            <v:line style="position:absolute" from="7524,1640" to="7591,1640" stroked="true" strokeweight=".84pt" strokecolor="#2e97d3">
              <v:stroke dashstyle="solid"/>
            </v:line>
            <v:line style="position:absolute" from="7483,1568" to="7524,1568" stroked="true" strokeweight=".36pt" strokecolor="#2e97d3">
              <v:stroke dashstyle="solid"/>
            </v:line>
            <w10:wrap type="none"/>
          </v:group>
        </w:pict>
      </w:r>
      <w:r>
        <w:rPr>
          <w:color w:val="2E97D3"/>
          <w:sz w:val="24"/>
          <w:u w:val="single" w:color="2E97D3"/>
        </w:rPr>
        <w:t>Often </w:t>
      </w:r>
      <w:r>
        <w:rPr>
          <w:sz w:val="24"/>
        </w:rPr>
        <w:t>budget changes proposed by the Governor or the Legislature </w:t>
      </w:r>
      <w:r>
        <w:rPr>
          <w:rFonts w:ascii="Times New Roman" w:hAnsi="Times New Roman"/>
          <w:b/>
          <w:strike/>
          <w:color w:val="2E97D3"/>
          <w:sz w:val="16"/>
        </w:rPr>
        <w:t>which necessitate</w:t>
      </w:r>
      <w:r>
        <w:rPr>
          <w:strike w:val="0"/>
          <w:color w:val="2E97D3"/>
          <w:sz w:val="24"/>
          <w:u w:val="single" w:color="2E97D3"/>
        </w:rPr>
        <w:t>require </w:t>
      </w:r>
      <w:r>
        <w:rPr>
          <w:strike w:val="0"/>
          <w:sz w:val="24"/>
        </w:rPr>
        <w:t>changes to existing law in order to implement </w:t>
      </w:r>
      <w:r>
        <w:rPr>
          <w:rFonts w:ascii="Times New Roman" w:hAnsi="Times New Roman"/>
          <w:b/>
          <w:strike/>
          <w:color w:val="2E97D3"/>
          <w:sz w:val="16"/>
        </w:rPr>
        <w:t>the budget changes. If</w:t>
      </w:r>
      <w:r>
        <w:rPr>
          <w:strike w:val="0"/>
          <w:color w:val="2E97D3"/>
          <w:sz w:val="24"/>
          <w:u w:val="single" w:color="2E97D3"/>
        </w:rPr>
        <w:t>. To accomplish </w:t>
      </w:r>
      <w:r>
        <w:rPr>
          <w:strike w:val="0"/>
          <w:sz w:val="24"/>
        </w:rPr>
        <w:t>this </w:t>
      </w:r>
      <w:r>
        <w:rPr>
          <w:rFonts w:ascii="Times New Roman" w:hAnsi="Times New Roman"/>
          <w:b/>
          <w:strike/>
          <w:color w:val="2E97D3"/>
          <w:sz w:val="16"/>
        </w:rPr>
        <w:t>is the case,</w:t>
      </w:r>
      <w:r>
        <w:rPr>
          <w:strike w:val="0"/>
          <w:color w:val="2E97D3"/>
          <w:sz w:val="24"/>
        </w:rPr>
        <w:t>, </w:t>
      </w:r>
      <w:r>
        <w:rPr>
          <w:strike w:val="0"/>
          <w:color w:val="2E97D3"/>
          <w:sz w:val="24"/>
          <w:u w:val="single" w:color="2E97D3"/>
        </w:rPr>
        <w:t>various </w:t>
      </w:r>
      <w:r>
        <w:rPr>
          <w:strike w:val="0"/>
          <w:sz w:val="24"/>
        </w:rPr>
        <w:t>separate bills </w:t>
      </w:r>
      <w:r>
        <w:rPr>
          <w:rFonts w:ascii="Times New Roman" w:hAnsi="Times New Roman"/>
          <w:b/>
          <w:strike/>
          <w:color w:val="2E97D3"/>
          <w:sz w:val="16"/>
        </w:rPr>
        <w:t>are introduced to implement the change. These budget implementation bills are </w:t>
      </w:r>
      <w:r>
        <w:rPr>
          <w:strike w:val="0"/>
          <w:color w:val="2E97D3"/>
          <w:sz w:val="24"/>
        </w:rPr>
        <w:t>(</w:t>
      </w:r>
      <w:r>
        <w:rPr>
          <w:strike w:val="0"/>
          <w:sz w:val="24"/>
        </w:rPr>
        <w:t>called </w:t>
      </w:r>
      <w:r>
        <w:rPr>
          <w:rFonts w:ascii="Times New Roman" w:hAnsi="Times New Roman"/>
          <w:b/>
          <w:strike/>
          <w:color w:val="2E97D3"/>
          <w:sz w:val="16"/>
        </w:rPr>
        <w:t>"</w:t>
      </w:r>
      <w:r>
        <w:rPr>
          <w:strike w:val="0"/>
          <w:color w:val="2E97D3"/>
          <w:sz w:val="24"/>
        </w:rPr>
        <w:t>“</w:t>
      </w:r>
      <w:r>
        <w:rPr>
          <w:strike w:val="0"/>
          <w:sz w:val="24"/>
        </w:rPr>
        <w:t>trailer bills</w:t>
      </w:r>
      <w:r>
        <w:rPr>
          <w:rFonts w:ascii="Times New Roman" w:hAnsi="Times New Roman"/>
          <w:b/>
          <w:strike/>
          <w:color w:val="2E97D3"/>
          <w:sz w:val="16"/>
        </w:rPr>
        <w:t>"</w:t>
      </w:r>
      <w:r>
        <w:rPr>
          <w:rFonts w:ascii="Times New Roman" w:hAnsi="Times New Roman"/>
          <w:b/>
          <w:strike/>
          <w:color w:val="2E97D3"/>
          <w:spacing w:val="-9"/>
          <w:sz w:val="16"/>
        </w:rPr>
        <w:t> </w:t>
      </w:r>
      <w:r>
        <w:rPr>
          <w:rFonts w:ascii="Times New Roman" w:hAnsi="Times New Roman"/>
          <w:b/>
          <w:strike/>
          <w:color w:val="2E97D3"/>
          <w:sz w:val="16"/>
        </w:rPr>
        <w:t>and</w:t>
      </w:r>
      <w:r>
        <w:rPr>
          <w:rFonts w:ascii="Times New Roman" w:hAnsi="Times New Roman"/>
          <w:b/>
          <w:strike/>
          <w:color w:val="2E97D3"/>
          <w:spacing w:val="-9"/>
          <w:sz w:val="16"/>
        </w:rPr>
        <w:t> </w:t>
      </w:r>
      <w:r>
        <w:rPr>
          <w:rFonts w:ascii="Times New Roman" w:hAnsi="Times New Roman"/>
          <w:b/>
          <w:strike/>
          <w:color w:val="2E97D3"/>
          <w:sz w:val="16"/>
        </w:rPr>
        <w:t>are</w:t>
      </w:r>
      <w:r>
        <w:rPr>
          <w:rFonts w:ascii="Times New Roman" w:hAnsi="Times New Roman"/>
          <w:b/>
          <w:strike/>
          <w:color w:val="2E97D3"/>
          <w:spacing w:val="-8"/>
          <w:sz w:val="16"/>
        </w:rPr>
        <w:t> </w:t>
      </w:r>
      <w:r>
        <w:rPr>
          <w:rFonts w:ascii="Times New Roman" w:hAnsi="Times New Roman"/>
          <w:b/>
          <w:strike/>
          <w:color w:val="2E97D3"/>
          <w:sz w:val="16"/>
        </w:rPr>
        <w:t>heard</w:t>
      </w:r>
      <w:r>
        <w:rPr>
          <w:rFonts w:ascii="Times New Roman" w:hAnsi="Times New Roman"/>
          <w:b/>
          <w:strike/>
          <w:color w:val="2E97D3"/>
          <w:spacing w:val="-9"/>
          <w:sz w:val="16"/>
        </w:rPr>
        <w:t> </w:t>
      </w:r>
      <w:r>
        <w:rPr>
          <w:rFonts w:ascii="Times New Roman" w:hAnsi="Times New Roman"/>
          <w:b/>
          <w:strike/>
          <w:color w:val="2E97D3"/>
          <w:sz w:val="16"/>
        </w:rPr>
        <w:t>concurrently</w:t>
      </w:r>
      <w:r>
        <w:rPr>
          <w:rFonts w:ascii="Times New Roman" w:hAnsi="Times New Roman"/>
          <w:b/>
          <w:strike/>
          <w:color w:val="2E97D3"/>
          <w:spacing w:val="-12"/>
          <w:sz w:val="16"/>
        </w:rPr>
        <w:t> </w:t>
      </w:r>
      <w:r>
        <w:rPr>
          <w:rFonts w:ascii="Times New Roman" w:hAnsi="Times New Roman"/>
          <w:b/>
          <w:strike/>
          <w:color w:val="2E97D3"/>
          <w:sz w:val="16"/>
        </w:rPr>
        <w:t>with</w:t>
      </w:r>
      <w:r>
        <w:rPr>
          <w:strike w:val="0"/>
          <w:color w:val="2E97D3"/>
          <w:sz w:val="24"/>
          <w:u w:val="single" w:color="2E97D3"/>
        </w:rPr>
        <w:t>”</w:t>
      </w:r>
      <w:r>
        <w:rPr>
          <w:strike w:val="0"/>
          <w:color w:val="2E97D3"/>
          <w:spacing w:val="-16"/>
          <w:sz w:val="24"/>
          <w:u w:val="single" w:color="2E97D3"/>
        </w:rPr>
        <w:t> </w:t>
      </w:r>
      <w:r>
        <w:rPr>
          <w:strike w:val="0"/>
          <w:color w:val="2E97D3"/>
          <w:sz w:val="24"/>
          <w:u w:val="single" w:color="2E97D3"/>
        </w:rPr>
        <w:t>because</w:t>
      </w:r>
      <w:r>
        <w:rPr>
          <w:strike w:val="0"/>
          <w:color w:val="2E97D3"/>
          <w:spacing w:val="-14"/>
          <w:sz w:val="24"/>
          <w:u w:val="single" w:color="2E97D3"/>
        </w:rPr>
        <w:t> </w:t>
      </w:r>
      <w:r>
        <w:rPr>
          <w:strike w:val="0"/>
          <w:color w:val="2E97D3"/>
          <w:sz w:val="24"/>
          <w:u w:val="single" w:color="2E97D3"/>
        </w:rPr>
        <w:t>they</w:t>
      </w:r>
      <w:r>
        <w:rPr>
          <w:strike w:val="0"/>
          <w:color w:val="2E97D3"/>
          <w:spacing w:val="-17"/>
          <w:sz w:val="24"/>
          <w:u w:val="single" w:color="2E97D3"/>
        </w:rPr>
        <w:t> </w:t>
      </w:r>
      <w:r>
        <w:rPr>
          <w:strike w:val="0"/>
          <w:color w:val="2E97D3"/>
          <w:sz w:val="24"/>
          <w:u w:val="single" w:color="2E97D3"/>
        </w:rPr>
        <w:t>trail</w:t>
      </w:r>
      <w:r>
        <w:rPr>
          <w:strike w:val="0"/>
          <w:color w:val="2E97D3"/>
          <w:spacing w:val="-15"/>
          <w:sz w:val="24"/>
          <w:u w:val="single" w:color="2E97D3"/>
        </w:rPr>
        <w:t> </w:t>
      </w:r>
      <w:r>
        <w:rPr>
          <w:strike w:val="0"/>
          <w:sz w:val="24"/>
        </w:rPr>
        <w:t>the</w:t>
      </w:r>
      <w:r>
        <w:rPr>
          <w:strike w:val="0"/>
          <w:spacing w:val="-14"/>
          <w:sz w:val="24"/>
        </w:rPr>
        <w:t> </w:t>
      </w:r>
      <w:r>
        <w:rPr>
          <w:strike w:val="0"/>
          <w:sz w:val="24"/>
        </w:rPr>
        <w:t>Budget</w:t>
      </w:r>
      <w:r>
        <w:rPr>
          <w:strike w:val="0"/>
          <w:spacing w:val="-14"/>
          <w:sz w:val="24"/>
        </w:rPr>
        <w:t> </w:t>
      </w:r>
      <w:r>
        <w:rPr>
          <w:strike w:val="0"/>
          <w:sz w:val="24"/>
        </w:rPr>
        <w:t>Bill</w:t>
      </w:r>
      <w:r>
        <w:rPr>
          <w:rFonts w:ascii="Times New Roman" w:hAnsi="Times New Roman"/>
          <w:b/>
          <w:strike w:val="0"/>
          <w:color w:val="2E97D3"/>
          <w:sz w:val="16"/>
        </w:rPr>
        <w:t>.</w:t>
      </w:r>
      <w:r>
        <w:rPr>
          <w:rFonts w:ascii="Times New Roman" w:hAnsi="Times New Roman"/>
          <w:b/>
          <w:strike w:val="0"/>
          <w:color w:val="2E97D3"/>
          <w:spacing w:val="-20"/>
          <w:sz w:val="16"/>
        </w:rPr>
        <w:t> </w:t>
      </w:r>
      <w:r>
        <w:rPr>
          <w:strike w:val="0"/>
          <w:color w:val="2E97D3"/>
          <w:sz w:val="24"/>
          <w:u w:val="single" w:color="2E97D3"/>
        </w:rPr>
        <w:t>)</w:t>
      </w:r>
      <w:r>
        <w:rPr>
          <w:strike w:val="0"/>
          <w:color w:val="2E97D3"/>
          <w:spacing w:val="-16"/>
          <w:sz w:val="24"/>
          <w:u w:val="single" w:color="2E97D3"/>
        </w:rPr>
        <w:t> </w:t>
      </w:r>
      <w:r>
        <w:rPr>
          <w:strike w:val="0"/>
          <w:color w:val="2E97D3"/>
          <w:sz w:val="24"/>
          <w:u w:val="single" w:color="2E97D3"/>
        </w:rPr>
        <w:t>are</w:t>
      </w:r>
      <w:r>
        <w:rPr>
          <w:strike w:val="0"/>
          <w:color w:val="2E97D3"/>
          <w:spacing w:val="-14"/>
          <w:sz w:val="24"/>
          <w:u w:val="single" w:color="2E97D3"/>
        </w:rPr>
        <w:t> </w:t>
      </w:r>
      <w:r>
        <w:rPr>
          <w:strike w:val="0"/>
          <w:color w:val="2E97D3"/>
          <w:sz w:val="24"/>
          <w:u w:val="single" w:color="2E97D3"/>
        </w:rPr>
        <w:t>introduced</w:t>
      </w:r>
      <w:r>
        <w:rPr>
          <w:strike w:val="0"/>
          <w:color w:val="2E97D3"/>
          <w:spacing w:val="-14"/>
          <w:sz w:val="24"/>
          <w:u w:val="single" w:color="2E97D3"/>
        </w:rPr>
        <w:t> </w:t>
      </w:r>
      <w:r>
        <w:rPr>
          <w:strike w:val="0"/>
          <w:color w:val="2E97D3"/>
          <w:sz w:val="24"/>
          <w:u w:val="single" w:color="2E97D3"/>
        </w:rPr>
        <w:t>to</w:t>
      </w:r>
      <w:r>
        <w:rPr>
          <w:strike w:val="0"/>
          <w:color w:val="2E97D3"/>
          <w:spacing w:val="-14"/>
          <w:sz w:val="24"/>
          <w:u w:val="single" w:color="2E97D3"/>
        </w:rPr>
        <w:t> </w:t>
      </w:r>
      <w:r>
        <w:rPr>
          <w:strike w:val="0"/>
          <w:color w:val="2E97D3"/>
          <w:sz w:val="24"/>
          <w:u w:val="single" w:color="2E97D3"/>
        </w:rPr>
        <w:t>implement these changes. </w:t>
      </w:r>
      <w:r>
        <w:rPr>
          <w:strike w:val="0"/>
          <w:sz w:val="24"/>
        </w:rPr>
        <w:t>By law, all proposed statutory changes necessary to implement the Governor’s Budget are due to the Legislature by February</w:t>
      </w:r>
      <w:r>
        <w:rPr>
          <w:strike w:val="0"/>
          <w:spacing w:val="8"/>
          <w:sz w:val="24"/>
        </w:rPr>
        <w:t> </w:t>
      </w:r>
      <w:r>
        <w:rPr>
          <w:strike w:val="0"/>
          <w:sz w:val="24"/>
        </w:rPr>
        <w:t>1.</w:t>
      </w:r>
    </w:p>
    <w:p>
      <w:pPr>
        <w:spacing w:after="0"/>
        <w:jc w:val="both"/>
        <w:rPr>
          <w:sz w:val="24"/>
        </w:rPr>
        <w:sectPr>
          <w:footerReference w:type="default" r:id="rId37"/>
          <w:pgSz w:w="12240" w:h="15840"/>
          <w:pgMar w:footer="792" w:header="724" w:top="980" w:bottom="980" w:left="620" w:right="1320"/>
        </w:sectPr>
      </w:pPr>
    </w:p>
    <w:p>
      <w:pPr>
        <w:pStyle w:val="BodyText"/>
        <w:rPr>
          <w:sz w:val="20"/>
        </w:rPr>
      </w:pPr>
    </w:p>
    <w:p>
      <w:pPr>
        <w:pStyle w:val="BodyText"/>
        <w:spacing w:before="214"/>
        <w:ind w:left="820"/>
      </w:pPr>
      <w:r>
        <w:rPr/>
        <w:pict>
          <v:line style="position:absolute;mso-position-horizontal-relative:page;mso-position-vertical-relative:paragraph;z-index:4168" from="36.360001pt,10.915881pt" to="36.360001pt,47.995881pt" stroked="true" strokeweight=".72pt" strokecolor="#000000">
            <v:stroke dashstyle="solid"/>
            <w10:wrap type="none"/>
          </v:line>
        </w:pict>
      </w:r>
      <w:r>
        <w:rPr>
          <w:strike/>
          <w:color w:val="2E97D3"/>
        </w:rPr>
        <w:t>Administration</w:t>
      </w:r>
    </w:p>
    <w:p>
      <w:pPr>
        <w:spacing w:after="0"/>
        <w:sectPr>
          <w:pgSz w:w="12240" w:h="15840"/>
          <w:pgMar w:header="724" w:footer="792" w:top="980" w:bottom="980" w:left="620" w:right="1720"/>
        </w:sectPr>
      </w:pPr>
    </w:p>
    <w:p>
      <w:pPr>
        <w:pStyle w:val="BodyText"/>
        <w:rPr>
          <w:sz w:val="20"/>
        </w:rPr>
      </w:pPr>
    </w:p>
    <w:p>
      <w:pPr>
        <w:pStyle w:val="Heading2"/>
        <w:tabs>
          <w:tab w:pos="9639" w:val="left" w:leader="none"/>
        </w:tabs>
        <w:spacing w:before="214"/>
        <w:ind w:left="820"/>
        <w:jc w:val="both"/>
      </w:pPr>
      <w:r>
        <w:rPr/>
        <w:pict>
          <v:line style="position:absolute;mso-position-horizontal-relative:page;mso-position-vertical-relative:paragraph;z-index:4432" from="36.360001pt,10.915881pt" to="36.360001pt,38.515881pt" stroked="true" strokeweight=".72pt" strokecolor="#000000">
            <v:stroke dashstyle="solid"/>
            <w10:wrap type="none"/>
          </v:line>
        </w:pict>
      </w:r>
      <w:r>
        <w:rPr>
          <w:color w:val="2E97D3"/>
          <w:u w:val="thick" w:color="2E97D3"/>
        </w:rPr>
        <w:t>ADMINISTRATION</w:t>
      </w:r>
      <w:r>
        <w:rPr>
          <w:color w:val="2E97D3"/>
        </w:rPr>
        <w:tab/>
      </w:r>
      <w:r>
        <w:rPr/>
        <w:t>6140</w:t>
      </w:r>
    </w:p>
    <w:p>
      <w:pPr>
        <w:spacing w:before="0"/>
        <w:ind w:left="820" w:right="0" w:firstLine="0"/>
        <w:jc w:val="both"/>
        <w:rPr>
          <w:sz w:val="24"/>
        </w:rPr>
      </w:pPr>
      <w:r>
        <w:rPr>
          <w:sz w:val="24"/>
        </w:rPr>
        <w:t>(Revised </w:t>
      </w:r>
      <w:r>
        <w:rPr>
          <w:rFonts w:ascii="Times New Roman"/>
          <w:b/>
          <w:strike/>
          <w:color w:val="2E97D3"/>
          <w:sz w:val="16"/>
        </w:rPr>
        <w:t>9/2010</w:t>
      </w:r>
      <w:r>
        <w:rPr>
          <w:strike w:val="0"/>
          <w:color w:val="2E97D3"/>
          <w:sz w:val="24"/>
          <w:u w:val="single" w:color="2E97D3"/>
        </w:rPr>
        <w:t>10/2017</w:t>
      </w:r>
      <w:r>
        <w:rPr>
          <w:strike w:val="0"/>
          <w:sz w:val="24"/>
        </w:rPr>
        <w:t>)</w:t>
      </w:r>
    </w:p>
    <w:p>
      <w:pPr>
        <w:pStyle w:val="BodyText"/>
        <w:spacing w:before="185"/>
        <w:ind w:left="820" w:right="115"/>
        <w:jc w:val="both"/>
      </w:pPr>
      <w:r>
        <w:rPr/>
        <w:pict>
          <v:line style="position:absolute;mso-position-horizontal-relative:page;mso-position-vertical-relative:paragraph;z-index:4456" from="36.360001pt,9.465855pt" to="36.360001pt,37.065855pt" stroked="true" strokeweight=".72pt" strokecolor="#000000">
            <v:stroke dashstyle="solid"/>
            <w10:wrap type="none"/>
          </v:line>
        </w:pict>
      </w:r>
      <w:r>
        <w:rPr/>
        <w:t>The </w:t>
      </w:r>
      <w:r>
        <w:rPr>
          <w:color w:val="2E97D3"/>
          <w:u w:val="single" w:color="2E97D3"/>
        </w:rPr>
        <w:t>annual </w:t>
      </w:r>
      <w:r>
        <w:rPr/>
        <w:t>Budget Act is the primary source for appropriations</w:t>
      </w:r>
      <w:r>
        <w:rPr>
          <w:rFonts w:ascii="Times New Roman"/>
          <w:b/>
          <w:strike/>
          <w:color w:val="2E97D3"/>
          <w:sz w:val="16"/>
        </w:rPr>
        <w:t>. </w:t>
      </w:r>
      <w:r>
        <w:rPr>
          <w:strike w:val="0"/>
          <w:color w:val="2E97D3"/>
          <w:u w:val="single" w:color="2E97D3"/>
        </w:rPr>
        <w:t>that provide legal authority to expend. </w:t>
      </w:r>
      <w:r>
        <w:rPr>
          <w:strike w:val="0"/>
        </w:rPr>
        <w:t>The Constitution and </w:t>
      </w:r>
      <w:r>
        <w:rPr>
          <w:rFonts w:ascii="Times New Roman"/>
          <w:b/>
          <w:strike/>
          <w:color w:val="2E97D3"/>
          <w:sz w:val="16"/>
        </w:rPr>
        <w:t>special</w:t>
      </w:r>
      <w:r>
        <w:rPr>
          <w:strike w:val="0"/>
          <w:color w:val="2E97D3"/>
          <w:u w:val="single" w:color="2E97D3"/>
        </w:rPr>
        <w:t>other </w:t>
      </w:r>
      <w:r>
        <w:rPr>
          <w:strike w:val="0"/>
        </w:rPr>
        <w:t>legislation also provide expenditure authority.</w:t>
      </w:r>
    </w:p>
    <w:p>
      <w:pPr>
        <w:pStyle w:val="BodyText"/>
        <w:spacing w:line="214" w:lineRule="exact"/>
        <w:ind w:left="99"/>
        <w:rPr>
          <w:sz w:val="20"/>
        </w:rPr>
      </w:pPr>
      <w:r>
        <w:rPr>
          <w:position w:val="-3"/>
          <w:sz w:val="20"/>
        </w:rPr>
        <w:pict>
          <v:group style="width:.75pt;height:10.75pt;mso-position-horizontal-relative:char;mso-position-vertical-relative:line" coordorigin="0,0" coordsize="15,215">
            <v:line style="position:absolute" from="8,8" to="8,207" stroked="true" strokeweight=".72pt" strokecolor="#000000">
              <v:stroke dashstyle="solid"/>
            </v:line>
          </v:group>
        </w:pict>
      </w:r>
      <w:r>
        <w:rPr>
          <w:position w:val="-3"/>
          <w:sz w:val="20"/>
        </w:rPr>
      </w:r>
    </w:p>
    <w:p>
      <w:pPr>
        <w:pStyle w:val="BodyText"/>
        <w:ind w:left="820" w:right="114"/>
        <w:jc w:val="both"/>
      </w:pPr>
      <w:r>
        <w:rPr/>
        <w:pict>
          <v:line style="position:absolute;mso-position-horizontal-relative:page;mso-position-vertical-relative:paragraph;z-index:-468448" from="423.839996pt,64.595871pt" to="426.120996pt,64.595871pt" stroked="true" strokeweight=".36pt" strokecolor="#2e97d3">
            <v:stroke dashstyle="solid"/>
            <w10:wrap type="none"/>
          </v:line>
        </w:pict>
      </w:r>
      <w:r>
        <w:rPr/>
        <w:pict>
          <v:line style="position:absolute;mso-position-horizontal-relative:page;mso-position-vertical-relative:paragraph;z-index:-468424" from="164.520004pt,105.995872pt" to="166.320004pt,105.995872pt" stroked="true" strokeweight=".36pt" strokecolor="#2e97d3">
            <v:stroke dashstyle="solid"/>
            <w10:wrap type="none"/>
          </v:line>
        </w:pict>
      </w:r>
      <w:r>
        <w:rPr/>
        <w:pict>
          <v:line style="position:absolute;mso-position-horizontal-relative:page;mso-position-vertical-relative:paragraph;z-index:-468400" from="206.160004pt,119.795868pt" to="209.279004pt,119.795868pt" stroked="true" strokeweight=".36pt" strokecolor="#2e97d3">
            <v:stroke dashstyle="solid"/>
            <w10:wrap type="none"/>
          </v:line>
        </w:pict>
      </w:r>
      <w:r>
        <w:rPr/>
        <w:pict>
          <v:line style="position:absolute;mso-position-horizontal-relative:page;mso-position-vertical-relative:paragraph;z-index:-468376" from="476.279999pt,147.395874pt" to="479.519999pt,147.395874pt" stroked="true" strokeweight=".36pt" strokecolor="#2e97d3">
            <v:stroke dashstyle="solid"/>
            <w10:wrap type="none"/>
          </v:line>
        </w:pict>
      </w:r>
      <w:r>
        <w:rPr/>
        <w:pict>
          <v:line style="position:absolute;mso-position-horizontal-relative:page;mso-position-vertical-relative:paragraph;z-index:4480" from="36.360001pt,14.015869pt" to="36.360001pt,41.615869pt" stroked="true" strokeweight=".72pt" strokecolor="#000000">
            <v:stroke dashstyle="solid"/>
            <w10:wrap type="none"/>
          </v:line>
        </w:pict>
      </w:r>
      <w:r>
        <w:rPr/>
        <w:pict>
          <v:line style="position:absolute;mso-position-horizontal-relative:page;mso-position-vertical-relative:paragraph;z-index:4504" from="36.360001pt,55.415871pt" to="36.360001pt,124.415871pt" stroked="true" strokeweight=".72pt" strokecolor="#000000">
            <v:stroke dashstyle="solid"/>
            <w10:wrap type="none"/>
          </v:line>
        </w:pict>
      </w:r>
      <w:r>
        <w:rPr/>
        <w:pict>
          <v:line style="position:absolute;mso-position-horizontal-relative:page;mso-position-vertical-relative:paragraph;z-index:4528" from="36.360001pt,138.214874pt" to="36.360001pt,152.015874pt" stroked="true" strokeweight=".72pt" strokecolor="#000000">
            <v:stroke dashstyle="solid"/>
            <w10:wrap type="none"/>
          </v:line>
        </w:pict>
      </w:r>
      <w:r>
        <w:rPr/>
        <w:pict>
          <v:line style="position:absolute;mso-position-horizontal-relative:page;mso-position-vertical-relative:paragraph;z-index:4552" from="36.360001pt,165.815872pt" to="36.360001pt,314.975872pt" stroked="true" strokeweight=".72pt" strokecolor="#000000">
            <v:stroke dashstyle="solid"/>
            <w10:wrap type="none"/>
          </v:line>
        </w:pict>
      </w:r>
      <w:r>
        <w:rPr/>
        <w:t>Departments have the primary responsibility to operate within budgeted levels and to comply with any restrictions or limitations </w:t>
      </w:r>
      <w:r>
        <w:rPr>
          <w:rFonts w:ascii="Times New Roman" w:hAnsi="Times New Roman"/>
          <w:b/>
          <w:strike/>
          <w:color w:val="2E97D3"/>
          <w:sz w:val="16"/>
        </w:rPr>
        <w:t>enacted</w:t>
      </w:r>
      <w:r>
        <w:rPr>
          <w:strike w:val="0"/>
          <w:color w:val="2E97D3"/>
          <w:u w:val="single" w:color="2E97D3"/>
        </w:rPr>
        <w:t>required </w:t>
      </w:r>
      <w:r>
        <w:rPr>
          <w:strike w:val="0"/>
        </w:rPr>
        <w:t>by </w:t>
      </w:r>
      <w:r>
        <w:rPr>
          <w:rFonts w:ascii="Times New Roman" w:hAnsi="Times New Roman"/>
          <w:b/>
          <w:strike/>
          <w:color w:val="2E97D3"/>
          <w:sz w:val="16"/>
        </w:rPr>
        <w:t>the Legislature. </w:t>
      </w:r>
      <w:r>
        <w:rPr>
          <w:strike w:val="0"/>
          <w:color w:val="2E97D3"/>
          <w:u w:val="single" w:color="2E97D3"/>
        </w:rPr>
        <w:t>law. </w:t>
      </w:r>
      <w:r>
        <w:rPr>
          <w:strike w:val="0"/>
        </w:rPr>
        <w:t>Further, the general expectation is that state </w:t>
      </w:r>
      <w:r>
        <w:rPr>
          <w:rFonts w:ascii="Times New Roman" w:hAnsi="Times New Roman"/>
          <w:b/>
          <w:strike/>
          <w:color w:val="2E97D3"/>
          <w:sz w:val="16"/>
        </w:rPr>
        <w:t>agencies</w:t>
      </w:r>
      <w:r>
        <w:rPr>
          <w:strike w:val="0"/>
          <w:color w:val="2E97D3"/>
          <w:u w:val="single" w:color="2E97D3"/>
        </w:rPr>
        <w:t>departments </w:t>
      </w:r>
      <w:r>
        <w:rPr>
          <w:strike w:val="0"/>
        </w:rPr>
        <w:t>comply with the legislative intent. Although</w:t>
      </w:r>
      <w:r>
        <w:rPr>
          <w:strike w:val="0"/>
          <w:spacing w:val="-14"/>
        </w:rPr>
        <w:t> </w:t>
      </w:r>
      <w:r>
        <w:rPr>
          <w:strike w:val="0"/>
        </w:rPr>
        <w:t>the</w:t>
      </w:r>
      <w:r>
        <w:rPr>
          <w:strike w:val="0"/>
          <w:spacing w:val="-14"/>
        </w:rPr>
        <w:t> </w:t>
      </w:r>
      <w:r>
        <w:rPr>
          <w:strike w:val="0"/>
        </w:rPr>
        <w:t>general</w:t>
      </w:r>
      <w:r>
        <w:rPr>
          <w:strike w:val="0"/>
          <w:spacing w:val="-15"/>
        </w:rPr>
        <w:t> </w:t>
      </w:r>
      <w:r>
        <w:rPr>
          <w:strike w:val="0"/>
        </w:rPr>
        <w:t>expectation</w:t>
      </w:r>
      <w:r>
        <w:rPr>
          <w:strike w:val="0"/>
          <w:spacing w:val="-14"/>
        </w:rPr>
        <w:t> </w:t>
      </w:r>
      <w:r>
        <w:rPr>
          <w:strike w:val="0"/>
        </w:rPr>
        <w:t>is</w:t>
      </w:r>
      <w:r>
        <w:rPr>
          <w:strike w:val="0"/>
          <w:spacing w:val="-13"/>
        </w:rPr>
        <w:t> </w:t>
      </w:r>
      <w:r>
        <w:rPr>
          <w:strike w:val="0"/>
        </w:rPr>
        <w:t>to</w:t>
      </w:r>
      <w:r>
        <w:rPr>
          <w:strike w:val="0"/>
          <w:spacing w:val="-14"/>
        </w:rPr>
        <w:t> </w:t>
      </w:r>
      <w:r>
        <w:rPr>
          <w:strike w:val="0"/>
        </w:rPr>
        <w:t>conform</w:t>
      </w:r>
      <w:r>
        <w:rPr>
          <w:strike w:val="0"/>
          <w:spacing w:val="-13"/>
        </w:rPr>
        <w:t> </w:t>
      </w:r>
      <w:r>
        <w:rPr>
          <w:strike w:val="0"/>
        </w:rPr>
        <w:t>to</w:t>
      </w:r>
      <w:r>
        <w:rPr>
          <w:strike w:val="0"/>
          <w:spacing w:val="-14"/>
        </w:rPr>
        <w:t> </w:t>
      </w:r>
      <w:r>
        <w:rPr>
          <w:strike w:val="0"/>
        </w:rPr>
        <w:t>the</w:t>
      </w:r>
      <w:r>
        <w:rPr>
          <w:strike w:val="0"/>
          <w:spacing w:val="-14"/>
        </w:rPr>
        <w:t> </w:t>
      </w:r>
      <w:r>
        <w:rPr>
          <w:strike w:val="0"/>
        </w:rPr>
        <w:t>enacted</w:t>
      </w:r>
      <w:r>
        <w:rPr>
          <w:strike w:val="0"/>
          <w:spacing w:val="-16"/>
        </w:rPr>
        <w:t> </w:t>
      </w:r>
      <w:r>
        <w:rPr>
          <w:strike w:val="0"/>
        </w:rPr>
        <w:t>budget,</w:t>
      </w:r>
      <w:r>
        <w:rPr>
          <w:strike w:val="0"/>
          <w:spacing w:val="-14"/>
        </w:rPr>
        <w:t> </w:t>
      </w:r>
      <w:r>
        <w:rPr>
          <w:strike w:val="0"/>
        </w:rPr>
        <w:t>the</w:t>
      </w:r>
      <w:r>
        <w:rPr>
          <w:strike w:val="0"/>
          <w:spacing w:val="-16"/>
        </w:rPr>
        <w:t> </w:t>
      </w:r>
      <w:r>
        <w:rPr>
          <w:strike w:val="0"/>
        </w:rPr>
        <w:t>Legislature</w:t>
      </w:r>
      <w:r>
        <w:rPr>
          <w:strike w:val="0"/>
          <w:spacing w:val="-14"/>
        </w:rPr>
        <w:t> </w:t>
      </w:r>
      <w:r>
        <w:rPr>
          <w:strike w:val="0"/>
        </w:rPr>
        <w:t>has recognized a need to establish some flexibility to adjust budgets. For example, </w:t>
      </w:r>
      <w:r>
        <w:rPr>
          <w:rFonts w:ascii="Times New Roman" w:hAnsi="Times New Roman"/>
          <w:b/>
          <w:strike/>
          <w:color w:val="2E97D3"/>
          <w:sz w:val="16"/>
        </w:rPr>
        <w:t>the statutes provide</w:t>
      </w:r>
      <w:r>
        <w:rPr>
          <w:strike w:val="0"/>
          <w:color w:val="2E97D3"/>
          <w:u w:val="single" w:color="2E97D3"/>
        </w:rPr>
        <w:t>statute</w:t>
      </w:r>
      <w:r>
        <w:rPr>
          <w:strike w:val="0"/>
          <w:color w:val="2E97D3"/>
          <w:spacing w:val="-15"/>
          <w:u w:val="single" w:color="2E97D3"/>
        </w:rPr>
        <w:t> </w:t>
      </w:r>
      <w:r>
        <w:rPr>
          <w:strike w:val="0"/>
          <w:color w:val="2E97D3"/>
          <w:u w:val="single" w:color="2E97D3"/>
        </w:rPr>
        <w:t>provides</w:t>
      </w:r>
      <w:r>
        <w:rPr>
          <w:strike w:val="0"/>
          <w:color w:val="2E97D3"/>
          <w:spacing w:val="-17"/>
          <w:u w:val="single" w:color="2E97D3"/>
        </w:rPr>
        <w:t> </w:t>
      </w:r>
      <w:r>
        <w:rPr>
          <w:strike w:val="0"/>
        </w:rPr>
        <w:t>a</w:t>
      </w:r>
      <w:r>
        <w:rPr>
          <w:strike w:val="0"/>
          <w:spacing w:val="-15"/>
        </w:rPr>
        <w:t> </w:t>
      </w:r>
      <w:r>
        <w:rPr>
          <w:strike w:val="0"/>
        </w:rPr>
        <w:t>continuous</w:t>
      </w:r>
      <w:r>
        <w:rPr>
          <w:strike w:val="0"/>
          <w:spacing w:val="-16"/>
        </w:rPr>
        <w:t> </w:t>
      </w:r>
      <w:r>
        <w:rPr>
          <w:strike w:val="0"/>
        </w:rPr>
        <w:t>appropriation</w:t>
      </w:r>
      <w:r>
        <w:rPr>
          <w:strike w:val="0"/>
          <w:spacing w:val="-15"/>
        </w:rPr>
        <w:t> </w:t>
      </w:r>
      <w:r>
        <w:rPr>
          <w:strike w:val="0"/>
        </w:rPr>
        <w:t>for</w:t>
      </w:r>
      <w:r>
        <w:rPr>
          <w:strike w:val="0"/>
          <w:spacing w:val="-17"/>
        </w:rPr>
        <w:t> </w:t>
      </w:r>
      <w:r>
        <w:rPr>
          <w:strike w:val="0"/>
        </w:rPr>
        <w:t>allocations</w:t>
      </w:r>
      <w:r>
        <w:rPr>
          <w:strike w:val="0"/>
          <w:spacing w:val="-16"/>
        </w:rPr>
        <w:t> </w:t>
      </w:r>
      <w:r>
        <w:rPr>
          <w:strike w:val="0"/>
        </w:rPr>
        <w:t>by</w:t>
      </w:r>
      <w:r>
        <w:rPr>
          <w:strike w:val="0"/>
          <w:spacing w:val="-16"/>
        </w:rPr>
        <w:t> </w:t>
      </w:r>
      <w:r>
        <w:rPr>
          <w:strike w:val="0"/>
        </w:rPr>
        <w:t>the</w:t>
      </w:r>
      <w:r>
        <w:rPr>
          <w:strike w:val="0"/>
          <w:spacing w:val="-13"/>
        </w:rPr>
        <w:t> </w:t>
      </w:r>
      <w:r>
        <w:rPr>
          <w:strike w:val="0"/>
        </w:rPr>
        <w:t>Director</w:t>
      </w:r>
      <w:r>
        <w:rPr>
          <w:strike w:val="0"/>
          <w:spacing w:val="-17"/>
        </w:rPr>
        <w:t> </w:t>
      </w:r>
      <w:r>
        <w:rPr>
          <w:strike w:val="0"/>
        </w:rPr>
        <w:t>of</w:t>
      </w:r>
      <w:r>
        <w:rPr>
          <w:strike w:val="0"/>
          <w:spacing w:val="-13"/>
        </w:rPr>
        <w:t> </w:t>
      </w:r>
      <w:r>
        <w:rPr>
          <w:strike w:val="0"/>
        </w:rPr>
        <w:t>Finance to meet expenditures resulting </w:t>
      </w:r>
      <w:r>
        <w:rPr>
          <w:rFonts w:ascii="Times New Roman" w:hAnsi="Times New Roman"/>
          <w:b/>
          <w:strike/>
          <w:color w:val="2E97D3"/>
          <w:sz w:val="16"/>
        </w:rPr>
        <w:t>form</w:t>
      </w:r>
      <w:r>
        <w:rPr>
          <w:strike w:val="0"/>
          <w:color w:val="2E97D3"/>
          <w:u w:val="single" w:color="2E97D3"/>
        </w:rPr>
        <w:t>from </w:t>
      </w:r>
      <w:r>
        <w:rPr>
          <w:strike w:val="0"/>
        </w:rPr>
        <w:t>natural disasters for any emergency proclaimed by the Governor. The Legislature has also included provisions in the Budget Act to allow for budget adjustments. Generally, such authority requires Director of </w:t>
      </w:r>
      <w:r>
        <w:rPr>
          <w:rFonts w:ascii="Times New Roman" w:hAnsi="Times New Roman"/>
          <w:b/>
          <w:strike/>
          <w:color w:val="2E97D3"/>
          <w:sz w:val="16"/>
        </w:rPr>
        <w:t>Finance</w:t>
      </w:r>
      <w:r>
        <w:rPr>
          <w:strike w:val="0"/>
          <w:color w:val="2E97D3"/>
          <w:u w:val="single" w:color="2E97D3"/>
        </w:rPr>
        <w:t>Finance’s </w:t>
      </w:r>
      <w:r>
        <w:rPr>
          <w:strike w:val="0"/>
        </w:rPr>
        <w:t>approval; many require a formal notice to the Legislature and a waiting period to provide the opportunity for legislative review and response before final approval. Budget Act provisions to allow adjustments include authorizations</w:t>
      </w:r>
      <w:r>
        <w:rPr>
          <w:strike w:val="0"/>
          <w:spacing w:val="-31"/>
        </w:rPr>
        <w:t> </w:t>
      </w:r>
      <w:r>
        <w:rPr>
          <w:strike w:val="0"/>
        </w:rPr>
        <w:t>for:</w:t>
      </w:r>
    </w:p>
    <w:p>
      <w:pPr>
        <w:pStyle w:val="BodyText"/>
        <w:spacing w:before="5"/>
        <w:rPr>
          <w:sz w:val="29"/>
        </w:rPr>
      </w:pPr>
    </w:p>
    <w:p>
      <w:pPr>
        <w:pStyle w:val="ListParagraph"/>
        <w:numPr>
          <w:ilvl w:val="1"/>
          <w:numId w:val="5"/>
        </w:numPr>
        <w:tabs>
          <w:tab w:pos="2619" w:val="left" w:leader="none"/>
          <w:tab w:pos="2620" w:val="left" w:leader="none"/>
        </w:tabs>
        <w:spacing w:line="240" w:lineRule="auto" w:before="0" w:after="0"/>
        <w:ind w:left="2620" w:right="0" w:hanging="840"/>
        <w:jc w:val="left"/>
        <w:rPr>
          <w:sz w:val="24"/>
        </w:rPr>
      </w:pPr>
      <w:r>
        <w:rPr>
          <w:strike/>
          <w:color w:val="2E97D3"/>
          <w:sz w:val="24"/>
        </w:rPr>
        <w:t>1.  </w:t>
      </w:r>
      <w:r>
        <w:rPr>
          <w:strike w:val="0"/>
          <w:sz w:val="24"/>
        </w:rPr>
        <w:t>Changes to federal funding</w:t>
      </w:r>
      <w:r>
        <w:rPr>
          <w:strike w:val="0"/>
          <w:spacing w:val="-19"/>
          <w:sz w:val="24"/>
        </w:rPr>
        <w:t> </w:t>
      </w:r>
      <w:r>
        <w:rPr>
          <w:strike w:val="0"/>
          <w:sz w:val="24"/>
        </w:rPr>
        <w:t>levels</w:t>
      </w:r>
    </w:p>
    <w:p>
      <w:pPr>
        <w:pStyle w:val="ListParagraph"/>
        <w:numPr>
          <w:ilvl w:val="1"/>
          <w:numId w:val="5"/>
        </w:numPr>
        <w:tabs>
          <w:tab w:pos="2619" w:val="left" w:leader="none"/>
          <w:tab w:pos="2620" w:val="left" w:leader="none"/>
        </w:tabs>
        <w:spacing w:line="240" w:lineRule="auto" w:before="123" w:after="0"/>
        <w:ind w:left="2620" w:right="0" w:hanging="840"/>
        <w:jc w:val="left"/>
        <w:rPr>
          <w:sz w:val="24"/>
        </w:rPr>
      </w:pPr>
      <w:r>
        <w:rPr>
          <w:strike/>
          <w:color w:val="2E97D3"/>
          <w:sz w:val="24"/>
        </w:rPr>
        <w:t>2.  Deficiencies </w:t>
      </w:r>
      <w:r>
        <w:rPr>
          <w:strike w:val="0"/>
          <w:color w:val="2E97D3"/>
          <w:sz w:val="24"/>
          <w:u w:val="single" w:color="2E97D3"/>
        </w:rPr>
        <w:t>Unanticipated costs </w:t>
      </w:r>
      <w:r>
        <w:rPr>
          <w:strike w:val="0"/>
          <w:sz w:val="24"/>
        </w:rPr>
        <w:t>(shortage of expenditure</w:t>
      </w:r>
      <w:r>
        <w:rPr>
          <w:strike w:val="0"/>
          <w:spacing w:val="-39"/>
          <w:sz w:val="24"/>
        </w:rPr>
        <w:t> </w:t>
      </w:r>
      <w:r>
        <w:rPr>
          <w:strike w:val="0"/>
          <w:sz w:val="24"/>
        </w:rPr>
        <w:t>authority)</w:t>
      </w:r>
    </w:p>
    <w:p>
      <w:pPr>
        <w:pStyle w:val="ListParagraph"/>
        <w:numPr>
          <w:ilvl w:val="1"/>
          <w:numId w:val="5"/>
        </w:numPr>
        <w:tabs>
          <w:tab w:pos="2619" w:val="left" w:leader="none"/>
          <w:tab w:pos="2620" w:val="left" w:leader="none"/>
        </w:tabs>
        <w:spacing w:line="240" w:lineRule="auto" w:before="121" w:after="0"/>
        <w:ind w:left="2620" w:right="0" w:hanging="840"/>
        <w:jc w:val="left"/>
        <w:rPr>
          <w:sz w:val="24"/>
        </w:rPr>
      </w:pPr>
      <w:r>
        <w:rPr>
          <w:strike/>
          <w:color w:val="2E97D3"/>
          <w:sz w:val="24"/>
        </w:rPr>
        <w:t>3.  </w:t>
      </w:r>
      <w:r>
        <w:rPr>
          <w:strike w:val="0"/>
          <w:sz w:val="24"/>
        </w:rPr>
        <w:t>Changes to</w:t>
      </w:r>
      <w:r>
        <w:rPr>
          <w:strike w:val="0"/>
          <w:spacing w:val="1"/>
          <w:sz w:val="24"/>
        </w:rPr>
        <w:t> </w:t>
      </w:r>
      <w:r>
        <w:rPr>
          <w:strike w:val="0"/>
          <w:sz w:val="24"/>
        </w:rPr>
        <w:t>reimbursements</w:t>
      </w:r>
    </w:p>
    <w:p>
      <w:pPr>
        <w:pStyle w:val="ListParagraph"/>
        <w:numPr>
          <w:ilvl w:val="1"/>
          <w:numId w:val="5"/>
        </w:numPr>
        <w:tabs>
          <w:tab w:pos="2619" w:val="left" w:leader="none"/>
          <w:tab w:pos="2620" w:val="left" w:leader="none"/>
        </w:tabs>
        <w:spacing w:line="240" w:lineRule="auto" w:before="121" w:after="0"/>
        <w:ind w:left="2620" w:right="0" w:hanging="840"/>
        <w:jc w:val="left"/>
        <w:rPr>
          <w:sz w:val="24"/>
        </w:rPr>
      </w:pPr>
      <w:r>
        <w:rPr>
          <w:strike/>
          <w:color w:val="2E97D3"/>
          <w:sz w:val="24"/>
        </w:rPr>
        <w:t>4.  </w:t>
      </w:r>
      <w:r>
        <w:rPr>
          <w:strike w:val="0"/>
          <w:sz w:val="24"/>
        </w:rPr>
        <w:t>Intra-item</w:t>
      </w:r>
      <w:r>
        <w:rPr>
          <w:strike w:val="0"/>
          <w:spacing w:val="6"/>
          <w:sz w:val="24"/>
        </w:rPr>
        <w:t> </w:t>
      </w:r>
      <w:r>
        <w:rPr>
          <w:strike w:val="0"/>
          <w:sz w:val="24"/>
        </w:rPr>
        <w:t>transfers</w:t>
      </w:r>
    </w:p>
    <w:p>
      <w:pPr>
        <w:pStyle w:val="BodyText"/>
        <w:spacing w:before="9"/>
        <w:rPr>
          <w:sz w:val="15"/>
        </w:rPr>
      </w:pPr>
    </w:p>
    <w:p>
      <w:pPr>
        <w:pStyle w:val="BodyText"/>
        <w:spacing w:before="92"/>
        <w:ind w:left="820" w:right="116"/>
        <w:jc w:val="both"/>
      </w:pPr>
      <w:r>
        <w:rPr/>
        <w:pict>
          <v:line style="position:absolute;mso-position-horizontal-relative:page;mso-position-vertical-relative:paragraph;z-index:-468352" from="510.23999pt,17.595854pt" to="513.479990pt,17.595854pt" stroked="true" strokeweight=".84pt" strokecolor="#2e97d3">
            <v:stroke dashstyle="solid"/>
            <w10:wrap type="none"/>
          </v:line>
        </w:pict>
      </w:r>
      <w:r>
        <w:rPr/>
        <w:pict>
          <v:line style="position:absolute;mso-position-horizontal-relative:page;mso-position-vertical-relative:paragraph;z-index:-468328" from="499.799988pt,31.395853pt" to="503.160988pt,31.395853pt" stroked="true" strokeweight=".84pt" strokecolor="#2e97d3">
            <v:stroke dashstyle="solid"/>
            <w10:wrap type="none"/>
          </v:line>
        </w:pict>
      </w:r>
      <w:r>
        <w:rPr/>
        <w:pict>
          <v:line style="position:absolute;mso-position-horizontal-relative:page;mso-position-vertical-relative:paragraph;z-index:-468304" from="114.480003pt,27.795853pt" to="118.680003pt,27.795853pt" stroked="true" strokeweight=".36pt" strokecolor="#2e97d3">
            <v:stroke dashstyle="solid"/>
            <w10:wrap type="none"/>
          </v:line>
        </w:pict>
      </w:r>
      <w:r>
        <w:rPr/>
        <w:t>Finance approves budget changes using Budget Revisions, Executive Orders</w:t>
      </w:r>
      <w:r>
        <w:rPr>
          <w:color w:val="2E97D3"/>
        </w:rPr>
        <w:t>, </w:t>
      </w:r>
      <w:r>
        <w:rPr/>
        <w:t>and letters. These changes are transmitted to the State Controller’s Office </w:t>
      </w:r>
      <w:r>
        <w:rPr>
          <w:rFonts w:ascii="Times New Roman" w:hAnsi="Times New Roman"/>
          <w:b/>
          <w:strike/>
          <w:color w:val="2E97D3"/>
          <w:sz w:val="16"/>
        </w:rPr>
        <w:t>(SCO),</w:t>
      </w:r>
      <w:r>
        <w:rPr>
          <w:strike w:val="0"/>
          <w:color w:val="2E97D3"/>
        </w:rPr>
        <w:t>, </w:t>
      </w:r>
      <w:r>
        <w:rPr>
          <w:strike w:val="0"/>
        </w:rPr>
        <w:t>which maintains the statewide appropriation control accounts </w:t>
      </w:r>
      <w:r>
        <w:rPr>
          <w:strike w:val="0"/>
          <w:color w:val="2E97D3"/>
          <w:u w:val="single" w:color="2E97D3"/>
        </w:rPr>
        <w:t>for accounting</w:t>
      </w:r>
      <w:r>
        <w:rPr>
          <w:strike w:val="0"/>
        </w:rPr>
        <w:t>.</w:t>
      </w:r>
    </w:p>
    <w:p>
      <w:pPr>
        <w:pStyle w:val="BodyText"/>
        <w:spacing w:before="181"/>
        <w:ind w:left="820" w:right="113"/>
        <w:jc w:val="both"/>
      </w:pPr>
      <w:r>
        <w:rPr/>
        <w:pict>
          <v:line style="position:absolute;mso-position-horizontal-relative:page;mso-position-vertical-relative:paragraph;z-index:-468280" from="429.959991pt,35.845364pt" to="433.320991pt,35.845364pt" stroked="true" strokeweight=".841pt" strokecolor="#2e97d3">
            <v:stroke dashstyle="solid"/>
            <w10:wrap type="none"/>
          </v:line>
        </w:pict>
      </w:r>
      <w:r>
        <w:rPr/>
        <w:pict>
          <v:line style="position:absolute;mso-position-horizontal-relative:page;mso-position-vertical-relative:paragraph;z-index:-468256" from="104.760002pt,87.445862pt" to="106.800002pt,87.445862pt" stroked="true" strokeweight=".36pt" strokecolor="#2e97d3">
            <v:stroke dashstyle="solid"/>
            <w10:wrap type="none"/>
          </v:line>
        </w:pict>
      </w:r>
      <w:r>
        <w:rPr/>
        <w:pict>
          <v:line style="position:absolute;mso-position-horizontal-relative:page;mso-position-vertical-relative:paragraph;z-index:4576" from="36.360001pt,9.266864pt" to="36.360001pt,36.865864pt" stroked="true" strokeweight=".72pt" strokecolor="#000000">
            <v:stroke dashstyle="solid"/>
            <w10:wrap type="none"/>
          </v:line>
        </w:pict>
      </w:r>
      <w:r>
        <w:rPr/>
        <w:pict>
          <v:line style="position:absolute;mso-position-horizontal-relative:page;mso-position-vertical-relative:paragraph;z-index:4600" from="36.360001pt,50.665863pt" to="36.360001pt,105.865863pt" stroked="true" strokeweight=".72pt" strokecolor="#000000">
            <v:stroke dashstyle="solid"/>
            <w10:wrap type="none"/>
          </v:line>
        </w:pict>
      </w:r>
      <w:r>
        <w:rPr/>
        <w:t>The</w:t>
      </w:r>
      <w:r>
        <w:rPr>
          <w:spacing w:val="-7"/>
        </w:rPr>
        <w:t> </w:t>
      </w:r>
      <w:r>
        <w:rPr/>
        <w:t>Governor</w:t>
      </w:r>
      <w:r>
        <w:rPr>
          <w:spacing w:val="-8"/>
        </w:rPr>
        <w:t> </w:t>
      </w:r>
      <w:r>
        <w:rPr/>
        <w:t>has</w:t>
      </w:r>
      <w:r>
        <w:rPr>
          <w:spacing w:val="-8"/>
        </w:rPr>
        <w:t> </w:t>
      </w:r>
      <w:r>
        <w:rPr/>
        <w:t>certain</w:t>
      </w:r>
      <w:r>
        <w:rPr>
          <w:spacing w:val="-7"/>
        </w:rPr>
        <w:t> </w:t>
      </w:r>
      <w:r>
        <w:rPr/>
        <w:t>powers</w:t>
      </w:r>
      <w:r>
        <w:rPr>
          <w:spacing w:val="-8"/>
        </w:rPr>
        <w:t> </w:t>
      </w:r>
      <w:r>
        <w:rPr/>
        <w:t>to</w:t>
      </w:r>
      <w:r>
        <w:rPr>
          <w:spacing w:val="-9"/>
        </w:rPr>
        <w:t> </w:t>
      </w:r>
      <w:r>
        <w:rPr/>
        <w:t>adjust</w:t>
      </w:r>
      <w:r>
        <w:rPr>
          <w:spacing w:val="-10"/>
        </w:rPr>
        <w:t> </w:t>
      </w:r>
      <w:r>
        <w:rPr/>
        <w:t>expenditures</w:t>
      </w:r>
      <w:r>
        <w:rPr>
          <w:rFonts w:ascii="Times New Roman" w:hAnsi="Times New Roman"/>
          <w:b/>
          <w:strike/>
          <w:color w:val="2E97D3"/>
          <w:sz w:val="16"/>
        </w:rPr>
        <w:t>.</w:t>
      </w:r>
      <w:r>
        <w:rPr>
          <w:rFonts w:ascii="Times New Roman" w:hAnsi="Times New Roman"/>
          <w:b/>
          <w:strike/>
          <w:color w:val="2E97D3"/>
          <w:spacing w:val="28"/>
          <w:sz w:val="16"/>
        </w:rPr>
        <w:t> </w:t>
      </w:r>
      <w:r>
        <w:rPr>
          <w:rFonts w:ascii="Times New Roman" w:hAnsi="Times New Roman"/>
          <w:b/>
          <w:strike/>
          <w:color w:val="2E97D3"/>
          <w:sz w:val="16"/>
        </w:rPr>
        <w:t>Although</w:t>
      </w:r>
      <w:r>
        <w:rPr>
          <w:strike w:val="0"/>
          <w:color w:val="2E97D3"/>
          <w:u w:val="single" w:color="2E97D3"/>
        </w:rPr>
        <w:t>;</w:t>
      </w:r>
      <w:r>
        <w:rPr>
          <w:strike w:val="0"/>
          <w:color w:val="2E97D3"/>
          <w:spacing w:val="-10"/>
          <w:u w:val="single" w:color="2E97D3"/>
        </w:rPr>
        <w:t> </w:t>
      </w:r>
      <w:r>
        <w:rPr>
          <w:strike w:val="0"/>
          <w:color w:val="2E97D3"/>
          <w:u w:val="single" w:color="2E97D3"/>
        </w:rPr>
        <w:t>but</w:t>
      </w:r>
      <w:r>
        <w:rPr>
          <w:strike w:val="0"/>
          <w:color w:val="2E97D3"/>
          <w:spacing w:val="-10"/>
          <w:u w:val="single" w:color="2E97D3"/>
        </w:rPr>
        <w:t> </w:t>
      </w:r>
      <w:r>
        <w:rPr>
          <w:strike w:val="0"/>
        </w:rPr>
        <w:t>these</w:t>
      </w:r>
      <w:r>
        <w:rPr>
          <w:strike w:val="0"/>
          <w:spacing w:val="-9"/>
        </w:rPr>
        <w:t> </w:t>
      </w:r>
      <w:r>
        <w:rPr>
          <w:strike w:val="0"/>
        </w:rPr>
        <w:t>powers</w:t>
      </w:r>
      <w:r>
        <w:rPr>
          <w:strike w:val="0"/>
          <w:spacing w:val="-8"/>
        </w:rPr>
        <w:t> </w:t>
      </w:r>
      <w:r>
        <w:rPr>
          <w:strike w:val="0"/>
        </w:rPr>
        <w:t>do</w:t>
      </w:r>
      <w:r>
        <w:rPr>
          <w:strike w:val="0"/>
          <w:spacing w:val="-9"/>
        </w:rPr>
        <w:t> </w:t>
      </w:r>
      <w:r>
        <w:rPr>
          <w:strike w:val="0"/>
        </w:rPr>
        <w:t>not permit </w:t>
      </w:r>
      <w:r>
        <w:rPr>
          <w:rFonts w:ascii="Times New Roman" w:hAnsi="Times New Roman"/>
          <w:b/>
          <w:strike/>
          <w:color w:val="2E97D3"/>
          <w:sz w:val="16"/>
        </w:rPr>
        <w:t>for </w:t>
      </w:r>
      <w:r>
        <w:rPr>
          <w:strike w:val="0"/>
        </w:rPr>
        <w:t>adjustment of appropriations</w:t>
      </w:r>
      <w:r>
        <w:rPr>
          <w:rFonts w:ascii="Times New Roman" w:hAnsi="Times New Roman"/>
          <w:b/>
          <w:strike/>
          <w:color w:val="2E97D3"/>
          <w:sz w:val="16"/>
        </w:rPr>
        <w:t>, the expenditure plan may be changed. </w:t>
      </w:r>
      <w:r>
        <w:rPr>
          <w:strike w:val="0"/>
          <w:color w:val="2E97D3"/>
        </w:rPr>
        <w:t>. </w:t>
      </w:r>
      <w:r>
        <w:rPr>
          <w:strike w:val="0"/>
        </w:rPr>
        <w:t>For example, past Governors have issued executive orders to implement hiring and equipment purchase freezes and to delay capital expenditures. </w:t>
      </w:r>
      <w:r>
        <w:rPr>
          <w:rFonts w:ascii="Times New Roman" w:hAnsi="Times New Roman"/>
          <w:b/>
          <w:strike/>
          <w:color w:val="2E97D3"/>
          <w:sz w:val="16"/>
        </w:rPr>
        <w:t>Under emergency conditions, the </w:t>
      </w:r>
      <w:r>
        <w:rPr>
          <w:strike w:val="0"/>
          <w:color w:val="2E97D3"/>
          <w:u w:val="single" w:color="2E97D3"/>
        </w:rPr>
        <w:t>The </w:t>
      </w:r>
      <w:r>
        <w:rPr>
          <w:strike w:val="0"/>
        </w:rPr>
        <w:t>Governor is also authorized</w:t>
      </w:r>
      <w:r>
        <w:rPr>
          <w:strike w:val="0"/>
          <w:spacing w:val="-14"/>
        </w:rPr>
        <w:t> </w:t>
      </w:r>
      <w:r>
        <w:rPr>
          <w:strike w:val="0"/>
        </w:rPr>
        <w:t>to</w:t>
      </w:r>
      <w:r>
        <w:rPr>
          <w:strike w:val="0"/>
          <w:spacing w:val="-16"/>
        </w:rPr>
        <w:t> </w:t>
      </w:r>
      <w:r>
        <w:rPr>
          <w:strike w:val="0"/>
          <w:color w:val="2E97D3"/>
          <w:u w:val="single" w:color="2E97D3"/>
        </w:rPr>
        <w:t>declare</w:t>
      </w:r>
      <w:r>
        <w:rPr>
          <w:strike w:val="0"/>
          <w:color w:val="2E97D3"/>
          <w:spacing w:val="-14"/>
          <w:u w:val="single" w:color="2E97D3"/>
        </w:rPr>
        <w:t> </w:t>
      </w:r>
      <w:r>
        <w:rPr>
          <w:strike w:val="0"/>
          <w:color w:val="2E97D3"/>
          <w:u w:val="single" w:color="2E97D3"/>
        </w:rPr>
        <w:t>an</w:t>
      </w:r>
      <w:r>
        <w:rPr>
          <w:strike w:val="0"/>
          <w:color w:val="2E97D3"/>
          <w:spacing w:val="-14"/>
          <w:u w:val="single" w:color="2E97D3"/>
        </w:rPr>
        <w:t> </w:t>
      </w:r>
      <w:r>
        <w:rPr>
          <w:strike w:val="0"/>
          <w:color w:val="2E97D3"/>
          <w:u w:val="single" w:color="2E97D3"/>
        </w:rPr>
        <w:t>emergency</w:t>
      </w:r>
      <w:r>
        <w:rPr>
          <w:strike w:val="0"/>
          <w:color w:val="2E97D3"/>
          <w:spacing w:val="-17"/>
          <w:u w:val="single" w:color="2E97D3"/>
        </w:rPr>
        <w:t> </w:t>
      </w:r>
      <w:r>
        <w:rPr>
          <w:strike w:val="0"/>
          <w:color w:val="2E97D3"/>
          <w:u w:val="single" w:color="2E97D3"/>
        </w:rPr>
        <w:t>and</w:t>
      </w:r>
      <w:r>
        <w:rPr>
          <w:strike w:val="0"/>
          <w:color w:val="2E97D3"/>
          <w:spacing w:val="-16"/>
          <w:u w:val="single" w:color="2E97D3"/>
        </w:rPr>
        <w:t> </w:t>
      </w:r>
      <w:r>
        <w:rPr>
          <w:strike w:val="0"/>
          <w:color w:val="2E97D3"/>
          <w:u w:val="single" w:color="2E97D3"/>
        </w:rPr>
        <w:t>may</w:t>
      </w:r>
      <w:r>
        <w:rPr>
          <w:strike w:val="0"/>
          <w:color w:val="2E97D3"/>
          <w:spacing w:val="-21"/>
          <w:u w:val="single" w:color="2E97D3"/>
        </w:rPr>
        <w:t> </w:t>
      </w:r>
      <w:r>
        <w:rPr>
          <w:strike w:val="0"/>
        </w:rPr>
        <w:t>redirect</w:t>
      </w:r>
      <w:r>
        <w:rPr>
          <w:strike w:val="0"/>
          <w:spacing w:val="-14"/>
        </w:rPr>
        <w:t> </w:t>
      </w:r>
      <w:r>
        <w:rPr>
          <w:strike w:val="0"/>
        </w:rPr>
        <w:t>state</w:t>
      </w:r>
      <w:r>
        <w:rPr>
          <w:strike w:val="0"/>
          <w:spacing w:val="-16"/>
        </w:rPr>
        <w:t> </w:t>
      </w:r>
      <w:r>
        <w:rPr>
          <w:strike w:val="0"/>
        </w:rPr>
        <w:t>resources</w:t>
      </w:r>
      <w:r>
        <w:rPr>
          <w:strike w:val="0"/>
          <w:spacing w:val="-15"/>
        </w:rPr>
        <w:t> </w:t>
      </w:r>
      <w:r>
        <w:rPr>
          <w:strike w:val="0"/>
        </w:rPr>
        <w:t>to</w:t>
      </w:r>
      <w:r>
        <w:rPr>
          <w:strike w:val="0"/>
          <w:spacing w:val="-16"/>
        </w:rPr>
        <w:t> </w:t>
      </w:r>
      <w:r>
        <w:rPr>
          <w:strike w:val="0"/>
        </w:rPr>
        <w:t>meet</w:t>
      </w:r>
      <w:r>
        <w:rPr>
          <w:strike w:val="0"/>
          <w:spacing w:val="-17"/>
        </w:rPr>
        <w:t> </w:t>
      </w:r>
      <w:r>
        <w:rPr>
          <w:strike w:val="0"/>
        </w:rPr>
        <w:t>emergency needs</w:t>
      </w:r>
      <w:r>
        <w:rPr>
          <w:rFonts w:ascii="Times New Roman" w:hAnsi="Times New Roman"/>
          <w:b/>
          <w:strike w:val="0"/>
          <w:color w:val="2E97D3"/>
          <w:sz w:val="16"/>
        </w:rPr>
        <w:t>.</w:t>
      </w:r>
      <w:r>
        <w:rPr>
          <w:strike w:val="0"/>
          <w:color w:val="2E97D3"/>
          <w:u w:val="single" w:color="2E97D3"/>
        </w:rPr>
        <w:t>,</w:t>
      </w:r>
      <w:r>
        <w:rPr>
          <w:strike w:val="0"/>
          <w:color w:val="2E97D3"/>
          <w:spacing w:val="-8"/>
          <w:u w:val="single" w:color="2E97D3"/>
        </w:rPr>
        <w:t> </w:t>
      </w:r>
      <w:r>
        <w:rPr>
          <w:strike w:val="0"/>
          <w:color w:val="2E97D3"/>
          <w:u w:val="single" w:color="2E97D3"/>
        </w:rPr>
        <w:t>or</w:t>
      </w:r>
      <w:r>
        <w:rPr>
          <w:strike w:val="0"/>
          <w:color w:val="2E97D3"/>
          <w:spacing w:val="-7"/>
          <w:u w:val="single" w:color="2E97D3"/>
        </w:rPr>
        <w:t> </w:t>
      </w:r>
      <w:r>
        <w:rPr>
          <w:strike w:val="0"/>
          <w:color w:val="2E97D3"/>
          <w:u w:val="single" w:color="2E97D3"/>
        </w:rPr>
        <w:t>ask</w:t>
      </w:r>
      <w:r>
        <w:rPr>
          <w:strike w:val="0"/>
          <w:color w:val="2E97D3"/>
          <w:spacing w:val="-9"/>
          <w:u w:val="single" w:color="2E97D3"/>
        </w:rPr>
        <w:t> </w:t>
      </w:r>
      <w:r>
        <w:rPr>
          <w:strike w:val="0"/>
          <w:color w:val="2E97D3"/>
          <w:u w:val="single" w:color="2E97D3"/>
        </w:rPr>
        <w:t>the</w:t>
      </w:r>
      <w:r>
        <w:rPr>
          <w:strike w:val="0"/>
          <w:color w:val="2E97D3"/>
          <w:spacing w:val="-5"/>
          <w:u w:val="single" w:color="2E97D3"/>
        </w:rPr>
        <w:t> </w:t>
      </w:r>
      <w:r>
        <w:rPr>
          <w:strike w:val="0"/>
          <w:color w:val="2E97D3"/>
          <w:u w:val="single" w:color="2E97D3"/>
        </w:rPr>
        <w:t>Legislature</w:t>
      </w:r>
      <w:r>
        <w:rPr>
          <w:strike w:val="0"/>
          <w:color w:val="2E97D3"/>
          <w:spacing w:val="-5"/>
          <w:u w:val="single" w:color="2E97D3"/>
        </w:rPr>
        <w:t> </w:t>
      </w:r>
      <w:r>
        <w:rPr>
          <w:strike w:val="0"/>
          <w:color w:val="2E97D3"/>
          <w:u w:val="single" w:color="2E97D3"/>
        </w:rPr>
        <w:t>to</w:t>
      </w:r>
      <w:r>
        <w:rPr>
          <w:strike w:val="0"/>
          <w:color w:val="2E97D3"/>
          <w:spacing w:val="-5"/>
          <w:u w:val="single" w:color="2E97D3"/>
        </w:rPr>
        <w:t> </w:t>
      </w:r>
      <w:r>
        <w:rPr>
          <w:strike w:val="0"/>
          <w:color w:val="2E97D3"/>
          <w:u w:val="single" w:color="2E97D3"/>
        </w:rPr>
        <w:t>appropriate</w:t>
      </w:r>
      <w:r>
        <w:rPr>
          <w:strike w:val="0"/>
          <w:color w:val="2E97D3"/>
          <w:spacing w:val="-8"/>
          <w:u w:val="single" w:color="2E97D3"/>
        </w:rPr>
        <w:t> </w:t>
      </w:r>
      <w:r>
        <w:rPr>
          <w:strike w:val="0"/>
          <w:color w:val="2E97D3"/>
          <w:u w:val="single" w:color="2E97D3"/>
        </w:rPr>
        <w:t>funds</w:t>
      </w:r>
      <w:r>
        <w:rPr>
          <w:strike w:val="0"/>
          <w:color w:val="2E97D3"/>
          <w:spacing w:val="-9"/>
          <w:u w:val="single" w:color="2E97D3"/>
        </w:rPr>
        <w:t> </w:t>
      </w:r>
      <w:r>
        <w:rPr>
          <w:strike w:val="0"/>
          <w:color w:val="2E97D3"/>
          <w:u w:val="single" w:color="2E97D3"/>
        </w:rPr>
        <w:t>from</w:t>
      </w:r>
      <w:r>
        <w:rPr>
          <w:strike w:val="0"/>
          <w:color w:val="2E97D3"/>
          <w:spacing w:val="-7"/>
          <w:u w:val="single" w:color="2E97D3"/>
        </w:rPr>
        <w:t> </w:t>
      </w:r>
      <w:r>
        <w:rPr>
          <w:strike w:val="0"/>
          <w:color w:val="2E97D3"/>
          <w:u w:val="single" w:color="2E97D3"/>
        </w:rPr>
        <w:t>the</w:t>
      </w:r>
      <w:r>
        <w:rPr>
          <w:strike w:val="0"/>
          <w:color w:val="2E97D3"/>
          <w:spacing w:val="-5"/>
          <w:u w:val="single" w:color="2E97D3"/>
        </w:rPr>
        <w:t> </w:t>
      </w:r>
      <w:r>
        <w:rPr>
          <w:strike w:val="0"/>
          <w:color w:val="2E97D3"/>
          <w:u w:val="single" w:color="2E97D3"/>
        </w:rPr>
        <w:t>Budget</w:t>
      </w:r>
      <w:r>
        <w:rPr>
          <w:strike w:val="0"/>
          <w:color w:val="2E97D3"/>
          <w:spacing w:val="-8"/>
          <w:u w:val="single" w:color="2E97D3"/>
        </w:rPr>
        <w:t> </w:t>
      </w:r>
      <w:r>
        <w:rPr>
          <w:strike w:val="0"/>
          <w:color w:val="2E97D3"/>
          <w:u w:val="single" w:color="2E97D3"/>
        </w:rPr>
        <w:t>Stabilization</w:t>
      </w:r>
      <w:r>
        <w:rPr>
          <w:strike w:val="0"/>
          <w:color w:val="2E97D3"/>
          <w:spacing w:val="-5"/>
          <w:u w:val="single" w:color="2E97D3"/>
        </w:rPr>
        <w:t> </w:t>
      </w:r>
      <w:r>
        <w:rPr>
          <w:strike w:val="0"/>
          <w:color w:val="2E97D3"/>
          <w:u w:val="single" w:color="2E97D3"/>
        </w:rPr>
        <w:t>Account (“rainy day</w:t>
      </w:r>
      <w:r>
        <w:rPr>
          <w:strike w:val="0"/>
          <w:color w:val="2E97D3"/>
          <w:spacing w:val="-9"/>
          <w:u w:val="single" w:color="2E97D3"/>
        </w:rPr>
        <w:t> </w:t>
      </w:r>
      <w:r>
        <w:rPr>
          <w:strike w:val="0"/>
          <w:color w:val="2E97D3"/>
          <w:u w:val="single" w:color="2E97D3"/>
        </w:rPr>
        <w:t>fund”).</w:t>
      </w:r>
    </w:p>
    <w:p>
      <w:pPr>
        <w:spacing w:after="0"/>
        <w:jc w:val="both"/>
        <w:sectPr>
          <w:pgSz w:w="12240" w:h="15840"/>
          <w:pgMar w:header="724" w:footer="792" w:top="980" w:bottom="980" w:left="620" w:right="1320"/>
        </w:sectPr>
      </w:pPr>
    </w:p>
    <w:p>
      <w:pPr>
        <w:pStyle w:val="BodyText"/>
        <w:rPr>
          <w:sz w:val="20"/>
        </w:rPr>
      </w:pPr>
    </w:p>
    <w:p>
      <w:pPr>
        <w:tabs>
          <w:tab w:pos="8919" w:val="left" w:leader="none"/>
          <w:tab w:pos="9459" w:val="left" w:leader="none"/>
        </w:tabs>
        <w:spacing w:before="214"/>
        <w:ind w:left="820" w:right="0" w:firstLine="0"/>
        <w:jc w:val="left"/>
        <w:rPr>
          <w:b/>
          <w:sz w:val="24"/>
        </w:rPr>
      </w:pPr>
      <w:r>
        <w:rPr/>
        <w:pict>
          <v:line style="position:absolute;mso-position-horizontal-relative:page;mso-position-vertical-relative:paragraph;z-index:4744" from="36.360001pt,10.915881pt" to="36.360001pt,38.515881pt" stroked="true" strokeweight=".72pt" strokecolor="#000000">
            <v:stroke dashstyle="solid"/>
            <w10:wrap type="none"/>
          </v:line>
        </w:pict>
      </w:r>
      <w:bookmarkStart w:name="BUDGET PROCESS  6150" w:id="16"/>
      <w:bookmarkEnd w:id="16"/>
      <w:r>
        <w:rPr/>
      </w:r>
      <w:r>
        <w:rPr>
          <w:b/>
          <w:sz w:val="24"/>
        </w:rPr>
        <w:t>BUDGET</w:t>
      </w:r>
      <w:r>
        <w:rPr>
          <w:b/>
          <w:spacing w:val="-5"/>
          <w:sz w:val="24"/>
        </w:rPr>
        <w:t> </w:t>
      </w:r>
      <w:r>
        <w:rPr>
          <w:b/>
          <w:sz w:val="24"/>
        </w:rPr>
        <w:t>PROCESS</w:t>
        <w:tab/>
      </w:r>
      <w:r>
        <w:rPr>
          <w:b/>
          <w:sz w:val="24"/>
          <w:u w:val="thick" w:color="2E97D3"/>
        </w:rPr>
        <w:t> </w:t>
        <w:tab/>
      </w:r>
      <w:r>
        <w:rPr>
          <w:b/>
          <w:sz w:val="24"/>
        </w:rPr>
        <w:t>6150</w:t>
      </w:r>
      <w:r>
        <w:rPr>
          <w:b/>
          <w:w w:val="100"/>
          <w:sz w:val="24"/>
          <w:u w:val="thick" w:color="2E97D3"/>
        </w:rPr>
        <w:t> </w:t>
      </w:r>
      <w:r>
        <w:rPr>
          <w:b/>
          <w:spacing w:val="-13"/>
          <w:sz w:val="24"/>
          <w:u w:val="thick" w:color="2E97D3"/>
        </w:rPr>
        <w:t> </w:t>
      </w:r>
    </w:p>
    <w:p>
      <w:pPr>
        <w:pStyle w:val="BodyText"/>
        <w:ind w:left="820"/>
      </w:pPr>
      <w:r>
        <w:rPr/>
        <w:t>(Revised </w:t>
      </w:r>
      <w:r>
        <w:rPr>
          <w:strike/>
          <w:color w:val="2E97D3"/>
        </w:rPr>
        <w:t>9/2010</w:t>
      </w:r>
      <w:r>
        <w:rPr>
          <w:strike w:val="0"/>
          <w:color w:val="2E97D3"/>
          <w:u w:val="single" w:color="2E97D3"/>
        </w:rPr>
        <w:t>10/2017</w:t>
      </w:r>
      <w:r>
        <w:rPr>
          <w:strike w:val="0"/>
        </w:rPr>
        <w:t>)</w:t>
      </w:r>
    </w:p>
    <w:p>
      <w:pPr>
        <w:pStyle w:val="BodyText"/>
        <w:spacing w:before="11"/>
        <w:rPr>
          <w:sz w:val="15"/>
        </w:rPr>
      </w:pPr>
    </w:p>
    <w:p>
      <w:pPr>
        <w:pStyle w:val="BodyText"/>
        <w:spacing w:before="92"/>
        <w:ind w:left="820" w:right="275"/>
      </w:pPr>
      <w:r>
        <w:rPr/>
        <w:pict>
          <v:line style="position:absolute;mso-position-horizontal-relative:page;mso-position-vertical-relative:paragraph;z-index:-468040" from="403.320007pt,17.595356pt" to="406.681007pt,17.595356pt" stroked="true" strokeweight=".841pt" strokecolor="#2e97d3">
            <v:stroke dashstyle="solid"/>
            <w10:wrap type="none"/>
          </v:line>
        </w:pict>
      </w:r>
      <w:r>
        <w:rPr/>
        <w:pict>
          <v:line style="position:absolute;mso-position-horizontal-relative:page;mso-position-vertical-relative:paragraph;z-index:-468016" from="349.679993pt,26.835857pt" to="352.919993pt,26.835857pt" stroked="true" strokeweight=".6pt" strokecolor="#2e97d3">
            <v:stroke dashstyle="solid"/>
            <w10:wrap type="none"/>
          </v:line>
        </w:pict>
      </w:r>
      <w:r>
        <w:rPr/>
        <w:pict>
          <v:line style="position:absolute;mso-position-horizontal-relative:page;mso-position-vertical-relative:paragraph;z-index:-467992" from="426.23999pt,40.636356pt" to="429.59999pt,40.636356pt" stroked="true" strokeweight=".599pt" strokecolor="#2e97d3">
            <v:stroke dashstyle="solid"/>
            <w10:wrap type="none"/>
          </v:line>
        </w:pict>
      </w:r>
      <w:r>
        <w:rPr/>
        <w:pict>
          <v:line style="position:absolute;mso-position-horizontal-relative:page;mso-position-vertical-relative:paragraph;z-index:4768" from="36.360001pt,4.815857pt" to="36.360001pt,46.215857pt" stroked="true" strokeweight=".72pt" strokecolor="#000000">
            <v:stroke dashstyle="solid"/>
            <w10:wrap type="none"/>
          </v:line>
        </w:pict>
      </w:r>
      <w:r>
        <w:rPr/>
        <w:pict>
          <v:line style="position:absolute;mso-position-horizontal-relative:page;mso-position-vertical-relative:paragraph;z-index:4792" from="36.360001pt,73.815857pt" to="36.360001pt,192.975857pt" stroked="true" strokeweight=".72pt" strokecolor="#000000">
            <v:stroke dashstyle="solid"/>
            <w10:wrap type="none"/>
          </v:line>
        </w:pict>
      </w:r>
      <w:r>
        <w:rPr/>
        <w:t>Due to the dynamic nature of California's </w:t>
      </w:r>
      <w:r>
        <w:rPr>
          <w:color w:val="2E97D3"/>
          <w:u w:val="single" w:color="2E97D3"/>
        </w:rPr>
        <w:t>state </w:t>
      </w:r>
      <w:r>
        <w:rPr/>
        <w:t>budget process</w:t>
      </w:r>
      <w:r>
        <w:rPr>
          <w:color w:val="2E97D3"/>
        </w:rPr>
        <w:t>, </w:t>
      </w:r>
      <w:r>
        <w:rPr/>
        <w:t>no single document provides a comprehensive reflection of the process. The dynamics require changing instructions, descriptions, forms and procedures, law </w:t>
      </w:r>
      <w:r>
        <w:rPr>
          <w:strike/>
          <w:color w:val="2E97D3"/>
        </w:rPr>
        <w:t>changes</w:t>
      </w:r>
      <w:r>
        <w:rPr>
          <w:strike w:val="0"/>
        </w:rPr>
        <w:t>, etc. The SAM provides a general description for some of the major documents that result from the budget process in the following sections:</w:t>
      </w:r>
    </w:p>
    <w:p>
      <w:pPr>
        <w:pStyle w:val="BodyText"/>
        <w:spacing w:before="9"/>
        <w:rPr>
          <w:sz w:val="34"/>
        </w:rPr>
      </w:pPr>
    </w:p>
    <w:p>
      <w:pPr>
        <w:pStyle w:val="ListParagraph"/>
        <w:numPr>
          <w:ilvl w:val="0"/>
          <w:numId w:val="6"/>
        </w:numPr>
        <w:tabs>
          <w:tab w:pos="1180" w:val="left" w:leader="none"/>
        </w:tabs>
        <w:spacing w:line="240" w:lineRule="auto" w:before="0" w:after="0"/>
        <w:ind w:left="1180" w:right="0" w:hanging="360"/>
        <w:jc w:val="left"/>
        <w:rPr>
          <w:sz w:val="24"/>
        </w:rPr>
      </w:pPr>
      <w:r>
        <w:rPr>
          <w:sz w:val="24"/>
        </w:rPr>
        <w:t>Governor's Budget </w:t>
      </w:r>
      <w:r>
        <w:rPr>
          <w:b/>
          <w:strike/>
          <w:color w:val="2E97D3"/>
          <w:sz w:val="24"/>
        </w:rPr>
        <w:t>package (</w:t>
      </w:r>
      <w:r>
        <w:rPr>
          <w:strike w:val="0"/>
          <w:color w:val="2E97D3"/>
          <w:sz w:val="24"/>
          <w:u w:val="single" w:color="2E97D3"/>
        </w:rPr>
        <w:t>proposal (Budget Development—</w:t>
      </w:r>
      <w:r>
        <w:rPr>
          <w:strike w:val="0"/>
          <w:sz w:val="24"/>
        </w:rPr>
        <w:t>SAM Section</w:t>
      </w:r>
      <w:r>
        <w:rPr>
          <w:strike w:val="0"/>
          <w:spacing w:val="-39"/>
          <w:sz w:val="24"/>
        </w:rPr>
        <w:t> </w:t>
      </w:r>
      <w:r>
        <w:rPr>
          <w:strike w:val="0"/>
          <w:sz w:val="24"/>
        </w:rPr>
        <w:t>6120)</w:t>
      </w:r>
    </w:p>
    <w:p>
      <w:pPr>
        <w:pStyle w:val="ListParagraph"/>
        <w:numPr>
          <w:ilvl w:val="0"/>
          <w:numId w:val="6"/>
        </w:numPr>
        <w:tabs>
          <w:tab w:pos="1180" w:val="left" w:leader="none"/>
        </w:tabs>
        <w:spacing w:line="240" w:lineRule="auto" w:before="201" w:after="0"/>
        <w:ind w:left="1180" w:right="843" w:hanging="360"/>
        <w:jc w:val="left"/>
        <w:rPr>
          <w:sz w:val="24"/>
        </w:rPr>
      </w:pPr>
      <w:r>
        <w:rPr>
          <w:sz w:val="24"/>
        </w:rPr>
        <w:t>Legislative Analyst's </w:t>
      </w:r>
      <w:r>
        <w:rPr>
          <w:b/>
          <w:strike/>
          <w:color w:val="2E97D3"/>
          <w:sz w:val="24"/>
        </w:rPr>
        <w:t>"Analysis</w:t>
      </w:r>
      <w:r>
        <w:rPr>
          <w:strike w:val="0"/>
          <w:color w:val="2E97D3"/>
          <w:sz w:val="24"/>
          <w:u w:val="single" w:color="2E97D3"/>
        </w:rPr>
        <w:t>Analyses </w:t>
      </w:r>
      <w:r>
        <w:rPr>
          <w:strike w:val="0"/>
          <w:sz w:val="24"/>
        </w:rPr>
        <w:t>of the </w:t>
      </w:r>
      <w:r>
        <w:rPr>
          <w:strike w:val="0"/>
          <w:color w:val="2E97D3"/>
          <w:sz w:val="24"/>
          <w:u w:val="single" w:color="2E97D3"/>
        </w:rPr>
        <w:t>Governor’s </w:t>
      </w:r>
      <w:r>
        <w:rPr>
          <w:strike w:val="0"/>
          <w:sz w:val="24"/>
        </w:rPr>
        <w:t>Budget </w:t>
      </w:r>
      <w:r>
        <w:rPr>
          <w:b/>
          <w:strike/>
          <w:color w:val="2E97D3"/>
          <w:sz w:val="24"/>
        </w:rPr>
        <w:t>Bill" </w:t>
      </w:r>
      <w:r>
        <w:rPr>
          <w:strike w:val="0"/>
          <w:sz w:val="24"/>
        </w:rPr>
        <w:t>(SAM Section</w:t>
      </w:r>
      <w:r>
        <w:rPr>
          <w:strike w:val="0"/>
          <w:spacing w:val="-5"/>
          <w:sz w:val="24"/>
        </w:rPr>
        <w:t> </w:t>
      </w:r>
      <w:r>
        <w:rPr>
          <w:strike w:val="0"/>
          <w:sz w:val="24"/>
        </w:rPr>
        <w:t>6330)</w:t>
      </w:r>
    </w:p>
    <w:p>
      <w:pPr>
        <w:pStyle w:val="ListParagraph"/>
        <w:numPr>
          <w:ilvl w:val="0"/>
          <w:numId w:val="6"/>
        </w:numPr>
        <w:tabs>
          <w:tab w:pos="1180" w:val="left" w:leader="none"/>
        </w:tabs>
        <w:spacing w:line="240" w:lineRule="auto" w:before="201" w:after="0"/>
        <w:ind w:left="1180" w:right="0" w:hanging="360"/>
        <w:jc w:val="left"/>
        <w:rPr>
          <w:sz w:val="24"/>
        </w:rPr>
      </w:pPr>
      <w:r>
        <w:rPr>
          <w:sz w:val="24"/>
        </w:rPr>
        <w:t>May Revision (</w:t>
      </w:r>
      <w:r>
        <w:rPr>
          <w:color w:val="2E97D3"/>
          <w:sz w:val="24"/>
          <w:u w:val="single" w:color="2E97D3"/>
        </w:rPr>
        <w:t>Budget Enactment—</w:t>
      </w:r>
      <w:r>
        <w:rPr>
          <w:sz w:val="24"/>
        </w:rPr>
        <w:t>SAM Section</w:t>
      </w:r>
      <w:r>
        <w:rPr>
          <w:spacing w:val="-21"/>
          <w:sz w:val="24"/>
        </w:rPr>
        <w:t> </w:t>
      </w:r>
      <w:r>
        <w:rPr>
          <w:sz w:val="24"/>
        </w:rPr>
        <w:t>6130)</w:t>
      </w:r>
    </w:p>
    <w:p>
      <w:pPr>
        <w:pStyle w:val="ListParagraph"/>
        <w:numPr>
          <w:ilvl w:val="0"/>
          <w:numId w:val="6"/>
        </w:numPr>
        <w:tabs>
          <w:tab w:pos="1180" w:val="left" w:leader="none"/>
        </w:tabs>
        <w:spacing w:line="240" w:lineRule="auto" w:before="199" w:after="0"/>
        <w:ind w:left="1180" w:right="0" w:hanging="360"/>
        <w:jc w:val="left"/>
        <w:rPr>
          <w:sz w:val="24"/>
        </w:rPr>
      </w:pPr>
      <w:r>
        <w:rPr>
          <w:sz w:val="24"/>
        </w:rPr>
        <w:t>Budget Act and Final Budget Summary (SAM </w:t>
      </w:r>
      <w:r>
        <w:rPr>
          <w:b/>
          <w:strike/>
          <w:color w:val="2E97D3"/>
          <w:sz w:val="24"/>
        </w:rPr>
        <w:t>Section</w:t>
      </w:r>
      <w:r>
        <w:rPr>
          <w:strike w:val="0"/>
          <w:color w:val="2E97D3"/>
          <w:sz w:val="24"/>
          <w:u w:val="single" w:color="2E97D3"/>
        </w:rPr>
        <w:t>Sections 6333 and</w:t>
      </w:r>
      <w:r>
        <w:rPr>
          <w:strike w:val="0"/>
          <w:color w:val="2E97D3"/>
          <w:spacing w:val="-36"/>
          <w:sz w:val="24"/>
          <w:u w:val="single" w:color="2E97D3"/>
        </w:rPr>
        <w:t> </w:t>
      </w:r>
      <w:r>
        <w:rPr>
          <w:strike w:val="0"/>
          <w:sz w:val="24"/>
        </w:rPr>
        <w:t>6350)</w:t>
      </w:r>
    </w:p>
    <w:p>
      <w:pPr>
        <w:pStyle w:val="ListParagraph"/>
        <w:numPr>
          <w:ilvl w:val="0"/>
          <w:numId w:val="6"/>
        </w:numPr>
        <w:tabs>
          <w:tab w:pos="1180" w:val="left" w:leader="none"/>
        </w:tabs>
        <w:spacing w:line="240" w:lineRule="auto" w:before="201" w:after="0"/>
        <w:ind w:left="1180" w:right="0" w:hanging="360"/>
        <w:jc w:val="left"/>
        <w:rPr>
          <w:sz w:val="24"/>
        </w:rPr>
      </w:pPr>
      <w:r>
        <w:rPr/>
        <w:pict>
          <v:line style="position:absolute;mso-position-horizontal-relative:page;mso-position-vertical-relative:paragraph;z-index:4816" from="36.360001pt,24.065866pt" to="36.360001pt,144.305866pt" stroked="true" strokeweight=".72pt" strokecolor="#000000">
            <v:stroke dashstyle="solid"/>
            <w10:wrap type="none"/>
          </v:line>
        </w:pict>
      </w:r>
      <w:r>
        <w:rPr>
          <w:sz w:val="24"/>
        </w:rPr>
        <w:t>Final Change Book (SAM Section</w:t>
      </w:r>
      <w:r>
        <w:rPr>
          <w:spacing w:val="-17"/>
          <w:sz w:val="24"/>
        </w:rPr>
        <w:t> </w:t>
      </w:r>
      <w:r>
        <w:rPr>
          <w:sz w:val="24"/>
        </w:rPr>
        <w:t>6355)</w:t>
      </w:r>
    </w:p>
    <w:p>
      <w:pPr>
        <w:pStyle w:val="BodyText"/>
        <w:spacing w:before="1"/>
        <w:rPr>
          <w:sz w:val="16"/>
        </w:rPr>
      </w:pPr>
    </w:p>
    <w:p>
      <w:pPr>
        <w:pStyle w:val="BodyText"/>
        <w:spacing w:before="92"/>
        <w:ind w:left="820" w:right="341"/>
      </w:pPr>
      <w:r>
        <w:rPr/>
        <w:pict>
          <v:line style="position:absolute;mso-position-horizontal-relative:page;mso-position-vertical-relative:paragraph;z-index:-467968" from="244.199997pt,26.716366pt" to="247.439997pt,26.716366pt" stroked="true" strokeweight=".599pt" strokecolor="#2e97d3">
            <v:stroke dashstyle="solid"/>
            <w10:wrap type="none"/>
          </v:line>
        </w:pict>
      </w:r>
      <w:r>
        <w:rPr/>
        <w:t>Budget Letters </w:t>
      </w:r>
      <w:r>
        <w:rPr>
          <w:strike/>
          <w:color w:val="2E97D3"/>
        </w:rPr>
        <w:t>and budget related Management Memos </w:t>
      </w:r>
      <w:r>
        <w:rPr>
          <w:strike w:val="0"/>
        </w:rPr>
        <w:t>provide technical instructions for departmental budget offices. Budget Letters </w:t>
      </w:r>
      <w:r>
        <w:rPr>
          <w:strike/>
          <w:color w:val="2E97D3"/>
        </w:rPr>
        <w:t>and Management Memos </w:t>
      </w:r>
      <w:r>
        <w:rPr>
          <w:strike w:val="0"/>
        </w:rPr>
        <w:t>are available online through the following </w:t>
      </w:r>
      <w:r>
        <w:rPr>
          <w:strike/>
          <w:color w:val="2E97D3"/>
        </w:rPr>
        <w:t>links</w:t>
      </w:r>
      <w:r>
        <w:rPr>
          <w:strike w:val="0"/>
          <w:color w:val="2E97D3"/>
          <w:u w:val="single" w:color="2E97D3"/>
        </w:rPr>
        <w:t>link</w:t>
      </w:r>
      <w:r>
        <w:rPr>
          <w:strike w:val="0"/>
        </w:rPr>
        <w:t>.</w:t>
      </w:r>
    </w:p>
    <w:p>
      <w:pPr>
        <w:pStyle w:val="BodyText"/>
        <w:ind w:left="820"/>
      </w:pPr>
      <w:r>
        <w:rPr>
          <w:strike/>
          <w:color w:val="2E97D3"/>
        </w:rPr>
        <w:t>Budget Letters Website: </w:t>
      </w:r>
      <w:hyperlink r:id="rId29">
        <w:r>
          <w:rPr>
            <w:strike/>
            <w:color w:val="2E97D3"/>
            <w:u w:val="single" w:color="2E97D3"/>
          </w:rPr>
          <w:t>http://www.dof.ca.gov/budget/budget_letters/</w:t>
        </w:r>
      </w:hyperlink>
    </w:p>
    <w:p>
      <w:pPr>
        <w:pStyle w:val="BodyText"/>
        <w:rPr>
          <w:sz w:val="16"/>
        </w:rPr>
      </w:pPr>
    </w:p>
    <w:p>
      <w:pPr>
        <w:pStyle w:val="BodyText"/>
        <w:spacing w:line="412" w:lineRule="auto" w:before="92"/>
        <w:ind w:left="887" w:hanging="68"/>
      </w:pPr>
      <w:r>
        <w:rPr/>
        <w:pict>
          <v:line style="position:absolute;mso-position-horizontal-relative:page;mso-position-vertical-relative:paragraph;z-index:-467944" from="72pt,36.795860pt" to="75.36pt,36.795860pt" stroked="true" strokeweight=".6pt" strokecolor="#2e97d3">
            <v:stroke dashstyle="solid"/>
            <w10:wrap type="none"/>
          </v:line>
        </w:pict>
      </w:r>
      <w:r>
        <w:rPr>
          <w:strike/>
          <w:color w:val="2E97D3"/>
        </w:rPr>
        <w:t>Management Memo Website: </w:t>
      </w:r>
      <w:hyperlink r:id="rId39">
        <w:r>
          <w:rPr>
            <w:strike/>
            <w:color w:val="2E97D3"/>
            <w:u w:val="single" w:color="2E97D3"/>
          </w:rPr>
          <w:t>http://www.dgs.ca.gov/osp/Resources/SAMMM.aspx</w:t>
        </w:r>
      </w:hyperlink>
      <w:r>
        <w:rPr>
          <w:strike/>
          <w:color w:val="2E97D3"/>
          <w:u w:val="single" w:color="2E97D3"/>
        </w:rPr>
        <w:t> </w:t>
      </w:r>
      <w:r>
        <w:rPr>
          <w:strike w:val="0"/>
          <w:color w:val="2E97D3"/>
          <w:u w:val="single" w:color="2E97D3"/>
        </w:rPr>
        <w:t>Budget Letters website: </w:t>
      </w:r>
      <w:hyperlink r:id="rId31">
        <w:r>
          <w:rPr>
            <w:strike w:val="0"/>
            <w:color w:val="2E97D3"/>
            <w:u w:val="single" w:color="2E97D3"/>
          </w:rPr>
          <w:t>http://www.dof.ca.gov/budget/Budget_Letters/</w:t>
        </w:r>
      </w:hyperlink>
    </w:p>
    <w:p>
      <w:pPr>
        <w:pStyle w:val="BodyText"/>
        <w:rPr>
          <w:sz w:val="11"/>
        </w:rPr>
      </w:pPr>
    </w:p>
    <w:p>
      <w:pPr>
        <w:pStyle w:val="BodyText"/>
        <w:spacing w:before="92"/>
        <w:ind w:left="820" w:right="275"/>
      </w:pPr>
      <w:r>
        <w:rPr/>
        <w:pict>
          <v:line style="position:absolute;mso-position-horizontal-relative:page;mso-position-vertical-relative:paragraph;z-index:4840" from="36.360001pt,4.816848pt" to="36.360001pt,32.415848pt" stroked="true" strokeweight=".72pt" strokecolor="#000000">
            <v:stroke dashstyle="solid"/>
            <w10:wrap type="none"/>
          </v:line>
        </w:pict>
      </w:r>
      <w:r>
        <w:rPr/>
        <w:t>The annual </w:t>
      </w:r>
      <w:r>
        <w:rPr>
          <w:color w:val="2E97D3"/>
          <w:u w:val="single" w:color="2E97D3"/>
        </w:rPr>
        <w:t>state </w:t>
      </w:r>
      <w:r>
        <w:rPr/>
        <w:t>budget process is </w:t>
      </w:r>
      <w:r>
        <w:rPr>
          <w:strike/>
          <w:color w:val="2E97D3"/>
        </w:rPr>
        <w:t>displayed</w:t>
      </w:r>
      <w:r>
        <w:rPr>
          <w:strike w:val="0"/>
          <w:color w:val="2E97D3"/>
          <w:u w:val="single" w:color="2E97D3"/>
        </w:rPr>
        <w:t>illustrated </w:t>
      </w:r>
      <w:r>
        <w:rPr>
          <w:strike w:val="0"/>
        </w:rPr>
        <w:t>in a </w:t>
      </w:r>
      <w:r>
        <w:rPr>
          <w:strike/>
          <w:color w:val="2E97D3"/>
        </w:rPr>
        <w:t>relatively simple </w:t>
      </w:r>
      <w:r>
        <w:rPr>
          <w:strike w:val="0"/>
        </w:rPr>
        <w:t>flow chart on the following page</w:t>
      </w:r>
      <w:r>
        <w:rPr>
          <w:strike/>
          <w:color w:val="2E97D3"/>
        </w:rPr>
        <w:t>, 6150 Illustration.</w:t>
      </w:r>
    </w:p>
    <w:p>
      <w:pPr>
        <w:spacing w:after="0"/>
        <w:sectPr>
          <w:headerReference w:type="default" r:id="rId38"/>
          <w:pgSz w:w="12240" w:h="15840"/>
          <w:pgMar w:header="724" w:footer="792" w:top="980" w:bottom="980" w:left="620" w:right="1340"/>
        </w:sectPr>
      </w:pPr>
    </w:p>
    <w:p>
      <w:pPr>
        <w:pStyle w:val="BodyText"/>
        <w:rPr>
          <w:sz w:val="20"/>
        </w:rPr>
      </w:pPr>
    </w:p>
    <w:p>
      <w:pPr>
        <w:pStyle w:val="BodyText"/>
        <w:spacing w:before="11"/>
        <w:rPr>
          <w:sz w:val="18"/>
        </w:rPr>
      </w:pPr>
    </w:p>
    <w:p>
      <w:pPr>
        <w:pStyle w:val="BodyText"/>
        <w:ind w:left="814"/>
        <w:rPr>
          <w:sz w:val="20"/>
        </w:rPr>
      </w:pPr>
      <w:r>
        <w:rPr>
          <w:sz w:val="20"/>
        </w:rPr>
        <w:drawing>
          <wp:inline distT="0" distB="0" distL="0" distR="0">
            <wp:extent cx="5951220" cy="7315200"/>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42" cstate="print"/>
                    <a:stretch>
                      <a:fillRect/>
                    </a:stretch>
                  </pic:blipFill>
                  <pic:spPr>
                    <a:xfrm>
                      <a:off x="0" y="0"/>
                      <a:ext cx="5951220" cy="73152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3"/>
        <w:ind w:left="4486" w:right="3786" w:firstLine="0"/>
        <w:jc w:val="center"/>
        <w:rPr>
          <w:b/>
          <w:sz w:val="24"/>
        </w:rPr>
      </w:pPr>
      <w:r>
        <w:rPr/>
        <w:pict>
          <v:line style="position:absolute;mso-position-horizontal-relative:page;mso-position-vertical-relative:paragraph;z-index:4864" from="36.360001pt,-645.034119pt" to="36.360001pt,-31.114119pt" stroked="true" strokeweight=".72pt" strokecolor="#000000">
            <v:stroke dashstyle="solid"/>
            <w10:wrap type="none"/>
          </v:line>
        </w:pict>
      </w:r>
      <w:r>
        <w:rPr>
          <w:b/>
          <w:sz w:val="24"/>
        </w:rPr>
        <w:t>Rev. 411</w:t>
      </w:r>
    </w:p>
    <w:p>
      <w:pPr>
        <w:spacing w:before="0"/>
        <w:ind w:left="4486" w:right="3786" w:firstLine="0"/>
        <w:jc w:val="center"/>
        <w:rPr>
          <w:b/>
          <w:i/>
          <w:sz w:val="24"/>
        </w:rPr>
      </w:pPr>
      <w:r>
        <w:rPr>
          <w:b/>
          <w:i/>
          <w:sz w:val="24"/>
        </w:rPr>
        <w:t>(6150 Illustration)</w:t>
      </w:r>
    </w:p>
    <w:p>
      <w:pPr>
        <w:spacing w:after="0"/>
        <w:jc w:val="center"/>
        <w:rPr>
          <w:sz w:val="24"/>
        </w:rPr>
        <w:sectPr>
          <w:headerReference w:type="default" r:id="rId40"/>
          <w:footerReference w:type="default" r:id="rId41"/>
          <w:pgSz w:w="12240" w:h="15840"/>
          <w:pgMar w:header="724" w:footer="0" w:top="980" w:bottom="280" w:left="620" w:right="1320"/>
        </w:sectPr>
      </w:pPr>
    </w:p>
    <w:p>
      <w:pPr>
        <w:pStyle w:val="BodyText"/>
        <w:rPr>
          <w:b/>
          <w:i/>
          <w:sz w:val="20"/>
        </w:rPr>
      </w:pPr>
    </w:p>
    <w:p>
      <w:pPr>
        <w:pStyle w:val="BodyText"/>
        <w:spacing w:before="214"/>
        <w:ind w:left="820"/>
      </w:pPr>
      <w:r>
        <w:rPr/>
        <w:pict>
          <v:line style="position:absolute;mso-position-horizontal-relative:page;mso-position-vertical-relative:paragraph;z-index:-467776" from="72pt,23.695381pt" to="75.36pt,23.695381pt" stroked="true" strokeweight=".841pt" strokecolor="#2e97d3">
            <v:stroke dashstyle="solid"/>
            <w10:wrap type="none"/>
          </v:line>
        </w:pict>
      </w:r>
      <w:r>
        <w:rPr/>
        <w:pict>
          <v:line style="position:absolute;mso-position-horizontal-relative:page;mso-position-vertical-relative:paragraph;z-index:4912" from="36.360001pt,10.915881pt" to="36.360001pt,24.715881pt" stroked="true" strokeweight=".72pt" strokecolor="#000000">
            <v:stroke dashstyle="solid"/>
            <w10:wrap type="none"/>
          </v:line>
        </w:pict>
      </w:r>
      <w:r>
        <w:rPr>
          <w:color w:val="2E97D3"/>
          <w:w w:val="10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pStyle w:val="Heading2"/>
        <w:ind w:left="4411" w:right="3311"/>
        <w:jc w:val="center"/>
      </w:pPr>
      <w:r>
        <w:rPr/>
        <w:t>Rev. 440</w:t>
      </w:r>
    </w:p>
    <w:p>
      <w:pPr>
        <w:spacing w:after="0"/>
        <w:jc w:val="center"/>
        <w:sectPr>
          <w:headerReference w:type="default" r:id="rId43"/>
          <w:footerReference w:type="default" r:id="rId44"/>
          <w:pgSz w:w="12240" w:h="15840"/>
          <w:pgMar w:header="724" w:footer="0" w:top="980" w:bottom="280" w:left="620" w:right="1720"/>
        </w:sectPr>
      </w:pPr>
    </w:p>
    <w:p>
      <w:pPr>
        <w:pStyle w:val="BodyText"/>
        <w:spacing w:before="3"/>
        <w:rPr>
          <w:b/>
          <w:sz w:val="28"/>
        </w:rPr>
      </w:pPr>
    </w:p>
    <w:p>
      <w:pPr>
        <w:tabs>
          <w:tab w:pos="9191" w:val="left" w:leader="none"/>
        </w:tabs>
        <w:spacing w:before="89"/>
        <w:ind w:left="3959" w:right="0" w:firstLine="0"/>
        <w:jc w:val="left"/>
        <w:rPr>
          <w:b/>
          <w:sz w:val="24"/>
        </w:rPr>
      </w:pPr>
      <w:r>
        <w:rPr/>
        <w:pict>
          <v:line style="position:absolute;mso-position-horizontal-relative:page;mso-position-vertical-relative:paragraph;z-index:4960" from="36.360001pt,4.844882pt" to="36.360001pt,35.205882pt" stroked="true" strokeweight=".72pt" strokecolor="#000000">
            <v:stroke dashstyle="solid"/>
            <w10:wrap type="none"/>
          </v:line>
        </w:pict>
      </w:r>
      <w:r>
        <w:rPr>
          <w:b/>
          <w:color w:val="2E97D3"/>
          <w:sz w:val="24"/>
          <w:u w:val="thick" w:color="2E97D3"/>
        </w:rPr>
        <w:t>The Annual</w:t>
      </w:r>
      <w:r>
        <w:rPr>
          <w:b/>
          <w:color w:val="2E97D3"/>
          <w:spacing w:val="-3"/>
          <w:sz w:val="24"/>
          <w:u w:val="thick" w:color="2E97D3"/>
        </w:rPr>
        <w:t> </w:t>
      </w:r>
      <w:r>
        <w:rPr>
          <w:b/>
          <w:color w:val="2E97D3"/>
          <w:sz w:val="24"/>
          <w:u w:val="thick" w:color="2E97D3"/>
        </w:rPr>
        <w:t>Budget</w:t>
      </w:r>
      <w:r>
        <w:rPr>
          <w:b/>
          <w:color w:val="2E97D3"/>
          <w:spacing w:val="-5"/>
          <w:sz w:val="24"/>
          <w:u w:val="thick" w:color="2E97D3"/>
        </w:rPr>
        <w:t> </w:t>
      </w:r>
      <w:r>
        <w:rPr>
          <w:b/>
          <w:color w:val="2E97D3"/>
          <w:sz w:val="24"/>
          <w:u w:val="thick" w:color="2E97D3"/>
        </w:rPr>
        <w:t>Process</w:t>
      </w:r>
      <w:r>
        <w:rPr>
          <w:b/>
          <w:color w:val="2E97D3"/>
          <w:sz w:val="24"/>
        </w:rPr>
        <w:tab/>
      </w:r>
      <w:r>
        <w:rPr>
          <w:b/>
          <w:color w:val="2E97D3"/>
          <w:position w:val="3"/>
          <w:sz w:val="24"/>
          <w:u w:val="single" w:color="2E97D3"/>
        </w:rPr>
        <w:t>Illustration</w:t>
      </w:r>
    </w:p>
    <w:p>
      <w:pPr>
        <w:pStyle w:val="BodyText"/>
        <w:spacing w:before="10"/>
        <w:rPr>
          <w:b/>
          <w:sz w:val="23"/>
        </w:rPr>
      </w:pPr>
      <w:r>
        <w:rPr/>
        <w:drawing>
          <wp:anchor distT="0" distB="0" distL="0" distR="0" allowOverlap="1" layoutInCell="1" locked="0" behindDoc="0" simplePos="0" relativeHeight="4936">
            <wp:simplePos x="0" y="0"/>
            <wp:positionH relativeFrom="page">
              <wp:posOffset>885444</wp:posOffset>
            </wp:positionH>
            <wp:positionV relativeFrom="paragraph">
              <wp:posOffset>199320</wp:posOffset>
            </wp:positionV>
            <wp:extent cx="6329657" cy="7890319"/>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47" cstate="print"/>
                    <a:stretch>
                      <a:fillRect/>
                    </a:stretch>
                  </pic:blipFill>
                  <pic:spPr>
                    <a:xfrm>
                      <a:off x="0" y="0"/>
                      <a:ext cx="6329657" cy="7890319"/>
                    </a:xfrm>
                    <a:prstGeom prst="rect">
                      <a:avLst/>
                    </a:prstGeom>
                  </pic:spPr>
                </pic:pic>
              </a:graphicData>
            </a:graphic>
          </wp:anchor>
        </w:drawing>
      </w:r>
    </w:p>
    <w:p>
      <w:pPr>
        <w:spacing w:before="83"/>
        <w:ind w:left="4486" w:right="4326" w:firstLine="0"/>
        <w:jc w:val="center"/>
        <w:rPr>
          <w:b/>
          <w:sz w:val="24"/>
        </w:rPr>
      </w:pPr>
      <w:r>
        <w:rPr>
          <w:b/>
          <w:sz w:val="24"/>
        </w:rPr>
        <w:t>Rev. </w:t>
      </w:r>
      <w:r>
        <w:rPr>
          <w:b/>
          <w:strike/>
          <w:color w:val="2E97D3"/>
          <w:sz w:val="24"/>
        </w:rPr>
        <w:t>411</w:t>
      </w:r>
      <w:r>
        <w:rPr>
          <w:b/>
          <w:strike w:val="0"/>
          <w:color w:val="2E97D3"/>
          <w:sz w:val="24"/>
          <w:u w:val="thick" w:color="2E97D3"/>
        </w:rPr>
        <w:t>440</w:t>
      </w:r>
    </w:p>
    <w:p>
      <w:pPr>
        <w:spacing w:before="0"/>
        <w:ind w:left="4486" w:right="4326" w:firstLine="0"/>
        <w:jc w:val="center"/>
        <w:rPr>
          <w:b/>
          <w:sz w:val="24"/>
        </w:rPr>
      </w:pPr>
      <w:r>
        <w:rPr/>
        <w:pict>
          <v:line style="position:absolute;mso-position-horizontal-relative:page;mso-position-vertical-relative:paragraph;z-index:4984" from="36.360001pt,-13.584143pt" to="36.360001pt,14.015857pt" stroked="true" strokeweight=".72pt" strokecolor="#000000">
            <v:stroke dashstyle="solid"/>
            <w10:wrap type="none"/>
          </v:line>
        </w:pict>
      </w:r>
      <w:r>
        <w:rPr>
          <w:b/>
          <w:color w:val="2E97D3"/>
          <w:sz w:val="24"/>
          <w:u w:val="thick" w:color="2E97D3"/>
        </w:rPr>
        <w:t>(6150 Illustration)</w:t>
      </w:r>
    </w:p>
    <w:p>
      <w:pPr>
        <w:spacing w:after="0"/>
        <w:jc w:val="center"/>
        <w:rPr>
          <w:sz w:val="24"/>
        </w:rPr>
        <w:sectPr>
          <w:headerReference w:type="default" r:id="rId45"/>
          <w:footerReference w:type="default" r:id="rId46"/>
          <w:pgSz w:w="12240" w:h="15840"/>
          <w:pgMar w:header="724" w:footer="0" w:top="980" w:bottom="280" w:left="620" w:right="780"/>
        </w:sectPr>
      </w:pPr>
    </w:p>
    <w:p>
      <w:pPr>
        <w:pStyle w:val="BodyText"/>
        <w:rPr>
          <w:b/>
          <w:sz w:val="20"/>
        </w:rPr>
      </w:pPr>
    </w:p>
    <w:p>
      <w:pPr>
        <w:tabs>
          <w:tab w:pos="8919" w:val="left" w:leader="none"/>
          <w:tab w:pos="9459" w:val="left" w:leader="none"/>
        </w:tabs>
        <w:spacing w:before="214"/>
        <w:ind w:left="820" w:right="0" w:firstLine="0"/>
        <w:jc w:val="left"/>
        <w:rPr>
          <w:b/>
          <w:sz w:val="24"/>
        </w:rPr>
      </w:pPr>
      <w:bookmarkStart w:name="THE TRADITIONAL CONCEPT BUDGET  6210" w:id="17"/>
      <w:bookmarkEnd w:id="17"/>
      <w:r>
        <w:rPr/>
      </w:r>
      <w:r>
        <w:rPr>
          <w:b/>
          <w:sz w:val="24"/>
        </w:rPr>
        <w:t>THE TRADITIONAL</w:t>
      </w:r>
      <w:r>
        <w:rPr>
          <w:b/>
          <w:spacing w:val="-4"/>
          <w:sz w:val="24"/>
        </w:rPr>
        <w:t> </w:t>
      </w:r>
      <w:r>
        <w:rPr>
          <w:strike/>
          <w:color w:val="2E97D3"/>
          <w:sz w:val="24"/>
        </w:rPr>
        <w:t>CONCEPT</w:t>
      </w:r>
      <w:r>
        <w:rPr>
          <w:strike/>
          <w:color w:val="2E97D3"/>
          <w:spacing w:val="-2"/>
          <w:sz w:val="24"/>
        </w:rPr>
        <w:t> </w:t>
      </w:r>
      <w:r>
        <w:rPr>
          <w:b/>
          <w:strike w:val="0"/>
          <w:color w:val="2E97D3"/>
          <w:sz w:val="24"/>
          <w:u w:val="thick" w:color="2E97D3"/>
        </w:rPr>
        <w:t>BUDGET</w:t>
        <w:tab/>
      </w:r>
      <w:r>
        <w:rPr>
          <w:b/>
          <w:strike w:val="0"/>
          <w:color w:val="2E97D3"/>
          <w:sz w:val="24"/>
        </w:rPr>
        <w:tab/>
      </w:r>
      <w:r>
        <w:rPr>
          <w:b/>
          <w:strike w:val="0"/>
          <w:sz w:val="24"/>
        </w:rPr>
        <w:t>6210</w:t>
      </w:r>
      <w:r>
        <w:rPr>
          <w:b/>
          <w:strike w:val="0"/>
          <w:w w:val="100"/>
          <w:sz w:val="24"/>
          <w:u w:val="thick" w:color="2E97D3"/>
        </w:rPr>
        <w:t> </w:t>
      </w:r>
      <w:r>
        <w:rPr>
          <w:b/>
          <w:strike w:val="0"/>
          <w:spacing w:val="-13"/>
          <w:sz w:val="24"/>
          <w:u w:val="thick" w:color="2E97D3"/>
        </w:rPr>
        <w:t> </w:t>
      </w:r>
    </w:p>
    <w:p>
      <w:pPr>
        <w:pStyle w:val="BodyText"/>
        <w:ind w:left="820"/>
      </w:pPr>
      <w:r>
        <w:rPr/>
        <w:t>(Revised </w:t>
      </w:r>
      <w:r>
        <w:rPr>
          <w:strike/>
          <w:color w:val="2E97D3"/>
        </w:rPr>
        <w:t>2/1998</w:t>
      </w:r>
      <w:r>
        <w:rPr>
          <w:strike w:val="0"/>
          <w:color w:val="2E97D3"/>
          <w:u w:val="single" w:color="2E97D3"/>
        </w:rPr>
        <w:t>10/2017</w:t>
      </w:r>
      <w:r>
        <w:rPr>
          <w:strike w:val="0"/>
        </w:rPr>
        <w:t>)</w:t>
      </w:r>
    </w:p>
    <w:p>
      <w:pPr>
        <w:pStyle w:val="BodyText"/>
        <w:spacing w:before="11"/>
        <w:rPr>
          <w:sz w:val="15"/>
        </w:rPr>
      </w:pPr>
    </w:p>
    <w:p>
      <w:pPr>
        <w:pStyle w:val="BodyText"/>
        <w:spacing w:before="92"/>
        <w:ind w:left="820" w:right="581"/>
      </w:pPr>
      <w:r>
        <w:rPr/>
        <w:pict>
          <v:line style="position:absolute;mso-position-horizontal-relative:page;mso-position-vertical-relative:paragraph;z-index:5008" from="36.360001pt,4.815857pt" to="36.360001pt,60.015857pt" stroked="true" strokeweight=".72pt" strokecolor="#000000">
            <v:stroke dashstyle="solid"/>
            <w10:wrap type="none"/>
          </v:line>
        </w:pict>
      </w:r>
      <w:r>
        <w:rPr/>
        <w:pict>
          <v:line style="position:absolute;mso-position-horizontal-relative:page;mso-position-vertical-relative:paragraph;z-index:5032" from="36.360001pt,73.815857pt" to="36.360001pt,115.215857pt" stroked="true" strokeweight=".72pt" strokecolor="#000000">
            <v:stroke dashstyle="solid"/>
            <w10:wrap type="none"/>
          </v:line>
        </w:pict>
      </w:r>
      <w:r>
        <w:rPr/>
        <w:pict>
          <v:line style="position:absolute;mso-position-horizontal-relative:page;mso-position-vertical-relative:paragraph;z-index:5056" from="36.360001pt,129.015854pt" to="36.360001pt,168.615854pt" stroked="true" strokeweight=".72pt" strokecolor="#000000">
            <v:stroke dashstyle="solid"/>
            <w10:wrap type="none"/>
          </v:line>
        </w:pict>
      </w:r>
      <w:r>
        <w:rPr>
          <w:strike/>
          <w:color w:val="2E97D3"/>
        </w:rPr>
        <w:t>Budget formats have become a blend of the traditional and program concepts, a compromise that utilizes the best of both approaches. </w:t>
      </w:r>
      <w:r>
        <w:rPr>
          <w:strike w:val="0"/>
          <w:color w:val="2E97D3"/>
          <w:u w:val="single" w:color="2E97D3"/>
        </w:rPr>
        <w:t>Over time, the state budget format has evolved from the traditional format based on department functions to incorporate elements of the program budget concept. </w:t>
      </w:r>
      <w:r>
        <w:rPr>
          <w:strike w:val="0"/>
        </w:rPr>
        <w:t>Before the adoption of the program budget concept, “traditional” budgets were oriented to show expenditures according to </w:t>
      </w:r>
      <w:r>
        <w:rPr>
          <w:strike/>
          <w:color w:val="2E97D3"/>
        </w:rPr>
        <w:t>departmental </w:t>
      </w:r>
      <w:r>
        <w:rPr>
          <w:strike w:val="0"/>
          <w:color w:val="2E97D3"/>
          <w:u w:val="single" w:color="2E97D3"/>
        </w:rPr>
        <w:t>a department’s </w:t>
      </w:r>
      <w:r>
        <w:rPr>
          <w:strike w:val="0"/>
        </w:rPr>
        <w:t>organizational structure </w:t>
      </w:r>
      <w:r>
        <w:rPr>
          <w:strike/>
          <w:color w:val="2E97D3"/>
        </w:rPr>
        <w:t>or</w:t>
      </w:r>
      <w:r>
        <w:rPr>
          <w:strike w:val="0"/>
          <w:color w:val="2E97D3"/>
          <w:u w:val="single" w:color="2E97D3"/>
        </w:rPr>
        <w:t>. Departments were generally organized by </w:t>
      </w:r>
      <w:r>
        <w:rPr>
          <w:strike w:val="0"/>
        </w:rPr>
        <w:t>function </w:t>
      </w:r>
      <w:r>
        <w:rPr>
          <w:strike/>
          <w:color w:val="2E97D3"/>
        </w:rPr>
        <w:t>and</w:t>
      </w:r>
      <w:r>
        <w:rPr>
          <w:strike w:val="0"/>
          <w:color w:val="2E97D3"/>
          <w:u w:val="single" w:color="2E97D3"/>
        </w:rPr>
        <w:t>so the </w:t>
      </w:r>
      <w:r>
        <w:rPr>
          <w:strike w:val="0"/>
        </w:rPr>
        <w:t>line-item objects </w:t>
      </w:r>
      <w:r>
        <w:rPr>
          <w:strike/>
          <w:color w:val="2E97D3"/>
        </w:rPr>
        <w:t>of expenditures. </w:t>
      </w:r>
      <w:r>
        <w:rPr>
          <w:strike w:val="0"/>
          <w:color w:val="2E97D3"/>
          <w:u w:val="single" w:color="2E97D3"/>
        </w:rPr>
        <w:t>in their budgets were directly related to those various departmental functions. </w:t>
      </w:r>
      <w:r>
        <w:rPr>
          <w:strike w:val="0"/>
        </w:rPr>
        <w:t>The last exclusively traditional budget was in 1969–70.</w:t>
      </w:r>
    </w:p>
    <w:p>
      <w:pPr>
        <w:spacing w:after="0"/>
        <w:sectPr>
          <w:headerReference w:type="default" r:id="rId48"/>
          <w:footerReference w:type="default" r:id="rId49"/>
          <w:pgSz w:w="12240" w:h="15840"/>
          <w:pgMar w:header="724" w:footer="792" w:top="980" w:bottom="980" w:left="620" w:right="1340"/>
        </w:sectPr>
      </w:pPr>
    </w:p>
    <w:p>
      <w:pPr>
        <w:pStyle w:val="BodyText"/>
        <w:rPr>
          <w:sz w:val="20"/>
        </w:rPr>
      </w:pPr>
    </w:p>
    <w:p>
      <w:pPr>
        <w:pStyle w:val="BodyText"/>
        <w:spacing w:before="214"/>
        <w:ind w:left="820"/>
      </w:pPr>
      <w:r>
        <w:rPr/>
        <w:pict>
          <v:line style="position:absolute;mso-position-horizontal-relative:page;mso-position-vertical-relative:paragraph;z-index:5080" from="36.360001pt,10.915881pt" to="36.360001pt,24.715881pt" stroked="true" strokeweight=".72pt" strokecolor="#000000">
            <v:stroke dashstyle="solid"/>
            <w10:wrap type="none"/>
          </v:line>
        </w:pict>
      </w:r>
      <w:r>
        <w:rPr>
          <w:strike/>
          <w:color w:val="2E97D3"/>
        </w:rPr>
        <w:t>tHE</w:t>
      </w:r>
    </w:p>
    <w:p>
      <w:pPr>
        <w:spacing w:after="0"/>
        <w:sectPr>
          <w:headerReference w:type="default" r:id="rId50"/>
          <w:pgSz w:w="12240" w:h="15840"/>
          <w:pgMar w:header="724" w:footer="792" w:top="980" w:bottom="980" w:left="620" w:right="1720"/>
        </w:sectPr>
      </w:pPr>
    </w:p>
    <w:p>
      <w:pPr>
        <w:pStyle w:val="BodyText"/>
        <w:rPr>
          <w:sz w:val="20"/>
        </w:rPr>
      </w:pPr>
    </w:p>
    <w:p>
      <w:pPr>
        <w:tabs>
          <w:tab w:pos="4419" w:val="left" w:leader="none"/>
          <w:tab w:pos="10179" w:val="left" w:leader="none"/>
        </w:tabs>
        <w:spacing w:before="214"/>
        <w:ind w:left="820" w:right="0" w:firstLine="0"/>
        <w:jc w:val="left"/>
        <w:rPr>
          <w:b/>
          <w:sz w:val="24"/>
        </w:rPr>
      </w:pPr>
      <w:r>
        <w:rPr/>
        <w:pict>
          <v:line style="position:absolute;mso-position-horizontal-relative:page;mso-position-vertical-relative:paragraph;z-index:5392" from="36.360001pt,10.915881pt" to="36.360001pt,52.315881pt" stroked="true" strokeweight=".72pt" strokecolor="#000000">
            <v:stroke dashstyle="solid"/>
            <w10:wrap type="none"/>
          </v:line>
        </w:pict>
      </w:r>
      <w:bookmarkStart w:name="THE PROGRAM CONCERT BUDGET CONCEPT      " w:id="18"/>
      <w:bookmarkEnd w:id="18"/>
      <w:r>
        <w:rPr/>
      </w:r>
      <w:r>
        <w:rPr>
          <w:b/>
          <w:color w:val="2E97D3"/>
          <w:sz w:val="24"/>
          <w:u w:val="thick" w:color="2E97D3"/>
        </w:rPr>
        <w:t>THE</w:t>
      </w:r>
      <w:r>
        <w:rPr>
          <w:b/>
          <w:color w:val="2E97D3"/>
          <w:spacing w:val="-2"/>
          <w:sz w:val="24"/>
          <w:u w:val="thick" w:color="2E97D3"/>
        </w:rPr>
        <w:t> </w:t>
      </w:r>
      <w:r>
        <w:rPr>
          <w:b/>
          <w:sz w:val="24"/>
        </w:rPr>
        <w:t>PROGRAM</w:t>
      </w:r>
      <w:r>
        <w:rPr>
          <w:b/>
          <w:spacing w:val="-4"/>
          <w:sz w:val="24"/>
        </w:rPr>
        <w:t> </w:t>
      </w:r>
      <w:r>
        <w:rPr>
          <w:strike/>
          <w:color w:val="2E97D3"/>
          <w:sz w:val="24"/>
        </w:rPr>
        <w:t>CONCERT</w:t>
        <w:tab/>
      </w:r>
      <w:r>
        <w:rPr>
          <w:b/>
          <w:strike w:val="0"/>
          <w:color w:val="2E97D3"/>
          <w:sz w:val="24"/>
          <w:u w:val="thick" w:color="2E97D3"/>
        </w:rPr>
        <w:t>BUDGET</w:t>
      </w:r>
      <w:r>
        <w:rPr>
          <w:b/>
          <w:strike w:val="0"/>
          <w:color w:val="2E97D3"/>
          <w:spacing w:val="-7"/>
          <w:sz w:val="24"/>
          <w:u w:val="thick" w:color="2E97D3"/>
        </w:rPr>
        <w:t> </w:t>
      </w:r>
      <w:r>
        <w:rPr>
          <w:b/>
          <w:strike w:val="0"/>
          <w:color w:val="2E97D3"/>
          <w:sz w:val="24"/>
          <w:u w:val="thick" w:color="2E97D3"/>
        </w:rPr>
        <w:t>CONCEPT</w:t>
        <w:tab/>
      </w:r>
    </w:p>
    <w:p>
      <w:pPr>
        <w:pStyle w:val="Heading2"/>
        <w:tabs>
          <w:tab w:pos="2207" w:val="left" w:leader="none"/>
        </w:tabs>
        <w:ind w:left="820"/>
      </w:pPr>
      <w:r>
        <w:rPr>
          <w:w w:val="100"/>
          <w:u w:val="thick" w:color="2E97D3"/>
        </w:rPr>
        <w:t> </w:t>
      </w:r>
      <w:r>
        <w:rPr>
          <w:u w:val="thick" w:color="2E97D3"/>
        </w:rPr>
        <w:tab/>
      </w:r>
      <w:r>
        <w:rPr/>
        <w:t>6220</w:t>
      </w:r>
    </w:p>
    <w:p>
      <w:pPr>
        <w:pStyle w:val="BodyText"/>
        <w:ind w:left="820"/>
      </w:pPr>
      <w:r>
        <w:rPr/>
        <w:t>(Revised </w:t>
      </w:r>
      <w:r>
        <w:rPr>
          <w:strike/>
          <w:color w:val="2E97D3"/>
        </w:rPr>
        <w:t>9/2010</w:t>
      </w:r>
      <w:r>
        <w:rPr>
          <w:strike w:val="0"/>
          <w:color w:val="2E97D3"/>
          <w:u w:val="single" w:color="2E97D3"/>
        </w:rPr>
        <w:t>10/2017</w:t>
      </w:r>
      <w:r>
        <w:rPr>
          <w:strike w:val="0"/>
        </w:rPr>
        <w:t>)</w:t>
      </w:r>
    </w:p>
    <w:p>
      <w:pPr>
        <w:pStyle w:val="BodyText"/>
        <w:spacing w:before="5"/>
        <w:rPr>
          <w:sz w:val="18"/>
        </w:rPr>
      </w:pPr>
    </w:p>
    <w:p>
      <w:pPr>
        <w:pStyle w:val="BodyText"/>
        <w:spacing w:before="92"/>
        <w:ind w:left="820" w:right="337"/>
        <w:jc w:val="both"/>
      </w:pPr>
      <w:r>
        <w:rPr/>
        <w:pict>
          <v:line style="position:absolute;mso-position-horizontal-relative:page;mso-position-vertical-relative:paragraph;z-index:5416" from="36.360001pt,4.815866pt" to="36.360001pt,72.015866pt" stroked="true" strokeweight=".72pt" strokecolor="#000000">
            <v:stroke dashstyle="solid"/>
            <w10:wrap type="none"/>
          </v:line>
        </w:pict>
      </w:r>
      <w:r>
        <w:rPr/>
        <w:t>The program </w:t>
      </w:r>
      <w:r>
        <w:rPr>
          <w:color w:val="2E97D3"/>
          <w:u w:val="single" w:color="2E97D3"/>
        </w:rPr>
        <w:t>budget </w:t>
      </w:r>
      <w:r>
        <w:rPr/>
        <w:t>concept and structure, established and implemented by Section </w:t>
      </w:r>
      <w:r>
        <w:rPr>
          <w:rFonts w:ascii="Times New Roman"/>
          <w:b/>
          <w:strike/>
          <w:color w:val="2E97D3"/>
          <w:sz w:val="16"/>
          <w:u w:val="single" w:color="2E97D3"/>
        </w:rPr>
        <w:t>13335</w:t>
      </w:r>
      <w:r>
        <w:rPr>
          <w:rFonts w:ascii="Times New Roman"/>
          <w:b/>
          <w:strike/>
          <w:color w:val="2E97D3"/>
          <w:spacing w:val="-6"/>
          <w:sz w:val="16"/>
          <w:u w:val="single" w:color="2E97D3"/>
        </w:rPr>
        <w:t> </w:t>
      </w:r>
      <w:hyperlink r:id="rId52">
        <w:r>
          <w:rPr>
            <w:strike w:val="0"/>
            <w:color w:val="2E97D3"/>
            <w:u w:val="single" w:color="2E97D3"/>
          </w:rPr>
          <w:t>13335</w:t>
        </w:r>
        <w:r>
          <w:rPr>
            <w:strike w:val="0"/>
            <w:color w:val="2E97D3"/>
            <w:spacing w:val="-8"/>
            <w:u w:val="single" w:color="2E97D3"/>
          </w:rPr>
          <w:t> </w:t>
        </w:r>
      </w:hyperlink>
      <w:r>
        <w:rPr>
          <w:strike w:val="0"/>
        </w:rPr>
        <w:t>of</w:t>
      </w:r>
      <w:r>
        <w:rPr>
          <w:strike w:val="0"/>
          <w:spacing w:val="-8"/>
        </w:rPr>
        <w:t> </w:t>
      </w:r>
      <w:r>
        <w:rPr>
          <w:strike w:val="0"/>
        </w:rPr>
        <w:t>the</w:t>
      </w:r>
      <w:r>
        <w:rPr>
          <w:strike w:val="0"/>
          <w:spacing w:val="-8"/>
        </w:rPr>
        <w:t> </w:t>
      </w:r>
      <w:r>
        <w:rPr>
          <w:strike w:val="0"/>
        </w:rPr>
        <w:t>Government</w:t>
      </w:r>
      <w:r>
        <w:rPr>
          <w:strike w:val="0"/>
          <w:spacing w:val="-8"/>
        </w:rPr>
        <w:t> </w:t>
      </w:r>
      <w:r>
        <w:rPr>
          <w:strike w:val="0"/>
        </w:rPr>
        <w:t>Code</w:t>
      </w:r>
      <w:r>
        <w:rPr>
          <w:strike w:val="0"/>
          <w:spacing w:val="-8"/>
        </w:rPr>
        <w:t> </w:t>
      </w:r>
      <w:r>
        <w:rPr>
          <w:strike w:val="0"/>
        </w:rPr>
        <w:t>(Chapter</w:t>
      </w:r>
      <w:r>
        <w:rPr>
          <w:strike w:val="0"/>
          <w:spacing w:val="-12"/>
        </w:rPr>
        <w:t> </w:t>
      </w:r>
      <w:r>
        <w:rPr>
          <w:strike w:val="0"/>
        </w:rPr>
        <w:t>1284,</w:t>
      </w:r>
      <w:r>
        <w:rPr>
          <w:strike w:val="0"/>
          <w:spacing w:val="-8"/>
        </w:rPr>
        <w:t> </w:t>
      </w:r>
      <w:r>
        <w:rPr>
          <w:strike w:val="0"/>
        </w:rPr>
        <w:t>Statutes</w:t>
      </w:r>
      <w:r>
        <w:rPr>
          <w:strike w:val="0"/>
          <w:spacing w:val="-11"/>
        </w:rPr>
        <w:t> </w:t>
      </w:r>
      <w:r>
        <w:rPr>
          <w:strike w:val="0"/>
        </w:rPr>
        <w:t>of</w:t>
      </w:r>
      <w:r>
        <w:rPr>
          <w:strike w:val="0"/>
          <w:spacing w:val="-6"/>
        </w:rPr>
        <w:t> </w:t>
      </w:r>
      <w:r>
        <w:rPr>
          <w:strike w:val="0"/>
        </w:rPr>
        <w:t>1978),</w:t>
      </w:r>
      <w:r>
        <w:rPr>
          <w:strike w:val="0"/>
          <w:spacing w:val="-8"/>
        </w:rPr>
        <w:t> </w:t>
      </w:r>
      <w:r>
        <w:rPr>
          <w:strike w:val="0"/>
        </w:rPr>
        <w:t>was</w:t>
      </w:r>
      <w:r>
        <w:rPr>
          <w:strike w:val="0"/>
          <w:spacing w:val="-9"/>
        </w:rPr>
        <w:t> </w:t>
      </w:r>
      <w:r>
        <w:rPr>
          <w:strike w:val="0"/>
          <w:color w:val="2E97D3"/>
          <w:u w:val="single" w:color="2E97D3"/>
        </w:rPr>
        <w:t>intended</w:t>
      </w:r>
      <w:r>
        <w:rPr>
          <w:strike w:val="0"/>
          <w:color w:val="2E97D3"/>
          <w:spacing w:val="-8"/>
          <w:u w:val="single" w:color="2E97D3"/>
        </w:rPr>
        <w:t> </w:t>
      </w:r>
      <w:r>
        <w:rPr>
          <w:strike w:val="0"/>
        </w:rPr>
        <w:t>to </w:t>
      </w:r>
      <w:r>
        <w:rPr>
          <w:rFonts w:ascii="Times New Roman"/>
          <w:b/>
          <w:strike/>
          <w:color w:val="2E97D3"/>
          <w:sz w:val="16"/>
        </w:rPr>
        <w:t>bring</w:t>
      </w:r>
      <w:r>
        <w:rPr>
          <w:rFonts w:ascii="Times New Roman"/>
          <w:b/>
          <w:strike/>
          <w:color w:val="2E97D3"/>
          <w:spacing w:val="-5"/>
          <w:sz w:val="16"/>
        </w:rPr>
        <w:t> </w:t>
      </w:r>
      <w:r>
        <w:rPr>
          <w:rFonts w:ascii="Times New Roman"/>
          <w:b/>
          <w:strike/>
          <w:color w:val="2E97D3"/>
          <w:sz w:val="16"/>
        </w:rPr>
        <w:t>forth</w:t>
      </w:r>
      <w:r>
        <w:rPr>
          <w:rFonts w:ascii="Times New Roman"/>
          <w:b/>
          <w:strike/>
          <w:color w:val="2E97D3"/>
          <w:spacing w:val="-7"/>
          <w:sz w:val="16"/>
        </w:rPr>
        <w:t> </w:t>
      </w:r>
      <w:r>
        <w:rPr>
          <w:rFonts w:ascii="Times New Roman"/>
          <w:b/>
          <w:strike/>
          <w:color w:val="2E97D3"/>
          <w:sz w:val="16"/>
        </w:rPr>
        <w:t>and</w:t>
      </w:r>
      <w:r>
        <w:rPr>
          <w:rFonts w:ascii="Times New Roman"/>
          <w:b/>
          <w:strike/>
          <w:color w:val="2E97D3"/>
          <w:spacing w:val="-1"/>
          <w:sz w:val="16"/>
        </w:rPr>
        <w:t> </w:t>
      </w:r>
      <w:r>
        <w:rPr>
          <w:strike w:val="0"/>
        </w:rPr>
        <w:t>emphasize</w:t>
      </w:r>
      <w:r>
        <w:rPr>
          <w:strike w:val="0"/>
          <w:spacing w:val="-4"/>
        </w:rPr>
        <w:t> </w:t>
      </w:r>
      <w:r>
        <w:rPr>
          <w:strike w:val="0"/>
        </w:rPr>
        <w:t>the</w:t>
      </w:r>
      <w:r>
        <w:rPr>
          <w:strike w:val="0"/>
          <w:spacing w:val="-7"/>
        </w:rPr>
        <w:t> </w:t>
      </w:r>
      <w:r>
        <w:rPr>
          <w:strike w:val="0"/>
        </w:rPr>
        <w:t>purpose,</w:t>
      </w:r>
      <w:r>
        <w:rPr>
          <w:strike w:val="0"/>
          <w:spacing w:val="-10"/>
        </w:rPr>
        <w:t> </w:t>
      </w:r>
      <w:r>
        <w:rPr>
          <w:strike w:val="0"/>
        </w:rPr>
        <w:t>meaning,</w:t>
      </w:r>
      <w:r>
        <w:rPr>
          <w:strike w:val="0"/>
          <w:spacing w:val="-7"/>
        </w:rPr>
        <w:t> </w:t>
      </w:r>
      <w:r>
        <w:rPr>
          <w:strike w:val="0"/>
        </w:rPr>
        <w:t>and</w:t>
      </w:r>
      <w:r>
        <w:rPr>
          <w:strike w:val="0"/>
          <w:spacing w:val="-7"/>
        </w:rPr>
        <w:t> </w:t>
      </w:r>
      <w:r>
        <w:rPr>
          <w:strike w:val="0"/>
        </w:rPr>
        <w:t>benefits</w:t>
      </w:r>
      <w:r>
        <w:rPr>
          <w:strike w:val="0"/>
          <w:spacing w:val="-8"/>
        </w:rPr>
        <w:t> </w:t>
      </w:r>
      <w:r>
        <w:rPr>
          <w:strike w:val="0"/>
        </w:rPr>
        <w:t>of</w:t>
      </w:r>
      <w:r>
        <w:rPr>
          <w:strike w:val="0"/>
          <w:spacing w:val="-7"/>
        </w:rPr>
        <w:t> </w:t>
      </w:r>
      <w:r>
        <w:rPr>
          <w:strike w:val="0"/>
        </w:rPr>
        <w:t>the</w:t>
      </w:r>
      <w:r>
        <w:rPr>
          <w:strike w:val="0"/>
          <w:spacing w:val="-7"/>
        </w:rPr>
        <w:t> </w:t>
      </w:r>
      <w:r>
        <w:rPr>
          <w:strike w:val="0"/>
        </w:rPr>
        <w:t>various</w:t>
      </w:r>
      <w:r>
        <w:rPr>
          <w:strike w:val="0"/>
          <w:spacing w:val="-8"/>
        </w:rPr>
        <w:t> </w:t>
      </w:r>
      <w:r>
        <w:rPr>
          <w:strike w:val="0"/>
          <w:color w:val="2E97D3"/>
          <w:u w:val="single" w:color="2E97D3"/>
        </w:rPr>
        <w:t>programmatic </w:t>
      </w:r>
      <w:r>
        <w:rPr>
          <w:strike w:val="0"/>
        </w:rPr>
        <w:t>activities of departments</w:t>
      </w:r>
      <w:r>
        <w:rPr>
          <w:rFonts w:ascii="Times New Roman"/>
          <w:b/>
          <w:strike/>
          <w:color w:val="2E97D3"/>
          <w:sz w:val="16"/>
        </w:rPr>
        <w:t>. </w:t>
      </w:r>
      <w:r>
        <w:rPr>
          <w:strike w:val="0"/>
          <w:color w:val="2E97D3"/>
          <w:u w:val="single" w:color="2E97D3"/>
        </w:rPr>
        <w:t>, rather than their functional</w:t>
      </w:r>
      <w:r>
        <w:rPr>
          <w:strike w:val="0"/>
          <w:color w:val="2E97D3"/>
          <w:spacing w:val="-26"/>
          <w:u w:val="single" w:color="2E97D3"/>
        </w:rPr>
        <w:t> </w:t>
      </w:r>
      <w:r>
        <w:rPr>
          <w:strike w:val="0"/>
          <w:color w:val="2E97D3"/>
          <w:u w:val="single" w:color="2E97D3"/>
        </w:rPr>
        <w:t>costs.</w:t>
      </w:r>
    </w:p>
    <w:p>
      <w:pPr>
        <w:pStyle w:val="BodyText"/>
        <w:spacing w:before="9"/>
        <w:rPr>
          <w:sz w:val="20"/>
        </w:rPr>
      </w:pPr>
    </w:p>
    <w:p>
      <w:pPr>
        <w:pStyle w:val="Heading2"/>
        <w:ind w:left="820"/>
        <w:jc w:val="both"/>
      </w:pPr>
      <w:r>
        <w:rPr/>
        <w:pict>
          <v:line style="position:absolute;mso-position-horizontal-relative:page;mso-position-vertical-relative:paragraph;z-index:5440" from="36.360001pt,14.015855pt" to="36.360001pt,41.615855pt" stroked="true" strokeweight=".72pt" strokecolor="#000000">
            <v:stroke dashstyle="solid"/>
            <w10:wrap type="none"/>
          </v:line>
        </w:pict>
      </w:r>
      <w:bookmarkStart w:name="Program" w:id="19"/>
      <w:bookmarkEnd w:id="19"/>
      <w:r>
        <w:rPr>
          <w:b w:val="0"/>
        </w:rPr>
      </w:r>
      <w:r>
        <w:rPr/>
        <w:t>Program</w:t>
      </w:r>
    </w:p>
    <w:p>
      <w:pPr>
        <w:pStyle w:val="BodyText"/>
        <w:spacing w:before="11"/>
        <w:rPr>
          <w:b/>
          <w:sz w:val="23"/>
        </w:rPr>
      </w:pPr>
    </w:p>
    <w:p>
      <w:pPr>
        <w:pStyle w:val="BodyText"/>
        <w:ind w:left="820" w:right="336"/>
        <w:jc w:val="both"/>
      </w:pPr>
      <w:r>
        <w:rPr/>
        <w:pict>
          <v:line style="position:absolute;mso-position-horizontal-relative:page;mso-position-vertical-relative:paragraph;z-index:-467536" from="429.959991pt,9.395879pt" to="431.999991pt,9.395879pt" stroked="true" strokeweight=".36pt" strokecolor="#2e97d3">
            <v:stroke dashstyle="solid"/>
            <w10:wrap type="none"/>
          </v:line>
        </w:pict>
      </w:r>
      <w:r>
        <w:rPr/>
        <w:pict>
          <v:line style="position:absolute;mso-position-horizontal-relative:page;mso-position-vertical-relative:paragraph;z-index:-467512" from="298.679993pt,36.99588pt" to="300.718993pt,36.99588pt" stroked="true" strokeweight=".36pt" strokecolor="#2e97d3">
            <v:stroke dashstyle="solid"/>
            <w10:wrap type="none"/>
          </v:line>
        </w:pict>
      </w:r>
      <w:r>
        <w:rPr/>
        <w:pict>
          <v:line style="position:absolute;mso-position-horizontal-relative:page;mso-position-vertical-relative:paragraph;z-index:-467488" from="165.600006pt,50.795879pt" to="167.640006pt,50.795879pt" stroked="true" strokeweight=".36pt" strokecolor="#2e97d3">
            <v:stroke dashstyle="solid"/>
            <w10:wrap type="none"/>
          </v:line>
        </w:pict>
      </w:r>
      <w:r>
        <w:rPr/>
        <w:pict>
          <v:line style="position:absolute;mso-position-horizontal-relative:page;mso-position-vertical-relative:paragraph;z-index:-467464" from="132.839996pt,64.595879pt" to="134.759996pt,64.595879pt" stroked="true" strokeweight=".36pt" strokecolor="#2e97d3">
            <v:stroke dashstyle="solid"/>
            <w10:wrap type="none"/>
          </v:line>
        </w:pict>
      </w:r>
      <w:r>
        <w:rPr/>
        <w:pict>
          <v:line style="position:absolute;mso-position-horizontal-relative:page;mso-position-vertical-relative:paragraph;z-index:5464" from="36.360001pt,27.81588pt" to="36.360001pt,95.01588pt" stroked="true" strokeweight=".72pt" strokecolor="#000000">
            <v:stroke dashstyle="solid"/>
            <w10:wrap type="none"/>
          </v:line>
        </w:pict>
      </w:r>
      <w:r>
        <w:rPr/>
        <w:t>A</w:t>
      </w:r>
      <w:r>
        <w:rPr>
          <w:spacing w:val="-17"/>
        </w:rPr>
        <w:t> </w:t>
      </w:r>
      <w:r>
        <w:rPr/>
        <w:t>program</w:t>
      </w:r>
      <w:r>
        <w:rPr>
          <w:spacing w:val="-16"/>
        </w:rPr>
        <w:t> </w:t>
      </w:r>
      <w:r>
        <w:rPr/>
        <w:t>is</w:t>
      </w:r>
      <w:r>
        <w:rPr>
          <w:spacing w:val="-17"/>
        </w:rPr>
        <w:t> </w:t>
      </w:r>
      <w:r>
        <w:rPr/>
        <w:t>a</w:t>
      </w:r>
      <w:r>
        <w:rPr>
          <w:spacing w:val="-16"/>
        </w:rPr>
        <w:t> </w:t>
      </w:r>
      <w:r>
        <w:rPr/>
        <w:t>group</w:t>
      </w:r>
      <w:r>
        <w:rPr>
          <w:spacing w:val="-19"/>
        </w:rPr>
        <w:t> </w:t>
      </w:r>
      <w:r>
        <w:rPr/>
        <w:t>of</w:t>
      </w:r>
      <w:r>
        <w:rPr>
          <w:spacing w:val="-17"/>
        </w:rPr>
        <w:t> </w:t>
      </w:r>
      <w:r>
        <w:rPr/>
        <w:t>closely</w:t>
      </w:r>
      <w:r>
        <w:rPr>
          <w:spacing w:val="-20"/>
        </w:rPr>
        <w:t> </w:t>
      </w:r>
      <w:r>
        <w:rPr/>
        <w:t>related</w:t>
      </w:r>
      <w:r>
        <w:rPr>
          <w:spacing w:val="-16"/>
        </w:rPr>
        <w:t> </w:t>
      </w:r>
      <w:r>
        <w:rPr/>
        <w:t>and</w:t>
      </w:r>
      <w:r>
        <w:rPr>
          <w:spacing w:val="-16"/>
        </w:rPr>
        <w:t> </w:t>
      </w:r>
      <w:r>
        <w:rPr/>
        <w:t>interdependent</w:t>
      </w:r>
      <w:r>
        <w:rPr>
          <w:spacing w:val="-19"/>
        </w:rPr>
        <w:t> </w:t>
      </w:r>
      <w:r>
        <w:rPr/>
        <w:t>activities.</w:t>
      </w:r>
      <w:r>
        <w:rPr>
          <w:spacing w:val="22"/>
        </w:rPr>
        <w:t> </w:t>
      </w:r>
      <w:r>
        <w:rPr/>
        <w:t>A</w:t>
      </w:r>
      <w:r>
        <w:rPr>
          <w:spacing w:val="-17"/>
        </w:rPr>
        <w:t> </w:t>
      </w:r>
      <w:r>
        <w:rPr/>
        <w:t>program</w:t>
      </w:r>
      <w:r>
        <w:rPr>
          <w:spacing w:val="-16"/>
        </w:rPr>
        <w:t> </w:t>
      </w:r>
      <w:r>
        <w:rPr/>
        <w:t>should be clearly delineated, have minimum overlap and interaction with other programs, and lend itself to at least partial quantification. It should be end-product or intermediate- product oriented. Programs should </w:t>
      </w:r>
      <w:r>
        <w:rPr>
          <w:rFonts w:ascii="Times New Roman"/>
          <w:b/>
          <w:strike/>
          <w:color w:val="2E97D3"/>
          <w:sz w:val="16"/>
        </w:rPr>
        <w:t>be concerned with</w:t>
      </w:r>
      <w:r>
        <w:rPr>
          <w:strike w:val="0"/>
          <w:color w:val="2E97D3"/>
          <w:u w:val="single" w:color="2E97D3"/>
        </w:rPr>
        <w:t>involve </w:t>
      </w:r>
      <w:r>
        <w:rPr>
          <w:strike w:val="0"/>
        </w:rPr>
        <w:t>specific objectives of the department</w:t>
      </w:r>
      <w:r>
        <w:rPr>
          <w:strike w:val="0"/>
          <w:spacing w:val="-30"/>
        </w:rPr>
        <w:t> </w:t>
      </w:r>
      <w:r>
        <w:rPr>
          <w:strike w:val="0"/>
          <w:color w:val="2E97D3"/>
          <w:u w:val="single" w:color="2E97D3"/>
        </w:rPr>
        <w:t>,</w:t>
      </w:r>
      <w:r>
        <w:rPr>
          <w:strike w:val="0"/>
          <w:color w:val="2E97D3"/>
          <w:spacing w:val="-3"/>
          <w:u w:val="single" w:color="2E97D3"/>
        </w:rPr>
        <w:t> </w:t>
      </w:r>
      <w:r>
        <w:rPr>
          <w:strike w:val="0"/>
        </w:rPr>
        <w:t>bringing</w:t>
      </w:r>
      <w:r>
        <w:rPr>
          <w:strike w:val="0"/>
          <w:spacing w:val="-5"/>
        </w:rPr>
        <w:t> </w:t>
      </w:r>
      <w:r>
        <w:rPr>
          <w:strike w:val="0"/>
        </w:rPr>
        <w:t>together</w:t>
      </w:r>
      <w:r>
        <w:rPr>
          <w:strike w:val="0"/>
          <w:spacing w:val="-5"/>
        </w:rPr>
        <w:t> </w:t>
      </w:r>
      <w:r>
        <w:rPr>
          <w:strike w:val="0"/>
        </w:rPr>
        <w:t>all</w:t>
      </w:r>
      <w:r>
        <w:rPr>
          <w:strike w:val="0"/>
          <w:spacing w:val="-7"/>
        </w:rPr>
        <w:t> </w:t>
      </w:r>
      <w:r>
        <w:rPr>
          <w:strike w:val="0"/>
        </w:rPr>
        <w:t>associated</w:t>
      </w:r>
      <w:r>
        <w:rPr>
          <w:strike w:val="0"/>
          <w:spacing w:val="-5"/>
        </w:rPr>
        <w:t> </w:t>
      </w:r>
      <w:r>
        <w:rPr>
          <w:strike w:val="0"/>
        </w:rPr>
        <w:t>costs</w:t>
      </w:r>
      <w:r>
        <w:rPr>
          <w:strike w:val="0"/>
          <w:spacing w:val="-4"/>
        </w:rPr>
        <w:t> </w:t>
      </w:r>
      <w:r>
        <w:rPr>
          <w:strike w:val="0"/>
        </w:rPr>
        <w:t>displayed</w:t>
      </w:r>
      <w:r>
        <w:rPr>
          <w:strike w:val="0"/>
          <w:spacing w:val="-3"/>
        </w:rPr>
        <w:t> </w:t>
      </w:r>
      <w:r>
        <w:rPr>
          <w:strike w:val="0"/>
        </w:rPr>
        <w:t>in</w:t>
      </w:r>
      <w:r>
        <w:rPr>
          <w:strike w:val="0"/>
          <w:spacing w:val="-3"/>
        </w:rPr>
        <w:t> </w:t>
      </w:r>
      <w:r>
        <w:rPr>
          <w:strike w:val="0"/>
        </w:rPr>
        <w:t>the</w:t>
      </w:r>
      <w:r>
        <w:rPr>
          <w:strike w:val="0"/>
          <w:spacing w:val="-5"/>
        </w:rPr>
        <w:t> </w:t>
      </w:r>
      <w:r>
        <w:rPr>
          <w:strike w:val="0"/>
        </w:rPr>
        <w:t>program</w:t>
      </w:r>
      <w:r>
        <w:rPr>
          <w:strike w:val="0"/>
          <w:spacing w:val="-2"/>
        </w:rPr>
        <w:t> </w:t>
      </w:r>
      <w:r>
        <w:rPr>
          <w:strike w:val="0"/>
        </w:rPr>
        <w:t>budget.</w:t>
      </w:r>
    </w:p>
    <w:p>
      <w:pPr>
        <w:pStyle w:val="BodyText"/>
        <w:spacing w:before="9"/>
        <w:rPr>
          <w:sz w:val="20"/>
        </w:rPr>
      </w:pPr>
    </w:p>
    <w:p>
      <w:pPr>
        <w:pStyle w:val="Heading2"/>
        <w:ind w:left="820"/>
        <w:jc w:val="both"/>
      </w:pPr>
      <w:bookmarkStart w:name="Program Budget" w:id="20"/>
      <w:bookmarkEnd w:id="20"/>
      <w:r>
        <w:rPr>
          <w:b w:val="0"/>
        </w:rPr>
      </w:r>
      <w:r>
        <w:rPr/>
        <w:t>Program Budget</w:t>
      </w:r>
    </w:p>
    <w:p>
      <w:pPr>
        <w:pStyle w:val="BodyText"/>
        <w:spacing w:before="10"/>
        <w:rPr>
          <w:b/>
          <w:sz w:val="23"/>
        </w:rPr>
      </w:pPr>
    </w:p>
    <w:p>
      <w:pPr>
        <w:pStyle w:val="BodyText"/>
        <w:spacing w:before="1"/>
        <w:ind w:left="820" w:right="335"/>
        <w:jc w:val="both"/>
      </w:pPr>
      <w:r>
        <w:rPr/>
        <w:pict>
          <v:line style="position:absolute;mso-position-horizontal-relative:page;mso-position-vertical-relative:paragraph;z-index:-467440" from="412.440002pt,36.925873pt" to="414.360002pt,36.925873pt" stroked="true" strokeweight=".36pt" strokecolor="#2e97d3">
            <v:stroke dashstyle="solid"/>
            <w10:wrap type="none"/>
          </v:line>
        </w:pict>
      </w:r>
      <w:r>
        <w:rPr/>
        <w:pict>
          <v:line style="position:absolute;mso-position-horizontal-relative:page;mso-position-vertical-relative:paragraph;z-index:-467416" from="414.359985pt,50.725872pt" to="416.399985pt,50.725872pt" stroked="true" strokeweight=".36pt" strokecolor="#2e97d3">
            <v:stroke dashstyle="solid"/>
            <w10:wrap type="none"/>
          </v:line>
        </w:pict>
      </w:r>
      <w:r>
        <w:rPr/>
        <w:pict>
          <v:line style="position:absolute;mso-position-horizontal-relative:page;mso-position-vertical-relative:paragraph;z-index:-467392" from="375.359985pt,78.325874pt" to="377.279985pt,78.325874pt" stroked="true" strokeweight=".36pt" strokecolor="#2e97d3">
            <v:stroke dashstyle="solid"/>
            <w10:wrap type="none"/>
          </v:line>
        </w:pict>
      </w:r>
      <w:r>
        <w:rPr/>
        <w:pict>
          <v:line style="position:absolute;mso-position-horizontal-relative:page;mso-position-vertical-relative:paragraph;z-index:-467368" from="330.119995pt,119.725876pt" to="332.159995pt,119.725876pt" stroked="true" strokeweight=".36pt" strokecolor="#2e97d3">
            <v:stroke dashstyle="solid"/>
            <w10:wrap type="none"/>
          </v:line>
        </w:pict>
      </w:r>
      <w:r>
        <w:rPr/>
        <w:pict>
          <v:line style="position:absolute;mso-position-horizontal-relative:page;mso-position-vertical-relative:paragraph;z-index:5488" from="36.360001pt,27.746872pt" to="36.360001pt,55.345872pt" stroked="true" strokeweight=".72pt" strokecolor="#000000">
            <v:stroke dashstyle="solid"/>
            <w10:wrap type="none"/>
          </v:line>
        </w:pict>
      </w:r>
      <w:r>
        <w:rPr/>
        <w:pict>
          <v:line style="position:absolute;mso-position-horizontal-relative:page;mso-position-vertical-relative:paragraph;z-index:5512" from="36.360001pt,69.145874pt" to="36.360001pt,82.945874pt" stroked="true" strokeweight=".72pt" strokecolor="#000000">
            <v:stroke dashstyle="solid"/>
            <w10:wrap type="none"/>
          </v:line>
        </w:pict>
      </w:r>
      <w:r>
        <w:rPr/>
        <w:pict>
          <v:line style="position:absolute;mso-position-horizontal-relative:page;mso-position-vertical-relative:paragraph;z-index:5536" from="36.360001pt,110.546875pt" to="36.360001pt,136.345875pt" stroked="true" strokeweight=".72pt" strokecolor="#000000">
            <v:stroke dashstyle="solid"/>
            <w10:wrap type="none"/>
          </v:line>
        </w:pict>
      </w:r>
      <w:r>
        <w:rPr/>
        <w:t>The</w:t>
      </w:r>
      <w:r>
        <w:rPr>
          <w:spacing w:val="-12"/>
        </w:rPr>
        <w:t> </w:t>
      </w:r>
      <w:r>
        <w:rPr/>
        <w:t>program</w:t>
      </w:r>
      <w:r>
        <w:rPr>
          <w:spacing w:val="-13"/>
        </w:rPr>
        <w:t> </w:t>
      </w:r>
      <w:r>
        <w:rPr/>
        <w:t>budget</w:t>
      </w:r>
      <w:r>
        <w:rPr>
          <w:spacing w:val="-15"/>
        </w:rPr>
        <w:t> </w:t>
      </w:r>
      <w:r>
        <w:rPr/>
        <w:t>is</w:t>
      </w:r>
      <w:r>
        <w:rPr>
          <w:spacing w:val="-13"/>
        </w:rPr>
        <w:t> </w:t>
      </w:r>
      <w:r>
        <w:rPr/>
        <w:t>the</w:t>
      </w:r>
      <w:r>
        <w:rPr>
          <w:spacing w:val="-12"/>
        </w:rPr>
        <w:t> </w:t>
      </w:r>
      <w:r>
        <w:rPr/>
        <w:t>department’s</w:t>
      </w:r>
      <w:r>
        <w:rPr>
          <w:spacing w:val="-13"/>
        </w:rPr>
        <w:t> </w:t>
      </w:r>
      <w:r>
        <w:rPr/>
        <w:t>budgetary</w:t>
      </w:r>
      <w:r>
        <w:rPr>
          <w:spacing w:val="-15"/>
        </w:rPr>
        <w:t> </w:t>
      </w:r>
      <w:r>
        <w:rPr/>
        <w:t>presentation</w:t>
      </w:r>
      <w:r>
        <w:rPr>
          <w:spacing w:val="-14"/>
        </w:rPr>
        <w:t> </w:t>
      </w:r>
      <w:r>
        <w:rPr/>
        <w:t>designed</w:t>
      </w:r>
      <w:r>
        <w:rPr>
          <w:spacing w:val="-12"/>
        </w:rPr>
        <w:t> </w:t>
      </w:r>
      <w:r>
        <w:rPr/>
        <w:t>to</w:t>
      </w:r>
      <w:r>
        <w:rPr>
          <w:spacing w:val="-14"/>
        </w:rPr>
        <w:t> </w:t>
      </w:r>
      <w:r>
        <w:rPr/>
        <w:t>display</w:t>
      </w:r>
      <w:r>
        <w:rPr>
          <w:spacing w:val="-15"/>
        </w:rPr>
        <w:t> </w:t>
      </w:r>
      <w:r>
        <w:rPr/>
        <w:t>its program</w:t>
      </w:r>
      <w:r>
        <w:rPr>
          <w:spacing w:val="-9"/>
        </w:rPr>
        <w:t> </w:t>
      </w:r>
      <w:r>
        <w:rPr/>
        <w:t>activities.</w:t>
      </w:r>
      <w:r>
        <w:rPr>
          <w:spacing w:val="-11"/>
        </w:rPr>
        <w:t> </w:t>
      </w:r>
      <w:r>
        <w:rPr/>
        <w:t>A</w:t>
      </w:r>
      <w:r>
        <w:rPr>
          <w:spacing w:val="-10"/>
        </w:rPr>
        <w:t> </w:t>
      </w:r>
      <w:r>
        <w:rPr/>
        <w:t>program</w:t>
      </w:r>
      <w:r>
        <w:rPr>
          <w:spacing w:val="-9"/>
        </w:rPr>
        <w:t> </w:t>
      </w:r>
      <w:r>
        <w:rPr/>
        <w:t>budget</w:t>
      </w:r>
      <w:r>
        <w:rPr>
          <w:spacing w:val="-11"/>
        </w:rPr>
        <w:t> </w:t>
      </w:r>
      <w:r>
        <w:rPr/>
        <w:t>defines</w:t>
      </w:r>
      <w:r>
        <w:rPr>
          <w:spacing w:val="-14"/>
        </w:rPr>
        <w:t> </w:t>
      </w:r>
      <w:r>
        <w:rPr/>
        <w:t>objectives</w:t>
      </w:r>
      <w:r>
        <w:rPr>
          <w:spacing w:val="-11"/>
        </w:rPr>
        <w:t> </w:t>
      </w:r>
      <w:r>
        <w:rPr/>
        <w:t>and</w:t>
      </w:r>
      <w:r>
        <w:rPr>
          <w:spacing w:val="-10"/>
        </w:rPr>
        <w:t> </w:t>
      </w:r>
      <w:r>
        <w:rPr/>
        <w:t>relates</w:t>
      </w:r>
      <w:r>
        <w:rPr>
          <w:spacing w:val="-14"/>
        </w:rPr>
        <w:t> </w:t>
      </w:r>
      <w:r>
        <w:rPr/>
        <w:t>the</w:t>
      </w:r>
      <w:r>
        <w:rPr>
          <w:spacing w:val="-10"/>
        </w:rPr>
        <w:t> </w:t>
      </w:r>
      <w:r>
        <w:rPr/>
        <w:t>proposed</w:t>
      </w:r>
      <w:r>
        <w:rPr>
          <w:spacing w:val="-10"/>
        </w:rPr>
        <w:t> </w:t>
      </w:r>
      <w:r>
        <w:rPr/>
        <w:t>level of</w:t>
      </w:r>
      <w:r>
        <w:rPr>
          <w:spacing w:val="-7"/>
        </w:rPr>
        <w:t> </w:t>
      </w:r>
      <w:r>
        <w:rPr/>
        <w:t>expenditures</w:t>
      </w:r>
      <w:r>
        <w:rPr>
          <w:spacing w:val="-10"/>
        </w:rPr>
        <w:t> </w:t>
      </w:r>
      <w:r>
        <w:rPr/>
        <w:t>to</w:t>
      </w:r>
      <w:r>
        <w:rPr>
          <w:spacing w:val="-9"/>
        </w:rPr>
        <w:t> </w:t>
      </w:r>
      <w:r>
        <w:rPr/>
        <w:t>meet</w:t>
      </w:r>
      <w:r>
        <w:rPr>
          <w:spacing w:val="-7"/>
        </w:rPr>
        <w:t> </w:t>
      </w:r>
      <w:r>
        <w:rPr/>
        <w:t>those</w:t>
      </w:r>
      <w:r>
        <w:rPr>
          <w:spacing w:val="-9"/>
        </w:rPr>
        <w:t> </w:t>
      </w:r>
      <w:r>
        <w:rPr/>
        <w:t>objectives</w:t>
      </w:r>
      <w:r>
        <w:rPr>
          <w:spacing w:val="-8"/>
        </w:rPr>
        <w:t> </w:t>
      </w:r>
      <w:r>
        <w:rPr/>
        <w:t>in</w:t>
      </w:r>
      <w:r>
        <w:rPr>
          <w:spacing w:val="-7"/>
        </w:rPr>
        <w:t> </w:t>
      </w:r>
      <w:r>
        <w:rPr/>
        <w:t>the</w:t>
      </w:r>
      <w:r>
        <w:rPr>
          <w:spacing w:val="-7"/>
        </w:rPr>
        <w:t> </w:t>
      </w:r>
      <w:r>
        <w:rPr/>
        <w:t>given</w:t>
      </w:r>
      <w:r>
        <w:rPr>
          <w:spacing w:val="-9"/>
        </w:rPr>
        <w:t> </w:t>
      </w:r>
      <w:r>
        <w:rPr/>
        <w:t>fiscal</w:t>
      </w:r>
      <w:r>
        <w:rPr>
          <w:spacing w:val="-8"/>
        </w:rPr>
        <w:t> </w:t>
      </w:r>
      <w:r>
        <w:rPr/>
        <w:t>year.</w:t>
      </w:r>
      <w:r>
        <w:rPr>
          <w:spacing w:val="27"/>
        </w:rPr>
        <w:t> </w:t>
      </w:r>
      <w:r>
        <w:rPr/>
        <w:t>It</w:t>
      </w:r>
      <w:r>
        <w:rPr>
          <w:spacing w:val="-10"/>
        </w:rPr>
        <w:t> </w:t>
      </w:r>
      <w:r>
        <w:rPr/>
        <w:t>is</w:t>
      </w:r>
      <w:r>
        <w:rPr>
          <w:spacing w:val="-10"/>
        </w:rPr>
        <w:t> </w:t>
      </w:r>
      <w:r>
        <w:rPr/>
        <w:t>not</w:t>
      </w:r>
      <w:r>
        <w:rPr>
          <w:spacing w:val="-7"/>
        </w:rPr>
        <w:t> </w:t>
      </w:r>
      <w:r>
        <w:rPr/>
        <w:t>uncommon</w:t>
      </w:r>
      <w:r>
        <w:rPr>
          <w:spacing w:val="-9"/>
        </w:rPr>
        <w:t> </w:t>
      </w:r>
      <w:r>
        <w:rPr/>
        <w:t>to find different ways to subdivide programs and program budgets. In the earlier budget presentations, the hierarchical program structure divided programs into elements, elements into components, and components into tasks. However, as presentations began</w:t>
      </w:r>
      <w:r>
        <w:rPr>
          <w:spacing w:val="-4"/>
        </w:rPr>
        <w:t> </w:t>
      </w:r>
      <w:r>
        <w:rPr/>
        <w:t>to</w:t>
      </w:r>
      <w:r>
        <w:rPr>
          <w:spacing w:val="-7"/>
        </w:rPr>
        <w:t> </w:t>
      </w:r>
      <w:r>
        <w:rPr/>
        <w:t>expand</w:t>
      </w:r>
      <w:r>
        <w:rPr>
          <w:spacing w:val="-4"/>
        </w:rPr>
        <w:t> </w:t>
      </w:r>
      <w:r>
        <w:rPr/>
        <w:t>and</w:t>
      </w:r>
      <w:r>
        <w:rPr>
          <w:spacing w:val="-4"/>
        </w:rPr>
        <w:t> </w:t>
      </w:r>
      <w:r>
        <w:rPr/>
        <w:t>proliferate</w:t>
      </w:r>
      <w:r>
        <w:rPr>
          <w:spacing w:val="-4"/>
        </w:rPr>
        <w:t> </w:t>
      </w:r>
      <w:r>
        <w:rPr/>
        <w:t>to</w:t>
      </w:r>
      <w:r>
        <w:rPr>
          <w:spacing w:val="-4"/>
        </w:rPr>
        <w:t> </w:t>
      </w:r>
      <w:r>
        <w:rPr/>
        <w:t>the</w:t>
      </w:r>
      <w:r>
        <w:rPr>
          <w:spacing w:val="-4"/>
        </w:rPr>
        <w:t> </w:t>
      </w:r>
      <w:r>
        <w:rPr/>
        <w:t>lower</w:t>
      </w:r>
      <w:r>
        <w:rPr>
          <w:spacing w:val="-6"/>
        </w:rPr>
        <w:t> </w:t>
      </w:r>
      <w:r>
        <w:rPr/>
        <w:t>levels</w:t>
      </w:r>
      <w:r>
        <w:rPr>
          <w:spacing w:val="-5"/>
        </w:rPr>
        <w:t> </w:t>
      </w:r>
      <w:r>
        <w:rPr/>
        <w:t>of</w:t>
      </w:r>
      <w:r>
        <w:rPr>
          <w:spacing w:val="-2"/>
        </w:rPr>
        <w:t> </w:t>
      </w:r>
      <w:r>
        <w:rPr/>
        <w:t>the</w:t>
      </w:r>
      <w:r>
        <w:rPr>
          <w:spacing w:val="-4"/>
        </w:rPr>
        <w:t> </w:t>
      </w:r>
      <w:r>
        <w:rPr/>
        <w:t>program</w:t>
      </w:r>
      <w:r>
        <w:rPr>
          <w:spacing w:val="-4"/>
        </w:rPr>
        <w:t> </w:t>
      </w:r>
      <w:r>
        <w:rPr/>
        <w:t>structure,</w:t>
      </w:r>
      <w:r>
        <w:rPr>
          <w:spacing w:val="-5"/>
        </w:rPr>
        <w:t> </w:t>
      </w:r>
      <w:r>
        <w:rPr/>
        <w:t>a</w:t>
      </w:r>
      <w:r>
        <w:rPr>
          <w:spacing w:val="-4"/>
        </w:rPr>
        <w:t> </w:t>
      </w:r>
      <w:r>
        <w:rPr/>
        <w:t>general policy was adopted to limit departmental presentations in the Governor's Budget to no lower than the </w:t>
      </w:r>
      <w:r>
        <w:rPr>
          <w:rFonts w:ascii="Times New Roman" w:hAnsi="Times New Roman"/>
          <w:b/>
          <w:strike/>
          <w:color w:val="2E97D3"/>
          <w:sz w:val="16"/>
        </w:rPr>
        <w:t>element</w:t>
      </w:r>
      <w:r>
        <w:rPr>
          <w:strike w:val="0"/>
          <w:color w:val="2E97D3"/>
          <w:u w:val="single" w:color="2E97D3"/>
        </w:rPr>
        <w:t>sub-program or project</w:t>
      </w:r>
      <w:r>
        <w:rPr>
          <w:strike w:val="0"/>
          <w:color w:val="2E97D3"/>
          <w:spacing w:val="-28"/>
          <w:u w:val="single" w:color="2E97D3"/>
        </w:rPr>
        <w:t> </w:t>
      </w:r>
      <w:r>
        <w:rPr>
          <w:strike w:val="0"/>
        </w:rPr>
        <w:t>level.</w:t>
      </w:r>
    </w:p>
    <w:p>
      <w:pPr>
        <w:pStyle w:val="BodyText"/>
        <w:spacing w:before="10"/>
        <w:rPr>
          <w:sz w:val="20"/>
        </w:rPr>
      </w:pPr>
    </w:p>
    <w:p>
      <w:pPr>
        <w:pStyle w:val="Heading2"/>
        <w:ind w:left="820"/>
        <w:jc w:val="both"/>
      </w:pPr>
      <w:bookmarkStart w:name="Program Descriptions" w:id="21"/>
      <w:bookmarkEnd w:id="21"/>
      <w:r>
        <w:rPr>
          <w:b w:val="0"/>
        </w:rPr>
      </w:r>
      <w:r>
        <w:rPr/>
        <w:t>Program Descriptions</w:t>
      </w:r>
    </w:p>
    <w:p>
      <w:pPr>
        <w:pStyle w:val="BodyText"/>
        <w:ind w:left="99"/>
        <w:rPr>
          <w:sz w:val="20"/>
        </w:rPr>
      </w:pPr>
      <w:r>
        <w:rPr>
          <w:sz w:val="20"/>
        </w:rPr>
        <w:pict>
          <v:group style="width:.75pt;height:14.55pt;mso-position-horizontal-relative:char;mso-position-vertical-relative:line" coordorigin="0,0" coordsize="15,291">
            <v:line style="position:absolute" from="8,8" to="8,284" stroked="true" strokeweight=".72pt" strokecolor="#000000">
              <v:stroke dashstyle="solid"/>
            </v:line>
          </v:group>
        </w:pict>
      </w:r>
      <w:r>
        <w:rPr>
          <w:sz w:val="20"/>
        </w:rPr>
      </w:r>
    </w:p>
    <w:p>
      <w:pPr>
        <w:pStyle w:val="BodyText"/>
        <w:ind w:left="820" w:right="336"/>
        <w:jc w:val="both"/>
      </w:pPr>
      <w:r>
        <w:rPr/>
        <w:pict>
          <v:line style="position:absolute;mso-position-horizontal-relative:page;mso-position-vertical-relative:paragraph;z-index:-467344" from="133.440002pt,23.19585pt" to="135.479002pt,23.19585pt" stroked="true" strokeweight=".36pt" strokecolor="#2e97d3">
            <v:stroke dashstyle="solid"/>
            <w10:wrap type="none"/>
          </v:line>
        </w:pict>
      </w:r>
      <w:r>
        <w:rPr/>
        <w:pict>
          <v:line style="position:absolute;mso-position-horizontal-relative:page;mso-position-vertical-relative:paragraph;z-index:-467320" from="177.960007pt,36.995850pt" to="180.000007pt,36.995850pt" stroked="true" strokeweight=".36pt" strokecolor="#2e97d3">
            <v:stroke dashstyle="solid"/>
            <w10:wrap type="none"/>
          </v:line>
        </w:pict>
      </w:r>
      <w:r>
        <w:rPr/>
        <w:pict>
          <v:line style="position:absolute;mso-position-horizontal-relative:page;mso-position-vertical-relative:paragraph;z-index:-467296" from="107.400002pt,50.795849pt" to="109.440002pt,50.795849pt" stroked="true" strokeweight=".36pt" strokecolor="#2e97d3">
            <v:stroke dashstyle="solid"/>
            <w10:wrap type="none"/>
          </v:line>
        </w:pict>
      </w:r>
      <w:r>
        <w:rPr/>
        <w:pict>
          <v:line style="position:absolute;mso-position-horizontal-relative:page;mso-position-vertical-relative:paragraph;z-index:5560" from="36.360001pt,14.01585pt" to="36.360001pt,55.41585pt" stroked="true" strokeweight=".72pt" strokecolor="#000000">
            <v:stroke dashstyle="solid"/>
            <w10:wrap type="none"/>
          </v:line>
        </w:pict>
      </w:r>
      <w:r>
        <w:rPr/>
        <w:t>All of the department’s pertinent program facts are shown in  the  program  description. The complete program description becomes a tool for departmental program managers. It should be kept up-to-date to reflect executive and legislative action.</w:t>
      </w:r>
      <w:r>
        <w:rPr>
          <w:spacing w:val="24"/>
        </w:rPr>
        <w:t> </w:t>
      </w:r>
      <w:r>
        <w:rPr/>
        <w:t>Some</w:t>
      </w:r>
      <w:r>
        <w:rPr>
          <w:spacing w:val="-12"/>
        </w:rPr>
        <w:t> </w:t>
      </w:r>
      <w:r>
        <w:rPr/>
        <w:t>parts</w:t>
      </w:r>
      <w:r>
        <w:rPr>
          <w:spacing w:val="-13"/>
        </w:rPr>
        <w:t> </w:t>
      </w:r>
      <w:r>
        <w:rPr/>
        <w:t>of</w:t>
      </w:r>
      <w:r>
        <w:rPr>
          <w:spacing w:val="-12"/>
        </w:rPr>
        <w:t> </w:t>
      </w:r>
      <w:r>
        <w:rPr/>
        <w:t>the</w:t>
      </w:r>
      <w:r>
        <w:rPr>
          <w:spacing w:val="-12"/>
        </w:rPr>
        <w:t> </w:t>
      </w:r>
      <w:r>
        <w:rPr/>
        <w:t>program</w:t>
      </w:r>
      <w:r>
        <w:rPr>
          <w:spacing w:val="-11"/>
        </w:rPr>
        <w:t> </w:t>
      </w:r>
      <w:r>
        <w:rPr/>
        <w:t>description</w:t>
      </w:r>
      <w:r>
        <w:rPr>
          <w:spacing w:val="-14"/>
        </w:rPr>
        <w:t> </w:t>
      </w:r>
      <w:r>
        <w:rPr/>
        <w:t>may</w:t>
      </w:r>
      <w:r>
        <w:rPr>
          <w:spacing w:val="-15"/>
        </w:rPr>
        <w:t> </w:t>
      </w:r>
      <w:r>
        <w:rPr/>
        <w:t>be</w:t>
      </w:r>
      <w:r>
        <w:rPr>
          <w:spacing w:val="-14"/>
        </w:rPr>
        <w:t> </w:t>
      </w:r>
      <w:r>
        <w:rPr/>
        <w:t>used</w:t>
      </w:r>
      <w:r>
        <w:rPr>
          <w:spacing w:val="-12"/>
        </w:rPr>
        <w:t> </w:t>
      </w:r>
      <w:r>
        <w:rPr/>
        <w:t>in</w:t>
      </w:r>
      <w:r>
        <w:rPr>
          <w:spacing w:val="-14"/>
        </w:rPr>
        <w:t> </w:t>
      </w:r>
      <w:r>
        <w:rPr/>
        <w:t>the</w:t>
      </w:r>
      <w:r>
        <w:rPr>
          <w:spacing w:val="-12"/>
        </w:rPr>
        <w:t> </w:t>
      </w:r>
      <w:r>
        <w:rPr/>
        <w:t>annual</w:t>
      </w:r>
      <w:r>
        <w:rPr>
          <w:spacing w:val="-15"/>
        </w:rPr>
        <w:t> </w:t>
      </w:r>
      <w:r>
        <w:rPr/>
        <w:t>departmental budget.</w:t>
      </w:r>
    </w:p>
    <w:p>
      <w:pPr>
        <w:pStyle w:val="BodyText"/>
        <w:spacing w:before="10"/>
        <w:rPr>
          <w:sz w:val="20"/>
        </w:rPr>
      </w:pPr>
    </w:p>
    <w:p>
      <w:pPr>
        <w:spacing w:before="0"/>
        <w:ind w:left="820" w:right="0" w:firstLine="0"/>
        <w:jc w:val="both"/>
        <w:rPr>
          <w:b/>
          <w:sz w:val="24"/>
        </w:rPr>
      </w:pPr>
      <w:r>
        <w:rPr/>
        <w:pict>
          <v:line style="position:absolute;mso-position-horizontal-relative:page;mso-position-vertical-relative:paragraph;z-index:5584" from="36.360001pt,.215865pt" to="36.360001pt,110.255865pt" stroked="true" strokeweight=".72pt" strokecolor="#000000">
            <v:stroke dashstyle="solid"/>
            <w10:wrap type="none"/>
          </v:line>
        </w:pict>
      </w:r>
      <w:bookmarkStart w:name="3-Year Expenditures and Personnel YearsP" w:id="22"/>
      <w:bookmarkEnd w:id="22"/>
      <w:r>
        <w:rPr/>
      </w:r>
      <w:r>
        <w:rPr>
          <w:b/>
          <w:sz w:val="24"/>
        </w:rPr>
        <w:t>3-Year Expenditures and </w:t>
      </w:r>
      <w:r>
        <w:rPr>
          <w:rFonts w:ascii="Times New Roman"/>
          <w:b/>
          <w:strike/>
          <w:color w:val="2E97D3"/>
          <w:sz w:val="20"/>
        </w:rPr>
        <w:t>Personnel Years</w:t>
      </w:r>
      <w:r>
        <w:rPr>
          <w:b/>
          <w:strike w:val="0"/>
          <w:color w:val="2E97D3"/>
          <w:sz w:val="24"/>
          <w:u w:val="thick" w:color="2E97D3"/>
        </w:rPr>
        <w:t>Positions</w:t>
      </w:r>
    </w:p>
    <w:p>
      <w:pPr>
        <w:pStyle w:val="BodyText"/>
        <w:spacing w:before="11"/>
        <w:rPr>
          <w:b/>
          <w:sz w:val="15"/>
        </w:rPr>
      </w:pPr>
    </w:p>
    <w:p>
      <w:pPr>
        <w:pStyle w:val="BodyText"/>
        <w:spacing w:before="92"/>
        <w:ind w:left="820" w:right="339"/>
        <w:jc w:val="both"/>
      </w:pPr>
      <w:r>
        <w:rPr/>
        <w:t>The 3-Year Expenditures and </w:t>
      </w:r>
      <w:r>
        <w:rPr>
          <w:rFonts w:ascii="Times New Roman" w:hAnsi="Times New Roman"/>
          <w:b/>
          <w:strike/>
          <w:color w:val="2E97D3"/>
          <w:sz w:val="16"/>
        </w:rPr>
        <w:t>Personnel Years</w:t>
      </w:r>
      <w:r>
        <w:rPr>
          <w:strike w:val="0"/>
          <w:color w:val="2E97D3"/>
          <w:u w:val="single" w:color="2E97D3"/>
        </w:rPr>
        <w:t>Positions </w:t>
      </w:r>
      <w:r>
        <w:rPr>
          <w:strike w:val="0"/>
        </w:rPr>
        <w:t>display in the Governor’s Budget </w:t>
      </w:r>
      <w:r>
        <w:rPr>
          <w:strike w:val="0"/>
          <w:color w:val="2E97D3"/>
          <w:u w:val="single" w:color="2E97D3"/>
        </w:rPr>
        <w:t>and enacted budget </w:t>
      </w:r>
      <w:r>
        <w:rPr>
          <w:strike w:val="0"/>
        </w:rPr>
        <w:t>provides a department’s expenditures and </w:t>
      </w:r>
      <w:r>
        <w:rPr>
          <w:rFonts w:ascii="Times New Roman" w:hAnsi="Times New Roman"/>
          <w:b/>
          <w:strike/>
          <w:color w:val="2E97D3"/>
          <w:sz w:val="16"/>
        </w:rPr>
        <w:t>personnel years</w:t>
      </w:r>
      <w:r>
        <w:rPr>
          <w:strike w:val="0"/>
          <w:color w:val="2E97D3"/>
          <w:u w:val="single" w:color="2E97D3"/>
        </w:rPr>
        <w:t>positions </w:t>
      </w:r>
      <w:r>
        <w:rPr>
          <w:strike w:val="0"/>
        </w:rPr>
        <w:t>by program.</w:t>
      </w:r>
      <w:r>
        <w:rPr>
          <w:strike w:val="0"/>
          <w:spacing w:val="-13"/>
        </w:rPr>
        <w:t> </w:t>
      </w:r>
      <w:r>
        <w:rPr>
          <w:strike w:val="0"/>
        </w:rPr>
        <w:t>Expenditure</w:t>
      </w:r>
      <w:r>
        <w:rPr>
          <w:strike w:val="0"/>
          <w:spacing w:val="-14"/>
        </w:rPr>
        <w:t> </w:t>
      </w:r>
      <w:r>
        <w:rPr>
          <w:strike w:val="0"/>
        </w:rPr>
        <w:t>and</w:t>
      </w:r>
      <w:r>
        <w:rPr>
          <w:strike w:val="0"/>
          <w:spacing w:val="-13"/>
        </w:rPr>
        <w:t> </w:t>
      </w:r>
      <w:r>
        <w:rPr>
          <w:rFonts w:ascii="Times New Roman" w:hAnsi="Times New Roman"/>
          <w:b/>
          <w:strike/>
          <w:color w:val="2E97D3"/>
          <w:sz w:val="16"/>
        </w:rPr>
        <w:t>personnel</w:t>
      </w:r>
      <w:r>
        <w:rPr>
          <w:rFonts w:ascii="Times New Roman" w:hAnsi="Times New Roman"/>
          <w:b/>
          <w:strike/>
          <w:color w:val="2E97D3"/>
          <w:spacing w:val="-10"/>
          <w:sz w:val="16"/>
        </w:rPr>
        <w:t> </w:t>
      </w:r>
      <w:r>
        <w:rPr>
          <w:rFonts w:ascii="Times New Roman" w:hAnsi="Times New Roman"/>
          <w:b/>
          <w:strike/>
          <w:color w:val="2E97D3"/>
          <w:sz w:val="16"/>
        </w:rPr>
        <w:t>year</w:t>
      </w:r>
      <w:r>
        <w:rPr>
          <w:strike w:val="0"/>
          <w:color w:val="2E97D3"/>
          <w:u w:val="single" w:color="2E97D3"/>
        </w:rPr>
        <w:t>positions</w:t>
      </w:r>
      <w:r>
        <w:rPr>
          <w:strike w:val="0"/>
          <w:color w:val="2E97D3"/>
          <w:spacing w:val="-16"/>
          <w:u w:val="single" w:color="2E97D3"/>
        </w:rPr>
        <w:t> </w:t>
      </w:r>
      <w:r>
        <w:rPr>
          <w:strike w:val="0"/>
        </w:rPr>
        <w:t>information</w:t>
      </w:r>
      <w:r>
        <w:rPr>
          <w:strike w:val="0"/>
          <w:spacing w:val="-13"/>
        </w:rPr>
        <w:t> </w:t>
      </w:r>
      <w:r>
        <w:rPr>
          <w:strike w:val="0"/>
        </w:rPr>
        <w:t>is</w:t>
      </w:r>
      <w:r>
        <w:rPr>
          <w:strike w:val="0"/>
          <w:spacing w:val="-13"/>
        </w:rPr>
        <w:t> </w:t>
      </w:r>
      <w:r>
        <w:rPr>
          <w:strike w:val="0"/>
        </w:rPr>
        <w:t>given</w:t>
      </w:r>
      <w:r>
        <w:rPr>
          <w:strike w:val="0"/>
          <w:spacing w:val="-13"/>
        </w:rPr>
        <w:t> </w:t>
      </w:r>
      <w:r>
        <w:rPr>
          <w:strike w:val="0"/>
        </w:rPr>
        <w:t>for</w:t>
      </w:r>
      <w:r>
        <w:rPr>
          <w:strike w:val="0"/>
          <w:spacing w:val="-16"/>
        </w:rPr>
        <w:t> </w:t>
      </w:r>
      <w:r>
        <w:rPr>
          <w:strike w:val="0"/>
        </w:rPr>
        <w:t>past,</w:t>
      </w:r>
      <w:r>
        <w:rPr>
          <w:strike w:val="0"/>
          <w:spacing w:val="-13"/>
        </w:rPr>
        <w:t> </w:t>
      </w:r>
      <w:r>
        <w:rPr>
          <w:strike w:val="0"/>
        </w:rPr>
        <w:t>current,</w:t>
      </w:r>
      <w:r>
        <w:rPr>
          <w:strike w:val="0"/>
          <w:spacing w:val="-13"/>
        </w:rPr>
        <w:t> </w:t>
      </w:r>
      <w:r>
        <w:rPr>
          <w:strike w:val="0"/>
        </w:rPr>
        <w:t>and budget</w:t>
      </w:r>
      <w:r>
        <w:rPr>
          <w:strike w:val="0"/>
          <w:spacing w:val="-6"/>
        </w:rPr>
        <w:t> </w:t>
      </w:r>
      <w:r>
        <w:rPr>
          <w:strike w:val="0"/>
        </w:rPr>
        <w:t>years.</w:t>
      </w:r>
    </w:p>
    <w:p>
      <w:pPr>
        <w:pStyle w:val="BodyText"/>
        <w:rPr>
          <w:sz w:val="26"/>
        </w:rPr>
      </w:pPr>
    </w:p>
    <w:p>
      <w:pPr>
        <w:pStyle w:val="BodyText"/>
        <w:spacing w:before="3"/>
        <w:rPr>
          <w:sz w:val="21"/>
        </w:rPr>
      </w:pPr>
    </w:p>
    <w:p>
      <w:pPr>
        <w:pStyle w:val="BodyText"/>
        <w:spacing w:before="1"/>
        <w:ind w:left="820"/>
        <w:jc w:val="both"/>
      </w:pPr>
      <w:r>
        <w:rPr/>
        <w:t>(Continued)</w:t>
      </w:r>
    </w:p>
    <w:p>
      <w:pPr>
        <w:spacing w:after="0"/>
        <w:jc w:val="both"/>
        <w:sectPr>
          <w:footerReference w:type="default" r:id="rId51"/>
          <w:pgSz w:w="12240" w:h="15840"/>
          <w:pgMar w:footer="792" w:header="724" w:top="980" w:bottom="980" w:left="620" w:right="1340"/>
        </w:sectPr>
      </w:pPr>
    </w:p>
    <w:p>
      <w:pPr>
        <w:pStyle w:val="BodyText"/>
        <w:rPr>
          <w:sz w:val="20"/>
        </w:rPr>
      </w:pPr>
    </w:p>
    <w:p>
      <w:pPr>
        <w:pStyle w:val="BodyText"/>
        <w:spacing w:before="214"/>
        <w:ind w:left="819"/>
      </w:pPr>
      <w:r>
        <w:rPr/>
        <w:pict>
          <v:line style="position:absolute;mso-position-horizontal-relative:page;mso-position-vertical-relative:paragraph;z-index:5608" from="36.360001pt,24.715881pt" to="36.360001pt,66.115881pt" stroked="true" strokeweight=".72pt" strokecolor="#000000">
            <v:stroke dashstyle="solid"/>
            <w10:wrap type="none"/>
          </v:line>
        </w:pict>
      </w:r>
      <w:r>
        <w:rPr/>
        <w:t>(Continued)</w:t>
      </w:r>
    </w:p>
    <w:p>
      <w:pPr>
        <w:tabs>
          <w:tab w:pos="10179" w:val="left" w:leader="none"/>
        </w:tabs>
        <w:spacing w:before="0"/>
        <w:ind w:left="820" w:right="0" w:firstLine="0"/>
        <w:jc w:val="left"/>
        <w:rPr>
          <w:b/>
          <w:sz w:val="24"/>
        </w:rPr>
      </w:pPr>
      <w:bookmarkStart w:name="tHETHE PROGRAM CONCERT BUDGET CONCEPT   " w:id="23"/>
      <w:bookmarkEnd w:id="23"/>
      <w:r>
        <w:rPr/>
      </w:r>
      <w:r>
        <w:rPr>
          <w:strike/>
          <w:color w:val="2E97D3"/>
          <w:sz w:val="24"/>
        </w:rPr>
        <w:t>tHE</w:t>
      </w:r>
      <w:r>
        <w:rPr>
          <w:b/>
          <w:strike w:val="0"/>
          <w:color w:val="2E97D3"/>
          <w:sz w:val="24"/>
          <w:u w:val="thick" w:color="2E97D3"/>
        </w:rPr>
        <w:t>THE </w:t>
      </w:r>
      <w:r>
        <w:rPr>
          <w:b/>
          <w:strike w:val="0"/>
          <w:sz w:val="24"/>
        </w:rPr>
        <w:t>PROGRAM </w:t>
      </w:r>
      <w:r>
        <w:rPr>
          <w:strike/>
          <w:color w:val="2E97D3"/>
          <w:sz w:val="24"/>
        </w:rPr>
        <w:t>CONCERT  </w:t>
      </w:r>
      <w:r>
        <w:rPr>
          <w:b/>
          <w:strike w:val="0"/>
          <w:color w:val="2E97D3"/>
          <w:sz w:val="24"/>
          <w:u w:val="thick" w:color="2E97D3"/>
        </w:rPr>
        <w:t>BUDGET</w:t>
      </w:r>
      <w:r>
        <w:rPr>
          <w:b/>
          <w:strike w:val="0"/>
          <w:color w:val="2E97D3"/>
          <w:spacing w:val="-6"/>
          <w:sz w:val="24"/>
          <w:u w:val="thick" w:color="2E97D3"/>
        </w:rPr>
        <w:t> </w:t>
      </w:r>
      <w:r>
        <w:rPr>
          <w:b/>
          <w:strike w:val="0"/>
          <w:color w:val="2E97D3"/>
          <w:sz w:val="24"/>
          <w:u w:val="thick" w:color="2E97D3"/>
        </w:rPr>
        <w:t>CONCEPT</w:t>
        <w:tab/>
      </w:r>
    </w:p>
    <w:p>
      <w:pPr>
        <w:pStyle w:val="BodyText"/>
        <w:tabs>
          <w:tab w:pos="2979" w:val="left" w:leader="none"/>
        </w:tabs>
        <w:ind w:left="820" w:right="6759"/>
      </w:pPr>
      <w:r>
        <w:rPr>
          <w:b/>
        </w:rPr>
        <w:t>6220</w:t>
      </w:r>
      <w:r>
        <w:rPr>
          <w:b/>
          <w:spacing w:val="-4"/>
        </w:rPr>
        <w:t> </w:t>
      </w:r>
      <w:r>
        <w:rPr/>
        <w:t>(Cont.</w:t>
      </w:r>
      <w:r>
        <w:rPr>
          <w:spacing w:val="-6"/>
        </w:rPr>
        <w:t> </w:t>
      </w:r>
      <w:r>
        <w:rPr/>
        <w:t>1)</w:t>
      </w:r>
      <w:r>
        <w:rPr>
          <w:w w:val="100"/>
          <w:u w:val="thick" w:color="2E97D3"/>
        </w:rPr>
        <w:t> </w:t>
      </w:r>
      <w:r>
        <w:rPr>
          <w:u w:val="thick" w:color="2E97D3"/>
        </w:rPr>
        <w:tab/>
      </w:r>
      <w:r>
        <w:rPr/>
        <w:t> (Revised</w:t>
      </w:r>
      <w:r>
        <w:rPr>
          <w:spacing w:val="-12"/>
        </w:rPr>
        <w:t> </w:t>
      </w:r>
      <w:r>
        <w:rPr>
          <w:strike/>
          <w:color w:val="2E97D3"/>
        </w:rPr>
        <w:t>9/2010</w:t>
      </w:r>
      <w:r>
        <w:rPr>
          <w:strike w:val="0"/>
          <w:color w:val="2E97D3"/>
          <w:u w:val="single" w:color="2E97D3"/>
        </w:rPr>
        <w:t>10/2017</w:t>
      </w:r>
      <w:r>
        <w:rPr>
          <w:strike w:val="0"/>
        </w:rPr>
        <w:t>)</w:t>
      </w:r>
    </w:p>
    <w:p>
      <w:pPr>
        <w:pStyle w:val="BodyText"/>
        <w:spacing w:before="3"/>
        <w:rPr>
          <w:sz w:val="19"/>
        </w:rPr>
      </w:pPr>
    </w:p>
    <w:p>
      <w:pPr>
        <w:pStyle w:val="Heading2"/>
        <w:spacing w:before="93"/>
        <w:ind w:left="820"/>
        <w:jc w:val="both"/>
      </w:pPr>
      <w:r>
        <w:rPr/>
        <w:pict>
          <v:line style="position:absolute;mso-position-horizontal-relative:page;mso-position-vertical-relative:paragraph;z-index:5632" from="36.360001pt,18.665838pt" to="36.360001pt,61.745838pt" stroked="true" strokeweight=".72pt" strokecolor="#000000">
            <v:stroke dashstyle="solid"/>
            <w10:wrap type="none"/>
          </v:line>
        </w:pict>
      </w:r>
      <w:bookmarkStart w:name="Detailed Expenditures by Program" w:id="24"/>
      <w:bookmarkEnd w:id="24"/>
      <w:r>
        <w:rPr>
          <w:b w:val="0"/>
        </w:rPr>
      </w:r>
      <w:r>
        <w:rPr/>
        <w:t>Detailed Expenditures by Program</w:t>
      </w:r>
    </w:p>
    <w:p>
      <w:pPr>
        <w:pStyle w:val="BodyText"/>
        <w:spacing w:before="10"/>
        <w:rPr>
          <w:b/>
          <w:sz w:val="26"/>
        </w:rPr>
      </w:pPr>
    </w:p>
    <w:p>
      <w:pPr>
        <w:pStyle w:val="BodyText"/>
        <w:ind w:left="820" w:right="441"/>
        <w:jc w:val="both"/>
      </w:pPr>
      <w:r>
        <w:rPr/>
        <w:pict>
          <v:line style="position:absolute;mso-position-horizontal-relative:page;mso-position-vertical-relative:paragraph;z-index:5656" from="36.360001pt,41.495869pt" to="36.360001pt,61.295869pt" stroked="true" strokeweight=".72pt" strokecolor="#000000">
            <v:stroke dashstyle="solid"/>
            <w10:wrap type="none"/>
          </v:line>
        </w:pict>
      </w:r>
      <w:r>
        <w:rPr/>
        <w:t>The Detailed Expenditure by Program section in the Governor’s Budget </w:t>
      </w:r>
      <w:r>
        <w:rPr>
          <w:color w:val="2E97D3"/>
          <w:u w:val="single" w:color="2E97D3"/>
        </w:rPr>
        <w:t>and enacted budget </w:t>
      </w:r>
      <w:r>
        <w:rPr/>
        <w:t>displays a department’s detailed funding outlined by program. The department’s</w:t>
      </w:r>
      <w:r>
        <w:rPr>
          <w:spacing w:val="-13"/>
        </w:rPr>
        <w:t> </w:t>
      </w:r>
      <w:r>
        <w:rPr/>
        <w:t>state</w:t>
      </w:r>
      <w:r>
        <w:rPr>
          <w:spacing w:val="-12"/>
        </w:rPr>
        <w:t> </w:t>
      </w:r>
      <w:r>
        <w:rPr/>
        <w:t>operations</w:t>
      </w:r>
      <w:r>
        <w:rPr>
          <w:spacing w:val="-13"/>
        </w:rPr>
        <w:t> </w:t>
      </w:r>
      <w:r>
        <w:rPr/>
        <w:t>and</w:t>
      </w:r>
      <w:r>
        <w:rPr>
          <w:spacing w:val="-12"/>
        </w:rPr>
        <w:t> </w:t>
      </w:r>
      <w:r>
        <w:rPr/>
        <w:t>local</w:t>
      </w:r>
      <w:r>
        <w:rPr>
          <w:spacing w:val="-15"/>
        </w:rPr>
        <w:t> </w:t>
      </w:r>
      <w:r>
        <w:rPr/>
        <w:t>assistance</w:t>
      </w:r>
      <w:r>
        <w:rPr>
          <w:spacing w:val="-14"/>
        </w:rPr>
        <w:t> </w:t>
      </w:r>
      <w:r>
        <w:rPr/>
        <w:t>funding</w:t>
      </w:r>
      <w:r>
        <w:rPr>
          <w:spacing w:val="-14"/>
        </w:rPr>
        <w:t> </w:t>
      </w:r>
      <w:r>
        <w:rPr/>
        <w:t>is</w:t>
      </w:r>
      <w:r>
        <w:rPr>
          <w:spacing w:val="-13"/>
        </w:rPr>
        <w:t> </w:t>
      </w:r>
      <w:r>
        <w:rPr/>
        <w:t>reflected</w:t>
      </w:r>
      <w:r>
        <w:rPr>
          <w:spacing w:val="-12"/>
        </w:rPr>
        <w:t> </w:t>
      </w:r>
      <w:r>
        <w:rPr/>
        <w:t>by</w:t>
      </w:r>
      <w:r>
        <w:rPr>
          <w:spacing w:val="-15"/>
        </w:rPr>
        <w:t> </w:t>
      </w:r>
      <w:r>
        <w:rPr/>
        <w:t>fund</w:t>
      </w:r>
      <w:r>
        <w:rPr>
          <w:spacing w:val="-12"/>
        </w:rPr>
        <w:t> </w:t>
      </w:r>
      <w:r>
        <w:rPr/>
        <w:t>source for each program</w:t>
      </w:r>
      <w:r>
        <w:rPr>
          <w:spacing w:val="-12"/>
        </w:rPr>
        <w:t> </w:t>
      </w:r>
      <w:r>
        <w:rPr/>
        <w:t>area.</w:t>
      </w:r>
    </w:p>
    <w:p>
      <w:pPr>
        <w:pStyle w:val="BodyText"/>
        <w:spacing w:before="119"/>
        <w:ind w:left="820" w:right="275"/>
      </w:pPr>
      <w:r>
        <w:rPr/>
        <w:pict>
          <v:line style="position:absolute;mso-position-horizontal-relative:page;mso-position-vertical-relative:paragraph;z-index:5680" from="36.360001pt,19.965853pt" to="36.360001pt,39.765853pt" stroked="true" strokeweight=".72pt" strokecolor="#000000">
            <v:stroke dashstyle="solid"/>
            <w10:wrap type="none"/>
          </v:line>
        </w:pict>
      </w:r>
      <w:r>
        <w:rPr/>
        <w:t>Expenditures</w:t>
      </w:r>
      <w:r>
        <w:rPr>
          <w:spacing w:val="-15"/>
        </w:rPr>
        <w:t> </w:t>
      </w:r>
      <w:r>
        <w:rPr/>
        <w:t>for</w:t>
      </w:r>
      <w:r>
        <w:rPr>
          <w:spacing w:val="-13"/>
        </w:rPr>
        <w:t> </w:t>
      </w:r>
      <w:r>
        <w:rPr/>
        <w:t>each</w:t>
      </w:r>
      <w:r>
        <w:rPr>
          <w:spacing w:val="-14"/>
        </w:rPr>
        <w:t> </w:t>
      </w:r>
      <w:r>
        <w:rPr/>
        <w:t>program</w:t>
      </w:r>
      <w:r>
        <w:rPr>
          <w:spacing w:val="-13"/>
        </w:rPr>
        <w:t> </w:t>
      </w:r>
      <w:r>
        <w:rPr/>
        <w:t>funding</w:t>
      </w:r>
      <w:r>
        <w:rPr>
          <w:spacing w:val="-14"/>
        </w:rPr>
        <w:t> </w:t>
      </w:r>
      <w:r>
        <w:rPr/>
        <w:t>source</w:t>
      </w:r>
      <w:r>
        <w:rPr>
          <w:spacing w:val="-12"/>
        </w:rPr>
        <w:t> </w:t>
      </w:r>
      <w:r>
        <w:rPr/>
        <w:t>are</w:t>
      </w:r>
      <w:r>
        <w:rPr>
          <w:spacing w:val="-12"/>
        </w:rPr>
        <w:t> </w:t>
      </w:r>
      <w:r>
        <w:rPr/>
        <w:t>provided</w:t>
      </w:r>
      <w:r>
        <w:rPr>
          <w:spacing w:val="-14"/>
        </w:rPr>
        <w:t> </w:t>
      </w:r>
      <w:r>
        <w:rPr/>
        <w:t>for</w:t>
      </w:r>
      <w:r>
        <w:rPr>
          <w:spacing w:val="-13"/>
        </w:rPr>
        <w:t> </w:t>
      </w:r>
      <w:r>
        <w:rPr/>
        <w:t>past,</w:t>
      </w:r>
      <w:r>
        <w:rPr>
          <w:spacing w:val="-14"/>
        </w:rPr>
        <w:t> </w:t>
      </w:r>
      <w:r>
        <w:rPr/>
        <w:t>current,</w:t>
      </w:r>
      <w:r>
        <w:rPr>
          <w:spacing w:val="-12"/>
        </w:rPr>
        <w:t> </w:t>
      </w:r>
      <w:r>
        <w:rPr/>
        <w:t>and budget</w:t>
      </w:r>
      <w:r>
        <w:rPr>
          <w:spacing w:val="-6"/>
        </w:rPr>
        <w:t> </w:t>
      </w:r>
      <w:r>
        <w:rPr/>
        <w:t>year.</w:t>
      </w:r>
    </w:p>
    <w:p>
      <w:pPr>
        <w:pStyle w:val="BodyText"/>
        <w:spacing w:before="10"/>
        <w:rPr>
          <w:sz w:val="36"/>
        </w:rPr>
      </w:pPr>
    </w:p>
    <w:p>
      <w:pPr>
        <w:pStyle w:val="Heading2"/>
        <w:ind w:left="820"/>
        <w:jc w:val="both"/>
      </w:pPr>
      <w:bookmarkStart w:name="Legal Citations and Authority" w:id="25"/>
      <w:bookmarkEnd w:id="25"/>
      <w:r>
        <w:rPr>
          <w:b w:val="0"/>
        </w:rPr>
      </w:r>
      <w:r>
        <w:rPr/>
        <w:t>Legal Citations and Authority</w:t>
      </w:r>
    </w:p>
    <w:p>
      <w:pPr>
        <w:pStyle w:val="BodyText"/>
        <w:spacing w:before="167"/>
        <w:ind w:left="820"/>
      </w:pPr>
      <w:r>
        <w:rPr/>
        <w:t>Provides</w:t>
      </w:r>
      <w:r>
        <w:rPr>
          <w:spacing w:val="-16"/>
        </w:rPr>
        <w:t> </w:t>
      </w:r>
      <w:r>
        <w:rPr/>
        <w:t>the</w:t>
      </w:r>
      <w:r>
        <w:rPr>
          <w:spacing w:val="-15"/>
        </w:rPr>
        <w:t> </w:t>
      </w:r>
      <w:r>
        <w:rPr/>
        <w:t>legal</w:t>
      </w:r>
      <w:r>
        <w:rPr>
          <w:spacing w:val="-16"/>
        </w:rPr>
        <w:t> </w:t>
      </w:r>
      <w:r>
        <w:rPr/>
        <w:t>(Constitutional</w:t>
      </w:r>
      <w:r>
        <w:rPr>
          <w:spacing w:val="-16"/>
        </w:rPr>
        <w:t> </w:t>
      </w:r>
      <w:r>
        <w:rPr/>
        <w:t>or</w:t>
      </w:r>
      <w:r>
        <w:rPr>
          <w:spacing w:val="-17"/>
        </w:rPr>
        <w:t> </w:t>
      </w:r>
      <w:r>
        <w:rPr/>
        <w:t>statutory)</w:t>
      </w:r>
      <w:r>
        <w:rPr>
          <w:spacing w:val="-17"/>
        </w:rPr>
        <w:t> </w:t>
      </w:r>
      <w:r>
        <w:rPr/>
        <w:t>or</w:t>
      </w:r>
      <w:r>
        <w:rPr>
          <w:spacing w:val="-17"/>
        </w:rPr>
        <w:t> </w:t>
      </w:r>
      <w:r>
        <w:rPr/>
        <w:t>administrative</w:t>
      </w:r>
      <w:r>
        <w:rPr>
          <w:spacing w:val="-15"/>
        </w:rPr>
        <w:t> </w:t>
      </w:r>
      <w:r>
        <w:rPr/>
        <w:t>(Executive</w:t>
      </w:r>
      <w:r>
        <w:rPr>
          <w:spacing w:val="-15"/>
        </w:rPr>
        <w:t> </w:t>
      </w:r>
      <w:r>
        <w:rPr/>
        <w:t>Order, regulation, SAM, etc.) authority for the</w:t>
      </w:r>
      <w:r>
        <w:rPr>
          <w:spacing w:val="-24"/>
        </w:rPr>
        <w:t> </w:t>
      </w:r>
      <w:r>
        <w:rPr/>
        <w:t>program.</w:t>
      </w:r>
    </w:p>
    <w:p>
      <w:pPr>
        <w:pStyle w:val="BodyText"/>
        <w:spacing w:before="9"/>
        <w:rPr>
          <w:sz w:val="20"/>
        </w:rPr>
      </w:pPr>
    </w:p>
    <w:p>
      <w:pPr>
        <w:pStyle w:val="Heading2"/>
        <w:ind w:left="820"/>
        <w:jc w:val="both"/>
      </w:pPr>
      <w:bookmarkStart w:name="Major Program Changes" w:id="26"/>
      <w:bookmarkEnd w:id="26"/>
      <w:r>
        <w:rPr>
          <w:b w:val="0"/>
        </w:rPr>
      </w:r>
      <w:r>
        <w:rPr/>
        <w:t>Major Program Changes</w:t>
      </w:r>
    </w:p>
    <w:p>
      <w:pPr>
        <w:pStyle w:val="BodyText"/>
        <w:spacing w:line="274" w:lineRule="exact" w:before="173"/>
        <w:ind w:left="819"/>
      </w:pPr>
      <w:r>
        <w:rPr/>
        <w:pict>
          <v:line style="position:absolute;mso-position-horizontal-relative:page;mso-position-vertical-relative:paragraph;z-index:5704" from="36.360001pt,22.249996pt" to="36.360001pt,42.049996pt" stroked="true" strokeweight=".72pt" strokecolor="#000000">
            <v:stroke dashstyle="solid"/>
            <w10:wrap type="none"/>
          </v:line>
        </w:pict>
      </w:r>
      <w:r>
        <w:rPr/>
        <w:t>Major Program Changes describe significant program adjustments to the department’s program budget compared to the previous fiscal year and the reason for the change.</w:t>
      </w:r>
    </w:p>
    <w:p>
      <w:pPr>
        <w:pStyle w:val="BodyText"/>
        <w:spacing w:before="115"/>
        <w:ind w:left="819"/>
      </w:pPr>
      <w:r>
        <w:rPr/>
        <w:pict>
          <v:line style="position:absolute;mso-position-horizontal-relative:page;mso-position-vertical-relative:paragraph;z-index:5728" from="36.360001pt,39.565845pt" to="36.360001pt,66.565845pt" stroked="true" strokeweight=".72pt" strokecolor="#000000">
            <v:stroke dashstyle="solid"/>
            <w10:wrap type="none"/>
          </v:line>
        </w:pict>
      </w:r>
      <w:r>
        <w:rPr/>
        <w:t>Major</w:t>
      </w:r>
      <w:r>
        <w:rPr>
          <w:spacing w:val="-14"/>
        </w:rPr>
        <w:t> </w:t>
      </w:r>
      <w:r>
        <w:rPr/>
        <w:t>Program</w:t>
      </w:r>
      <w:r>
        <w:rPr>
          <w:spacing w:val="-12"/>
        </w:rPr>
        <w:t> </w:t>
      </w:r>
      <w:r>
        <w:rPr/>
        <w:t>Changes</w:t>
      </w:r>
      <w:r>
        <w:rPr>
          <w:spacing w:val="-14"/>
        </w:rPr>
        <w:t> </w:t>
      </w:r>
      <w:r>
        <w:rPr/>
        <w:t>may</w:t>
      </w:r>
      <w:r>
        <w:rPr>
          <w:spacing w:val="-15"/>
        </w:rPr>
        <w:t> </w:t>
      </w:r>
      <w:r>
        <w:rPr/>
        <w:t>include</w:t>
      </w:r>
      <w:r>
        <w:rPr>
          <w:spacing w:val="-13"/>
        </w:rPr>
        <w:t> </w:t>
      </w:r>
      <w:r>
        <w:rPr/>
        <w:t>increases</w:t>
      </w:r>
      <w:r>
        <w:rPr>
          <w:spacing w:val="-14"/>
        </w:rPr>
        <w:t> </w:t>
      </w:r>
      <w:r>
        <w:rPr/>
        <w:t>and</w:t>
      </w:r>
      <w:r>
        <w:rPr>
          <w:spacing w:val="-13"/>
        </w:rPr>
        <w:t> </w:t>
      </w:r>
      <w:r>
        <w:rPr/>
        <w:t>or</w:t>
      </w:r>
      <w:r>
        <w:rPr>
          <w:spacing w:val="-14"/>
        </w:rPr>
        <w:t> </w:t>
      </w:r>
      <w:r>
        <w:rPr/>
        <w:t>decreases</w:t>
      </w:r>
      <w:r>
        <w:rPr>
          <w:spacing w:val="-15"/>
        </w:rPr>
        <w:t> </w:t>
      </w:r>
      <w:r>
        <w:rPr/>
        <w:t>of</w:t>
      </w:r>
      <w:r>
        <w:rPr>
          <w:spacing w:val="-13"/>
        </w:rPr>
        <w:t> </w:t>
      </w:r>
      <w:r>
        <w:rPr/>
        <w:t>positions,</w:t>
      </w:r>
      <w:r>
        <w:rPr>
          <w:spacing w:val="-14"/>
        </w:rPr>
        <w:t> </w:t>
      </w:r>
      <w:r>
        <w:rPr/>
        <w:t>funding, and reason for</w:t>
      </w:r>
      <w:r>
        <w:rPr>
          <w:spacing w:val="-12"/>
        </w:rPr>
        <w:t> </w:t>
      </w:r>
      <w:r>
        <w:rPr/>
        <w:t>changes.</w:t>
      </w:r>
    </w:p>
    <w:p>
      <w:pPr>
        <w:spacing w:after="0"/>
        <w:sectPr>
          <w:pgSz w:w="12240" w:h="15840"/>
          <w:pgMar w:header="724" w:footer="792" w:top="980" w:bottom="980" w:left="620" w:right="1340"/>
        </w:sectPr>
      </w:pPr>
    </w:p>
    <w:p>
      <w:pPr>
        <w:pStyle w:val="BodyText"/>
        <w:rPr>
          <w:sz w:val="20"/>
        </w:rPr>
      </w:pPr>
    </w:p>
    <w:p>
      <w:pPr>
        <w:pStyle w:val="Heading2"/>
        <w:tabs>
          <w:tab w:pos="9639" w:val="left" w:leader="none"/>
        </w:tabs>
        <w:spacing w:before="214"/>
        <w:ind w:left="820" w:right="123"/>
        <w:rPr>
          <w:b w:val="0"/>
        </w:rPr>
      </w:pPr>
      <w:r>
        <w:rPr/>
        <w:pict>
          <v:line style="position:absolute;mso-position-horizontal-relative:page;mso-position-vertical-relative:paragraph;z-index:-466912" from="479.880005pt,19.135881pt" to="483.360005pt,19.135881pt" stroked="true" strokeweight=".6pt" strokecolor="#2e97d3">
            <v:stroke dashstyle="solid"/>
            <w10:wrap type="none"/>
          </v:line>
        </w:pict>
      </w:r>
      <w:r>
        <w:rPr/>
        <w:pict>
          <v:line style="position:absolute;mso-position-horizontal-relative:page;mso-position-vertical-relative:paragraph;z-index:-466888" from="539.640015pt,37.67588pt" to="540.000015pt,37.67588pt" stroked="true" strokeweight="1.2pt" strokecolor="#2e97d3">
            <v:stroke dashstyle="solid"/>
            <w10:wrap type="none"/>
          </v:line>
        </w:pict>
      </w:r>
      <w:r>
        <w:rPr/>
        <w:pict>
          <v:line style="position:absolute;mso-position-horizontal-relative:page;mso-position-vertical-relative:paragraph;z-index:-466864" from="212.399994pt,32.935883pt" to="539.639994pt,32.935883pt" stroked="true" strokeweight=".6pt" strokecolor="#2e97d3">
            <v:stroke dashstyle="solid"/>
            <w10:wrap type="none"/>
          </v:line>
        </w:pict>
      </w:r>
      <w:r>
        <w:rPr/>
        <w:pict>
          <v:line style="position:absolute;mso-position-horizontal-relative:page;mso-position-vertical-relative:paragraph;z-index:6112" from="36.360001pt,10.915881pt" to="36.360001pt,52.315881pt" stroked="true" strokeweight=".72pt" strokecolor="#000000">
            <v:stroke dashstyle="solid"/>
            <w10:wrap type="none"/>
          </v:line>
        </w:pict>
      </w:r>
      <w:r>
        <w:rPr/>
        <w:t>DEVELOPMENT </w:t>
      </w:r>
      <w:r>
        <w:rPr>
          <w:spacing w:val="-3"/>
        </w:rPr>
        <w:t>AND </w:t>
      </w:r>
      <w:r>
        <w:rPr/>
        <w:t>ENACTMENT OF THE ANNUAL</w:t>
      </w:r>
      <w:r>
        <w:rPr>
          <w:spacing w:val="-7"/>
        </w:rPr>
        <w:t> </w:t>
      </w:r>
      <w:r>
        <w:rPr/>
        <w:t>FINANCIAL</w:t>
      </w:r>
      <w:r>
        <w:rPr>
          <w:spacing w:val="-4"/>
        </w:rPr>
        <w:t> </w:t>
      </w:r>
      <w:r>
        <w:rPr/>
        <w:t>PLAN,</w:t>
      </w:r>
      <w:r>
        <w:rPr>
          <w:color w:val="2E97D3"/>
          <w:u w:val="thick" w:color="2E97D3"/>
        </w:rPr>
        <w:t> </w:t>
        <w:tab/>
        <w:t>6300 </w:t>
      </w:r>
      <w:r>
        <w:rPr/>
        <w:t>THE PROCESS</w:t>
      </w:r>
      <w:r>
        <w:rPr>
          <w:spacing w:val="-7"/>
        </w:rPr>
        <w:t> </w:t>
      </w:r>
      <w:r>
        <w:rPr/>
        <w:t>IN</w:t>
      </w:r>
      <w:r>
        <w:rPr>
          <w:spacing w:val="-5"/>
        </w:rPr>
        <w:t> </w:t>
      </w:r>
      <w:r>
        <w:rPr/>
        <w:t>BRIEF</w:t>
        <w:tab/>
      </w:r>
      <w:r>
        <w:rPr>
          <w:b w:val="0"/>
          <w:color w:val="2E97D3"/>
        </w:rPr>
        <w:t>6300</w:t>
      </w:r>
    </w:p>
    <w:p>
      <w:pPr>
        <w:spacing w:before="0"/>
        <w:ind w:left="820" w:right="0" w:firstLine="0"/>
        <w:jc w:val="left"/>
        <w:rPr>
          <w:sz w:val="24"/>
        </w:rPr>
      </w:pPr>
      <w:r>
        <w:rPr>
          <w:sz w:val="24"/>
        </w:rPr>
        <w:t>(Revised </w:t>
      </w:r>
      <w:r>
        <w:rPr>
          <w:rFonts w:ascii="Times New Roman"/>
          <w:b/>
          <w:strike/>
          <w:color w:val="2E97D3"/>
          <w:sz w:val="16"/>
        </w:rPr>
        <w:t>9/2010</w:t>
      </w:r>
      <w:r>
        <w:rPr>
          <w:strike w:val="0"/>
          <w:color w:val="2E97D3"/>
          <w:sz w:val="24"/>
          <w:u w:val="single" w:color="2E97D3"/>
        </w:rPr>
        <w:t>10/2017</w:t>
      </w:r>
      <w:r>
        <w:rPr>
          <w:strike w:val="0"/>
          <w:sz w:val="24"/>
        </w:rPr>
        <w:t>)</w:t>
      </w:r>
    </w:p>
    <w:p>
      <w:pPr>
        <w:pStyle w:val="BodyText"/>
        <w:spacing w:before="5"/>
        <w:rPr>
          <w:sz w:val="18"/>
        </w:rPr>
      </w:pPr>
    </w:p>
    <w:p>
      <w:pPr>
        <w:pStyle w:val="BodyText"/>
        <w:spacing w:before="93"/>
        <w:ind w:left="820" w:right="114"/>
        <w:jc w:val="both"/>
      </w:pPr>
      <w:r>
        <w:rPr/>
        <w:pict>
          <v:line style="position:absolute;mso-position-horizontal-relative:page;mso-position-vertical-relative:paragraph;z-index:6136" from="36.360001pt,4.865867pt" to="36.360001pt,46.265867pt" stroked="true" strokeweight=".72pt" strokecolor="#000000">
            <v:stroke dashstyle="solid"/>
            <w10:wrap type="none"/>
          </v:line>
        </w:pict>
      </w:r>
      <w:r>
        <w:rPr/>
        <w:t>The annual financial plan consists of the Governor's Budget</w:t>
      </w:r>
      <w:r>
        <w:rPr>
          <w:color w:val="2E97D3"/>
          <w:u w:val="single" w:color="2E97D3"/>
        </w:rPr>
        <w:t>, as amended in the May Revision</w:t>
      </w:r>
      <w:r>
        <w:rPr/>
        <w:t>, to the extent approved as part of the final budget, Budget Bill and other bills with</w:t>
      </w:r>
      <w:r>
        <w:rPr>
          <w:spacing w:val="-10"/>
        </w:rPr>
        <w:t> </w:t>
      </w:r>
      <w:r>
        <w:rPr/>
        <w:t>fiscal</w:t>
      </w:r>
      <w:r>
        <w:rPr>
          <w:spacing w:val="-12"/>
        </w:rPr>
        <w:t> </w:t>
      </w:r>
      <w:r>
        <w:rPr/>
        <w:t>or</w:t>
      </w:r>
      <w:r>
        <w:rPr>
          <w:spacing w:val="-14"/>
        </w:rPr>
        <w:t> </w:t>
      </w:r>
      <w:r>
        <w:rPr/>
        <w:t>program</w:t>
      </w:r>
      <w:r>
        <w:rPr>
          <w:spacing w:val="-12"/>
        </w:rPr>
        <w:t> </w:t>
      </w:r>
      <w:r>
        <w:rPr/>
        <w:t>impact</w:t>
      </w:r>
      <w:r>
        <w:rPr>
          <w:spacing w:val="-11"/>
        </w:rPr>
        <w:t> </w:t>
      </w:r>
      <w:r>
        <w:rPr/>
        <w:t>as</w:t>
      </w:r>
      <w:r>
        <w:rPr>
          <w:spacing w:val="-14"/>
        </w:rPr>
        <w:t> </w:t>
      </w:r>
      <w:r>
        <w:rPr/>
        <w:t>enacted,</w:t>
      </w:r>
      <w:r>
        <w:rPr>
          <w:spacing w:val="-13"/>
        </w:rPr>
        <w:t> </w:t>
      </w:r>
      <w:r>
        <w:rPr>
          <w:b/>
          <w:strike/>
          <w:color w:val="2E97D3"/>
        </w:rPr>
        <w:t>and</w:t>
      </w:r>
      <w:r>
        <w:rPr>
          <w:b/>
          <w:strike/>
          <w:color w:val="2E97D3"/>
          <w:spacing w:val="-14"/>
        </w:rPr>
        <w:t> </w:t>
      </w:r>
      <w:r>
        <w:rPr>
          <w:b/>
          <w:strike/>
          <w:color w:val="2E97D3"/>
        </w:rPr>
        <w:t>existing</w:t>
      </w:r>
      <w:r>
        <w:rPr>
          <w:b/>
          <w:strike/>
          <w:color w:val="2E97D3"/>
          <w:spacing w:val="-11"/>
        </w:rPr>
        <w:t> </w:t>
      </w:r>
      <w:r>
        <w:rPr>
          <w:b/>
          <w:strike/>
          <w:color w:val="2E97D3"/>
        </w:rPr>
        <w:t>revenue</w:t>
      </w:r>
      <w:r>
        <w:rPr>
          <w:strike w:val="0"/>
          <w:color w:val="2E97D3"/>
          <w:u w:val="single" w:color="2E97D3"/>
        </w:rPr>
        <w:t>estimated</w:t>
      </w:r>
      <w:r>
        <w:rPr>
          <w:strike w:val="0"/>
          <w:color w:val="2E97D3"/>
          <w:spacing w:val="-10"/>
          <w:u w:val="single" w:color="2E97D3"/>
        </w:rPr>
        <w:t> </w:t>
      </w:r>
      <w:r>
        <w:rPr>
          <w:strike w:val="0"/>
          <w:color w:val="2E97D3"/>
          <w:u w:val="single" w:color="2E97D3"/>
        </w:rPr>
        <w:t>revenues,</w:t>
      </w:r>
      <w:r>
        <w:rPr>
          <w:strike w:val="0"/>
          <w:color w:val="2E97D3"/>
          <w:spacing w:val="-13"/>
          <w:u w:val="single" w:color="2E97D3"/>
        </w:rPr>
        <w:t> </w:t>
      </w:r>
      <w:r>
        <w:rPr>
          <w:strike w:val="0"/>
        </w:rPr>
        <w:t>and spending</w:t>
      </w:r>
      <w:r>
        <w:rPr>
          <w:strike w:val="0"/>
          <w:spacing w:val="-12"/>
        </w:rPr>
        <w:t> </w:t>
      </w:r>
      <w:r>
        <w:rPr>
          <w:strike w:val="0"/>
        </w:rPr>
        <w:t>authority.</w:t>
      </w:r>
    </w:p>
    <w:p>
      <w:pPr>
        <w:pStyle w:val="BodyText"/>
        <w:spacing w:before="182"/>
        <w:ind w:left="820" w:right="112"/>
        <w:jc w:val="both"/>
      </w:pPr>
      <w:r>
        <w:rPr/>
        <w:pict>
          <v:line style="position:absolute;mso-position-horizontal-relative:page;mso-position-vertical-relative:paragraph;z-index:-466840" from="173.880005pt,32.295860pt" to="175.800005pt,32.295860pt" stroked="true" strokeweight=".36pt" strokecolor="#2e97d3">
            <v:stroke dashstyle="solid"/>
            <w10:wrap type="none"/>
          </v:line>
        </w:pict>
      </w:r>
      <w:r>
        <w:rPr/>
        <w:pict>
          <v:line style="position:absolute;mso-position-horizontal-relative:page;mso-position-vertical-relative:paragraph;z-index:-466816" from="357.839996pt,46.09586pt" to="359.399996pt,46.09586pt" stroked="true" strokeweight=".36pt" strokecolor="#2e97d3">
            <v:stroke dashstyle="solid"/>
            <w10:wrap type="none"/>
          </v:line>
        </w:pict>
      </w:r>
      <w:r>
        <w:rPr/>
        <w:pict>
          <v:line style="position:absolute;mso-position-horizontal-relative:page;mso-position-vertical-relative:paragraph;z-index:-466792" from="242.520004pt,87.495857pt" to="246.600004pt,87.495857pt" stroked="true" strokeweight=".36pt" strokecolor="#2e97d3">
            <v:stroke dashstyle="solid"/>
            <w10:wrap type="none"/>
          </v:line>
        </w:pict>
      </w:r>
      <w:r>
        <w:rPr/>
        <w:pict>
          <v:line style="position:absolute;mso-position-horizontal-relative:page;mso-position-vertical-relative:paragraph;z-index:-466768" from="121.800003pt,101.29586pt" to="123.600003pt,101.29586pt" stroked="true" strokeweight=".36pt" strokecolor="#2e97d3">
            <v:stroke dashstyle="solid"/>
            <w10:wrap type="none"/>
          </v:line>
        </w:pict>
      </w:r>
      <w:r>
        <w:rPr/>
        <w:pict>
          <v:line style="position:absolute;mso-position-horizontal-relative:page;mso-position-vertical-relative:paragraph;z-index:-466744" from="173.399994pt,128.895859pt" to="175.798994pt,128.895859pt" stroked="true" strokeweight=".36pt" strokecolor="#2e97d3">
            <v:stroke dashstyle="solid"/>
            <w10:wrap type="none"/>
          </v:line>
        </w:pict>
      </w:r>
      <w:r>
        <w:rPr/>
        <w:pict>
          <v:line style="position:absolute;mso-position-horizontal-relative:page;mso-position-vertical-relative:paragraph;z-index:-466720" from="490.320007pt,146.295364pt" to="493.680007pt,146.295364pt" stroked="true" strokeweight=".841pt" strokecolor="#2e97d3">
            <v:stroke dashstyle="solid"/>
            <w10:wrap type="none"/>
          </v:line>
        </w:pict>
      </w:r>
      <w:r>
        <w:rPr/>
        <w:pict>
          <v:line style="position:absolute;mso-position-horizontal-relative:page;mso-position-vertical-relative:paragraph;z-index:6160" from="36.360001pt,23.11586pt" to="36.360001pt,50.71586pt" stroked="true" strokeweight=".72pt" strokecolor="#000000">
            <v:stroke dashstyle="solid"/>
            <w10:wrap type="none"/>
          </v:line>
        </w:pict>
      </w:r>
      <w:r>
        <w:rPr/>
        <w:pict>
          <v:line style="position:absolute;mso-position-horizontal-relative:page;mso-position-vertical-relative:paragraph;z-index:6184" from="36.360001pt,78.316856pt" to="36.360001pt,147.315856pt" stroked="true" strokeweight=".72pt" strokecolor="#000000">
            <v:stroke dashstyle="solid"/>
            <w10:wrap type="none"/>
          </v:line>
        </w:pict>
      </w:r>
      <w:r>
        <w:rPr/>
        <w:t>The Governor has complete and final responsibility for "the Governor's Budget" and </w:t>
      </w:r>
      <w:r>
        <w:rPr>
          <w:spacing w:val="-2"/>
        </w:rPr>
        <w:t>the </w:t>
      </w:r>
      <w:r>
        <w:rPr/>
        <w:t>“initial</w:t>
      </w:r>
      <w:r>
        <w:rPr>
          <w:spacing w:val="-9"/>
        </w:rPr>
        <w:t> </w:t>
      </w:r>
      <w:r>
        <w:rPr/>
        <w:t>Budget</w:t>
      </w:r>
      <w:r>
        <w:rPr>
          <w:spacing w:val="-11"/>
        </w:rPr>
        <w:t> </w:t>
      </w:r>
      <w:r>
        <w:rPr/>
        <w:t>Bill.”</w:t>
      </w:r>
      <w:r>
        <w:rPr>
          <w:spacing w:val="25"/>
        </w:rPr>
        <w:t> </w:t>
      </w:r>
      <w:r>
        <w:rPr/>
        <w:t>However,</w:t>
      </w:r>
      <w:r>
        <w:rPr>
          <w:spacing w:val="-8"/>
        </w:rPr>
        <w:t> </w:t>
      </w:r>
      <w:r>
        <w:rPr/>
        <w:t>preparation</w:t>
      </w:r>
      <w:r>
        <w:rPr>
          <w:spacing w:val="-10"/>
        </w:rPr>
        <w:t> </w:t>
      </w:r>
      <w:r>
        <w:rPr/>
        <w:t>of</w:t>
      </w:r>
      <w:r>
        <w:rPr>
          <w:spacing w:val="-8"/>
        </w:rPr>
        <w:t> </w:t>
      </w:r>
      <w:r>
        <w:rPr/>
        <w:t>the</w:t>
      </w:r>
      <w:r>
        <w:rPr>
          <w:spacing w:val="-10"/>
        </w:rPr>
        <w:t> </w:t>
      </w:r>
      <w:r>
        <w:rPr/>
        <w:t>Governor’s</w:t>
      </w:r>
      <w:r>
        <w:rPr>
          <w:spacing w:val="-9"/>
        </w:rPr>
        <w:t> </w:t>
      </w:r>
      <w:r>
        <w:rPr/>
        <w:t>Budget</w:t>
      </w:r>
      <w:r>
        <w:rPr>
          <w:spacing w:val="-11"/>
        </w:rPr>
        <w:t> </w:t>
      </w:r>
      <w:r>
        <w:rPr/>
        <w:t>and</w:t>
      </w:r>
      <w:r>
        <w:rPr>
          <w:spacing w:val="-10"/>
        </w:rPr>
        <w:t> </w:t>
      </w:r>
      <w:r>
        <w:rPr/>
        <w:t>the</w:t>
      </w:r>
      <w:r>
        <w:rPr>
          <w:spacing w:val="-8"/>
        </w:rPr>
        <w:t> </w:t>
      </w:r>
      <w:r>
        <w:rPr/>
        <w:t>initial</w:t>
      </w:r>
      <w:r>
        <w:rPr>
          <w:spacing w:val="-9"/>
        </w:rPr>
        <w:t> </w:t>
      </w:r>
      <w:r>
        <w:rPr/>
        <w:t>Budget Bill</w:t>
      </w:r>
      <w:r>
        <w:rPr>
          <w:spacing w:val="-18"/>
        </w:rPr>
        <w:t> </w:t>
      </w:r>
      <w:r>
        <w:rPr/>
        <w:t>is</w:t>
      </w:r>
      <w:r>
        <w:rPr>
          <w:spacing w:val="-17"/>
        </w:rPr>
        <w:t> </w:t>
      </w:r>
      <w:r>
        <w:rPr/>
        <w:t>actually</w:t>
      </w:r>
      <w:r>
        <w:rPr>
          <w:spacing w:val="-20"/>
        </w:rPr>
        <w:t> </w:t>
      </w:r>
      <w:r>
        <w:rPr/>
        <w:t>a</w:t>
      </w:r>
      <w:r>
        <w:rPr>
          <w:spacing w:val="-16"/>
        </w:rPr>
        <w:t> </w:t>
      </w:r>
      <w:r>
        <w:rPr/>
        <w:t>product</w:t>
      </w:r>
      <w:r>
        <w:rPr>
          <w:spacing w:val="-19"/>
        </w:rPr>
        <w:t> </w:t>
      </w:r>
      <w:r>
        <w:rPr/>
        <w:t>of</w:t>
      </w:r>
      <w:r>
        <w:rPr>
          <w:spacing w:val="-15"/>
        </w:rPr>
        <w:t> </w:t>
      </w:r>
      <w:r>
        <w:rPr/>
        <w:t>the</w:t>
      </w:r>
      <w:r>
        <w:rPr>
          <w:spacing w:val="-16"/>
        </w:rPr>
        <w:t> </w:t>
      </w:r>
      <w:r>
        <w:rPr/>
        <w:t>entire</w:t>
      </w:r>
      <w:r>
        <w:rPr>
          <w:spacing w:val="-16"/>
        </w:rPr>
        <w:t> </w:t>
      </w:r>
      <w:r>
        <w:rPr/>
        <w:t>executive</w:t>
      </w:r>
      <w:r>
        <w:rPr>
          <w:spacing w:val="-16"/>
        </w:rPr>
        <w:t> </w:t>
      </w:r>
      <w:r>
        <w:rPr/>
        <w:t>branch.</w:t>
      </w:r>
      <w:r>
        <w:rPr>
          <w:spacing w:val="10"/>
        </w:rPr>
        <w:t> </w:t>
      </w:r>
      <w:r>
        <w:rPr/>
        <w:t>Although</w:t>
      </w:r>
      <w:r>
        <w:rPr>
          <w:spacing w:val="-16"/>
        </w:rPr>
        <w:t> </w:t>
      </w:r>
      <w:r>
        <w:rPr/>
        <w:t>the</w:t>
      </w:r>
      <w:r>
        <w:rPr>
          <w:spacing w:val="-16"/>
        </w:rPr>
        <w:t> </w:t>
      </w:r>
      <w:r>
        <w:rPr/>
        <w:t>constitutional</w:t>
      </w:r>
      <w:r>
        <w:rPr>
          <w:spacing w:val="-20"/>
        </w:rPr>
        <w:t> </w:t>
      </w:r>
      <w:r>
        <w:rPr/>
        <w:t>officers and the segments of higher education have a certain level of autonomy, the Governor typically requests their cooperation in seeking, establishing, and implementing the fiscal policies of the Administration. Decisions, small and large, must be made by many persons. While legislative and administrative leaders make crucial decisions on specific questions raised </w:t>
      </w:r>
      <w:r>
        <w:rPr>
          <w:rFonts w:ascii="Times New Roman" w:hAnsi="Times New Roman"/>
          <w:b/>
          <w:strike/>
          <w:color w:val="2E97D3"/>
          <w:sz w:val="16"/>
        </w:rPr>
        <w:t>by</w:t>
      </w:r>
      <w:r>
        <w:rPr>
          <w:strike w:val="0"/>
          <w:color w:val="2E97D3"/>
          <w:u w:val="single" w:color="2E97D3"/>
        </w:rPr>
        <w:t>during </w:t>
      </w:r>
      <w:r>
        <w:rPr>
          <w:strike w:val="0"/>
        </w:rPr>
        <w:t>the budget process, they are largely dependent on information presented to them. It is essential therefore that everyone involved in the preparation of the budget try to create a meaningful, well developed and fully justified plan</w:t>
      </w:r>
      <w:r>
        <w:rPr>
          <w:strike w:val="0"/>
          <w:color w:val="2E97D3"/>
        </w:rPr>
        <w:t>, </w:t>
      </w:r>
      <w:r>
        <w:rPr>
          <w:strike w:val="0"/>
        </w:rPr>
        <w:t>and not expect</w:t>
      </w:r>
      <w:r>
        <w:rPr>
          <w:strike w:val="0"/>
          <w:spacing w:val="-7"/>
        </w:rPr>
        <w:t> </w:t>
      </w:r>
      <w:r>
        <w:rPr>
          <w:strike w:val="0"/>
        </w:rPr>
        <w:t>the</w:t>
      </w:r>
      <w:r>
        <w:rPr>
          <w:strike w:val="0"/>
          <w:spacing w:val="-7"/>
        </w:rPr>
        <w:t> </w:t>
      </w:r>
      <w:r>
        <w:rPr>
          <w:strike w:val="0"/>
        </w:rPr>
        <w:t>budget</w:t>
      </w:r>
      <w:r>
        <w:rPr>
          <w:strike w:val="0"/>
          <w:spacing w:val="-7"/>
        </w:rPr>
        <w:t> </w:t>
      </w:r>
      <w:r>
        <w:rPr>
          <w:strike w:val="0"/>
        </w:rPr>
        <w:t>review</w:t>
      </w:r>
      <w:r>
        <w:rPr>
          <w:strike w:val="0"/>
          <w:spacing w:val="-11"/>
        </w:rPr>
        <w:t> </w:t>
      </w:r>
      <w:r>
        <w:rPr>
          <w:strike w:val="0"/>
        </w:rPr>
        <w:t>process</w:t>
      </w:r>
      <w:r>
        <w:rPr>
          <w:strike w:val="0"/>
          <w:spacing w:val="-8"/>
        </w:rPr>
        <w:t> </w:t>
      </w:r>
      <w:r>
        <w:rPr>
          <w:strike w:val="0"/>
        </w:rPr>
        <w:t>of</w:t>
      </w:r>
      <w:r>
        <w:rPr>
          <w:strike w:val="0"/>
          <w:spacing w:val="-5"/>
        </w:rPr>
        <w:t> </w:t>
      </w:r>
      <w:r>
        <w:rPr>
          <w:strike w:val="0"/>
        </w:rPr>
        <w:t>the</w:t>
      </w:r>
      <w:r>
        <w:rPr>
          <w:strike w:val="0"/>
          <w:spacing w:val="-7"/>
        </w:rPr>
        <w:t> </w:t>
      </w:r>
      <w:r>
        <w:rPr>
          <w:strike w:val="0"/>
        </w:rPr>
        <w:t>Administration</w:t>
      </w:r>
      <w:r>
        <w:rPr>
          <w:strike w:val="0"/>
          <w:spacing w:val="-7"/>
        </w:rPr>
        <w:t> </w:t>
      </w:r>
      <w:r>
        <w:rPr>
          <w:strike w:val="0"/>
        </w:rPr>
        <w:t>to</w:t>
      </w:r>
      <w:r>
        <w:rPr>
          <w:strike w:val="0"/>
          <w:spacing w:val="-9"/>
        </w:rPr>
        <w:t> </w:t>
      </w:r>
      <w:r>
        <w:rPr>
          <w:strike w:val="0"/>
        </w:rPr>
        <w:t>accomplish</w:t>
      </w:r>
      <w:r>
        <w:rPr>
          <w:strike w:val="0"/>
          <w:spacing w:val="-7"/>
        </w:rPr>
        <w:t> </w:t>
      </w:r>
      <w:r>
        <w:rPr>
          <w:strike w:val="0"/>
        </w:rPr>
        <w:t>an</w:t>
      </w:r>
      <w:r>
        <w:rPr>
          <w:strike w:val="0"/>
          <w:spacing w:val="-7"/>
        </w:rPr>
        <w:t> </w:t>
      </w:r>
      <w:r>
        <w:rPr>
          <w:strike w:val="0"/>
        </w:rPr>
        <w:t>impossible</w:t>
      </w:r>
      <w:r>
        <w:rPr>
          <w:strike w:val="0"/>
          <w:spacing w:val="-7"/>
        </w:rPr>
        <w:t> </w:t>
      </w:r>
      <w:r>
        <w:rPr>
          <w:strike w:val="0"/>
        </w:rPr>
        <w:t>task for which it is not</w:t>
      </w:r>
      <w:r>
        <w:rPr>
          <w:strike w:val="0"/>
          <w:spacing w:val="-11"/>
        </w:rPr>
        <w:t> </w:t>
      </w:r>
      <w:r>
        <w:rPr>
          <w:strike w:val="0"/>
        </w:rPr>
        <w:t>designed.</w:t>
      </w:r>
    </w:p>
    <w:p>
      <w:pPr>
        <w:pStyle w:val="BodyText"/>
        <w:spacing w:before="184"/>
        <w:ind w:left="820" w:right="114"/>
        <w:jc w:val="both"/>
      </w:pPr>
      <w:r>
        <w:rPr/>
        <w:pict>
          <v:line style="position:absolute;mso-position-horizontal-relative:page;mso-position-vertical-relative:paragraph;z-index:-466696" from="511.440002pt,32.395863pt" to="515.520002pt,32.395863pt" stroked="true" strokeweight=".36pt" strokecolor="#2e97d3">
            <v:stroke dashstyle="solid"/>
            <w10:wrap type="none"/>
          </v:line>
        </w:pict>
      </w:r>
      <w:r>
        <w:rPr/>
        <w:pict>
          <v:line style="position:absolute;mso-position-horizontal-relative:page;mso-position-vertical-relative:paragraph;z-index:-466672" from="500.160004pt,59.995865pt" to="502.441004pt,59.995865pt" stroked="true" strokeweight=".36pt" strokecolor="#2e97d3">
            <v:stroke dashstyle="solid"/>
            <w10:wrap type="none"/>
          </v:line>
        </w:pict>
      </w:r>
      <w:r>
        <w:rPr/>
        <w:pict>
          <v:line style="position:absolute;mso-position-horizontal-relative:page;mso-position-vertical-relative:paragraph;z-index:-466648" from="180.119995pt,87.595863pt" to="184.560995pt,87.595863pt" stroked="true" strokeweight=".36pt" strokecolor="#2e97d3">
            <v:stroke dashstyle="solid"/>
            <w10:wrap type="none"/>
          </v:line>
        </w:pict>
      </w:r>
      <w:r>
        <w:rPr/>
        <w:pict>
          <v:line style="position:absolute;mso-position-horizontal-relative:page;mso-position-vertical-relative:paragraph;z-index:-466624" from="522.479980pt,118.795364pt" to="525.840980pt,118.795364pt" stroked="true" strokeweight=".841pt" strokecolor="#2e97d3">
            <v:stroke dashstyle="solid"/>
            <w10:wrap type="none"/>
          </v:line>
        </w:pict>
      </w:r>
      <w:r>
        <w:rPr/>
        <w:pict>
          <v:line style="position:absolute;mso-position-horizontal-relative:page;mso-position-vertical-relative:paragraph;z-index:6208" from="36.360001pt,23.215862pt" to="36.360001pt,37.015862pt" stroked="true" strokeweight=".72pt" strokecolor="#000000">
            <v:stroke dashstyle="solid"/>
            <w10:wrap type="none"/>
          </v:line>
        </w:pict>
      </w:r>
      <w:r>
        <w:rPr/>
        <w:pict>
          <v:line style="position:absolute;mso-position-horizontal-relative:page;mso-position-vertical-relative:paragraph;z-index:6232" from="36.360001pt,50.815865pt" to="36.360001pt,64.615865pt" stroked="true" strokeweight=".72pt" strokecolor="#000000">
            <v:stroke dashstyle="solid"/>
            <w10:wrap type="none"/>
          </v:line>
        </w:pict>
      </w:r>
      <w:r>
        <w:rPr/>
        <w:pict>
          <v:line style="position:absolute;mso-position-horizontal-relative:page;mso-position-vertical-relative:paragraph;z-index:6256" from="36.360001pt,78.414864pt" to="36.360001pt,92.215864pt" stroked="true" strokeweight=".72pt" strokecolor="#000000">
            <v:stroke dashstyle="solid"/>
            <w10:wrap type="none"/>
          </v:line>
        </w:pict>
      </w:r>
      <w:r>
        <w:rPr/>
        <w:pict>
          <v:line style="position:absolute;mso-position-horizontal-relative:page;mso-position-vertical-relative:paragraph;z-index:6280" from="36.360001pt,106.015862pt" to="36.360001pt,133.615862pt" stroked="true" strokeweight=".72pt" strokecolor="#000000">
            <v:stroke dashstyle="solid"/>
            <w10:wrap type="none"/>
          </v:line>
        </w:pict>
      </w:r>
      <w:r>
        <w:rPr/>
        <w:t>Once the Governor has submitted the Governor’s Budget and the Budget Bill to the Legislature, the process involves both the Administration and the Legislature. Both houses of the Legislature schedule budget hearings where the Administration defends the Governor’s proposals and the Legislature takes actions on those proposals. At May Revision,</w:t>
      </w:r>
      <w:r>
        <w:rPr>
          <w:spacing w:val="-15"/>
        </w:rPr>
        <w:t> </w:t>
      </w:r>
      <w:r>
        <w:rPr/>
        <w:t>the</w:t>
      </w:r>
      <w:r>
        <w:rPr>
          <w:spacing w:val="-15"/>
        </w:rPr>
        <w:t> </w:t>
      </w:r>
      <w:r>
        <w:rPr/>
        <w:t>Governor</w:t>
      </w:r>
      <w:r>
        <w:rPr>
          <w:spacing w:val="-19"/>
        </w:rPr>
        <w:t> </w:t>
      </w:r>
      <w:r>
        <w:rPr/>
        <w:t>updates</w:t>
      </w:r>
      <w:r>
        <w:rPr>
          <w:spacing w:val="-16"/>
        </w:rPr>
        <w:t> </w:t>
      </w:r>
      <w:r>
        <w:rPr/>
        <w:t>revenues</w:t>
      </w:r>
      <w:r>
        <w:rPr>
          <w:spacing w:val="-16"/>
        </w:rPr>
        <w:t> </w:t>
      </w:r>
      <w:r>
        <w:rPr/>
        <w:t>and</w:t>
      </w:r>
      <w:r>
        <w:rPr>
          <w:spacing w:val="-17"/>
        </w:rPr>
        <w:t> </w:t>
      </w:r>
      <w:r>
        <w:rPr/>
        <w:t>expenditures,</w:t>
      </w:r>
      <w:r>
        <w:rPr>
          <w:spacing w:val="-15"/>
        </w:rPr>
        <w:t> </w:t>
      </w:r>
      <w:r>
        <w:rPr/>
        <w:t>and</w:t>
      </w:r>
      <w:r>
        <w:rPr>
          <w:spacing w:val="-15"/>
        </w:rPr>
        <w:t> </w:t>
      </w:r>
      <w:r>
        <w:rPr/>
        <w:t>proposes</w:t>
      </w:r>
      <w:r>
        <w:rPr>
          <w:spacing w:val="-18"/>
        </w:rPr>
        <w:t> </w:t>
      </w:r>
      <w:r>
        <w:rPr/>
        <w:t>a</w:t>
      </w:r>
      <w:r>
        <w:rPr>
          <w:spacing w:val="-15"/>
        </w:rPr>
        <w:t> </w:t>
      </w:r>
      <w:r>
        <w:rPr/>
        <w:t>revised</w:t>
      </w:r>
      <w:r>
        <w:rPr>
          <w:spacing w:val="-15"/>
        </w:rPr>
        <w:t> </w:t>
      </w:r>
      <w:r>
        <w:rPr/>
        <w:t>plan to the Legislature. Once both houses have adopted a joint budget after resolving differences through Conference Committee or other meetings, a balanced budget bill is sent to the Governor for consideration, which the Governor may sign, </w:t>
      </w:r>
      <w:r>
        <w:rPr>
          <w:rFonts w:ascii="Times New Roman" w:hAnsi="Times New Roman"/>
          <w:b/>
          <w:strike/>
          <w:color w:val="2E97D3"/>
          <w:sz w:val="16"/>
        </w:rPr>
        <w:t>or </w:t>
      </w:r>
      <w:r>
        <w:rPr>
          <w:strike w:val="0"/>
        </w:rPr>
        <w:t>veto partially</w:t>
      </w:r>
      <w:r>
        <w:rPr>
          <w:strike w:val="0"/>
          <w:color w:val="2E97D3"/>
        </w:rPr>
        <w:t>, </w:t>
      </w:r>
      <w:r>
        <w:rPr>
          <w:strike w:val="0"/>
        </w:rPr>
        <w:t>or </w:t>
      </w:r>
      <w:r>
        <w:rPr>
          <w:rFonts w:ascii="Times New Roman" w:hAnsi="Times New Roman"/>
          <w:b/>
          <w:strike/>
          <w:color w:val="2E97D3"/>
          <w:sz w:val="16"/>
        </w:rPr>
        <w:t>in full</w:t>
      </w:r>
      <w:r>
        <w:rPr>
          <w:strike w:val="0"/>
          <w:color w:val="2E97D3"/>
          <w:u w:val="single" w:color="2E97D3"/>
        </w:rPr>
        <w:t>veto the entire</w:t>
      </w:r>
      <w:r>
        <w:rPr>
          <w:strike w:val="0"/>
          <w:color w:val="2E97D3"/>
          <w:spacing w:val="-13"/>
          <w:u w:val="single" w:color="2E97D3"/>
        </w:rPr>
        <w:t> </w:t>
      </w:r>
      <w:r>
        <w:rPr>
          <w:strike w:val="0"/>
          <w:color w:val="2E97D3"/>
          <w:u w:val="single" w:color="2E97D3"/>
        </w:rPr>
        <w:t>bill</w:t>
      </w:r>
      <w:r>
        <w:rPr>
          <w:strike w:val="0"/>
        </w:rPr>
        <w:t>.</w:t>
      </w:r>
    </w:p>
    <w:p>
      <w:pPr>
        <w:pStyle w:val="BodyText"/>
        <w:spacing w:before="11"/>
        <w:rPr>
          <w:sz w:val="15"/>
        </w:rPr>
      </w:pPr>
    </w:p>
    <w:p>
      <w:pPr>
        <w:pStyle w:val="Heading2"/>
        <w:tabs>
          <w:tab w:pos="9639" w:val="left" w:leader="none"/>
        </w:tabs>
        <w:spacing w:before="92"/>
        <w:ind w:left="820"/>
        <w:jc w:val="both"/>
      </w:pPr>
      <w:r>
        <w:rPr/>
        <w:pict>
          <v:line style="position:absolute;mso-position-horizontal-relative:page;mso-position-vertical-relative:paragraph;z-index:6304" from="36.360001pt,18.614862pt" to="36.360001pt,32.415862pt" stroked="true" strokeweight=".72pt" strokecolor="#000000">
            <v:stroke dashstyle="solid"/>
            <w10:wrap type="none"/>
          </v:line>
        </w:pict>
      </w:r>
      <w:r>
        <w:rPr/>
        <w:t>BUDGET</w:t>
      </w:r>
      <w:r>
        <w:rPr>
          <w:spacing w:val="-2"/>
        </w:rPr>
        <w:t> </w:t>
      </w:r>
      <w:r>
        <w:rPr/>
        <w:t>POLICY</w:t>
        <w:tab/>
        <w:t>6305</w:t>
      </w:r>
    </w:p>
    <w:p>
      <w:pPr>
        <w:spacing w:before="0"/>
        <w:ind w:left="820" w:right="0" w:firstLine="0"/>
        <w:jc w:val="both"/>
        <w:rPr>
          <w:sz w:val="24"/>
        </w:rPr>
      </w:pPr>
      <w:r>
        <w:rPr>
          <w:sz w:val="24"/>
        </w:rPr>
        <w:t>(Revised </w:t>
      </w:r>
      <w:r>
        <w:rPr>
          <w:rFonts w:ascii="Times New Roman"/>
          <w:b/>
          <w:strike/>
          <w:color w:val="2E97D3"/>
          <w:sz w:val="16"/>
        </w:rPr>
        <w:t>9/2010</w:t>
      </w:r>
      <w:r>
        <w:rPr>
          <w:strike w:val="0"/>
          <w:color w:val="2E97D3"/>
          <w:sz w:val="24"/>
          <w:u w:val="single" w:color="2E97D3"/>
        </w:rPr>
        <w:t>10/2017</w:t>
      </w:r>
      <w:r>
        <w:rPr>
          <w:strike w:val="0"/>
          <w:sz w:val="24"/>
        </w:rPr>
        <w:t>)</w:t>
      </w:r>
    </w:p>
    <w:p>
      <w:pPr>
        <w:pStyle w:val="BodyText"/>
        <w:spacing w:before="182"/>
        <w:ind w:left="820" w:right="112"/>
        <w:jc w:val="both"/>
      </w:pPr>
      <w:r>
        <w:rPr/>
        <w:pict>
          <v:line style="position:absolute;mso-position-horizontal-relative:page;mso-position-vertical-relative:paragraph;z-index:-466600" from="510.720001pt,18.495861pt" to="512.759001pt,18.495861pt" stroked="true" strokeweight=".36pt" strokecolor="#2e97d3">
            <v:stroke dashstyle="solid"/>
            <w10:wrap type="none"/>
          </v:line>
        </w:pict>
      </w:r>
      <w:r>
        <w:rPr/>
        <w:pict>
          <v:line style="position:absolute;mso-position-horizontal-relative:page;mso-position-vertical-relative:paragraph;z-index:-466576" from="257.880005pt,59.895863pt" to="261.840005pt,59.895863pt" stroked="true" strokeweight=".36pt" strokecolor="#2e97d3">
            <v:stroke dashstyle="solid"/>
            <w10:wrap type="none"/>
          </v:line>
        </w:pict>
      </w:r>
      <w:r>
        <w:rPr/>
        <w:pict>
          <v:line style="position:absolute;mso-position-horizontal-relative:page;mso-position-vertical-relative:paragraph;z-index:6328" from="36.360001pt,9.315862pt" to="36.360001pt,92.115862pt" stroked="true" strokeweight=".72pt" strokecolor="#000000">
            <v:stroke dashstyle="solid"/>
            <w10:wrap type="none"/>
          </v:line>
        </w:pict>
      </w:r>
      <w:r>
        <w:rPr/>
        <w:pict>
          <v:line style="position:absolute;mso-position-horizontal-relative:page;mso-position-vertical-relative:paragraph;z-index:6352" from="36.360001pt,105.914864pt" to="36.360001pt,187.035864pt" stroked="true" strokeweight=".72pt" strokecolor="#000000">
            <v:stroke dashstyle="solid"/>
            <w10:wrap type="none"/>
          </v:line>
        </w:pict>
      </w:r>
      <w:r>
        <w:rPr/>
        <w:t>The Governor’s Budget policy provides guidance for the formulation of the budget. Such guidance may provide specific instructions for </w:t>
      </w:r>
      <w:r>
        <w:rPr>
          <w:rFonts w:ascii="Times New Roman" w:hAnsi="Times New Roman"/>
          <w:b/>
          <w:strike/>
          <w:color w:val="2E97D3"/>
          <w:sz w:val="16"/>
        </w:rPr>
        <w:t>the revenues, </w:t>
      </w:r>
      <w:r>
        <w:rPr>
          <w:strike w:val="0"/>
        </w:rPr>
        <w:t>expenditure programs (e.g., limiting</w:t>
      </w:r>
      <w:r>
        <w:rPr>
          <w:strike w:val="0"/>
          <w:spacing w:val="-19"/>
        </w:rPr>
        <w:t> </w:t>
      </w:r>
      <w:r>
        <w:rPr>
          <w:strike w:val="0"/>
        </w:rPr>
        <w:t>cost</w:t>
      </w:r>
      <w:r>
        <w:rPr>
          <w:strike w:val="0"/>
          <w:spacing w:val="-17"/>
        </w:rPr>
        <w:t> </w:t>
      </w:r>
      <w:r>
        <w:rPr>
          <w:strike w:val="0"/>
        </w:rPr>
        <w:t>increases</w:t>
      </w:r>
      <w:r>
        <w:rPr>
          <w:strike w:val="0"/>
          <w:spacing w:val="-20"/>
        </w:rPr>
        <w:t> </w:t>
      </w:r>
      <w:r>
        <w:rPr>
          <w:strike w:val="0"/>
          <w:color w:val="2E97D3"/>
          <w:u w:val="single" w:color="2E97D3"/>
        </w:rPr>
        <w:t>or</w:t>
      </w:r>
      <w:r>
        <w:rPr>
          <w:strike w:val="0"/>
          <w:color w:val="2E97D3"/>
          <w:spacing w:val="-18"/>
          <w:u w:val="single" w:color="2E97D3"/>
        </w:rPr>
        <w:t> </w:t>
      </w:r>
      <w:r>
        <w:rPr>
          <w:strike w:val="0"/>
          <w:color w:val="2E97D3"/>
          <w:u w:val="single" w:color="2E97D3"/>
        </w:rPr>
        <w:t>no</w:t>
      </w:r>
      <w:r>
        <w:rPr>
          <w:strike w:val="0"/>
          <w:color w:val="2E97D3"/>
          <w:spacing w:val="-16"/>
          <w:u w:val="single" w:color="2E97D3"/>
        </w:rPr>
        <w:t> </w:t>
      </w:r>
      <w:r>
        <w:rPr>
          <w:strike w:val="0"/>
          <w:color w:val="2E97D3"/>
          <w:u w:val="single" w:color="2E97D3"/>
        </w:rPr>
        <w:t>expansion</w:t>
      </w:r>
      <w:r>
        <w:rPr>
          <w:strike w:val="0"/>
        </w:rPr>
        <w:t>),</w:t>
      </w:r>
      <w:r>
        <w:rPr>
          <w:strike w:val="0"/>
          <w:spacing w:val="-17"/>
        </w:rPr>
        <w:t> </w:t>
      </w:r>
      <w:r>
        <w:rPr>
          <w:strike w:val="0"/>
        </w:rPr>
        <w:t>growth</w:t>
      </w:r>
      <w:r>
        <w:rPr>
          <w:strike w:val="0"/>
          <w:spacing w:val="-16"/>
        </w:rPr>
        <w:t> </w:t>
      </w:r>
      <w:r>
        <w:rPr>
          <w:strike w:val="0"/>
        </w:rPr>
        <w:t>in</w:t>
      </w:r>
      <w:r>
        <w:rPr>
          <w:strike w:val="0"/>
          <w:spacing w:val="-16"/>
        </w:rPr>
        <w:t> </w:t>
      </w:r>
      <w:r>
        <w:rPr>
          <w:rFonts w:ascii="Times New Roman" w:hAnsi="Times New Roman"/>
          <w:b/>
          <w:strike/>
          <w:color w:val="2E97D3"/>
          <w:sz w:val="16"/>
        </w:rPr>
        <w:t>personnel</w:t>
      </w:r>
      <w:r>
        <w:rPr>
          <w:rFonts w:ascii="Times New Roman" w:hAnsi="Times New Roman"/>
          <w:b/>
          <w:strike/>
          <w:color w:val="2E97D3"/>
          <w:spacing w:val="-10"/>
          <w:sz w:val="16"/>
        </w:rPr>
        <w:t> </w:t>
      </w:r>
      <w:r>
        <w:rPr>
          <w:rFonts w:ascii="Times New Roman" w:hAnsi="Times New Roman"/>
          <w:b/>
          <w:strike/>
          <w:color w:val="2E97D3"/>
          <w:sz w:val="16"/>
        </w:rPr>
        <w:t>years</w:t>
      </w:r>
      <w:r>
        <w:rPr>
          <w:strike w:val="0"/>
          <w:color w:val="2E97D3"/>
          <w:u w:val="single" w:color="2E97D3"/>
        </w:rPr>
        <w:t>positions</w:t>
      </w:r>
      <w:r>
        <w:rPr>
          <w:strike w:val="0"/>
        </w:rPr>
        <w:t>,</w:t>
      </w:r>
      <w:r>
        <w:rPr>
          <w:strike w:val="0"/>
          <w:spacing w:val="-17"/>
        </w:rPr>
        <w:t> </w:t>
      </w:r>
      <w:r>
        <w:rPr>
          <w:strike w:val="0"/>
        </w:rPr>
        <w:t>and</w:t>
      </w:r>
      <w:r>
        <w:rPr>
          <w:strike w:val="0"/>
          <w:spacing w:val="-16"/>
        </w:rPr>
        <w:t> </w:t>
      </w:r>
      <w:r>
        <w:rPr>
          <w:strike w:val="0"/>
        </w:rPr>
        <w:t>other</w:t>
      </w:r>
      <w:r>
        <w:rPr>
          <w:strike w:val="0"/>
          <w:spacing w:val="-18"/>
        </w:rPr>
        <w:t> </w:t>
      </w:r>
      <w:r>
        <w:rPr>
          <w:strike w:val="0"/>
        </w:rPr>
        <w:t>direction with the goal to balance the budget</w:t>
      </w:r>
      <w:r>
        <w:rPr>
          <w:rFonts w:ascii="Times New Roman" w:hAnsi="Times New Roman"/>
          <w:b/>
          <w:strike w:val="0"/>
          <w:color w:val="2E97D3"/>
          <w:sz w:val="16"/>
        </w:rPr>
        <w:t>. </w:t>
      </w:r>
      <w:r>
        <w:rPr>
          <w:strike w:val="0"/>
          <w:color w:val="2E97D3"/>
          <w:u w:val="single" w:color="2E97D3"/>
        </w:rPr>
        <w:t>and other objectives such as to maintain structurally balanced in the future years or to build rainy day funds. </w:t>
      </w:r>
      <w:r>
        <w:rPr>
          <w:strike w:val="0"/>
        </w:rPr>
        <w:t>The Governor may </w:t>
      </w:r>
      <w:r>
        <w:rPr>
          <w:rFonts w:ascii="Times New Roman" w:hAnsi="Times New Roman"/>
          <w:b/>
          <w:strike/>
          <w:color w:val="2E97D3"/>
          <w:sz w:val="16"/>
        </w:rPr>
        <w:t>decide to </w:t>
      </w:r>
      <w:r>
        <w:rPr>
          <w:strike w:val="0"/>
        </w:rPr>
        <w:t>disseminate</w:t>
      </w:r>
      <w:r>
        <w:rPr>
          <w:strike w:val="0"/>
          <w:spacing w:val="-10"/>
        </w:rPr>
        <w:t> </w:t>
      </w:r>
      <w:r>
        <w:rPr>
          <w:strike w:val="0"/>
        </w:rPr>
        <w:t>budget</w:t>
      </w:r>
      <w:r>
        <w:rPr>
          <w:strike w:val="0"/>
          <w:spacing w:val="-11"/>
        </w:rPr>
        <w:t> </w:t>
      </w:r>
      <w:r>
        <w:rPr>
          <w:strike w:val="0"/>
        </w:rPr>
        <w:t>policy</w:t>
      </w:r>
      <w:r>
        <w:rPr>
          <w:strike w:val="0"/>
          <w:spacing w:val="-9"/>
        </w:rPr>
        <w:t> </w:t>
      </w:r>
      <w:r>
        <w:rPr>
          <w:strike w:val="0"/>
          <w:color w:val="2E97D3"/>
          <w:u w:val="single" w:color="2E97D3"/>
        </w:rPr>
        <w:t>direction</w:t>
      </w:r>
      <w:r>
        <w:rPr>
          <w:strike w:val="0"/>
          <w:color w:val="2E97D3"/>
          <w:spacing w:val="-9"/>
          <w:u w:val="single" w:color="2E97D3"/>
        </w:rPr>
        <w:t> </w:t>
      </w:r>
      <w:r>
        <w:rPr>
          <w:strike w:val="0"/>
        </w:rPr>
        <w:t>through</w:t>
      </w:r>
      <w:r>
        <w:rPr>
          <w:strike w:val="0"/>
          <w:spacing w:val="-10"/>
        </w:rPr>
        <w:t> </w:t>
      </w:r>
      <w:r>
        <w:rPr>
          <w:strike w:val="0"/>
        </w:rPr>
        <w:t>a</w:t>
      </w:r>
      <w:r>
        <w:rPr>
          <w:strike w:val="0"/>
          <w:spacing w:val="-10"/>
        </w:rPr>
        <w:t> </w:t>
      </w:r>
      <w:r>
        <w:rPr>
          <w:strike w:val="0"/>
        </w:rPr>
        <w:t>formal</w:t>
      </w:r>
      <w:r>
        <w:rPr>
          <w:strike w:val="0"/>
          <w:spacing w:val="-12"/>
        </w:rPr>
        <w:t> </w:t>
      </w:r>
      <w:r>
        <w:rPr>
          <w:strike w:val="0"/>
        </w:rPr>
        <w:t>announcement,</w:t>
      </w:r>
      <w:r>
        <w:rPr>
          <w:strike w:val="0"/>
          <w:spacing w:val="-13"/>
        </w:rPr>
        <w:t> </w:t>
      </w:r>
      <w:r>
        <w:rPr>
          <w:strike w:val="0"/>
        </w:rPr>
        <w:t>through</w:t>
      </w:r>
      <w:r>
        <w:rPr>
          <w:strike w:val="0"/>
          <w:spacing w:val="-10"/>
        </w:rPr>
        <w:t> </w:t>
      </w:r>
      <w:r>
        <w:rPr>
          <w:strike w:val="0"/>
        </w:rPr>
        <w:t>the</w:t>
      </w:r>
      <w:r>
        <w:rPr>
          <w:strike w:val="0"/>
          <w:spacing w:val="-10"/>
        </w:rPr>
        <w:t> </w:t>
      </w:r>
      <w:r>
        <w:rPr>
          <w:strike w:val="0"/>
        </w:rPr>
        <w:t>Agency Secretaries, when applicable, issuance of Executive Orders, or by instructions issued by Finance </w:t>
      </w:r>
      <w:r>
        <w:rPr>
          <w:strike w:val="0"/>
          <w:color w:val="2E97D3"/>
          <w:u w:val="single" w:color="2E97D3"/>
        </w:rPr>
        <w:t>(e.g., Budget Letters). Budget policy may also be set forth in control sections of the annual Budget</w:t>
      </w:r>
      <w:r>
        <w:rPr>
          <w:strike w:val="0"/>
          <w:color w:val="2E97D3"/>
          <w:spacing w:val="-10"/>
          <w:u w:val="single" w:color="2E97D3"/>
        </w:rPr>
        <w:t> </w:t>
      </w:r>
      <w:r>
        <w:rPr>
          <w:strike w:val="0"/>
          <w:color w:val="2E97D3"/>
          <w:u w:val="single" w:color="2E97D3"/>
        </w:rPr>
        <w:t>Act</w:t>
      </w:r>
      <w:r>
        <w:rPr>
          <w:strike w:val="0"/>
        </w:rPr>
        <w:t>.</w:t>
      </w:r>
    </w:p>
    <w:p>
      <w:pPr>
        <w:pStyle w:val="BodyText"/>
        <w:spacing w:before="10"/>
        <w:rPr>
          <w:sz w:val="15"/>
        </w:rPr>
      </w:pPr>
    </w:p>
    <w:p>
      <w:pPr>
        <w:pStyle w:val="BodyText"/>
        <w:spacing w:before="93"/>
        <w:ind w:left="820"/>
      </w:pPr>
      <w:r>
        <w:rPr>
          <w:strike/>
          <w:color w:val="2E97D3"/>
        </w:rPr>
        <w:t>Budget policy may also be set forth in the control sections of the current Budget Act.</w:t>
      </w:r>
    </w:p>
    <w:p>
      <w:pPr>
        <w:spacing w:after="0"/>
        <w:sectPr>
          <w:pgSz w:w="12240" w:h="15840"/>
          <w:pgMar w:header="724" w:footer="792" w:top="980" w:bottom="980" w:left="620" w:right="1320"/>
        </w:sectPr>
      </w:pPr>
    </w:p>
    <w:p>
      <w:pPr>
        <w:pStyle w:val="BodyText"/>
        <w:rPr>
          <w:rFonts w:ascii="Times New Roman"/>
          <w:sz w:val="20"/>
        </w:rPr>
      </w:pPr>
    </w:p>
    <w:p>
      <w:pPr>
        <w:pStyle w:val="BodyText"/>
        <w:spacing w:before="3" w:after="1"/>
        <w:rPr>
          <w:rFonts w:ascii="Times New Roman"/>
          <w:sz w:val="18"/>
        </w:rPr>
      </w:pPr>
    </w:p>
    <w:p>
      <w:pPr>
        <w:pStyle w:val="BodyText"/>
        <w:ind w:left="99"/>
        <w:rPr>
          <w:rFonts w:ascii="Times New Roman"/>
          <w:sz w:val="20"/>
        </w:rPr>
      </w:pPr>
      <w:r>
        <w:rPr>
          <w:rFonts w:ascii="Times New Roman"/>
          <w:sz w:val="20"/>
        </w:rPr>
        <w:pict>
          <v:group style="width:.75pt;height:14.55pt;mso-position-horizontal-relative:char;mso-position-vertical-relative:line" coordorigin="0,0" coordsize="15,291">
            <v:line style="position:absolute" from="8,8" to="8,283" stroked="true" strokeweight=".72pt" strokecolor="#000000">
              <v:stroke dashstyle="solid"/>
            </v:line>
          </v:group>
        </w:pict>
      </w:r>
      <w:r>
        <w:rPr>
          <w:rFonts w:ascii="Times New Roman"/>
          <w:sz w:val="20"/>
        </w:rPr>
      </w:r>
    </w:p>
    <w:p>
      <w:pPr>
        <w:spacing w:after="0"/>
        <w:rPr>
          <w:rFonts w:ascii="Times New Roman"/>
          <w:sz w:val="20"/>
        </w:rPr>
        <w:sectPr>
          <w:pgSz w:w="12240" w:h="15840"/>
          <w:pgMar w:header="724" w:footer="792" w:top="980" w:bottom="980" w:left="620" w:right="1720"/>
        </w:sectPr>
      </w:pPr>
    </w:p>
    <w:p>
      <w:pPr>
        <w:pStyle w:val="BodyText"/>
        <w:rPr>
          <w:rFonts w:ascii="Times New Roman"/>
          <w:sz w:val="20"/>
        </w:rPr>
      </w:pPr>
    </w:p>
    <w:p>
      <w:pPr>
        <w:pStyle w:val="Heading2"/>
        <w:tabs>
          <w:tab w:pos="9647" w:val="left" w:leader="none"/>
        </w:tabs>
        <w:spacing w:before="214"/>
        <w:ind w:left="819"/>
      </w:pPr>
      <w:r>
        <w:rPr/>
        <w:pict>
          <v:line style="position:absolute;mso-position-horizontal-relative:page;mso-position-vertical-relative:paragraph;z-index:6448" from="36.360001pt,24.714882pt" to="36.360001pt,38.515882pt" stroked="true" strokeweight=".72pt" strokecolor="#000000">
            <v:stroke dashstyle="solid"/>
            <w10:wrap type="none"/>
          </v:line>
        </w:pict>
      </w:r>
      <w:r>
        <w:rPr/>
        <w:t>AGENCY BRIEFINGS </w:t>
      </w:r>
      <w:r>
        <w:rPr>
          <w:spacing w:val="-3"/>
        </w:rPr>
        <w:t>AND</w:t>
      </w:r>
      <w:r>
        <w:rPr>
          <w:spacing w:val="-4"/>
        </w:rPr>
        <w:t> </w:t>
      </w:r>
      <w:r>
        <w:rPr/>
        <w:t>GOVERNOR’S</w:t>
      </w:r>
      <w:r>
        <w:rPr>
          <w:spacing w:val="-1"/>
        </w:rPr>
        <w:t> </w:t>
      </w:r>
      <w:r>
        <w:rPr/>
        <w:t>REVIEW</w:t>
        <w:tab/>
        <w:t>6310</w:t>
      </w:r>
    </w:p>
    <w:p>
      <w:pPr>
        <w:pStyle w:val="BodyText"/>
        <w:ind w:left="820"/>
      </w:pPr>
      <w:r>
        <w:rPr/>
        <w:t>(Revised </w:t>
      </w:r>
      <w:r>
        <w:rPr>
          <w:strike/>
          <w:color w:val="2E97D3"/>
        </w:rPr>
        <w:t>9/2010</w:t>
      </w:r>
      <w:r>
        <w:rPr>
          <w:strike w:val="0"/>
          <w:color w:val="2E97D3"/>
          <w:u w:val="single" w:color="2E97D3"/>
        </w:rPr>
        <w:t>10/2017</w:t>
      </w:r>
      <w:r>
        <w:rPr>
          <w:strike w:val="0"/>
        </w:rPr>
        <w:t>)</w:t>
      </w:r>
    </w:p>
    <w:p>
      <w:pPr>
        <w:pStyle w:val="BodyText"/>
        <w:spacing w:before="11"/>
        <w:rPr>
          <w:sz w:val="15"/>
        </w:rPr>
      </w:pPr>
    </w:p>
    <w:p>
      <w:pPr>
        <w:pStyle w:val="BodyText"/>
        <w:spacing w:before="92"/>
        <w:ind w:left="820" w:right="113"/>
        <w:jc w:val="both"/>
      </w:pPr>
      <w:r>
        <w:rPr/>
        <w:pict>
          <v:line style="position:absolute;mso-position-horizontal-relative:page;mso-position-vertical-relative:paragraph;z-index:-466264" from="460.440002pt,26.835857pt" to="464.520002pt,26.835857pt" stroked="true" strokeweight=".6pt" strokecolor="#2e97d3">
            <v:stroke dashstyle="solid"/>
            <w10:wrap type="none"/>
          </v:line>
        </w:pict>
      </w:r>
      <w:r>
        <w:rPr/>
        <w:pict>
          <v:line style="position:absolute;mso-position-horizontal-relative:page;mso-position-vertical-relative:paragraph;z-index:-466240" from="418.320007pt,54.435856pt" to="422.640007pt,54.435856pt" stroked="true" strokeweight=".6pt" strokecolor="#2e97d3">
            <v:stroke dashstyle="solid"/>
            <w10:wrap type="none"/>
          </v:line>
        </w:pict>
      </w:r>
      <w:r>
        <w:rPr/>
        <w:pict>
          <v:line style="position:absolute;mso-position-horizontal-relative:page;mso-position-vertical-relative:paragraph;z-index:6472" from="36.360001pt,4.815857pt" to="36.360001pt,60.015857pt" stroked="true" strokeweight=".72pt" strokecolor="#000000">
            <v:stroke dashstyle="solid"/>
            <w10:wrap type="none"/>
          </v:line>
        </w:pict>
      </w:r>
      <w:r>
        <w:rPr/>
        <w:t>Finance staff </w:t>
      </w:r>
      <w:r>
        <w:rPr>
          <w:strike/>
          <w:color w:val="2E97D3"/>
        </w:rPr>
        <w:t>schedule and </w:t>
      </w:r>
      <w:r>
        <w:rPr>
          <w:strike w:val="0"/>
        </w:rPr>
        <w:t>conduct meetings with Agency and departments under such an Agency to review proposed budgets and Budget Change Proposals. For </w:t>
      </w:r>
      <w:r>
        <w:rPr>
          <w:strike w:val="0"/>
          <w:color w:val="2E97D3"/>
          <w:u w:val="single" w:color="2E97D3"/>
        </w:rPr>
        <w:t>significant </w:t>
      </w:r>
      <w:r>
        <w:rPr>
          <w:strike w:val="0"/>
        </w:rPr>
        <w:t>unresolved </w:t>
      </w:r>
      <w:r>
        <w:rPr>
          <w:strike/>
          <w:color w:val="2E97D3"/>
        </w:rPr>
        <w:t>issues and</w:t>
      </w:r>
      <w:r>
        <w:rPr>
          <w:strike w:val="0"/>
          <w:color w:val="2E97D3"/>
          <w:u w:val="single" w:color="2E97D3"/>
        </w:rPr>
        <w:t>or </w:t>
      </w:r>
      <w:r>
        <w:rPr>
          <w:strike w:val="0"/>
        </w:rPr>
        <w:t>sensitive </w:t>
      </w:r>
      <w:r>
        <w:rPr>
          <w:strike/>
          <w:color w:val="2E97D3"/>
        </w:rPr>
        <w:t>and significant </w:t>
      </w:r>
      <w:r>
        <w:rPr>
          <w:strike w:val="0"/>
        </w:rPr>
        <w:t>budget </w:t>
      </w:r>
      <w:r>
        <w:rPr>
          <w:strike/>
          <w:color w:val="2E97D3"/>
        </w:rPr>
        <w:t>changes, budget</w:t>
      </w:r>
      <w:r>
        <w:rPr>
          <w:strike w:val="0"/>
          <w:color w:val="2E97D3"/>
          <w:u w:val="single" w:color="2E97D3"/>
        </w:rPr>
        <w:t>issues, </w:t>
      </w:r>
      <w:r>
        <w:rPr>
          <w:strike w:val="0"/>
        </w:rPr>
        <w:t>recommendations may be prepared for the Governor's decision. In the same manner, Finance conducts meetings with non-Agency departments and prepares recommendations for the Governor's decision.</w:t>
      </w:r>
    </w:p>
    <w:p>
      <w:pPr>
        <w:pStyle w:val="Heading2"/>
        <w:spacing w:before="230"/>
        <w:ind w:left="820"/>
        <w:jc w:val="both"/>
      </w:pPr>
      <w:r>
        <w:rPr/>
        <w:pict>
          <v:line style="position:absolute;mso-position-horizontal-relative:page;mso-position-vertical-relative:paragraph;z-index:6496" from="36.360001pt,11.71585pt" to="36.360001pt,39.315850pt" stroked="true" strokeweight=".72pt" strokecolor="#000000">
            <v:stroke dashstyle="solid"/>
            <w10:wrap type="none"/>
          </v:line>
        </w:pict>
      </w:r>
      <w:r>
        <w:rPr/>
        <w:t>PREPARATION AND SUBMITTAL OF </w:t>
      </w:r>
      <w:r>
        <w:rPr>
          <w:strike/>
          <w:color w:val="2E97D3"/>
        </w:rPr>
        <w:t>BUDGETS </w:t>
      </w:r>
      <w:r>
        <w:rPr>
          <w:strike w:val="0"/>
          <w:color w:val="2E97D3"/>
          <w:u w:val="thick" w:color="2E97D3"/>
        </w:rPr>
        <w:t>BUDGET INFORMATION        </w:t>
      </w:r>
      <w:r>
        <w:rPr>
          <w:strike w:val="0"/>
        </w:rPr>
        <w:t>6315</w:t>
      </w:r>
    </w:p>
    <w:p>
      <w:pPr>
        <w:pStyle w:val="BodyText"/>
        <w:ind w:left="820"/>
        <w:jc w:val="both"/>
      </w:pPr>
      <w:r>
        <w:rPr/>
        <w:t>(Revised </w:t>
      </w:r>
      <w:r>
        <w:rPr>
          <w:strike/>
          <w:color w:val="2E97D3"/>
        </w:rPr>
        <w:t>9/2010</w:t>
      </w:r>
      <w:r>
        <w:rPr>
          <w:strike w:val="0"/>
          <w:color w:val="2E97D3"/>
          <w:u w:val="single" w:color="2E97D3"/>
        </w:rPr>
        <w:t>10/2017</w:t>
      </w:r>
      <w:r>
        <w:rPr>
          <w:strike w:val="0"/>
        </w:rPr>
        <w:t>)</w:t>
      </w:r>
    </w:p>
    <w:p>
      <w:pPr>
        <w:pStyle w:val="BodyText"/>
        <w:spacing w:before="11"/>
        <w:rPr>
          <w:sz w:val="15"/>
        </w:rPr>
      </w:pPr>
    </w:p>
    <w:p>
      <w:pPr>
        <w:pStyle w:val="BodyText"/>
        <w:spacing w:before="92"/>
        <w:ind w:left="820" w:right="173"/>
      </w:pPr>
      <w:r>
        <w:rPr/>
        <w:pict>
          <v:line style="position:absolute;mso-position-horizontal-relative:page;mso-position-vertical-relative:paragraph;z-index:6520" from="36.360001pt,4.815886pt" to="36.360001pt,307.935886pt" stroked="true" strokeweight=".72pt" strokecolor="#000000">
            <v:stroke dashstyle="solid"/>
            <w10:wrap type="none"/>
          </v:line>
        </w:pict>
      </w:r>
      <w:r>
        <w:rPr/>
        <w:t>Each department is responsible for </w:t>
      </w:r>
      <w:r>
        <w:rPr>
          <w:strike/>
          <w:color w:val="2E97D3"/>
        </w:rPr>
        <w:t>preparing </w:t>
      </w:r>
      <w:r>
        <w:rPr>
          <w:strike w:val="0"/>
          <w:color w:val="2E97D3"/>
          <w:u w:val="single" w:color="2E97D3"/>
        </w:rPr>
        <w:t>the preparation and submission of information related to </w:t>
      </w:r>
      <w:r>
        <w:rPr>
          <w:strike w:val="0"/>
        </w:rPr>
        <w:t>its own budget </w:t>
      </w:r>
      <w:r>
        <w:rPr>
          <w:strike/>
          <w:color w:val="2E97D3"/>
        </w:rPr>
        <w:t>in the format required by Finance. The first pass budget spreadsheet prepared by a department is typically due to Finance in early November and should reflect all known and approved workload budget (or baseline) adjustments and other approved policy decisions. Workload budget adjustments reflect the anticipated costs of carrying out the current level of service or activities as authorized in current law or consistent with the current Administration’s policies.</w:t>
      </w:r>
    </w:p>
    <w:p>
      <w:pPr>
        <w:pStyle w:val="BodyText"/>
        <w:ind w:left="820" w:right="454"/>
      </w:pPr>
      <w:r>
        <w:rPr>
          <w:strike/>
          <w:color w:val="2E97D3"/>
        </w:rPr>
        <w:t>Departments should submit completed budget spreadsheets and supplementary schedules to Agency Secretaries, as applicable, and </w:t>
      </w:r>
      <w:r>
        <w:rPr>
          <w:strike w:val="0"/>
        </w:rPr>
        <w:t>to Finance in accordance with </w:t>
      </w:r>
      <w:r>
        <w:rPr>
          <w:strike/>
          <w:color w:val="2E97D3"/>
        </w:rPr>
        <w:t>a schedule</w:t>
      </w:r>
      <w:r>
        <w:rPr>
          <w:strike w:val="0"/>
          <w:color w:val="2E97D3"/>
          <w:u w:val="single" w:color="2E97D3"/>
        </w:rPr>
        <w:t>direction </w:t>
      </w:r>
      <w:r>
        <w:rPr>
          <w:strike w:val="0"/>
        </w:rPr>
        <w:t>provided by Finance.</w:t>
      </w:r>
    </w:p>
    <w:p>
      <w:pPr>
        <w:pStyle w:val="BodyText"/>
        <w:spacing w:before="10"/>
        <w:rPr>
          <w:sz w:val="20"/>
        </w:rPr>
      </w:pPr>
    </w:p>
    <w:p>
      <w:pPr>
        <w:pStyle w:val="BodyText"/>
        <w:ind w:left="820" w:right="112"/>
        <w:jc w:val="both"/>
      </w:pPr>
      <w:r>
        <w:rPr>
          <w:strike/>
          <w:color w:val="2E97D3"/>
        </w:rPr>
        <w:t>If specific guidelines and sample budget formats do not provide a specific example for a budget presentation, use last year's printed budget as a format guide. </w:t>
      </w:r>
      <w:r>
        <w:rPr>
          <w:strike w:val="0"/>
          <w:color w:val="2E97D3"/>
          <w:u w:val="single" w:color="2E97D3"/>
        </w:rPr>
        <w:t>Information may be required to be provided in FI$Cal/Hyperion or in other methods. </w:t>
      </w:r>
      <w:r>
        <w:rPr>
          <w:strike w:val="0"/>
        </w:rPr>
        <w:t>It is suggested that budget officers preparing departmental </w:t>
      </w:r>
      <w:r>
        <w:rPr>
          <w:strike/>
          <w:color w:val="2E97D3"/>
        </w:rPr>
        <w:t>budgets meet</w:t>
      </w:r>
      <w:r>
        <w:rPr>
          <w:strike w:val="0"/>
          <w:color w:val="2E97D3"/>
          <w:u w:val="single" w:color="2E97D3"/>
        </w:rPr>
        <w:t>budget information for submission to Finance discuss </w:t>
      </w:r>
      <w:r>
        <w:rPr>
          <w:strike w:val="0"/>
        </w:rPr>
        <w:t>with the assigned Finance budget analyst to </w:t>
      </w:r>
      <w:r>
        <w:rPr>
          <w:strike/>
          <w:color w:val="2E97D3"/>
        </w:rPr>
        <w:t>work out difficulties with format</w:t>
      </w:r>
      <w:r>
        <w:rPr>
          <w:strike w:val="0"/>
          <w:color w:val="2E97D3"/>
          <w:u w:val="single" w:color="2E97D3"/>
        </w:rPr>
        <w:t>confirm timing and expectations</w:t>
      </w:r>
      <w:r>
        <w:rPr>
          <w:strike w:val="0"/>
        </w:rPr>
        <w:t>.</w:t>
      </w:r>
    </w:p>
    <w:p>
      <w:pPr>
        <w:pStyle w:val="BodyText"/>
        <w:spacing w:before="2"/>
        <w:rPr>
          <w:sz w:val="18"/>
        </w:rPr>
      </w:pPr>
    </w:p>
    <w:p>
      <w:pPr>
        <w:pStyle w:val="BodyText"/>
        <w:spacing w:before="93"/>
        <w:ind w:left="820" w:right="115"/>
        <w:jc w:val="both"/>
      </w:pPr>
      <w:r>
        <w:rPr>
          <w:color w:val="2E97D3"/>
          <w:u w:val="single" w:color="2E97D3"/>
        </w:rPr>
        <w:t>Approved budget information in FI$Cal/Hyperion is used to generate detailed and summarized budget information in Finance’s published Governor’s Budget and Budget Enactment.</w:t>
      </w:r>
      <w:r>
        <w:rPr>
          <w:color w:val="2E97D3"/>
          <w:spacing w:val="-8"/>
          <w:u w:val="single" w:color="2E97D3"/>
        </w:rPr>
        <w:t> </w:t>
      </w:r>
      <w:r>
        <w:rPr>
          <w:color w:val="2E97D3"/>
          <w:u w:val="single" w:color="2E97D3"/>
        </w:rPr>
        <w:t>The</w:t>
      </w:r>
      <w:r>
        <w:rPr>
          <w:color w:val="2E97D3"/>
          <w:spacing w:val="-5"/>
          <w:u w:val="single" w:color="2E97D3"/>
        </w:rPr>
        <w:t> </w:t>
      </w:r>
      <w:r>
        <w:rPr>
          <w:color w:val="2E97D3"/>
          <w:u w:val="single" w:color="2E97D3"/>
        </w:rPr>
        <w:t>detailed</w:t>
      </w:r>
      <w:r>
        <w:rPr>
          <w:color w:val="2E97D3"/>
          <w:spacing w:val="-5"/>
          <w:u w:val="single" w:color="2E97D3"/>
        </w:rPr>
        <w:t> </w:t>
      </w:r>
      <w:r>
        <w:rPr>
          <w:color w:val="2E97D3"/>
          <w:u w:val="single" w:color="2E97D3"/>
        </w:rPr>
        <w:t>and</w:t>
      </w:r>
      <w:r>
        <w:rPr>
          <w:color w:val="2E97D3"/>
          <w:spacing w:val="-5"/>
          <w:u w:val="single" w:color="2E97D3"/>
        </w:rPr>
        <w:t> </w:t>
      </w:r>
      <w:r>
        <w:rPr>
          <w:color w:val="2E97D3"/>
          <w:u w:val="single" w:color="2E97D3"/>
        </w:rPr>
        <w:t>summarized</w:t>
      </w:r>
      <w:r>
        <w:rPr>
          <w:color w:val="2E97D3"/>
          <w:spacing w:val="-5"/>
          <w:u w:val="single" w:color="2E97D3"/>
        </w:rPr>
        <w:t> </w:t>
      </w:r>
      <w:r>
        <w:rPr>
          <w:color w:val="2E97D3"/>
          <w:u w:val="single" w:color="2E97D3"/>
        </w:rPr>
        <w:t>budget</w:t>
      </w:r>
      <w:r>
        <w:rPr>
          <w:color w:val="2E97D3"/>
          <w:spacing w:val="-6"/>
          <w:u w:val="single" w:color="2E97D3"/>
        </w:rPr>
        <w:t> </w:t>
      </w:r>
      <w:r>
        <w:rPr>
          <w:color w:val="2E97D3"/>
          <w:u w:val="single" w:color="2E97D3"/>
        </w:rPr>
        <w:t>information</w:t>
      </w:r>
      <w:r>
        <w:rPr>
          <w:color w:val="2E97D3"/>
          <w:spacing w:val="-5"/>
          <w:u w:val="single" w:color="2E97D3"/>
        </w:rPr>
        <w:t> </w:t>
      </w:r>
      <w:r>
        <w:rPr>
          <w:color w:val="2E97D3"/>
          <w:u w:val="single" w:color="2E97D3"/>
        </w:rPr>
        <w:t>can</w:t>
      </w:r>
      <w:r>
        <w:rPr>
          <w:color w:val="2E97D3"/>
          <w:spacing w:val="-8"/>
          <w:u w:val="single" w:color="2E97D3"/>
        </w:rPr>
        <w:t> </w:t>
      </w:r>
      <w:r>
        <w:rPr>
          <w:color w:val="2E97D3"/>
          <w:u w:val="single" w:color="2E97D3"/>
        </w:rPr>
        <w:t>be</w:t>
      </w:r>
      <w:r>
        <w:rPr>
          <w:color w:val="2E97D3"/>
          <w:spacing w:val="-8"/>
          <w:u w:val="single" w:color="2E97D3"/>
        </w:rPr>
        <w:t> </w:t>
      </w:r>
      <w:r>
        <w:rPr>
          <w:color w:val="2E97D3"/>
          <w:u w:val="single" w:color="2E97D3"/>
        </w:rPr>
        <w:t>found</w:t>
      </w:r>
      <w:r>
        <w:rPr>
          <w:color w:val="2E97D3"/>
          <w:spacing w:val="-5"/>
          <w:u w:val="single" w:color="2E97D3"/>
        </w:rPr>
        <w:t> </w:t>
      </w:r>
      <w:r>
        <w:rPr>
          <w:color w:val="2E97D3"/>
          <w:u w:val="single" w:color="2E97D3"/>
        </w:rPr>
        <w:t>on</w:t>
      </w:r>
      <w:r>
        <w:rPr>
          <w:color w:val="2E97D3"/>
          <w:spacing w:val="-5"/>
          <w:u w:val="single" w:color="2E97D3"/>
        </w:rPr>
        <w:t> </w:t>
      </w:r>
      <w:r>
        <w:rPr>
          <w:color w:val="2E97D3"/>
          <w:u w:val="single" w:color="2E97D3"/>
        </w:rPr>
        <w:t>Finance’s web page at</w:t>
      </w:r>
      <w:r>
        <w:rPr>
          <w:color w:val="2E97D3"/>
          <w:spacing w:val="-15"/>
          <w:u w:val="single" w:color="2E97D3"/>
        </w:rPr>
        <w:t> </w:t>
      </w:r>
      <w:hyperlink r:id="rId35">
        <w:r>
          <w:rPr>
            <w:color w:val="2E97D3"/>
            <w:u w:val="single" w:color="2E97D3"/>
          </w:rPr>
          <w:t>www.dof.ca.gov</w:t>
        </w:r>
      </w:hyperlink>
      <w:r>
        <w:rPr>
          <w:color w:val="2E97D3"/>
          <w:u w:val="single" w:color="2E97D3"/>
        </w:rPr>
        <w:t>.</w:t>
      </w:r>
    </w:p>
    <w:p>
      <w:pPr>
        <w:spacing w:after="0"/>
        <w:jc w:val="both"/>
        <w:sectPr>
          <w:pgSz w:w="12240" w:h="15840"/>
          <w:pgMar w:header="724" w:footer="792" w:top="980" w:bottom="980" w:left="620" w:right="1320"/>
        </w:sectPr>
      </w:pPr>
    </w:p>
    <w:p>
      <w:pPr>
        <w:pStyle w:val="BodyText"/>
        <w:rPr>
          <w:sz w:val="20"/>
        </w:rPr>
      </w:pPr>
    </w:p>
    <w:p>
      <w:pPr>
        <w:pStyle w:val="Heading2"/>
        <w:tabs>
          <w:tab w:pos="8739" w:val="left" w:leader="none"/>
          <w:tab w:pos="9459" w:val="left" w:leader="none"/>
        </w:tabs>
        <w:spacing w:before="214"/>
        <w:ind w:left="820" w:right="303"/>
      </w:pPr>
      <w:r>
        <w:rPr/>
        <w:pict>
          <v:line style="position:absolute;mso-position-horizontal-relative:page;mso-position-vertical-relative:paragraph;z-index:6784" from="36.360001pt,10.915881pt" to="36.360001pt,66.115881pt" stroked="true" strokeweight=".72pt" strokecolor="#000000">
            <v:stroke dashstyle="solid"/>
            <w10:wrap type="none"/>
          </v:line>
        </w:pict>
      </w:r>
      <w:r>
        <w:rPr/>
        <w:t>THE</w:t>
      </w:r>
      <w:r>
        <w:rPr>
          <w:spacing w:val="-2"/>
        </w:rPr>
        <w:t> </w:t>
      </w:r>
      <w:r>
        <w:rPr/>
        <w:t>GOVERNOR'S</w:t>
      </w:r>
      <w:r>
        <w:rPr>
          <w:spacing w:val="-2"/>
        </w:rPr>
        <w:t> </w:t>
      </w:r>
      <w:r>
        <w:rPr/>
        <w:t>BUDGET—</w:t>
      </w:r>
      <w:r>
        <w:rPr>
          <w:color w:val="2E97D3"/>
          <w:u w:val="thick" w:color="2E97D3"/>
        </w:rPr>
        <w:t> </w:t>
        <w:tab/>
        <w:tab/>
        <w:t>6320 </w:t>
      </w:r>
      <w:r>
        <w:rPr/>
        <w:t>PUBLICATION, DISTRIBUTION, ORDERING, </w:t>
      </w:r>
      <w:r>
        <w:rPr>
          <w:spacing w:val="-3"/>
        </w:rPr>
        <w:t>AND</w:t>
      </w:r>
      <w:r>
        <w:rPr>
          <w:spacing w:val="-6"/>
        </w:rPr>
        <w:t> </w:t>
      </w:r>
      <w:r>
        <w:rPr/>
        <w:t>PUBLIC</w:t>
      </w:r>
      <w:r>
        <w:rPr>
          <w:spacing w:val="-3"/>
        </w:rPr>
        <w:t> </w:t>
      </w:r>
      <w:r>
        <w:rPr/>
        <w:t>SALE</w:t>
        <w:tab/>
      </w:r>
      <w:r>
        <w:rPr>
          <w:strike/>
          <w:color w:val="2E97D3"/>
        </w:rPr>
        <w:t>6320</w:t>
      </w:r>
    </w:p>
    <w:p>
      <w:pPr>
        <w:pStyle w:val="BodyText"/>
        <w:ind w:left="820" w:right="7498"/>
      </w:pPr>
      <w:r>
        <w:rPr>
          <w:color w:val="2C6234"/>
          <w:u w:val="thick" w:color="2C6234"/>
        </w:rPr>
        <w:t>(Revised 09/2017) </w:t>
      </w:r>
      <w:r>
        <w:rPr>
          <w:strike/>
          <w:color w:val="2E97D3"/>
        </w:rPr>
        <w:t>(Revised 9/2010)</w:t>
      </w:r>
    </w:p>
    <w:p>
      <w:pPr>
        <w:pStyle w:val="BodyText"/>
        <w:spacing w:before="5"/>
        <w:rPr>
          <w:sz w:val="18"/>
        </w:rPr>
      </w:pPr>
    </w:p>
    <w:p>
      <w:pPr>
        <w:pStyle w:val="BodyText"/>
        <w:spacing w:before="93"/>
        <w:ind w:left="820"/>
      </w:pPr>
      <w:r>
        <w:rPr/>
        <w:pict>
          <v:line style="position:absolute;mso-position-horizontal-relative:page;mso-position-vertical-relative:paragraph;z-index:6808" from="36.360001pt,18.665878pt" to="36.360001pt,32.465878pt" stroked="true" strokeweight=".72pt" strokecolor="#000000">
            <v:stroke dashstyle="solid"/>
            <w10:wrap type="none"/>
          </v:line>
        </w:pict>
      </w:r>
      <w:r>
        <w:rPr/>
        <w:t>The Governor's Budget is printed in quantities sufficient to fill official distribution requirements and to provide a limited stock for sale to the public </w:t>
      </w:r>
      <w:r>
        <w:rPr>
          <w:color w:val="2E97D3"/>
          <w:u w:val="single" w:color="2E97D3"/>
        </w:rPr>
        <w:t>or other departments</w:t>
      </w:r>
      <w:r>
        <w:rPr/>
        <w:t>.</w:t>
      </w:r>
    </w:p>
    <w:p>
      <w:pPr>
        <w:pStyle w:val="BodyText"/>
        <w:spacing w:before="3"/>
        <w:rPr>
          <w:sz w:val="18"/>
        </w:rPr>
      </w:pPr>
    </w:p>
    <w:p>
      <w:pPr>
        <w:spacing w:before="92"/>
        <w:ind w:left="820" w:right="998" w:firstLine="0"/>
        <w:jc w:val="both"/>
        <w:rPr>
          <w:sz w:val="24"/>
        </w:rPr>
      </w:pPr>
      <w:r>
        <w:rPr/>
        <w:pict>
          <v:line style="position:absolute;mso-position-horizontal-relative:page;mso-position-vertical-relative:paragraph;z-index:-466120" from="72pt,45.195347pt" to="495.84pt,45.195347pt" stroked="true" strokeweight=".841pt" strokecolor="#2e97d3">
            <v:stroke dashstyle="solid"/>
            <w10:wrap type="none"/>
          </v:line>
        </w:pict>
      </w:r>
      <w:r>
        <w:rPr/>
        <w:pict>
          <v:line style="position:absolute;mso-position-horizontal-relative:page;mso-position-vertical-relative:paragraph;z-index:6832" from="36.360001pt,18.615847pt" to="36.360001pt,60.015847pt" stroked="true" strokeweight=".72pt" strokecolor="#000000">
            <v:stroke dashstyle="solid"/>
            <w10:wrap type="none"/>
          </v:line>
        </w:pict>
      </w:r>
      <w:r>
        <w:rPr>
          <w:sz w:val="24"/>
        </w:rPr>
        <w:t>The</w:t>
      </w:r>
      <w:r>
        <w:rPr>
          <w:spacing w:val="-15"/>
          <w:sz w:val="24"/>
        </w:rPr>
        <w:t> </w:t>
      </w:r>
      <w:r>
        <w:rPr>
          <w:sz w:val="24"/>
        </w:rPr>
        <w:t>Governor’s</w:t>
      </w:r>
      <w:r>
        <w:rPr>
          <w:spacing w:val="-16"/>
          <w:sz w:val="24"/>
        </w:rPr>
        <w:t> </w:t>
      </w:r>
      <w:r>
        <w:rPr>
          <w:sz w:val="24"/>
        </w:rPr>
        <w:t>Budget</w:t>
      </w:r>
      <w:r>
        <w:rPr>
          <w:spacing w:val="-16"/>
          <w:sz w:val="24"/>
        </w:rPr>
        <w:t> </w:t>
      </w:r>
      <w:r>
        <w:rPr>
          <w:sz w:val="24"/>
        </w:rPr>
        <w:t>and</w:t>
      </w:r>
      <w:r>
        <w:rPr>
          <w:spacing w:val="-15"/>
          <w:sz w:val="24"/>
        </w:rPr>
        <w:t> </w:t>
      </w:r>
      <w:r>
        <w:rPr>
          <w:sz w:val="24"/>
        </w:rPr>
        <w:t>Governor’s</w:t>
      </w:r>
      <w:r>
        <w:rPr>
          <w:spacing w:val="-16"/>
          <w:sz w:val="24"/>
        </w:rPr>
        <w:t> </w:t>
      </w:r>
      <w:r>
        <w:rPr>
          <w:sz w:val="24"/>
        </w:rPr>
        <w:t>Budget</w:t>
      </w:r>
      <w:r>
        <w:rPr>
          <w:spacing w:val="-15"/>
          <w:sz w:val="24"/>
        </w:rPr>
        <w:t> </w:t>
      </w:r>
      <w:r>
        <w:rPr>
          <w:sz w:val="24"/>
        </w:rPr>
        <w:t>Summary</w:t>
      </w:r>
      <w:r>
        <w:rPr>
          <w:spacing w:val="-17"/>
          <w:sz w:val="24"/>
        </w:rPr>
        <w:t> </w:t>
      </w:r>
      <w:r>
        <w:rPr>
          <w:sz w:val="24"/>
        </w:rPr>
        <w:t>including</w:t>
      </w:r>
      <w:r>
        <w:rPr>
          <w:spacing w:val="-16"/>
          <w:sz w:val="24"/>
        </w:rPr>
        <w:t> </w:t>
      </w:r>
      <w:r>
        <w:rPr>
          <w:sz w:val="24"/>
        </w:rPr>
        <w:t>the</w:t>
      </w:r>
      <w:r>
        <w:rPr>
          <w:spacing w:val="-15"/>
          <w:sz w:val="24"/>
        </w:rPr>
        <w:t> </w:t>
      </w:r>
      <w:r>
        <w:rPr>
          <w:sz w:val="24"/>
        </w:rPr>
        <w:t>summary schedules are available on the </w:t>
      </w:r>
      <w:r>
        <w:rPr>
          <w:rFonts w:ascii="Times New Roman" w:hAnsi="Times New Roman"/>
          <w:b/>
          <w:strike/>
          <w:color w:val="2E97D3"/>
          <w:sz w:val="16"/>
        </w:rPr>
        <w:t>Finance Home Page, </w:t>
      </w:r>
      <w:r>
        <w:rPr>
          <w:rFonts w:ascii="Times New Roman" w:hAnsi="Times New Roman"/>
          <w:b/>
          <w:strike/>
          <w:color w:val="2E97D3"/>
          <w:sz w:val="16"/>
          <w:u w:val="single" w:color="2E97D3"/>
        </w:rPr>
        <w:t>http://www.dof.ca.gov </w:t>
      </w:r>
      <w:r>
        <w:rPr>
          <w:rFonts w:ascii="Times New Roman" w:hAnsi="Times New Roman"/>
          <w:b/>
          <w:strike/>
          <w:color w:val="2E97D3"/>
          <w:sz w:val="16"/>
        </w:rPr>
        <w:t>or </w:t>
      </w:r>
      <w:hyperlink r:id="rId30">
        <w:r>
          <w:rPr>
            <w:rFonts w:ascii="Times New Roman" w:hAnsi="Times New Roman"/>
            <w:b/>
            <w:strike/>
            <w:color w:val="2E97D3"/>
            <w:sz w:val="16"/>
            <w:u w:val="single" w:color="2E97D3"/>
          </w:rPr>
          <w:t>http://www.ebudget.ca.gov/</w:t>
        </w:r>
        <w:r>
          <w:rPr>
            <w:rFonts w:ascii="Times New Roman" w:hAnsi="Times New Roman"/>
            <w:b/>
            <w:strike w:val="0"/>
            <w:color w:val="2E97D3"/>
            <w:sz w:val="16"/>
          </w:rPr>
          <w:t>.</w:t>
        </w:r>
      </w:hyperlink>
      <w:r>
        <w:rPr>
          <w:rFonts w:ascii="Times New Roman" w:hAnsi="Times New Roman"/>
          <w:b/>
          <w:strike w:val="0"/>
          <w:color w:val="2E97D3"/>
          <w:sz w:val="16"/>
        </w:rPr>
        <w:t> </w:t>
      </w:r>
      <w:r>
        <w:rPr>
          <w:strike w:val="0"/>
          <w:color w:val="2E97D3"/>
          <w:sz w:val="24"/>
        </w:rPr>
        <w:t>Department of Finance Home Page: </w:t>
      </w:r>
      <w:hyperlink r:id="rId35">
        <w:r>
          <w:rPr>
            <w:strike w:val="0"/>
            <w:color w:val="2E97D3"/>
            <w:sz w:val="24"/>
          </w:rPr>
          <w:t>http://www.dof.ca.gov</w:t>
        </w:r>
      </w:hyperlink>
      <w:r>
        <w:rPr>
          <w:strike w:val="0"/>
          <w:color w:val="2E97D3"/>
          <w:sz w:val="24"/>
        </w:rPr>
        <w:t> or </w:t>
      </w:r>
      <w:hyperlink r:id="rId30">
        <w:r>
          <w:rPr>
            <w:strike w:val="0"/>
            <w:color w:val="2E97D3"/>
            <w:sz w:val="24"/>
            <w:u w:val="single" w:color="2E97D3"/>
          </w:rPr>
          <w:t>http://www.ebudget.ca.gov/</w:t>
        </w:r>
      </w:hyperlink>
      <w:r>
        <w:rPr>
          <w:strike w:val="0"/>
          <w:color w:val="2E97D3"/>
          <w:sz w:val="24"/>
          <w:u w:val="single" w:color="2E97D3"/>
        </w:rPr>
        <w:t>.</w:t>
      </w:r>
    </w:p>
    <w:p>
      <w:pPr>
        <w:pStyle w:val="BodyText"/>
        <w:spacing w:before="5"/>
        <w:rPr>
          <w:sz w:val="18"/>
        </w:rPr>
      </w:pPr>
    </w:p>
    <w:p>
      <w:pPr>
        <w:pStyle w:val="BodyText"/>
        <w:spacing w:before="92"/>
        <w:ind w:left="820"/>
      </w:pPr>
      <w:r>
        <w:rPr/>
        <w:t>The Office of State Publishing (OSP) determines the quantity to be published based on Finance’s estimates to meet distribution requirements.</w:t>
      </w:r>
    </w:p>
    <w:p>
      <w:pPr>
        <w:pStyle w:val="BodyText"/>
        <w:spacing w:before="182"/>
        <w:ind w:left="820"/>
      </w:pPr>
      <w:r>
        <w:rPr/>
        <w:pict>
          <v:line style="position:absolute;mso-position-horizontal-relative:page;mso-position-vertical-relative:paragraph;z-index:6856" from="36.360001pt,9.315874pt" to="36.360001pt,36.915874pt" stroked="true" strokeweight=".72pt" strokecolor="#000000">
            <v:stroke dashstyle="solid"/>
            <w10:wrap type="none"/>
          </v:line>
        </w:pict>
      </w:r>
      <w:r>
        <w:rPr/>
        <w:t>Departments and members of the public may </w:t>
      </w:r>
      <w:r>
        <w:rPr>
          <w:rFonts w:ascii="Times New Roman"/>
          <w:b/>
          <w:strike/>
          <w:color w:val="2E97D3"/>
          <w:sz w:val="16"/>
        </w:rPr>
        <w:t>purchase</w:t>
      </w:r>
      <w:r>
        <w:rPr>
          <w:strike w:val="0"/>
          <w:color w:val="2E97D3"/>
          <w:u w:val="single" w:color="2E97D3"/>
        </w:rPr>
        <w:t>obtain </w:t>
      </w:r>
      <w:r>
        <w:rPr>
          <w:strike w:val="0"/>
        </w:rPr>
        <w:t>hard copies in the following ways:</w:t>
      </w:r>
    </w:p>
    <w:p>
      <w:pPr>
        <w:pStyle w:val="BodyText"/>
        <w:spacing w:before="6"/>
        <w:rPr>
          <w:sz w:val="26"/>
        </w:rPr>
      </w:pPr>
    </w:p>
    <w:p>
      <w:pPr>
        <w:pStyle w:val="BodyText"/>
        <w:tabs>
          <w:tab w:pos="3145" w:val="left" w:leader="none"/>
          <w:tab w:pos="4746" w:val="left" w:leader="none"/>
          <w:tab w:pos="7122" w:val="left" w:leader="none"/>
          <w:tab w:pos="9085" w:val="left" w:leader="none"/>
        </w:tabs>
        <w:ind w:left="1180" w:right="113" w:hanging="360"/>
        <w:jc w:val="both"/>
      </w:pPr>
      <w:r>
        <w:rPr/>
        <w:pict>
          <v:line style="position:absolute;mso-position-horizontal-relative:page;mso-position-vertical-relative:paragraph;z-index:-466096" from="301.679993pt,23.044945pt" to="304.919993pt,23.044945pt" stroked="true" strokeweight=".599pt" strokecolor="#2e97d3">
            <v:stroke dashstyle="solid"/>
            <w10:wrap type="none"/>
          </v:line>
        </w:pict>
      </w:r>
      <w:r>
        <w:rPr/>
        <w:pict>
          <v:line style="position:absolute;mso-position-horizontal-relative:page;mso-position-vertical-relative:paragraph;z-index:-466072" from="90pt,50.644444pt" to="540pt,50.644444pt" stroked="true" strokeweight=".6pt" strokecolor="#2e97d3">
            <v:stroke dashstyle="solid"/>
            <w10:wrap type="none"/>
          </v:line>
        </w:pict>
      </w:r>
      <w:r>
        <w:rPr/>
        <w:pict>
          <v:line style="position:absolute;mso-position-horizontal-relative:page;mso-position-vertical-relative:paragraph;z-index:6880" from="36.360001pt,14.825444pt" to="36.360001pt,166.624444pt" stroked="true" strokeweight=".72pt" strokecolor="#000000">
            <v:stroke dashstyle="solid"/>
            <w10:wrap type="none"/>
          </v:line>
        </w:pict>
      </w:r>
      <w:r>
        <w:rPr>
          <w:rFonts w:ascii="Symbol" w:hAnsi="Symbol"/>
          <w:strike/>
          <w:color w:val="2E97D3"/>
        </w:rPr>
        <w:t></w:t>
      </w:r>
      <w:r>
        <w:rPr>
          <w:strike w:val="0"/>
          <w:color w:val="2E97D3"/>
          <w:u w:val="single" w:color="2E97D3"/>
        </w:rPr>
        <w:t>1.</w:t>
      </w:r>
      <w:r>
        <w:rPr>
          <w:strike w:val="0"/>
          <w:color w:val="2E97D3"/>
          <w:spacing w:val="-23"/>
          <w:u w:val="single" w:color="2E97D3"/>
        </w:rPr>
        <w:t> </w:t>
      </w:r>
      <w:r>
        <w:rPr>
          <w:strike w:val="0"/>
        </w:rPr>
        <w:t>The</w:t>
      </w:r>
      <w:r>
        <w:rPr>
          <w:strike w:val="0"/>
          <w:spacing w:val="-7"/>
        </w:rPr>
        <w:t> </w:t>
      </w:r>
      <w:r>
        <w:rPr>
          <w:strike w:val="0"/>
        </w:rPr>
        <w:t>Department</w:t>
      </w:r>
      <w:r>
        <w:rPr>
          <w:strike w:val="0"/>
          <w:spacing w:val="-7"/>
        </w:rPr>
        <w:t> </w:t>
      </w:r>
      <w:r>
        <w:rPr>
          <w:strike w:val="0"/>
        </w:rPr>
        <w:t>of</w:t>
      </w:r>
      <w:r>
        <w:rPr>
          <w:strike w:val="0"/>
          <w:spacing w:val="-7"/>
        </w:rPr>
        <w:t> </w:t>
      </w:r>
      <w:r>
        <w:rPr>
          <w:strike w:val="0"/>
        </w:rPr>
        <w:t>General</w:t>
      </w:r>
      <w:r>
        <w:rPr>
          <w:strike w:val="0"/>
          <w:spacing w:val="-8"/>
        </w:rPr>
        <w:t> </w:t>
      </w:r>
      <w:r>
        <w:rPr>
          <w:strike w:val="0"/>
        </w:rPr>
        <w:t>Services,</w:t>
      </w:r>
      <w:r>
        <w:rPr>
          <w:strike w:val="0"/>
          <w:spacing w:val="-7"/>
        </w:rPr>
        <w:t> </w:t>
      </w:r>
      <w:r>
        <w:rPr>
          <w:strike w:val="0"/>
        </w:rPr>
        <w:t>Office</w:t>
      </w:r>
      <w:r>
        <w:rPr>
          <w:strike w:val="0"/>
          <w:spacing w:val="-9"/>
        </w:rPr>
        <w:t> </w:t>
      </w:r>
      <w:r>
        <w:rPr>
          <w:strike w:val="0"/>
        </w:rPr>
        <w:t>of</w:t>
      </w:r>
      <w:r>
        <w:rPr>
          <w:strike w:val="0"/>
          <w:spacing w:val="-6"/>
        </w:rPr>
        <w:t> </w:t>
      </w:r>
      <w:r>
        <w:rPr>
          <w:strike w:val="0"/>
        </w:rPr>
        <w:t>State</w:t>
      </w:r>
      <w:r>
        <w:rPr>
          <w:strike w:val="0"/>
          <w:spacing w:val="-7"/>
        </w:rPr>
        <w:t> </w:t>
      </w:r>
      <w:r>
        <w:rPr>
          <w:strike w:val="0"/>
        </w:rPr>
        <w:t>Publishing,</w:t>
      </w:r>
      <w:r>
        <w:rPr>
          <w:strike w:val="0"/>
          <w:spacing w:val="-7"/>
        </w:rPr>
        <w:t> </w:t>
      </w:r>
      <w:r>
        <w:rPr>
          <w:strike w:val="0"/>
        </w:rPr>
        <w:t>has</w:t>
      </w:r>
      <w:r>
        <w:rPr>
          <w:strike w:val="0"/>
          <w:spacing w:val="-8"/>
        </w:rPr>
        <w:t> </w:t>
      </w:r>
      <w:r>
        <w:rPr>
          <w:strike w:val="0"/>
        </w:rPr>
        <w:t>been</w:t>
      </w:r>
      <w:r>
        <w:rPr>
          <w:strike w:val="0"/>
          <w:spacing w:val="-7"/>
        </w:rPr>
        <w:t> </w:t>
      </w:r>
      <w:r>
        <w:rPr>
          <w:strike w:val="0"/>
        </w:rPr>
        <w:t>contracted to print/produce the Governor’s Budget</w:t>
      </w:r>
      <w:r>
        <w:rPr>
          <w:strike w:val="0"/>
          <w:color w:val="2E97D3"/>
        </w:rPr>
        <w:t>, </w:t>
      </w:r>
      <w:r>
        <w:rPr>
          <w:strike w:val="0"/>
          <w:color w:val="2E97D3"/>
          <w:u w:val="single" w:color="2E97D3"/>
        </w:rPr>
        <w:t>and the </w:t>
      </w:r>
      <w:r>
        <w:rPr>
          <w:strike w:val="0"/>
        </w:rPr>
        <w:t>Governor’s Budget Summary</w:t>
      </w:r>
      <w:r>
        <w:rPr>
          <w:strike/>
          <w:color w:val="2E97D3"/>
        </w:rPr>
        <w:t>, and CD-ROMs </w:t>
      </w:r>
      <w:r>
        <w:rPr>
          <w:strike w:val="0"/>
        </w:rPr>
        <w:t>for </w:t>
      </w:r>
      <w:r>
        <w:rPr>
          <w:strike/>
          <w:color w:val="2E97D3"/>
        </w:rPr>
        <w:t>the Department of </w:t>
      </w:r>
      <w:r>
        <w:rPr>
          <w:strike w:val="0"/>
        </w:rPr>
        <w:t>Finance. </w:t>
      </w:r>
      <w:r>
        <w:rPr>
          <w:strike/>
          <w:color w:val="2E97D3"/>
        </w:rPr>
        <w:t>The CD-ROMs will contain the Governor’s </w:t>
      </w:r>
      <w:r>
        <w:rPr>
          <w:strike w:val="0"/>
          <w:color w:val="2E97D3"/>
        </w:rPr>
        <w:t>Budget</w:t>
        <w:tab/>
        <w:t>and</w:t>
        <w:tab/>
        <w:t>Governor’s</w:t>
        <w:tab/>
        <w:t>Budget</w:t>
        <w:tab/>
        <w:t>Summary. </w:t>
      </w:r>
      <w:r>
        <w:rPr>
          <w:strike w:val="0"/>
        </w:rPr>
        <w:t>To</w:t>
      </w:r>
      <w:r>
        <w:rPr>
          <w:strike w:val="0"/>
          <w:spacing w:val="41"/>
        </w:rPr>
        <w:t> </w:t>
      </w:r>
      <w:r>
        <w:rPr>
          <w:strike w:val="0"/>
        </w:rPr>
        <w:t>purchase</w:t>
      </w:r>
      <w:r>
        <w:rPr>
          <w:strike w:val="0"/>
          <w:spacing w:val="41"/>
        </w:rPr>
        <w:t> </w:t>
      </w:r>
      <w:r>
        <w:rPr>
          <w:strike w:val="0"/>
        </w:rPr>
        <w:t>hard</w:t>
      </w:r>
      <w:r>
        <w:rPr>
          <w:strike w:val="0"/>
          <w:spacing w:val="43"/>
        </w:rPr>
        <w:t> </w:t>
      </w:r>
      <w:r>
        <w:rPr>
          <w:strike w:val="0"/>
        </w:rPr>
        <w:t>copies</w:t>
      </w:r>
      <w:r>
        <w:rPr>
          <w:strike w:val="0"/>
          <w:spacing w:val="42"/>
        </w:rPr>
        <w:t> </w:t>
      </w:r>
      <w:r>
        <w:rPr>
          <w:strike w:val="0"/>
        </w:rPr>
        <w:t>of</w:t>
      </w:r>
      <w:r>
        <w:rPr>
          <w:strike w:val="0"/>
          <w:spacing w:val="42"/>
        </w:rPr>
        <w:t> </w:t>
      </w:r>
      <w:r>
        <w:rPr>
          <w:strike w:val="0"/>
        </w:rPr>
        <w:t>these</w:t>
      </w:r>
      <w:r>
        <w:rPr>
          <w:strike w:val="0"/>
          <w:spacing w:val="43"/>
        </w:rPr>
        <w:t> </w:t>
      </w:r>
      <w:r>
        <w:rPr>
          <w:strike w:val="0"/>
        </w:rPr>
        <w:t>publications</w:t>
      </w:r>
      <w:r>
        <w:rPr>
          <w:strike w:val="0"/>
          <w:spacing w:val="42"/>
        </w:rPr>
        <w:t> </w:t>
      </w:r>
      <w:r>
        <w:rPr>
          <w:strike/>
          <w:color w:val="2E97D3"/>
        </w:rPr>
        <w:t>or</w:t>
      </w:r>
      <w:r>
        <w:rPr>
          <w:strike/>
          <w:color w:val="2E97D3"/>
          <w:spacing w:val="41"/>
        </w:rPr>
        <w:t> </w:t>
      </w:r>
      <w:r>
        <w:rPr>
          <w:strike/>
          <w:color w:val="2E97D3"/>
        </w:rPr>
        <w:t>the</w:t>
      </w:r>
      <w:r>
        <w:rPr>
          <w:strike/>
          <w:color w:val="2E97D3"/>
          <w:spacing w:val="43"/>
        </w:rPr>
        <w:t> </w:t>
      </w:r>
      <w:r>
        <w:rPr>
          <w:strike/>
          <w:color w:val="2E97D3"/>
        </w:rPr>
        <w:t>CD-ROMs</w:t>
      </w:r>
      <w:r>
        <w:rPr>
          <w:strike w:val="0"/>
        </w:rPr>
        <w:t>,</w:t>
      </w:r>
      <w:r>
        <w:rPr>
          <w:strike w:val="0"/>
          <w:spacing w:val="40"/>
        </w:rPr>
        <w:t> </w:t>
      </w:r>
      <w:r>
        <w:rPr>
          <w:strike w:val="0"/>
        </w:rPr>
        <w:t>please</w:t>
      </w:r>
      <w:r>
        <w:rPr>
          <w:strike w:val="0"/>
          <w:spacing w:val="41"/>
        </w:rPr>
        <w:t> </w:t>
      </w:r>
      <w:r>
        <w:rPr>
          <w:strike w:val="0"/>
        </w:rPr>
        <w:t>contact:</w:t>
      </w:r>
    </w:p>
    <w:p>
      <w:pPr>
        <w:pStyle w:val="BodyText"/>
        <w:spacing w:before="11"/>
        <w:rPr>
          <w:sz w:val="15"/>
        </w:rPr>
      </w:pPr>
    </w:p>
    <w:p>
      <w:pPr>
        <w:pStyle w:val="BodyText"/>
        <w:tabs>
          <w:tab w:pos="4359" w:val="left" w:leader="none"/>
          <w:tab w:pos="6483" w:val="left" w:leader="none"/>
          <w:tab w:pos="9260" w:val="left" w:leader="none"/>
        </w:tabs>
        <w:spacing w:before="92"/>
        <w:ind w:left="1180"/>
      </w:pPr>
      <w:r>
        <w:rPr/>
        <w:pict>
          <v:line style="position:absolute;mso-position-horizontal-relative:page;mso-position-vertical-relative:paragraph;z-index:-466048" from="90pt,13.035863pt" to="540pt,13.035863pt" stroked="true" strokeweight=".6pt" strokecolor="#2e97d3">
            <v:stroke dashstyle="solid"/>
            <w10:wrap type="none"/>
          </v:line>
        </w:pict>
      </w:r>
      <w:r>
        <w:rPr>
          <w:color w:val="2E97D3"/>
        </w:rPr>
        <w:t>Department</w:t>
        <w:tab/>
        <w:t>of</w:t>
        <w:tab/>
        <w:t>General</w:t>
        <w:tab/>
        <w:t>Services</w:t>
      </w:r>
    </w:p>
    <w:p>
      <w:pPr>
        <w:pStyle w:val="BodyText"/>
        <w:tabs>
          <w:tab w:pos="4391" w:val="left" w:leader="none"/>
          <w:tab w:pos="6786" w:val="left" w:leader="none"/>
          <w:tab w:pos="9503" w:val="left" w:leader="none"/>
        </w:tabs>
        <w:ind w:left="1180"/>
      </w:pPr>
      <w:r>
        <w:rPr/>
        <w:pict>
          <v:line style="position:absolute;mso-position-horizontal-relative:page;mso-position-vertical-relative:paragraph;z-index:-466024" from="90pt,8.436345pt" to="540pt,8.436345pt" stroked="true" strokeweight=".599pt" strokecolor="#2e97d3">
            <v:stroke dashstyle="solid"/>
            <w10:wrap type="none"/>
          </v:line>
        </w:pict>
      </w:r>
      <w:r>
        <w:rPr>
          <w:color w:val="2E97D3"/>
        </w:rPr>
        <w:t>Legislative</w:t>
        <w:tab/>
        <w:t>Bill</w:t>
        <w:tab/>
        <w:t>Room</w:t>
        <w:tab/>
        <w:t>Annex</w:t>
      </w:r>
    </w:p>
    <w:p>
      <w:pPr>
        <w:pStyle w:val="BodyText"/>
        <w:tabs>
          <w:tab w:pos="5531" w:val="left" w:leader="none"/>
          <w:tab w:pos="9548" w:val="left" w:leader="none"/>
        </w:tabs>
        <w:ind w:left="1180"/>
      </w:pPr>
      <w:r>
        <w:rPr/>
        <w:pict>
          <v:line style="position:absolute;mso-position-horizontal-relative:page;mso-position-vertical-relative:paragraph;z-index:-466000" from="90pt,8.435857pt" to="540pt,8.435857pt" stroked="true" strokeweight=".6pt" strokecolor="#2e97d3">
            <v:stroke dashstyle="solid"/>
            <w10:wrap type="none"/>
          </v:line>
        </w:pict>
      </w:r>
      <w:r>
        <w:rPr>
          <w:color w:val="2E97D3"/>
        </w:rPr>
        <w:t>Contact:</w:t>
        <w:tab/>
        <w:t>Pearl</w:t>
        <w:tab/>
        <w:t>Burns</w:t>
      </w:r>
    </w:p>
    <w:p>
      <w:pPr>
        <w:pStyle w:val="BodyText"/>
        <w:tabs>
          <w:tab w:pos="5473" w:val="left" w:leader="none"/>
          <w:tab w:pos="9539" w:val="left" w:leader="none"/>
        </w:tabs>
        <w:ind w:left="1180"/>
      </w:pPr>
      <w:r>
        <w:rPr/>
        <w:pict>
          <v:line style="position:absolute;mso-position-horizontal-relative:page;mso-position-vertical-relative:paragraph;z-index:-465976" from="90pt,8.435869pt" to="540pt,8.435869pt" stroked="true" strokeweight=".6pt" strokecolor="#2e97d3">
            <v:stroke dashstyle="solid"/>
            <w10:wrap type="none"/>
          </v:line>
        </w:pict>
      </w:r>
      <w:r>
        <w:rPr>
          <w:color w:val="2E97D3"/>
        </w:rPr>
        <w:t>712</w:t>
        <w:tab/>
        <w:t>R</w:t>
        <w:tab/>
        <w:t>Street</w:t>
      </w:r>
    </w:p>
    <w:p>
      <w:pPr>
        <w:pStyle w:val="BodyText"/>
        <w:tabs>
          <w:tab w:pos="5859" w:val="left" w:leader="none"/>
          <w:tab w:pos="9512" w:val="left" w:leader="none"/>
        </w:tabs>
        <w:ind w:left="1180"/>
      </w:pPr>
      <w:r>
        <w:rPr/>
        <w:pict>
          <v:line style="position:absolute;mso-position-horizontal-relative:page;mso-position-vertical-relative:paragraph;z-index:-465952" from="90pt,8.436351pt" to="540pt,8.436351pt" stroked="true" strokeweight=".599pt" strokecolor="#2e97d3">
            <v:stroke dashstyle="solid"/>
            <w10:wrap type="none"/>
          </v:line>
        </w:pict>
      </w:r>
      <w:r>
        <w:rPr>
          <w:color w:val="2E97D3"/>
        </w:rPr>
        <w:t>Sacramento,</w:t>
        <w:tab/>
        <w:t>CA</w:t>
        <w:tab/>
        <w:t>95814</w:t>
      </w:r>
    </w:p>
    <w:p>
      <w:pPr>
        <w:pStyle w:val="BodyText"/>
        <w:tabs>
          <w:tab w:pos="9164" w:val="left" w:leader="none"/>
        </w:tabs>
        <w:ind w:left="1180"/>
      </w:pPr>
      <w:r>
        <w:rPr/>
        <w:pict>
          <v:line style="position:absolute;mso-position-horizontal-relative:page;mso-position-vertical-relative:paragraph;z-index:-465928" from="90pt,8.435863pt" to="540pt,8.435863pt" stroked="true" strokeweight=".6pt" strokecolor="#2e97d3">
            <v:stroke dashstyle="solid"/>
            <w10:wrap type="none"/>
          </v:line>
        </w:pict>
      </w:r>
      <w:r>
        <w:rPr>
          <w:color w:val="2E97D3"/>
        </w:rPr>
        <w:t>(916)</w:t>
        <w:tab/>
        <w:t>445-2645</w:t>
      </w:r>
    </w:p>
    <w:p>
      <w:pPr>
        <w:pStyle w:val="BodyText"/>
        <w:rPr>
          <w:sz w:val="20"/>
        </w:rPr>
      </w:pPr>
    </w:p>
    <w:p>
      <w:pPr>
        <w:pStyle w:val="BodyText"/>
        <w:spacing w:before="3"/>
        <w:rPr>
          <w:sz w:val="22"/>
        </w:rPr>
      </w:pPr>
    </w:p>
    <w:p>
      <w:pPr>
        <w:pStyle w:val="BodyText"/>
        <w:spacing w:line="276" w:lineRule="exact" w:before="97"/>
        <w:ind w:left="1300" w:right="3257"/>
      </w:pPr>
      <w:r>
        <w:rPr/>
        <w:pict>
          <v:line style="position:absolute;mso-position-horizontal-relative:page;mso-position-vertical-relative:paragraph;z-index:-465904" from="96pt,31.429502pt" to="200.76pt,31.429502pt" stroked="true" strokeweight=".841pt" strokecolor="#2e97d3">
            <v:stroke dashstyle="solid"/>
            <w10:wrap type="none"/>
          </v:line>
        </w:pict>
      </w:r>
      <w:r>
        <w:rPr/>
        <w:pict>
          <v:line style="position:absolute;mso-position-horizontal-relative:page;mso-position-vertical-relative:paragraph;z-index:6904" from="36.360001pt,-10.268997pt" to="36.360001pt,75.290003pt" stroked="true" strokeweight=".72pt" strokecolor="#000000">
            <v:stroke dashstyle="solid"/>
            <w10:wrap type="none"/>
          </v:line>
        </w:pict>
      </w:r>
      <w:r>
        <w:rPr>
          <w:color w:val="2E97D3"/>
          <w:u w:val="single" w:color="2E97D3"/>
        </w:rPr>
        <w:t>Department of General Services Legislative Bill Room </w:t>
      </w:r>
      <w:r>
        <w:rPr>
          <w:color w:val="2E97D3"/>
        </w:rPr>
        <w:t>344 North 7</w:t>
      </w:r>
      <w:r>
        <w:rPr>
          <w:color w:val="2E97D3"/>
          <w:position w:val="8"/>
          <w:sz w:val="16"/>
        </w:rPr>
        <w:t>th </w:t>
      </w:r>
      <w:r>
        <w:rPr>
          <w:color w:val="2E97D3"/>
        </w:rPr>
        <w:t>Street</w:t>
      </w:r>
    </w:p>
    <w:p>
      <w:pPr>
        <w:pStyle w:val="BodyText"/>
        <w:ind w:left="1300" w:right="6485"/>
      </w:pPr>
      <w:r>
        <w:rPr>
          <w:color w:val="2E97D3"/>
          <w:u w:val="single" w:color="2E97D3"/>
        </w:rPr>
        <w:t>Sacramento, CA 95811 (916) 324-0221</w:t>
      </w:r>
    </w:p>
    <w:p>
      <w:pPr>
        <w:pStyle w:val="BodyText"/>
        <w:spacing w:before="2"/>
        <w:rPr>
          <w:sz w:val="18"/>
        </w:rPr>
      </w:pPr>
    </w:p>
    <w:p>
      <w:pPr>
        <w:pStyle w:val="BodyText"/>
        <w:spacing w:before="100"/>
        <w:ind w:left="1180" w:right="113" w:hanging="360"/>
        <w:jc w:val="both"/>
      </w:pPr>
      <w:r>
        <w:rPr/>
        <w:pict>
          <v:line style="position:absolute;mso-position-horizontal-relative:page;mso-position-vertical-relative:paragraph;z-index:6928" from="36.360001pt,19.824457pt" to="36.360001pt,33.624457pt" stroked="true" strokeweight=".72pt" strokecolor="#000000">
            <v:stroke dashstyle="solid"/>
            <w10:wrap type="none"/>
          </v:line>
        </w:pict>
      </w:r>
      <w:r>
        <w:rPr>
          <w:rFonts w:ascii="Symbol" w:hAnsi="Symbol"/>
          <w:strike/>
          <w:color w:val="2E97D3"/>
        </w:rPr>
        <w:t></w:t>
      </w:r>
      <w:r>
        <w:rPr>
          <w:strike w:val="0"/>
          <w:color w:val="2E97D3"/>
          <w:u w:val="single" w:color="2E97D3"/>
        </w:rPr>
        <w:t>2. </w:t>
      </w:r>
      <w:r>
        <w:rPr>
          <w:strike w:val="0"/>
        </w:rPr>
        <w:t>PDF documents of the Governor’s Budget and Governor’s Budget Summary can be viewed or printed at </w:t>
      </w:r>
      <w:hyperlink r:id="rId30">
        <w:r>
          <w:rPr>
            <w:strike/>
            <w:color w:val="2E97D3"/>
            <w:u w:val="single" w:color="2E97D3"/>
          </w:rPr>
          <w:t>http://www.ebudget.ca.gov/</w:t>
        </w:r>
      </w:hyperlink>
      <w:r>
        <w:rPr>
          <w:strike/>
          <w:color w:val="2E97D3"/>
          <w:u w:val="single" w:color="2E97D3"/>
        </w:rPr>
        <w:t> </w:t>
      </w:r>
      <w:hyperlink r:id="rId30">
        <w:r>
          <w:rPr>
            <w:strike w:val="0"/>
            <w:color w:val="2E97D3"/>
            <w:u w:val="single" w:color="2E97D3"/>
          </w:rPr>
          <w:t>http://www.ebudget.ca.gov/</w:t>
        </w:r>
      </w:hyperlink>
      <w:r>
        <w:rPr>
          <w:strike w:val="0"/>
          <w:color w:val="2E97D3"/>
          <w:u w:val="single" w:color="2E97D3"/>
        </w:rPr>
        <w:t> </w:t>
      </w:r>
      <w:r>
        <w:rPr>
          <w:strike w:val="0"/>
        </w:rPr>
        <w:t>from the Printable Budget Documents sections available on each web</w:t>
      </w:r>
      <w:r>
        <w:rPr>
          <w:strike w:val="0"/>
          <w:spacing w:val="-53"/>
        </w:rPr>
        <w:t> </w:t>
      </w:r>
      <w:r>
        <w:rPr>
          <w:strike w:val="0"/>
        </w:rPr>
        <w:t>page.</w:t>
      </w:r>
    </w:p>
    <w:p>
      <w:pPr>
        <w:spacing w:after="0"/>
        <w:jc w:val="both"/>
        <w:sectPr>
          <w:pgSz w:w="12240" w:h="15840"/>
          <w:pgMar w:header="724" w:footer="792" w:top="980" w:bottom="980" w:left="620" w:right="1320"/>
        </w:sectPr>
      </w:pPr>
    </w:p>
    <w:p>
      <w:pPr>
        <w:pStyle w:val="BodyText"/>
        <w:rPr>
          <w:sz w:val="20"/>
        </w:rPr>
      </w:pPr>
    </w:p>
    <w:p>
      <w:pPr>
        <w:pStyle w:val="Heading2"/>
        <w:tabs>
          <w:tab w:pos="9647" w:val="left" w:leader="none"/>
        </w:tabs>
        <w:spacing w:before="214"/>
        <w:ind w:left="820"/>
      </w:pPr>
      <w:r>
        <w:rPr/>
        <w:pict>
          <v:line style="position:absolute;mso-position-horizontal-relative:page;mso-position-vertical-relative:paragraph;z-index:-465712" from="180pt,19.135881pt" to="183.36pt,19.135881pt" stroked="true" strokeweight=".6pt" strokecolor="#2e97d3">
            <v:stroke dashstyle="solid"/>
            <w10:wrap type="none"/>
          </v:line>
        </w:pict>
      </w:r>
      <w:r>
        <w:rPr/>
        <w:pict>
          <v:line style="position:absolute;mso-position-horizontal-relative:page;mso-position-vertical-relative:paragraph;z-index:7120" from="36.360001pt,10.915881pt" to="36.360001pt,52.315881pt" stroked="true" strokeweight=".72pt" strokecolor="#000000">
            <v:stroke dashstyle="solid"/>
            <w10:wrap type="none"/>
          </v:line>
        </w:pict>
      </w:r>
      <w:r>
        <w:rPr/>
        <w:t>THE</w:t>
      </w:r>
      <w:r>
        <w:rPr>
          <w:spacing w:val="-1"/>
        </w:rPr>
        <w:t> </w:t>
      </w:r>
      <w:r>
        <w:rPr/>
        <w:t>BUDGET</w:t>
      </w:r>
      <w:r>
        <w:rPr>
          <w:spacing w:val="-2"/>
        </w:rPr>
        <w:t> </w:t>
      </w:r>
      <w:r>
        <w:rPr/>
        <w:t>BILL</w:t>
        <w:tab/>
        <w:t>6325</w:t>
      </w:r>
    </w:p>
    <w:p>
      <w:pPr>
        <w:pStyle w:val="BodyText"/>
        <w:ind w:left="820" w:right="7538"/>
      </w:pPr>
      <w:r>
        <w:rPr>
          <w:color w:val="2C6234"/>
          <w:u w:val="thick" w:color="2C6234"/>
        </w:rPr>
        <w:t>(Revised 09/2017) </w:t>
      </w:r>
      <w:r>
        <w:rPr>
          <w:strike/>
          <w:color w:val="2E97D3"/>
        </w:rPr>
        <w:t>(Revised 9/2010)</w:t>
      </w:r>
    </w:p>
    <w:p>
      <w:pPr>
        <w:pStyle w:val="BodyText"/>
        <w:spacing w:before="5"/>
        <w:rPr>
          <w:sz w:val="18"/>
        </w:rPr>
      </w:pPr>
    </w:p>
    <w:p>
      <w:pPr>
        <w:pStyle w:val="BodyText"/>
        <w:spacing w:before="93"/>
        <w:ind w:left="820" w:right="153"/>
        <w:jc w:val="both"/>
      </w:pPr>
      <w:r>
        <w:rPr/>
        <w:pict>
          <v:line style="position:absolute;mso-position-horizontal-relative:page;mso-position-vertical-relative:paragraph;z-index:-465688" from="413.880005pt,26.886366pt" to="419.040005pt,26.886366pt" stroked="true" strokeweight=".599pt" strokecolor="#2e97d3">
            <v:stroke dashstyle="solid"/>
            <w10:wrap type="none"/>
          </v:line>
        </w:pict>
      </w:r>
      <w:r>
        <w:rPr/>
        <w:pict>
          <v:line style="position:absolute;mso-position-horizontal-relative:page;mso-position-vertical-relative:paragraph;z-index:-465664" from="394.079987pt,68.286369pt" to="399.718987pt,68.286369pt" stroked="true" strokeweight=".599pt" strokecolor="#2e97d3">
            <v:stroke dashstyle="solid"/>
            <w10:wrap type="none"/>
          </v:line>
        </w:pict>
      </w:r>
      <w:r>
        <w:rPr/>
        <w:pict>
          <v:line style="position:absolute;mso-position-horizontal-relative:page;mso-position-vertical-relative:paragraph;z-index:-465640" from="188.520004pt,95.885864pt" to="193.560004pt,95.885864pt" stroked="true" strokeweight=".6pt" strokecolor="#2e97d3">
            <v:stroke dashstyle="solid"/>
            <w10:wrap type="none"/>
          </v:line>
        </w:pict>
      </w:r>
      <w:r>
        <w:rPr/>
        <w:pict>
          <v:line style="position:absolute;mso-position-horizontal-relative:page;mso-position-vertical-relative:paragraph;z-index:-465616" from="144.720001pt,123.48587pt" to="147.720001pt,123.48587pt" stroked="true" strokeweight=".6pt" strokecolor="#2e97d3">
            <v:stroke dashstyle="solid"/>
            <w10:wrap type="none"/>
          </v:line>
        </w:pict>
      </w:r>
      <w:r>
        <w:rPr/>
        <w:pict>
          <v:line style="position:absolute;mso-position-horizontal-relative:page;mso-position-vertical-relative:paragraph;z-index:-465592" from="238.559998pt,137.285873pt" to="241.318998pt,137.285873pt" stroked="true" strokeweight=".6pt" strokecolor="#2e97d3">
            <v:stroke dashstyle="solid"/>
            <w10:wrap type="none"/>
          </v:line>
        </w:pict>
      </w:r>
      <w:r>
        <w:rPr/>
        <w:pict>
          <v:line style="position:absolute;mso-position-horizontal-relative:page;mso-position-vertical-relative:paragraph;z-index:7144" from="36.360001pt,4.864867pt" to="36.360001pt,142.865867pt" stroked="true" strokeweight=".72pt" strokecolor="#000000">
            <v:stroke dashstyle="solid"/>
            <w10:wrap type="none"/>
          </v:line>
        </w:pict>
      </w:r>
      <w:r>
        <w:rPr/>
        <w:t>The Budget Bill is prepared by </w:t>
      </w:r>
      <w:r>
        <w:rPr>
          <w:color w:val="2E97D3"/>
          <w:u w:val="single" w:color="2E97D3"/>
        </w:rPr>
        <w:t>the Department of </w:t>
      </w:r>
      <w:r>
        <w:rPr/>
        <w:t>Finance and is submitted to the Legislature in January accompanying the Governor’s Budget. The Budget Bill is the Governor’s proposal for spending authorizations needed for the subsequent fiscal year. Spending</w:t>
      </w:r>
      <w:r>
        <w:rPr>
          <w:spacing w:val="-15"/>
        </w:rPr>
        <w:t> </w:t>
      </w:r>
      <w:r>
        <w:rPr/>
        <w:t>authorizations</w:t>
      </w:r>
      <w:r>
        <w:rPr>
          <w:spacing w:val="-14"/>
        </w:rPr>
        <w:t> </w:t>
      </w:r>
      <w:r>
        <w:rPr/>
        <w:t>proposed</w:t>
      </w:r>
      <w:r>
        <w:rPr>
          <w:spacing w:val="-13"/>
        </w:rPr>
        <w:t> </w:t>
      </w:r>
      <w:r>
        <w:rPr/>
        <w:t>in</w:t>
      </w:r>
      <w:r>
        <w:rPr>
          <w:spacing w:val="-15"/>
        </w:rPr>
        <w:t> </w:t>
      </w:r>
      <w:r>
        <w:rPr/>
        <w:t>the</w:t>
      </w:r>
      <w:r>
        <w:rPr>
          <w:spacing w:val="-15"/>
        </w:rPr>
        <w:t> </w:t>
      </w:r>
      <w:r>
        <w:rPr>
          <w:strike/>
          <w:color w:val="2E97D3"/>
        </w:rPr>
        <w:t>budget</w:t>
      </w:r>
      <w:r>
        <w:rPr>
          <w:strike/>
          <w:color w:val="2E97D3"/>
          <w:spacing w:val="-15"/>
        </w:rPr>
        <w:t> </w:t>
      </w:r>
      <w:r>
        <w:rPr>
          <w:strike/>
          <w:color w:val="2E97D3"/>
        </w:rPr>
        <w:t>bill</w:t>
      </w:r>
      <w:r>
        <w:rPr>
          <w:strike w:val="0"/>
          <w:color w:val="2E97D3"/>
          <w:u w:val="single" w:color="2E97D3"/>
        </w:rPr>
        <w:t>Budget</w:t>
      </w:r>
      <w:r>
        <w:rPr>
          <w:strike w:val="0"/>
          <w:color w:val="2E97D3"/>
          <w:spacing w:val="-15"/>
          <w:u w:val="single" w:color="2E97D3"/>
        </w:rPr>
        <w:t> </w:t>
      </w:r>
      <w:r>
        <w:rPr>
          <w:strike w:val="0"/>
          <w:color w:val="2E97D3"/>
          <w:u w:val="single" w:color="2E97D3"/>
        </w:rPr>
        <w:t>Bill</w:t>
      </w:r>
      <w:r>
        <w:rPr>
          <w:strike w:val="0"/>
          <w:color w:val="2E97D3"/>
          <w:spacing w:val="-14"/>
          <w:u w:val="single" w:color="2E97D3"/>
        </w:rPr>
        <w:t> </w:t>
      </w:r>
      <w:r>
        <w:rPr>
          <w:strike w:val="0"/>
        </w:rPr>
        <w:t>are</w:t>
      </w:r>
      <w:r>
        <w:rPr>
          <w:strike w:val="0"/>
          <w:spacing w:val="-15"/>
        </w:rPr>
        <w:t> </w:t>
      </w:r>
      <w:r>
        <w:rPr>
          <w:strike w:val="0"/>
        </w:rPr>
        <w:t>in</w:t>
      </w:r>
      <w:r>
        <w:rPr>
          <w:strike w:val="0"/>
          <w:spacing w:val="-17"/>
        </w:rPr>
        <w:t> </w:t>
      </w:r>
      <w:r>
        <w:rPr>
          <w:strike w:val="0"/>
        </w:rPr>
        <w:t>addition</w:t>
      </w:r>
      <w:r>
        <w:rPr>
          <w:strike w:val="0"/>
          <w:spacing w:val="-15"/>
        </w:rPr>
        <w:t> </w:t>
      </w:r>
      <w:r>
        <w:rPr>
          <w:strike w:val="0"/>
        </w:rPr>
        <w:t>to</w:t>
      </w:r>
      <w:r>
        <w:rPr>
          <w:strike w:val="0"/>
          <w:spacing w:val="-15"/>
        </w:rPr>
        <w:t> </w:t>
      </w:r>
      <w:r>
        <w:rPr>
          <w:strike w:val="0"/>
        </w:rPr>
        <w:t>spending authority contained in the constitution and other statutes. Each house will begin its </w:t>
      </w:r>
      <w:r>
        <w:rPr>
          <w:strike w:val="0"/>
          <w:color w:val="2E97D3"/>
          <w:u w:val="single" w:color="2E97D3"/>
        </w:rPr>
        <w:t>legislative</w:t>
      </w:r>
      <w:r>
        <w:rPr>
          <w:strike w:val="0"/>
          <w:color w:val="2E97D3"/>
          <w:spacing w:val="-8"/>
          <w:u w:val="single" w:color="2E97D3"/>
        </w:rPr>
        <w:t> </w:t>
      </w:r>
      <w:r>
        <w:rPr>
          <w:strike w:val="0"/>
        </w:rPr>
        <w:t>budget</w:t>
      </w:r>
      <w:r>
        <w:rPr>
          <w:strike w:val="0"/>
          <w:spacing w:val="-9"/>
        </w:rPr>
        <w:t> </w:t>
      </w:r>
      <w:r>
        <w:rPr>
          <w:strike w:val="0"/>
          <w:color w:val="2E97D3"/>
          <w:u w:val="single" w:color="2E97D3"/>
        </w:rPr>
        <w:t>hearing</w:t>
      </w:r>
      <w:r>
        <w:rPr>
          <w:strike w:val="0"/>
          <w:color w:val="2E97D3"/>
          <w:spacing w:val="-11"/>
          <w:u w:val="single" w:color="2E97D3"/>
        </w:rPr>
        <w:t> </w:t>
      </w:r>
      <w:r>
        <w:rPr>
          <w:strike w:val="0"/>
        </w:rPr>
        <w:t>process</w:t>
      </w:r>
      <w:r>
        <w:rPr>
          <w:strike w:val="0"/>
          <w:spacing w:val="-11"/>
        </w:rPr>
        <w:t> </w:t>
      </w:r>
      <w:r>
        <w:rPr>
          <w:strike w:val="0"/>
        </w:rPr>
        <w:t>with</w:t>
      </w:r>
      <w:r>
        <w:rPr>
          <w:strike w:val="0"/>
          <w:spacing w:val="-8"/>
        </w:rPr>
        <w:t> </w:t>
      </w:r>
      <w:r>
        <w:rPr>
          <w:strike w:val="0"/>
        </w:rPr>
        <w:t>this</w:t>
      </w:r>
      <w:r>
        <w:rPr>
          <w:strike w:val="0"/>
          <w:spacing w:val="-9"/>
        </w:rPr>
        <w:t> </w:t>
      </w:r>
      <w:r>
        <w:rPr>
          <w:strike w:val="0"/>
        </w:rPr>
        <w:t>version</w:t>
      </w:r>
      <w:r>
        <w:rPr>
          <w:strike w:val="0"/>
          <w:spacing w:val="-8"/>
        </w:rPr>
        <w:t> </w:t>
      </w:r>
      <w:r>
        <w:rPr>
          <w:strike w:val="0"/>
        </w:rPr>
        <w:t>of</w:t>
      </w:r>
      <w:r>
        <w:rPr>
          <w:strike w:val="0"/>
          <w:spacing w:val="-8"/>
        </w:rPr>
        <w:t> </w:t>
      </w:r>
      <w:r>
        <w:rPr>
          <w:strike w:val="0"/>
        </w:rPr>
        <w:t>the</w:t>
      </w:r>
      <w:r>
        <w:rPr>
          <w:strike w:val="0"/>
          <w:spacing w:val="-10"/>
        </w:rPr>
        <w:t> </w:t>
      </w:r>
      <w:r>
        <w:rPr>
          <w:strike w:val="0"/>
        </w:rPr>
        <w:t>bill,</w:t>
      </w:r>
      <w:r>
        <w:rPr>
          <w:strike w:val="0"/>
          <w:spacing w:val="-8"/>
        </w:rPr>
        <w:t> </w:t>
      </w:r>
      <w:r>
        <w:rPr>
          <w:strike w:val="0"/>
        </w:rPr>
        <w:t>and</w:t>
      </w:r>
      <w:r>
        <w:rPr>
          <w:strike w:val="0"/>
          <w:spacing w:val="-10"/>
        </w:rPr>
        <w:t> </w:t>
      </w:r>
      <w:r>
        <w:rPr>
          <w:strike w:val="0"/>
        </w:rPr>
        <w:t>make</w:t>
      </w:r>
      <w:r>
        <w:rPr>
          <w:strike w:val="0"/>
          <w:spacing w:val="-8"/>
        </w:rPr>
        <w:t> </w:t>
      </w:r>
      <w:r>
        <w:rPr>
          <w:strike w:val="0"/>
        </w:rPr>
        <w:t>various</w:t>
      </w:r>
      <w:r>
        <w:rPr>
          <w:strike w:val="0"/>
          <w:spacing w:val="-9"/>
        </w:rPr>
        <w:t> </w:t>
      </w:r>
      <w:r>
        <w:rPr>
          <w:strike w:val="0"/>
        </w:rPr>
        <w:t>changes to reflect its actions. The California Constitution requires the Legislature to pass the Budget</w:t>
      </w:r>
      <w:r>
        <w:rPr>
          <w:strike w:val="0"/>
          <w:spacing w:val="-14"/>
        </w:rPr>
        <w:t> </w:t>
      </w:r>
      <w:r>
        <w:rPr>
          <w:strike w:val="0"/>
        </w:rPr>
        <w:t>Bill</w:t>
      </w:r>
      <w:r>
        <w:rPr>
          <w:strike w:val="0"/>
          <w:spacing w:val="-13"/>
        </w:rPr>
        <w:t> </w:t>
      </w:r>
      <w:r>
        <w:rPr>
          <w:strike w:val="0"/>
        </w:rPr>
        <w:t>and</w:t>
      </w:r>
      <w:r>
        <w:rPr>
          <w:strike w:val="0"/>
          <w:spacing w:val="-14"/>
        </w:rPr>
        <w:t> </w:t>
      </w:r>
      <w:r>
        <w:rPr>
          <w:strike w:val="0"/>
        </w:rPr>
        <w:t>send</w:t>
      </w:r>
      <w:r>
        <w:rPr>
          <w:strike w:val="0"/>
          <w:spacing w:val="-12"/>
        </w:rPr>
        <w:t> </w:t>
      </w:r>
      <w:r>
        <w:rPr>
          <w:strike w:val="0"/>
        </w:rPr>
        <w:t>it</w:t>
      </w:r>
      <w:r>
        <w:rPr>
          <w:strike w:val="0"/>
          <w:spacing w:val="-15"/>
        </w:rPr>
        <w:t> </w:t>
      </w:r>
      <w:r>
        <w:rPr>
          <w:strike w:val="0"/>
          <w:color w:val="2E97D3"/>
          <w:u w:val="single" w:color="2E97D3"/>
        </w:rPr>
        <w:t>to</w:t>
      </w:r>
      <w:r>
        <w:rPr>
          <w:strike w:val="0"/>
          <w:color w:val="2E97D3"/>
          <w:spacing w:val="-12"/>
          <w:u w:val="single" w:color="2E97D3"/>
        </w:rPr>
        <w:t> </w:t>
      </w:r>
      <w:r>
        <w:rPr>
          <w:strike w:val="0"/>
          <w:color w:val="2E97D3"/>
          <w:u w:val="single" w:color="2E97D3"/>
        </w:rPr>
        <w:t>the</w:t>
      </w:r>
      <w:r>
        <w:rPr>
          <w:strike w:val="0"/>
          <w:color w:val="2E97D3"/>
          <w:spacing w:val="-12"/>
          <w:u w:val="single" w:color="2E97D3"/>
        </w:rPr>
        <w:t> </w:t>
      </w:r>
      <w:r>
        <w:rPr>
          <w:strike w:val="0"/>
          <w:color w:val="2E97D3"/>
          <w:u w:val="single" w:color="2E97D3"/>
        </w:rPr>
        <w:t>Governor</w:t>
      </w:r>
      <w:r>
        <w:rPr>
          <w:strike w:val="0"/>
          <w:color w:val="2E97D3"/>
          <w:spacing w:val="-14"/>
          <w:u w:val="single" w:color="2E97D3"/>
        </w:rPr>
        <w:t> </w:t>
      </w:r>
      <w:r>
        <w:rPr>
          <w:strike w:val="0"/>
        </w:rPr>
        <w:t>by</w:t>
      </w:r>
      <w:r>
        <w:rPr>
          <w:strike w:val="0"/>
          <w:spacing w:val="-15"/>
        </w:rPr>
        <w:t> </w:t>
      </w:r>
      <w:r>
        <w:rPr>
          <w:strike w:val="0"/>
          <w:color w:val="2E97D3"/>
          <w:u w:val="single" w:color="2E97D3"/>
        </w:rPr>
        <w:t>midnight</w:t>
      </w:r>
      <w:r>
        <w:rPr>
          <w:strike w:val="0"/>
          <w:color w:val="2E97D3"/>
          <w:spacing w:val="-12"/>
          <w:u w:val="single" w:color="2E97D3"/>
        </w:rPr>
        <w:t> </w:t>
      </w:r>
      <w:r>
        <w:rPr>
          <w:strike w:val="0"/>
          <w:color w:val="2E97D3"/>
          <w:u w:val="single" w:color="2E97D3"/>
        </w:rPr>
        <w:t>on</w:t>
      </w:r>
      <w:r>
        <w:rPr>
          <w:strike w:val="0"/>
          <w:color w:val="2E97D3"/>
          <w:spacing w:val="-13"/>
          <w:u w:val="single" w:color="2E97D3"/>
        </w:rPr>
        <w:t> </w:t>
      </w:r>
      <w:r>
        <w:rPr>
          <w:strike w:val="0"/>
        </w:rPr>
        <w:t>June</w:t>
      </w:r>
      <w:r>
        <w:rPr>
          <w:strike w:val="0"/>
          <w:spacing w:val="-12"/>
        </w:rPr>
        <w:t> </w:t>
      </w:r>
      <w:r>
        <w:rPr>
          <w:strike w:val="0"/>
        </w:rPr>
        <w:t>15</w:t>
      </w:r>
      <w:r>
        <w:rPr>
          <w:strike w:val="0"/>
          <w:spacing w:val="-12"/>
        </w:rPr>
        <w:t> </w:t>
      </w:r>
      <w:r>
        <w:rPr>
          <w:strike w:val="0"/>
        </w:rPr>
        <w:t>each</w:t>
      </w:r>
      <w:r>
        <w:rPr>
          <w:strike w:val="0"/>
          <w:spacing w:val="-14"/>
        </w:rPr>
        <w:t> </w:t>
      </w:r>
      <w:r>
        <w:rPr>
          <w:strike w:val="0"/>
        </w:rPr>
        <w:t>year</w:t>
      </w:r>
      <w:r>
        <w:rPr>
          <w:strike w:val="0"/>
          <w:spacing w:val="-13"/>
        </w:rPr>
        <w:t> </w:t>
      </w:r>
      <w:r>
        <w:rPr>
          <w:strike/>
          <w:color w:val="2E97D3"/>
        </w:rPr>
        <w:t>to</w:t>
      </w:r>
      <w:r>
        <w:rPr>
          <w:strike/>
          <w:color w:val="2E97D3"/>
          <w:spacing w:val="-12"/>
        </w:rPr>
        <w:t> </w:t>
      </w:r>
      <w:r>
        <w:rPr>
          <w:strike/>
          <w:color w:val="2E97D3"/>
        </w:rPr>
        <w:t>the</w:t>
      </w:r>
      <w:r>
        <w:rPr>
          <w:strike/>
          <w:color w:val="2E97D3"/>
          <w:spacing w:val="-12"/>
        </w:rPr>
        <w:t> </w:t>
      </w:r>
      <w:r>
        <w:rPr>
          <w:strike/>
          <w:color w:val="2E97D3"/>
        </w:rPr>
        <w:t>Governor </w:t>
      </w:r>
      <w:r>
        <w:rPr>
          <w:strike w:val="0"/>
        </w:rPr>
        <w:t>for</w:t>
      </w:r>
      <w:r>
        <w:rPr>
          <w:strike w:val="0"/>
          <w:spacing w:val="-11"/>
        </w:rPr>
        <w:t> </w:t>
      </w:r>
      <w:r>
        <w:rPr>
          <w:strike w:val="0"/>
        </w:rPr>
        <w:t>signature.</w:t>
      </w:r>
      <w:r>
        <w:rPr>
          <w:strike w:val="0"/>
          <w:spacing w:val="45"/>
        </w:rPr>
        <w:t> </w:t>
      </w:r>
      <w:r>
        <w:rPr>
          <w:strike w:val="0"/>
        </w:rPr>
        <w:t>The</w:t>
      </w:r>
      <w:r>
        <w:rPr>
          <w:strike w:val="0"/>
          <w:spacing w:val="-12"/>
        </w:rPr>
        <w:t> </w:t>
      </w:r>
      <w:r>
        <w:rPr>
          <w:strike w:val="0"/>
        </w:rPr>
        <w:t>Budget</w:t>
      </w:r>
      <w:r>
        <w:rPr>
          <w:strike w:val="0"/>
          <w:spacing w:val="-10"/>
        </w:rPr>
        <w:t> </w:t>
      </w:r>
      <w:r>
        <w:rPr>
          <w:strike w:val="0"/>
        </w:rPr>
        <w:t>Bill</w:t>
      </w:r>
      <w:r>
        <w:rPr>
          <w:strike w:val="0"/>
          <w:spacing w:val="-11"/>
        </w:rPr>
        <w:t> </w:t>
      </w:r>
      <w:r>
        <w:rPr>
          <w:strike w:val="0"/>
        </w:rPr>
        <w:t>sent</w:t>
      </w:r>
      <w:r>
        <w:rPr>
          <w:strike w:val="0"/>
          <w:spacing w:val="-10"/>
        </w:rPr>
        <w:t> </w:t>
      </w:r>
      <w:r>
        <w:rPr>
          <w:strike w:val="0"/>
        </w:rPr>
        <w:t>to</w:t>
      </w:r>
      <w:r>
        <w:rPr>
          <w:strike w:val="0"/>
          <w:spacing w:val="-9"/>
        </w:rPr>
        <w:t> </w:t>
      </w:r>
      <w:r>
        <w:rPr>
          <w:strike w:val="0"/>
        </w:rPr>
        <w:t>the</w:t>
      </w:r>
      <w:r>
        <w:rPr>
          <w:strike w:val="0"/>
          <w:spacing w:val="-9"/>
        </w:rPr>
        <w:t> </w:t>
      </w:r>
      <w:r>
        <w:rPr>
          <w:strike w:val="0"/>
        </w:rPr>
        <w:t>Governor</w:t>
      </w:r>
      <w:r>
        <w:rPr>
          <w:strike w:val="0"/>
          <w:spacing w:val="-11"/>
        </w:rPr>
        <w:t> </w:t>
      </w:r>
      <w:r>
        <w:rPr>
          <w:strike w:val="0"/>
        </w:rPr>
        <w:t>must</w:t>
      </w:r>
      <w:r>
        <w:rPr>
          <w:strike w:val="0"/>
          <w:spacing w:val="-12"/>
        </w:rPr>
        <w:t> </w:t>
      </w:r>
      <w:r>
        <w:rPr>
          <w:strike/>
          <w:color w:val="2E97D3"/>
        </w:rPr>
        <w:t>be</w:t>
      </w:r>
      <w:r>
        <w:rPr>
          <w:strike w:val="0"/>
          <w:color w:val="2E97D3"/>
          <w:u w:val="single" w:color="2E97D3"/>
        </w:rPr>
        <w:t>represent</w:t>
      </w:r>
      <w:r>
        <w:rPr>
          <w:strike w:val="0"/>
          <w:color w:val="2E97D3"/>
          <w:spacing w:val="-10"/>
          <w:u w:val="single" w:color="2E97D3"/>
        </w:rPr>
        <w:t> </w:t>
      </w:r>
      <w:r>
        <w:rPr>
          <w:strike w:val="0"/>
          <w:color w:val="2E97D3"/>
          <w:u w:val="single" w:color="2E97D3"/>
        </w:rPr>
        <w:t>a</w:t>
      </w:r>
      <w:r>
        <w:rPr>
          <w:strike w:val="0"/>
          <w:color w:val="2E97D3"/>
          <w:spacing w:val="-9"/>
          <w:u w:val="single" w:color="2E97D3"/>
        </w:rPr>
        <w:t> </w:t>
      </w:r>
      <w:r>
        <w:rPr>
          <w:strike w:val="0"/>
        </w:rPr>
        <w:t>balanced</w:t>
      </w:r>
      <w:r>
        <w:rPr>
          <w:strike w:val="0"/>
          <w:spacing w:val="-13"/>
        </w:rPr>
        <w:t> </w:t>
      </w:r>
      <w:r>
        <w:rPr>
          <w:strike w:val="0"/>
          <w:color w:val="2E97D3"/>
          <w:u w:val="single" w:color="2E97D3"/>
        </w:rPr>
        <w:t>budget</w:t>
      </w:r>
      <w:r>
        <w:rPr>
          <w:strike w:val="0"/>
        </w:rPr>
        <w:t>, as</w:t>
      </w:r>
      <w:r>
        <w:rPr>
          <w:strike w:val="0"/>
          <w:spacing w:val="-15"/>
        </w:rPr>
        <w:t> </w:t>
      </w:r>
      <w:r>
        <w:rPr>
          <w:strike w:val="0"/>
        </w:rPr>
        <w:t>specified</w:t>
      </w:r>
      <w:r>
        <w:rPr>
          <w:strike w:val="0"/>
          <w:spacing w:val="-14"/>
        </w:rPr>
        <w:t> </w:t>
      </w:r>
      <w:r>
        <w:rPr>
          <w:strike w:val="0"/>
        </w:rPr>
        <w:t>in</w:t>
      </w:r>
      <w:r>
        <w:rPr>
          <w:strike w:val="0"/>
          <w:spacing w:val="-14"/>
        </w:rPr>
        <w:t> </w:t>
      </w:r>
      <w:r>
        <w:rPr>
          <w:strike w:val="0"/>
        </w:rPr>
        <w:t>the</w:t>
      </w:r>
      <w:r>
        <w:rPr>
          <w:strike w:val="0"/>
          <w:spacing w:val="-14"/>
        </w:rPr>
        <w:t> </w:t>
      </w:r>
      <w:r>
        <w:rPr>
          <w:strike w:val="0"/>
        </w:rPr>
        <w:t>Constitution.</w:t>
      </w:r>
      <w:r>
        <w:rPr>
          <w:strike w:val="0"/>
          <w:spacing w:val="38"/>
        </w:rPr>
        <w:t> </w:t>
      </w:r>
      <w:r>
        <w:rPr>
          <w:strike w:val="0"/>
        </w:rPr>
        <w:t>After</w:t>
      </w:r>
      <w:r>
        <w:rPr>
          <w:strike w:val="0"/>
          <w:spacing w:val="-16"/>
        </w:rPr>
        <w:t> </w:t>
      </w:r>
      <w:r>
        <w:rPr>
          <w:strike w:val="0"/>
        </w:rPr>
        <w:t>signature</w:t>
      </w:r>
      <w:r>
        <w:rPr>
          <w:strike w:val="0"/>
          <w:spacing w:val="-14"/>
        </w:rPr>
        <w:t> </w:t>
      </w:r>
      <w:r>
        <w:rPr>
          <w:strike w:val="0"/>
        </w:rPr>
        <w:t>by</w:t>
      </w:r>
      <w:r>
        <w:rPr>
          <w:strike w:val="0"/>
          <w:spacing w:val="-17"/>
        </w:rPr>
        <w:t> </w:t>
      </w:r>
      <w:r>
        <w:rPr>
          <w:strike w:val="0"/>
        </w:rPr>
        <w:t>the</w:t>
      </w:r>
      <w:r>
        <w:rPr>
          <w:strike w:val="0"/>
          <w:spacing w:val="-14"/>
        </w:rPr>
        <w:t> </w:t>
      </w:r>
      <w:r>
        <w:rPr>
          <w:strike w:val="0"/>
        </w:rPr>
        <w:t>Governor,</w:t>
      </w:r>
      <w:r>
        <w:rPr>
          <w:strike w:val="0"/>
          <w:spacing w:val="-14"/>
        </w:rPr>
        <w:t> </w:t>
      </w:r>
      <w:r>
        <w:rPr>
          <w:strike w:val="0"/>
        </w:rPr>
        <w:t>the</w:t>
      </w:r>
      <w:r>
        <w:rPr>
          <w:strike w:val="0"/>
          <w:spacing w:val="-16"/>
        </w:rPr>
        <w:t> </w:t>
      </w:r>
      <w:r>
        <w:rPr>
          <w:strike w:val="0"/>
        </w:rPr>
        <w:t>Budget</w:t>
      </w:r>
      <w:r>
        <w:rPr>
          <w:strike w:val="0"/>
          <w:spacing w:val="-14"/>
        </w:rPr>
        <w:t> </w:t>
      </w:r>
      <w:r>
        <w:rPr>
          <w:strike w:val="0"/>
        </w:rPr>
        <w:t>Bill</w:t>
      </w:r>
      <w:r>
        <w:rPr>
          <w:strike w:val="0"/>
          <w:spacing w:val="-15"/>
        </w:rPr>
        <w:t> </w:t>
      </w:r>
      <w:r>
        <w:rPr>
          <w:strike w:val="0"/>
        </w:rPr>
        <w:t>becomes the Budget</w:t>
      </w:r>
      <w:r>
        <w:rPr>
          <w:strike w:val="0"/>
          <w:spacing w:val="-6"/>
        </w:rPr>
        <w:t> </w:t>
      </w:r>
      <w:r>
        <w:rPr>
          <w:strike w:val="0"/>
        </w:rPr>
        <w:t>Act.</w:t>
      </w:r>
    </w:p>
    <w:p>
      <w:pPr>
        <w:pStyle w:val="BodyText"/>
        <w:rPr>
          <w:sz w:val="20"/>
        </w:rPr>
      </w:pPr>
    </w:p>
    <w:p>
      <w:pPr>
        <w:pStyle w:val="BodyText"/>
        <w:rPr>
          <w:sz w:val="20"/>
        </w:rPr>
      </w:pPr>
    </w:p>
    <w:p>
      <w:pPr>
        <w:pStyle w:val="BodyText"/>
        <w:spacing w:before="2" w:after="1"/>
        <w:rPr>
          <w:sz w:val="12"/>
        </w:rPr>
      </w:pPr>
    </w:p>
    <w:tbl>
      <w:tblPr>
        <w:tblW w:w="0" w:type="auto"/>
        <w:jc w:val="left"/>
        <w:tblInd w:w="7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61"/>
        <w:gridCol w:w="1632"/>
        <w:gridCol w:w="1607"/>
        <w:gridCol w:w="609"/>
        <w:gridCol w:w="753"/>
        <w:gridCol w:w="3100"/>
      </w:tblGrid>
      <w:tr>
        <w:trPr>
          <w:trHeight w:val="272" w:hRule="exact"/>
        </w:trPr>
        <w:tc>
          <w:tcPr>
            <w:tcW w:w="1761" w:type="dxa"/>
          </w:tcPr>
          <w:p>
            <w:pPr>
              <w:pStyle w:val="TableParagraph"/>
              <w:spacing w:line="268" w:lineRule="exact"/>
              <w:ind w:left="50"/>
              <w:rPr>
                <w:b/>
                <w:sz w:val="24"/>
              </w:rPr>
            </w:pPr>
            <w:r>
              <w:rPr>
                <w:b/>
                <w:sz w:val="24"/>
              </w:rPr>
              <w:t>LEGISLATIVE</w:t>
            </w:r>
          </w:p>
        </w:tc>
        <w:tc>
          <w:tcPr>
            <w:tcW w:w="1632" w:type="dxa"/>
          </w:tcPr>
          <w:p>
            <w:pPr>
              <w:pStyle w:val="TableParagraph"/>
              <w:spacing w:line="268" w:lineRule="exact"/>
              <w:ind w:left="139"/>
              <w:rPr>
                <w:b/>
                <w:sz w:val="24"/>
              </w:rPr>
            </w:pPr>
            <w:r>
              <w:rPr>
                <w:b/>
                <w:sz w:val="24"/>
              </w:rPr>
              <w:t>ANALYST’S</w:t>
            </w:r>
          </w:p>
        </w:tc>
        <w:tc>
          <w:tcPr>
            <w:tcW w:w="1607" w:type="dxa"/>
          </w:tcPr>
          <w:p>
            <w:pPr>
              <w:pStyle w:val="TableParagraph"/>
              <w:spacing w:line="268" w:lineRule="exact"/>
              <w:ind w:left="137"/>
              <w:rPr>
                <w:b/>
                <w:sz w:val="24"/>
              </w:rPr>
            </w:pPr>
            <w:r>
              <w:rPr>
                <w:b/>
                <w:strike/>
                <w:color w:val="2E97D3"/>
                <w:sz w:val="24"/>
              </w:rPr>
              <w:t>“</w:t>
            </w:r>
            <w:r>
              <w:rPr>
                <w:b/>
                <w:strike w:val="0"/>
                <w:sz w:val="24"/>
              </w:rPr>
              <w:t>ANALYSIS</w:t>
            </w:r>
          </w:p>
        </w:tc>
        <w:tc>
          <w:tcPr>
            <w:tcW w:w="609" w:type="dxa"/>
          </w:tcPr>
          <w:p>
            <w:pPr>
              <w:pStyle w:val="TableParagraph"/>
              <w:spacing w:line="268" w:lineRule="exact"/>
              <w:ind w:left="138"/>
              <w:rPr>
                <w:b/>
                <w:sz w:val="24"/>
              </w:rPr>
            </w:pPr>
            <w:r>
              <w:rPr>
                <w:b/>
                <w:sz w:val="24"/>
              </w:rPr>
              <w:t>OF</w:t>
            </w:r>
          </w:p>
        </w:tc>
        <w:tc>
          <w:tcPr>
            <w:tcW w:w="753" w:type="dxa"/>
          </w:tcPr>
          <w:p>
            <w:pPr>
              <w:pStyle w:val="TableParagraph"/>
              <w:spacing w:line="268" w:lineRule="exact"/>
              <w:ind w:left="136"/>
              <w:rPr>
                <w:b/>
                <w:sz w:val="24"/>
              </w:rPr>
            </w:pPr>
            <w:r>
              <w:rPr>
                <w:b/>
                <w:sz w:val="24"/>
              </w:rPr>
              <w:t>THE</w:t>
            </w:r>
          </w:p>
        </w:tc>
        <w:tc>
          <w:tcPr>
            <w:tcW w:w="3100" w:type="dxa"/>
          </w:tcPr>
          <w:p>
            <w:pPr>
              <w:pStyle w:val="TableParagraph"/>
              <w:tabs>
                <w:tab w:pos="1898" w:val="left" w:leader="none"/>
              </w:tabs>
              <w:spacing w:line="268" w:lineRule="exact"/>
              <w:ind w:right="49"/>
              <w:jc w:val="right"/>
              <w:rPr>
                <w:b/>
                <w:sz w:val="24"/>
              </w:rPr>
            </w:pPr>
            <w:r>
              <w:rPr>
                <w:b/>
                <w:color w:val="2E97D3"/>
                <w:sz w:val="24"/>
                <w:u w:val="thick" w:color="2E97D3"/>
              </w:rPr>
              <w:t>GOVERNOR’S</w:t>
              <w:tab/>
            </w:r>
            <w:r>
              <w:rPr>
                <w:b/>
                <w:spacing w:val="-1"/>
                <w:sz w:val="24"/>
              </w:rPr>
              <w:t>BUDGET</w:t>
            </w:r>
          </w:p>
        </w:tc>
      </w:tr>
      <w:tr>
        <w:trPr>
          <w:trHeight w:val="272" w:hRule="exact"/>
        </w:trPr>
        <w:tc>
          <w:tcPr>
            <w:tcW w:w="1761" w:type="dxa"/>
          </w:tcPr>
          <w:p>
            <w:pPr>
              <w:pStyle w:val="TableParagraph"/>
              <w:spacing w:line="272" w:lineRule="exact"/>
              <w:ind w:left="50"/>
              <w:rPr>
                <w:b/>
                <w:sz w:val="24"/>
              </w:rPr>
            </w:pPr>
            <w:r>
              <w:rPr>
                <w:b/>
                <w:strike/>
                <w:color w:val="2E97D3"/>
                <w:sz w:val="24"/>
              </w:rPr>
              <w:t>BILL”</w:t>
            </w:r>
          </w:p>
        </w:tc>
        <w:tc>
          <w:tcPr>
            <w:tcW w:w="1632" w:type="dxa"/>
          </w:tcPr>
          <w:p>
            <w:pPr/>
          </w:p>
        </w:tc>
        <w:tc>
          <w:tcPr>
            <w:tcW w:w="1607" w:type="dxa"/>
          </w:tcPr>
          <w:p>
            <w:pPr/>
          </w:p>
        </w:tc>
        <w:tc>
          <w:tcPr>
            <w:tcW w:w="609" w:type="dxa"/>
          </w:tcPr>
          <w:p>
            <w:pPr/>
          </w:p>
        </w:tc>
        <w:tc>
          <w:tcPr>
            <w:tcW w:w="753" w:type="dxa"/>
          </w:tcPr>
          <w:p>
            <w:pPr/>
          </w:p>
        </w:tc>
        <w:tc>
          <w:tcPr>
            <w:tcW w:w="3100" w:type="dxa"/>
          </w:tcPr>
          <w:p>
            <w:pPr>
              <w:pStyle w:val="TableParagraph"/>
              <w:spacing w:line="272" w:lineRule="exact"/>
              <w:ind w:right="48"/>
              <w:jc w:val="right"/>
              <w:rPr>
                <w:b/>
                <w:sz w:val="24"/>
              </w:rPr>
            </w:pPr>
            <w:r>
              <w:rPr>
                <w:b/>
                <w:sz w:val="24"/>
              </w:rPr>
              <w:t>6330</w:t>
            </w:r>
          </w:p>
        </w:tc>
      </w:tr>
    </w:tbl>
    <w:p>
      <w:pPr>
        <w:spacing w:before="0"/>
        <w:ind w:left="820" w:right="0" w:firstLine="0"/>
        <w:jc w:val="both"/>
        <w:rPr>
          <w:sz w:val="24"/>
        </w:rPr>
      </w:pPr>
      <w:r>
        <w:rPr/>
        <w:pict>
          <v:line style="position:absolute;mso-position-horizontal-relative:page;mso-position-vertical-relative:paragraph;z-index:7168" from="36.360001pt,-43.22414pt" to="36.360001pt,14.01586pt" stroked="true" strokeweight=".72pt" strokecolor="#000000">
            <v:stroke dashstyle="solid"/>
            <w10:wrap type="none"/>
          </v:line>
        </w:pict>
      </w:r>
      <w:r>
        <w:rPr>
          <w:sz w:val="24"/>
        </w:rPr>
        <w:t>(Revised </w:t>
      </w:r>
      <w:r>
        <w:rPr>
          <w:rFonts w:ascii="Times New Roman"/>
          <w:b/>
          <w:strike/>
          <w:color w:val="2E97D3"/>
          <w:sz w:val="16"/>
        </w:rPr>
        <w:t>9/2010</w:t>
      </w:r>
      <w:r>
        <w:rPr>
          <w:strike w:val="0"/>
          <w:color w:val="2E97D3"/>
          <w:sz w:val="24"/>
          <w:u w:val="single" w:color="2E97D3"/>
        </w:rPr>
        <w:t>10/2017</w:t>
      </w:r>
      <w:r>
        <w:rPr>
          <w:strike w:val="0"/>
          <w:sz w:val="24"/>
        </w:rPr>
        <w:t>)</w:t>
      </w:r>
    </w:p>
    <w:p>
      <w:pPr>
        <w:spacing w:before="182"/>
        <w:ind w:left="820" w:right="333" w:firstLine="0"/>
        <w:jc w:val="both"/>
        <w:rPr>
          <w:sz w:val="24"/>
        </w:rPr>
      </w:pPr>
      <w:r>
        <w:rPr/>
        <w:pict>
          <v:line style="position:absolute;mso-position-horizontal-relative:page;mso-position-vertical-relative:paragraph;z-index:7192" from="36.360001pt,9.315845pt" to="36.360001pt,125.715845pt" stroked="true" strokeweight=".72pt" strokecolor="#000000">
            <v:stroke dashstyle="solid"/>
            <w10:wrap type="none"/>
          </v:line>
        </w:pict>
      </w:r>
      <w:r>
        <w:rPr>
          <w:rFonts w:ascii="Times New Roman" w:hAnsi="Times New Roman"/>
          <w:b/>
          <w:strike/>
          <w:color w:val="2E97D3"/>
          <w:sz w:val="16"/>
        </w:rPr>
        <w:t>The </w:t>
      </w:r>
      <w:r>
        <w:rPr>
          <w:strike w:val="0"/>
          <w:color w:val="2E97D3"/>
          <w:sz w:val="24"/>
          <w:u w:val="single" w:color="2E97D3"/>
        </w:rPr>
        <w:t>Following release of the annual Governor’s Budget and related Budget Bill, the </w:t>
      </w:r>
      <w:r>
        <w:rPr>
          <w:strike w:val="0"/>
          <w:sz w:val="24"/>
        </w:rPr>
        <w:t>Legislative </w:t>
      </w:r>
      <w:r>
        <w:rPr>
          <w:rFonts w:ascii="Times New Roman" w:hAnsi="Times New Roman"/>
          <w:b/>
          <w:strike/>
          <w:color w:val="2E97D3"/>
          <w:sz w:val="16"/>
        </w:rPr>
        <w:t>Analyst </w:t>
      </w:r>
      <w:r>
        <w:rPr>
          <w:strike w:val="0"/>
          <w:color w:val="2E97D3"/>
          <w:sz w:val="24"/>
          <w:u w:val="single" w:color="2E97D3"/>
        </w:rPr>
        <w:t>Analyst’s Office </w:t>
      </w:r>
      <w:r>
        <w:rPr>
          <w:strike w:val="0"/>
          <w:sz w:val="24"/>
        </w:rPr>
        <w:t>prepares an "Analysis of the </w:t>
      </w:r>
      <w:r>
        <w:rPr>
          <w:rFonts w:ascii="Times New Roman" w:hAnsi="Times New Roman"/>
          <w:b/>
          <w:strike/>
          <w:color w:val="2E97D3"/>
          <w:sz w:val="16"/>
        </w:rPr>
        <w:t>Budget Bill.” This report provides for an independent</w:t>
      </w:r>
      <w:r>
        <w:rPr>
          <w:strike w:val="0"/>
          <w:color w:val="2E97D3"/>
          <w:sz w:val="24"/>
          <w:u w:val="single" w:color="2E97D3"/>
        </w:rPr>
        <w:t>Governor’s Budget”, as well as a series of publications covering various programs and departments. These reports provide comprehensive, </w:t>
      </w:r>
      <w:r>
        <w:rPr>
          <w:strike w:val="0"/>
          <w:sz w:val="24"/>
        </w:rPr>
        <w:t>non-partisan </w:t>
      </w:r>
      <w:r>
        <w:rPr>
          <w:rFonts w:ascii="Times New Roman" w:hAnsi="Times New Roman"/>
          <w:b/>
          <w:strike/>
          <w:color w:val="2E97D3"/>
          <w:sz w:val="16"/>
        </w:rPr>
        <w:t>review</w:t>
      </w:r>
      <w:r>
        <w:rPr>
          <w:strike w:val="0"/>
          <w:color w:val="2E97D3"/>
          <w:sz w:val="24"/>
          <w:u w:val="single" w:color="2E97D3"/>
        </w:rPr>
        <w:t>reviews </w:t>
      </w:r>
      <w:r>
        <w:rPr>
          <w:strike w:val="0"/>
          <w:sz w:val="24"/>
        </w:rPr>
        <w:t>and recommendations on the funding proposed in the Governor’s Budget. </w:t>
      </w:r>
      <w:r>
        <w:rPr>
          <w:rFonts w:ascii="Times New Roman" w:hAnsi="Times New Roman"/>
          <w:b/>
          <w:strike/>
          <w:color w:val="2E97D3"/>
          <w:sz w:val="16"/>
        </w:rPr>
        <w:t>Traditionally, this report is generally issued about the third week of February. The report</w:t>
      </w:r>
      <w:r>
        <w:rPr>
          <w:strike w:val="0"/>
          <w:color w:val="2E97D3"/>
          <w:sz w:val="24"/>
          <w:u w:val="single" w:color="2E97D3"/>
        </w:rPr>
        <w:t>The reports </w:t>
      </w:r>
      <w:r>
        <w:rPr>
          <w:strike w:val="0"/>
          <w:sz w:val="24"/>
        </w:rPr>
        <w:t>can be obtained </w:t>
      </w:r>
      <w:r>
        <w:rPr>
          <w:strike w:val="0"/>
          <w:color w:val="2E97D3"/>
          <w:sz w:val="24"/>
          <w:u w:val="single" w:color="2E97D3"/>
        </w:rPr>
        <w:t>in hard copy directly </w:t>
      </w:r>
      <w:r>
        <w:rPr>
          <w:strike w:val="0"/>
          <w:sz w:val="24"/>
        </w:rPr>
        <w:t>from the </w:t>
      </w:r>
      <w:r>
        <w:rPr>
          <w:rFonts w:ascii="Times New Roman" w:hAnsi="Times New Roman"/>
          <w:b/>
          <w:strike/>
          <w:color w:val="2E97D3"/>
          <w:sz w:val="16"/>
        </w:rPr>
        <w:t>Office of the </w:t>
      </w:r>
      <w:r>
        <w:rPr>
          <w:strike w:val="0"/>
          <w:sz w:val="24"/>
        </w:rPr>
        <w:t>Legislative </w:t>
      </w:r>
      <w:r>
        <w:rPr>
          <w:rFonts w:ascii="Times New Roman" w:hAnsi="Times New Roman"/>
          <w:b/>
          <w:strike/>
          <w:color w:val="2E97D3"/>
          <w:sz w:val="16"/>
        </w:rPr>
        <w:t>Analyst or on its</w:t>
      </w:r>
      <w:r>
        <w:rPr>
          <w:strike w:val="0"/>
          <w:color w:val="2E97D3"/>
          <w:sz w:val="24"/>
          <w:u w:val="single" w:color="2E97D3"/>
        </w:rPr>
        <w:t>Analyst’s Office and also on their </w:t>
      </w:r>
      <w:r>
        <w:rPr>
          <w:strike w:val="0"/>
          <w:sz w:val="24"/>
        </w:rPr>
        <w:t>website </w:t>
      </w:r>
      <w:r>
        <w:rPr>
          <w:rFonts w:ascii="Times New Roman" w:hAnsi="Times New Roman"/>
          <w:b/>
          <w:strike/>
          <w:color w:val="2E97D3"/>
          <w:sz w:val="16"/>
        </w:rPr>
        <w:t>at</w:t>
      </w:r>
      <w:r>
        <w:rPr>
          <w:strike w:val="0"/>
          <w:sz w:val="24"/>
        </w:rPr>
        <w:t>: </w:t>
      </w:r>
      <w:hyperlink r:id="rId53">
        <w:r>
          <w:rPr>
            <w:rFonts w:ascii="Times New Roman" w:hAnsi="Times New Roman"/>
            <w:b/>
            <w:strike/>
            <w:color w:val="2E97D3"/>
            <w:sz w:val="16"/>
            <w:u w:val="single" w:color="2E97D3"/>
          </w:rPr>
          <w:t>www.lao.ca.gov</w:t>
        </w:r>
      </w:hyperlink>
      <w:hyperlink r:id="rId53">
        <w:r>
          <w:rPr>
            <w:strike w:val="0"/>
            <w:color w:val="2E97D3"/>
            <w:sz w:val="24"/>
            <w:u w:val="single" w:color="2E97D3"/>
          </w:rPr>
          <w:t>www.lao.ca.gov</w:t>
        </w:r>
      </w:hyperlink>
      <w:r>
        <w:rPr>
          <w:strike w:val="0"/>
          <w:sz w:val="24"/>
        </w:rPr>
        <w:t>.</w:t>
      </w:r>
    </w:p>
    <w:p>
      <w:pPr>
        <w:pStyle w:val="BodyText"/>
        <w:rPr>
          <w:sz w:val="20"/>
        </w:rPr>
      </w:pPr>
    </w:p>
    <w:p>
      <w:pPr>
        <w:pStyle w:val="BodyText"/>
        <w:spacing w:before="5"/>
        <w:rPr>
          <w:sz w:val="27"/>
        </w:rPr>
      </w:pPr>
    </w:p>
    <w:p>
      <w:pPr>
        <w:pStyle w:val="Heading2"/>
        <w:tabs>
          <w:tab w:pos="9647" w:val="left" w:leader="none"/>
        </w:tabs>
        <w:spacing w:before="92"/>
        <w:ind w:left="820"/>
        <w:jc w:val="both"/>
      </w:pPr>
      <w:r>
        <w:rPr/>
        <w:pict>
          <v:line style="position:absolute;mso-position-horizontal-relative:page;mso-position-vertical-relative:paragraph;z-index:7216" from="36.360001pt,18.615868pt" to="36.360001pt,46.215868pt" stroked="true" strokeweight=".72pt" strokecolor="#000000">
            <v:stroke dashstyle="solid"/>
            <w10:wrap type="none"/>
          </v:line>
        </w:pict>
      </w:r>
      <w:r>
        <w:rPr/>
        <w:t>BUDGET</w:t>
      </w:r>
      <w:r>
        <w:rPr>
          <w:spacing w:val="-1"/>
        </w:rPr>
        <w:t> </w:t>
      </w:r>
      <w:r>
        <w:rPr/>
        <w:t>ACT</w:t>
        <w:tab/>
        <w:t>6333</w:t>
      </w:r>
    </w:p>
    <w:p>
      <w:pPr>
        <w:pStyle w:val="BodyText"/>
        <w:ind w:left="820" w:right="7538"/>
      </w:pPr>
      <w:r>
        <w:rPr>
          <w:strike/>
          <w:color w:val="2E97D3"/>
        </w:rPr>
        <w:t>(Revised 9/2010) </w:t>
      </w:r>
      <w:r>
        <w:rPr>
          <w:strike w:val="0"/>
          <w:color w:val="2C6234"/>
          <w:u w:val="thick" w:color="2C6234"/>
        </w:rPr>
        <w:t>(Revised 09/2017)</w:t>
      </w:r>
    </w:p>
    <w:p>
      <w:pPr>
        <w:spacing w:line="240" w:lineRule="auto" w:before="185"/>
        <w:ind w:left="820" w:right="153" w:firstLine="0"/>
        <w:jc w:val="both"/>
        <w:rPr>
          <w:sz w:val="24"/>
        </w:rPr>
      </w:pPr>
      <w:r>
        <w:rPr/>
        <w:pict>
          <v:line style="position:absolute;mso-position-horizontal-relative:page;mso-position-vertical-relative:paragraph;z-index:-465568" from="337.799988pt,32.325851pt" to="340.080988pt,32.325851pt" stroked="true" strokeweight=".36pt" strokecolor="#2e97d3">
            <v:stroke dashstyle="solid"/>
            <w10:wrap type="none"/>
          </v:line>
        </w:pict>
      </w:r>
      <w:r>
        <w:rPr/>
        <w:pict>
          <v:line style="position:absolute;mso-position-horizontal-relative:page;mso-position-vertical-relative:paragraph;z-index:7240" from="36.360001pt,23.145853pt" to="36.360001pt,147.345853pt" stroked="true" strokeweight=".72pt" strokecolor="#000000">
            <v:stroke dashstyle="solid"/>
            <w10:wrap type="none"/>
          </v:line>
        </w:pict>
      </w:r>
      <w:r>
        <w:rPr>
          <w:sz w:val="24"/>
        </w:rPr>
        <w:t>A Budget Bill is introduced in each house of the Legislature at the time the Governor presents the proposed budget to the Legislature. These bills </w:t>
      </w:r>
      <w:r>
        <w:rPr>
          <w:rFonts w:ascii="Times New Roman" w:hAnsi="Times New Roman"/>
          <w:b/>
          <w:strike/>
          <w:color w:val="2E97D3"/>
          <w:sz w:val="16"/>
        </w:rPr>
        <w:t>propose </w:t>
      </w:r>
      <w:r>
        <w:rPr>
          <w:strike w:val="0"/>
          <w:color w:val="2E97D3"/>
          <w:sz w:val="24"/>
          <w:u w:val="single" w:color="2E97D3"/>
        </w:rPr>
        <w:t>are amended by </w:t>
      </w:r>
      <w:r>
        <w:rPr>
          <w:strike w:val="0"/>
          <w:sz w:val="24"/>
        </w:rPr>
        <w:t>the </w:t>
      </w:r>
      <w:r>
        <w:rPr>
          <w:rFonts w:ascii="Times New Roman" w:hAnsi="Times New Roman"/>
          <w:b/>
          <w:strike/>
          <w:color w:val="2E97D3"/>
          <w:sz w:val="16"/>
        </w:rPr>
        <w:t>major</w:t>
      </w:r>
      <w:r>
        <w:rPr>
          <w:rFonts w:ascii="Times New Roman" w:hAnsi="Times New Roman"/>
          <w:b/>
          <w:strike/>
          <w:color w:val="2E97D3"/>
          <w:spacing w:val="-6"/>
          <w:sz w:val="16"/>
        </w:rPr>
        <w:t> </w:t>
      </w:r>
      <w:r>
        <w:rPr>
          <w:rFonts w:ascii="Times New Roman" w:hAnsi="Times New Roman"/>
          <w:b/>
          <w:strike/>
          <w:color w:val="2E97D3"/>
          <w:sz w:val="16"/>
        </w:rPr>
        <w:t>part</w:t>
      </w:r>
      <w:r>
        <w:rPr>
          <w:rFonts w:ascii="Times New Roman" w:hAnsi="Times New Roman"/>
          <w:b/>
          <w:strike/>
          <w:color w:val="2E97D3"/>
          <w:spacing w:val="-10"/>
          <w:sz w:val="16"/>
        </w:rPr>
        <w:t> </w:t>
      </w:r>
      <w:r>
        <w:rPr>
          <w:rFonts w:ascii="Times New Roman" w:hAnsi="Times New Roman"/>
          <w:b/>
          <w:strike/>
          <w:color w:val="2E97D3"/>
          <w:sz w:val="16"/>
        </w:rPr>
        <w:t>of</w:t>
      </w:r>
      <w:r>
        <w:rPr>
          <w:rFonts w:ascii="Times New Roman" w:hAnsi="Times New Roman"/>
          <w:b/>
          <w:strike/>
          <w:color w:val="2E97D3"/>
          <w:spacing w:val="-7"/>
          <w:sz w:val="16"/>
        </w:rPr>
        <w:t> </w:t>
      </w:r>
      <w:r>
        <w:rPr>
          <w:rFonts w:ascii="Times New Roman" w:hAnsi="Times New Roman"/>
          <w:b/>
          <w:strike/>
          <w:color w:val="2E97D3"/>
          <w:sz w:val="16"/>
        </w:rPr>
        <w:t>the</w:t>
      </w:r>
      <w:r>
        <w:rPr>
          <w:rFonts w:ascii="Times New Roman" w:hAnsi="Times New Roman"/>
          <w:b/>
          <w:strike/>
          <w:color w:val="2E97D3"/>
          <w:spacing w:val="-8"/>
          <w:sz w:val="16"/>
        </w:rPr>
        <w:t> </w:t>
      </w:r>
      <w:r>
        <w:rPr>
          <w:rFonts w:ascii="Times New Roman" w:hAnsi="Times New Roman"/>
          <w:b/>
          <w:strike/>
          <w:color w:val="2E97D3"/>
          <w:sz w:val="16"/>
        </w:rPr>
        <w:t>expenditure</w:t>
      </w:r>
      <w:r>
        <w:rPr>
          <w:rFonts w:ascii="Times New Roman" w:hAnsi="Times New Roman"/>
          <w:b/>
          <w:strike/>
          <w:color w:val="2E97D3"/>
          <w:spacing w:val="-8"/>
          <w:sz w:val="16"/>
        </w:rPr>
        <w:t> </w:t>
      </w:r>
      <w:r>
        <w:rPr>
          <w:rFonts w:ascii="Times New Roman" w:hAnsi="Times New Roman"/>
          <w:b/>
          <w:strike/>
          <w:color w:val="2E97D3"/>
          <w:sz w:val="16"/>
        </w:rPr>
        <w:t>authority</w:t>
      </w:r>
      <w:r>
        <w:rPr>
          <w:rFonts w:ascii="Times New Roman" w:hAnsi="Times New Roman"/>
          <w:b/>
          <w:strike/>
          <w:color w:val="2E97D3"/>
          <w:spacing w:val="-8"/>
          <w:sz w:val="16"/>
        </w:rPr>
        <w:t> </w:t>
      </w:r>
      <w:r>
        <w:rPr>
          <w:rFonts w:ascii="Times New Roman" w:hAnsi="Times New Roman"/>
          <w:b/>
          <w:strike/>
          <w:color w:val="2E97D3"/>
          <w:sz w:val="16"/>
        </w:rPr>
        <w:t>(appropriations)</w:t>
      </w:r>
      <w:r>
        <w:rPr>
          <w:rFonts w:ascii="Times New Roman" w:hAnsi="Times New Roman"/>
          <w:b/>
          <w:strike/>
          <w:color w:val="2E97D3"/>
          <w:spacing w:val="-10"/>
          <w:sz w:val="16"/>
        </w:rPr>
        <w:t> </w:t>
      </w:r>
      <w:r>
        <w:rPr>
          <w:rFonts w:ascii="Times New Roman" w:hAnsi="Times New Roman"/>
          <w:b/>
          <w:strike/>
          <w:color w:val="2E97D3"/>
          <w:sz w:val="16"/>
        </w:rPr>
        <w:t>for</w:t>
      </w:r>
      <w:r>
        <w:rPr>
          <w:rFonts w:ascii="Times New Roman" w:hAnsi="Times New Roman"/>
          <w:b/>
          <w:strike/>
          <w:color w:val="2E97D3"/>
          <w:spacing w:val="-6"/>
          <w:sz w:val="16"/>
        </w:rPr>
        <w:t> </w:t>
      </w:r>
      <w:r>
        <w:rPr>
          <w:rFonts w:ascii="Times New Roman" w:hAnsi="Times New Roman"/>
          <w:b/>
          <w:strike/>
          <w:color w:val="2E97D3"/>
          <w:sz w:val="16"/>
        </w:rPr>
        <w:t>the</w:t>
      </w:r>
      <w:r>
        <w:rPr>
          <w:rFonts w:ascii="Times New Roman" w:hAnsi="Times New Roman"/>
          <w:b/>
          <w:strike/>
          <w:color w:val="2E97D3"/>
          <w:spacing w:val="-8"/>
          <w:sz w:val="16"/>
        </w:rPr>
        <w:t> </w:t>
      </w:r>
      <w:r>
        <w:rPr>
          <w:rFonts w:ascii="Times New Roman" w:hAnsi="Times New Roman"/>
          <w:b/>
          <w:strike/>
          <w:color w:val="2E97D3"/>
          <w:sz w:val="16"/>
        </w:rPr>
        <w:t>purposes</w:t>
      </w:r>
      <w:r>
        <w:rPr>
          <w:rFonts w:ascii="Times New Roman" w:hAnsi="Times New Roman"/>
          <w:b/>
          <w:strike/>
          <w:color w:val="2E97D3"/>
          <w:spacing w:val="-7"/>
          <w:sz w:val="16"/>
        </w:rPr>
        <w:t> </w:t>
      </w:r>
      <w:r>
        <w:rPr>
          <w:rFonts w:ascii="Times New Roman" w:hAnsi="Times New Roman"/>
          <w:b/>
          <w:strike/>
          <w:color w:val="2E97D3"/>
          <w:sz w:val="16"/>
        </w:rPr>
        <w:t>stated</w:t>
      </w:r>
      <w:r>
        <w:rPr>
          <w:rFonts w:ascii="Times New Roman" w:hAnsi="Times New Roman"/>
          <w:b/>
          <w:strike/>
          <w:color w:val="2E97D3"/>
          <w:spacing w:val="-10"/>
          <w:sz w:val="16"/>
        </w:rPr>
        <w:t> </w:t>
      </w:r>
      <w:r>
        <w:rPr>
          <w:rFonts w:ascii="Times New Roman" w:hAnsi="Times New Roman"/>
          <w:b/>
          <w:strike/>
          <w:color w:val="2E97D3"/>
          <w:sz w:val="16"/>
        </w:rPr>
        <w:t>in</w:t>
      </w:r>
      <w:r>
        <w:rPr>
          <w:strike w:val="0"/>
          <w:color w:val="2E97D3"/>
          <w:sz w:val="24"/>
          <w:u w:val="single" w:color="2E97D3"/>
        </w:rPr>
        <w:t>Legislature</w:t>
      </w:r>
      <w:r>
        <w:rPr>
          <w:strike w:val="0"/>
          <w:color w:val="2E97D3"/>
          <w:spacing w:val="-13"/>
          <w:sz w:val="24"/>
          <w:u w:val="single" w:color="2E97D3"/>
        </w:rPr>
        <w:t> </w:t>
      </w:r>
      <w:r>
        <w:rPr>
          <w:strike w:val="0"/>
          <w:color w:val="2E97D3"/>
          <w:sz w:val="24"/>
          <w:u w:val="single" w:color="2E97D3"/>
        </w:rPr>
        <w:t>to</w:t>
      </w:r>
      <w:r>
        <w:rPr>
          <w:strike w:val="0"/>
          <w:color w:val="2E97D3"/>
          <w:spacing w:val="-13"/>
          <w:sz w:val="24"/>
          <w:u w:val="single" w:color="2E97D3"/>
        </w:rPr>
        <w:t> </w:t>
      </w:r>
      <w:r>
        <w:rPr>
          <w:strike w:val="0"/>
          <w:color w:val="2E97D3"/>
          <w:sz w:val="24"/>
          <w:u w:val="single" w:color="2E97D3"/>
        </w:rPr>
        <w:t>reflect</w:t>
      </w:r>
      <w:r>
        <w:rPr>
          <w:strike w:val="0"/>
          <w:color w:val="2E97D3"/>
          <w:spacing w:val="-13"/>
          <w:sz w:val="24"/>
          <w:u w:val="single" w:color="2E97D3"/>
        </w:rPr>
        <w:t> </w:t>
      </w:r>
      <w:r>
        <w:rPr>
          <w:strike w:val="0"/>
          <w:color w:val="2E97D3"/>
          <w:sz w:val="24"/>
          <w:u w:val="single" w:color="2E97D3"/>
        </w:rPr>
        <w:t>changes</w:t>
      </w:r>
      <w:r>
        <w:rPr>
          <w:strike w:val="0"/>
          <w:color w:val="2E97D3"/>
          <w:spacing w:val="-14"/>
          <w:sz w:val="24"/>
          <w:u w:val="single" w:color="2E97D3"/>
        </w:rPr>
        <w:t> </w:t>
      </w:r>
      <w:r>
        <w:rPr>
          <w:strike w:val="0"/>
          <w:color w:val="2E97D3"/>
          <w:sz w:val="24"/>
          <w:u w:val="single" w:color="2E97D3"/>
        </w:rPr>
        <w:t>to</w:t>
      </w:r>
      <w:r>
        <w:rPr>
          <w:strike w:val="0"/>
          <w:color w:val="2E97D3"/>
          <w:spacing w:val="-13"/>
          <w:sz w:val="24"/>
          <w:u w:val="single" w:color="2E97D3"/>
        </w:rPr>
        <w:t> </w:t>
      </w:r>
      <w:r>
        <w:rPr>
          <w:strike w:val="0"/>
          <w:sz w:val="24"/>
        </w:rPr>
        <w:t>the Governor’s</w:t>
      </w:r>
      <w:r>
        <w:rPr>
          <w:strike w:val="0"/>
          <w:spacing w:val="-20"/>
          <w:sz w:val="24"/>
        </w:rPr>
        <w:t> </w:t>
      </w:r>
      <w:r>
        <w:rPr>
          <w:rFonts w:ascii="Times New Roman" w:hAnsi="Times New Roman"/>
          <w:b/>
          <w:strike/>
          <w:color w:val="2E97D3"/>
          <w:sz w:val="16"/>
        </w:rPr>
        <w:t>Budget.</w:t>
      </w:r>
      <w:r>
        <w:rPr>
          <w:rFonts w:ascii="Times New Roman" w:hAnsi="Times New Roman"/>
          <w:b/>
          <w:strike/>
          <w:color w:val="2E97D3"/>
          <w:spacing w:val="14"/>
          <w:sz w:val="16"/>
        </w:rPr>
        <w:t> </w:t>
      </w:r>
      <w:r>
        <w:rPr>
          <w:rFonts w:ascii="Times New Roman" w:hAnsi="Times New Roman"/>
          <w:b/>
          <w:strike/>
          <w:color w:val="2E97D3"/>
          <w:sz w:val="16"/>
        </w:rPr>
        <w:t>The</w:t>
      </w:r>
      <w:r>
        <w:rPr>
          <w:rFonts w:ascii="Times New Roman" w:hAnsi="Times New Roman"/>
          <w:b/>
          <w:strike/>
          <w:color w:val="2E97D3"/>
          <w:spacing w:val="-13"/>
          <w:sz w:val="16"/>
        </w:rPr>
        <w:t> </w:t>
      </w:r>
      <w:r>
        <w:rPr>
          <w:rFonts w:ascii="Times New Roman" w:hAnsi="Times New Roman"/>
          <w:b/>
          <w:strike/>
          <w:color w:val="2E97D3"/>
          <w:sz w:val="16"/>
        </w:rPr>
        <w:t>Legislature</w:t>
      </w:r>
      <w:r>
        <w:rPr>
          <w:rFonts w:ascii="Times New Roman" w:hAnsi="Times New Roman"/>
          <w:b/>
          <w:strike/>
          <w:color w:val="2E97D3"/>
          <w:spacing w:val="-11"/>
          <w:sz w:val="16"/>
        </w:rPr>
        <w:t> </w:t>
      </w:r>
      <w:r>
        <w:rPr>
          <w:rFonts w:ascii="Times New Roman" w:hAnsi="Times New Roman"/>
          <w:b/>
          <w:strike/>
          <w:color w:val="2E97D3"/>
          <w:sz w:val="16"/>
        </w:rPr>
        <w:t>normally</w:t>
      </w:r>
      <w:r>
        <w:rPr>
          <w:rFonts w:ascii="Times New Roman" w:hAnsi="Times New Roman"/>
          <w:b/>
          <w:strike/>
          <w:color w:val="2E97D3"/>
          <w:spacing w:val="-13"/>
          <w:sz w:val="16"/>
        </w:rPr>
        <w:t> </w:t>
      </w:r>
      <w:r>
        <w:rPr>
          <w:rFonts w:ascii="Times New Roman" w:hAnsi="Times New Roman"/>
          <w:b/>
          <w:strike/>
          <w:color w:val="2E97D3"/>
          <w:sz w:val="16"/>
        </w:rPr>
        <w:t>amends</w:t>
      </w:r>
      <w:r>
        <w:rPr>
          <w:rFonts w:ascii="Times New Roman" w:hAnsi="Times New Roman"/>
          <w:b/>
          <w:strike/>
          <w:color w:val="2E97D3"/>
          <w:spacing w:val="-11"/>
          <w:sz w:val="16"/>
        </w:rPr>
        <w:t> </w:t>
      </w:r>
      <w:r>
        <w:rPr>
          <w:rFonts w:ascii="Times New Roman" w:hAnsi="Times New Roman"/>
          <w:b/>
          <w:strike/>
          <w:color w:val="2E97D3"/>
          <w:sz w:val="16"/>
        </w:rPr>
        <w:t>the</w:t>
      </w:r>
      <w:r>
        <w:rPr>
          <w:rFonts w:ascii="Times New Roman" w:hAnsi="Times New Roman"/>
          <w:b/>
          <w:strike/>
          <w:color w:val="2E97D3"/>
          <w:spacing w:val="-21"/>
          <w:sz w:val="16"/>
        </w:rPr>
        <w:t> </w:t>
      </w:r>
      <w:r>
        <w:rPr>
          <w:strike w:val="0"/>
          <w:sz w:val="24"/>
        </w:rPr>
        <w:t>proposed</w:t>
      </w:r>
      <w:r>
        <w:rPr>
          <w:strike w:val="0"/>
          <w:spacing w:val="-21"/>
          <w:sz w:val="24"/>
        </w:rPr>
        <w:t> </w:t>
      </w:r>
      <w:r>
        <w:rPr>
          <w:rFonts w:ascii="Times New Roman" w:hAnsi="Times New Roman"/>
          <w:b/>
          <w:strike/>
          <w:color w:val="2E97D3"/>
          <w:sz w:val="16"/>
        </w:rPr>
        <w:t>Budget</w:t>
      </w:r>
      <w:r>
        <w:rPr>
          <w:rFonts w:ascii="Times New Roman" w:hAnsi="Times New Roman"/>
          <w:b/>
          <w:strike/>
          <w:color w:val="2E97D3"/>
          <w:spacing w:val="-12"/>
          <w:sz w:val="16"/>
        </w:rPr>
        <w:t> </w:t>
      </w:r>
      <w:r>
        <w:rPr>
          <w:rFonts w:ascii="Times New Roman" w:hAnsi="Times New Roman"/>
          <w:b/>
          <w:strike/>
          <w:color w:val="2E97D3"/>
          <w:sz w:val="16"/>
        </w:rPr>
        <w:t>Bills</w:t>
      </w:r>
      <w:r>
        <w:rPr>
          <w:strike w:val="0"/>
          <w:color w:val="2E97D3"/>
          <w:sz w:val="24"/>
          <w:u w:val="single" w:color="2E97D3"/>
        </w:rPr>
        <w:t>version</w:t>
      </w:r>
      <w:r>
        <w:rPr>
          <w:strike w:val="0"/>
          <w:sz w:val="24"/>
        </w:rPr>
        <w:t>.</w:t>
      </w:r>
      <w:r>
        <w:rPr>
          <w:strike w:val="0"/>
          <w:spacing w:val="27"/>
          <w:sz w:val="24"/>
        </w:rPr>
        <w:t> </w:t>
      </w:r>
      <w:r>
        <w:rPr>
          <w:strike w:val="0"/>
          <w:sz w:val="24"/>
        </w:rPr>
        <w:t>One</w:t>
      </w:r>
      <w:r>
        <w:rPr>
          <w:strike w:val="0"/>
          <w:spacing w:val="-19"/>
          <w:sz w:val="24"/>
        </w:rPr>
        <w:t> </w:t>
      </w:r>
      <w:r>
        <w:rPr>
          <w:strike w:val="0"/>
          <w:sz w:val="24"/>
        </w:rPr>
        <w:t>of</w:t>
      </w:r>
      <w:r>
        <w:rPr>
          <w:strike w:val="0"/>
          <w:spacing w:val="-19"/>
          <w:sz w:val="24"/>
        </w:rPr>
        <w:t> </w:t>
      </w:r>
      <w:r>
        <w:rPr>
          <w:strike w:val="0"/>
          <w:sz w:val="24"/>
        </w:rPr>
        <w:t>the</w:t>
      </w:r>
      <w:r>
        <w:rPr>
          <w:strike w:val="0"/>
          <w:spacing w:val="-21"/>
          <w:sz w:val="24"/>
        </w:rPr>
        <w:t> </w:t>
      </w:r>
      <w:r>
        <w:rPr>
          <w:strike w:val="0"/>
          <w:sz w:val="24"/>
        </w:rPr>
        <w:t>bills</w:t>
      </w:r>
      <w:r>
        <w:rPr>
          <w:strike w:val="0"/>
          <w:spacing w:val="-20"/>
          <w:sz w:val="24"/>
        </w:rPr>
        <w:t> </w:t>
      </w:r>
      <w:r>
        <w:rPr>
          <w:rFonts w:ascii="Times New Roman" w:hAnsi="Times New Roman"/>
          <w:b/>
          <w:strike/>
          <w:color w:val="2E97D3"/>
          <w:sz w:val="16"/>
        </w:rPr>
        <w:t>becomes the Budget Act after it </w:t>
      </w:r>
      <w:r>
        <w:rPr>
          <w:strike w:val="0"/>
          <w:sz w:val="24"/>
        </w:rPr>
        <w:t>is passed by both houses of the Legislature </w:t>
      </w:r>
      <w:r>
        <w:rPr>
          <w:strike w:val="0"/>
          <w:color w:val="2E97D3"/>
          <w:sz w:val="24"/>
          <w:u w:val="single" w:color="2E97D3"/>
        </w:rPr>
        <w:t>no later than June 15 or the legislators’</w:t>
      </w:r>
      <w:r>
        <w:rPr>
          <w:strike w:val="0"/>
          <w:color w:val="2E97D3"/>
          <w:spacing w:val="-21"/>
          <w:sz w:val="24"/>
          <w:u w:val="single" w:color="2E97D3"/>
        </w:rPr>
        <w:t> </w:t>
      </w:r>
      <w:r>
        <w:rPr>
          <w:strike w:val="0"/>
          <w:color w:val="2E97D3"/>
          <w:sz w:val="24"/>
          <w:u w:val="single" w:color="2E97D3"/>
        </w:rPr>
        <w:t>salary,</w:t>
      </w:r>
      <w:r>
        <w:rPr>
          <w:strike w:val="0"/>
          <w:color w:val="2E97D3"/>
          <w:spacing w:val="-20"/>
          <w:sz w:val="24"/>
          <w:u w:val="single" w:color="2E97D3"/>
        </w:rPr>
        <w:t> </w:t>
      </w:r>
      <w:r>
        <w:rPr>
          <w:strike w:val="0"/>
          <w:color w:val="2E97D3"/>
          <w:sz w:val="24"/>
          <w:u w:val="single" w:color="2E97D3"/>
        </w:rPr>
        <w:t>travel,</w:t>
      </w:r>
      <w:r>
        <w:rPr>
          <w:strike w:val="0"/>
          <w:color w:val="2E97D3"/>
          <w:spacing w:val="-20"/>
          <w:sz w:val="24"/>
          <w:u w:val="single" w:color="2E97D3"/>
        </w:rPr>
        <w:t> </w:t>
      </w:r>
      <w:r>
        <w:rPr>
          <w:strike w:val="0"/>
          <w:sz w:val="24"/>
        </w:rPr>
        <w:t>and</w:t>
      </w:r>
      <w:r>
        <w:rPr>
          <w:strike w:val="0"/>
          <w:spacing w:val="-20"/>
          <w:sz w:val="24"/>
        </w:rPr>
        <w:t> </w:t>
      </w:r>
      <w:r>
        <w:rPr>
          <w:rFonts w:ascii="Times New Roman" w:hAnsi="Times New Roman"/>
          <w:b/>
          <w:strike/>
          <w:color w:val="2E97D3"/>
          <w:sz w:val="16"/>
        </w:rPr>
        <w:t>signed</w:t>
      </w:r>
      <w:r>
        <w:rPr>
          <w:rFonts w:ascii="Times New Roman" w:hAnsi="Times New Roman"/>
          <w:b/>
          <w:strike/>
          <w:color w:val="2E97D3"/>
          <w:spacing w:val="-12"/>
          <w:sz w:val="16"/>
        </w:rPr>
        <w:t> </w:t>
      </w:r>
      <w:r>
        <w:rPr>
          <w:rFonts w:ascii="Times New Roman" w:hAnsi="Times New Roman"/>
          <w:b/>
          <w:strike/>
          <w:color w:val="2E97D3"/>
          <w:sz w:val="16"/>
        </w:rPr>
        <w:t>by</w:t>
      </w:r>
      <w:r>
        <w:rPr>
          <w:rFonts w:ascii="Times New Roman" w:hAnsi="Times New Roman"/>
          <w:b/>
          <w:strike/>
          <w:color w:val="2E97D3"/>
          <w:spacing w:val="-11"/>
          <w:sz w:val="16"/>
        </w:rPr>
        <w:t> </w:t>
      </w:r>
      <w:r>
        <w:rPr>
          <w:rFonts w:ascii="Times New Roman" w:hAnsi="Times New Roman"/>
          <w:b/>
          <w:strike/>
          <w:color w:val="2E97D3"/>
          <w:sz w:val="16"/>
        </w:rPr>
        <w:t>the</w:t>
      </w:r>
      <w:r>
        <w:rPr>
          <w:rFonts w:ascii="Times New Roman" w:hAnsi="Times New Roman"/>
          <w:b/>
          <w:strike/>
          <w:color w:val="2E97D3"/>
          <w:spacing w:val="-11"/>
          <w:sz w:val="16"/>
        </w:rPr>
        <w:t> </w:t>
      </w:r>
      <w:r>
        <w:rPr>
          <w:rFonts w:ascii="Times New Roman" w:hAnsi="Times New Roman"/>
          <w:b/>
          <w:strike/>
          <w:color w:val="2E97D3"/>
          <w:sz w:val="16"/>
        </w:rPr>
        <w:t>Governor.</w:t>
      </w:r>
      <w:r>
        <w:rPr>
          <w:rFonts w:ascii="Times New Roman" w:hAnsi="Times New Roman"/>
          <w:b/>
          <w:strike/>
          <w:color w:val="2E97D3"/>
          <w:spacing w:val="-22"/>
          <w:sz w:val="16"/>
        </w:rPr>
        <w:t> </w:t>
      </w:r>
      <w:r>
        <w:rPr>
          <w:strike w:val="0"/>
          <w:color w:val="2E97D3"/>
          <w:sz w:val="24"/>
          <w:u w:val="single" w:color="2E97D3"/>
        </w:rPr>
        <w:t>living</w:t>
      </w:r>
      <w:r>
        <w:rPr>
          <w:strike w:val="0"/>
          <w:color w:val="2E97D3"/>
          <w:spacing w:val="-22"/>
          <w:sz w:val="24"/>
          <w:u w:val="single" w:color="2E97D3"/>
        </w:rPr>
        <w:t> </w:t>
      </w:r>
      <w:r>
        <w:rPr>
          <w:strike w:val="0"/>
          <w:color w:val="2E97D3"/>
          <w:sz w:val="24"/>
          <w:u w:val="single" w:color="2E97D3"/>
        </w:rPr>
        <w:t>expenses</w:t>
      </w:r>
      <w:r>
        <w:rPr>
          <w:strike w:val="0"/>
          <w:color w:val="2E97D3"/>
          <w:spacing w:val="-21"/>
          <w:sz w:val="24"/>
          <w:u w:val="single" w:color="2E97D3"/>
        </w:rPr>
        <w:t> </w:t>
      </w:r>
      <w:r>
        <w:rPr>
          <w:strike w:val="0"/>
          <w:color w:val="2E97D3"/>
          <w:sz w:val="24"/>
          <w:u w:val="single" w:color="2E97D3"/>
        </w:rPr>
        <w:t>will</w:t>
      </w:r>
      <w:r>
        <w:rPr>
          <w:strike w:val="0"/>
          <w:color w:val="2E97D3"/>
          <w:spacing w:val="-21"/>
          <w:sz w:val="24"/>
          <w:u w:val="single" w:color="2E97D3"/>
        </w:rPr>
        <w:t> </w:t>
      </w:r>
      <w:r>
        <w:rPr>
          <w:strike w:val="0"/>
          <w:color w:val="2E97D3"/>
          <w:sz w:val="24"/>
          <w:u w:val="single" w:color="2E97D3"/>
        </w:rPr>
        <w:t>be</w:t>
      </w:r>
      <w:r>
        <w:rPr>
          <w:strike w:val="0"/>
          <w:color w:val="2E97D3"/>
          <w:spacing w:val="-20"/>
          <w:sz w:val="24"/>
          <w:u w:val="single" w:color="2E97D3"/>
        </w:rPr>
        <w:t> </w:t>
      </w:r>
      <w:r>
        <w:rPr>
          <w:strike w:val="0"/>
          <w:color w:val="2E97D3"/>
          <w:sz w:val="24"/>
          <w:u w:val="single" w:color="2E97D3"/>
        </w:rPr>
        <w:t>forfeited</w:t>
      </w:r>
      <w:r>
        <w:rPr>
          <w:strike w:val="0"/>
          <w:color w:val="2E97D3"/>
          <w:spacing w:val="-22"/>
          <w:sz w:val="24"/>
          <w:u w:val="single" w:color="2E97D3"/>
        </w:rPr>
        <w:t> </w:t>
      </w:r>
      <w:r>
        <w:rPr>
          <w:strike w:val="0"/>
          <w:color w:val="2E97D3"/>
          <w:sz w:val="24"/>
          <w:u w:val="single" w:color="2E97D3"/>
        </w:rPr>
        <w:t>permanently during the late period. </w:t>
      </w:r>
      <w:r>
        <w:rPr>
          <w:strike w:val="0"/>
          <w:sz w:val="24"/>
        </w:rPr>
        <w:t>Items in the Budget Bill </w:t>
      </w:r>
      <w:r>
        <w:rPr>
          <w:strike w:val="0"/>
          <w:color w:val="2E97D3"/>
          <w:sz w:val="24"/>
          <w:u w:val="single" w:color="2E97D3"/>
        </w:rPr>
        <w:t>passed by the Legislature </w:t>
      </w:r>
      <w:r>
        <w:rPr>
          <w:strike w:val="0"/>
          <w:sz w:val="24"/>
        </w:rPr>
        <w:t>may be vetoed or decreased but not increased by the Governor prior to signature. </w:t>
      </w:r>
      <w:r>
        <w:rPr>
          <w:rFonts w:ascii="Times New Roman" w:hAnsi="Times New Roman"/>
          <w:b/>
          <w:strike/>
          <w:color w:val="2E97D3"/>
          <w:sz w:val="16"/>
        </w:rPr>
        <w:t>The </w:t>
      </w:r>
      <w:r>
        <w:rPr>
          <w:strike w:val="0"/>
          <w:color w:val="2E97D3"/>
          <w:sz w:val="24"/>
          <w:u w:val="single" w:color="2E97D3"/>
        </w:rPr>
        <w:t>Once signed by the</w:t>
      </w:r>
      <w:r>
        <w:rPr>
          <w:strike w:val="0"/>
          <w:color w:val="2E97D3"/>
          <w:spacing w:val="-12"/>
          <w:sz w:val="24"/>
          <w:u w:val="single" w:color="2E97D3"/>
        </w:rPr>
        <w:t> </w:t>
      </w:r>
      <w:r>
        <w:rPr>
          <w:strike w:val="0"/>
          <w:color w:val="2E97D3"/>
          <w:sz w:val="24"/>
          <w:u w:val="single" w:color="2E97D3"/>
        </w:rPr>
        <w:t>Governor,</w:t>
      </w:r>
      <w:r>
        <w:rPr>
          <w:strike w:val="0"/>
          <w:color w:val="2E97D3"/>
          <w:spacing w:val="-12"/>
          <w:sz w:val="24"/>
          <w:u w:val="single" w:color="2E97D3"/>
        </w:rPr>
        <w:t> </w:t>
      </w:r>
      <w:r>
        <w:rPr>
          <w:strike w:val="0"/>
          <w:color w:val="2E97D3"/>
          <w:sz w:val="24"/>
          <w:u w:val="single" w:color="2E97D3"/>
        </w:rPr>
        <w:t>the</w:t>
      </w:r>
      <w:r>
        <w:rPr>
          <w:strike w:val="0"/>
          <w:color w:val="2E97D3"/>
          <w:spacing w:val="-13"/>
          <w:sz w:val="24"/>
          <w:u w:val="single" w:color="2E97D3"/>
        </w:rPr>
        <w:t> </w:t>
      </w:r>
      <w:r>
        <w:rPr>
          <w:strike w:val="0"/>
          <w:sz w:val="24"/>
        </w:rPr>
        <w:t>Budget</w:t>
      </w:r>
      <w:r>
        <w:rPr>
          <w:strike w:val="0"/>
          <w:spacing w:val="-12"/>
          <w:sz w:val="24"/>
        </w:rPr>
        <w:t> </w:t>
      </w:r>
      <w:r>
        <w:rPr>
          <w:strike w:val="0"/>
          <w:sz w:val="24"/>
        </w:rPr>
        <w:t>Bill</w:t>
      </w:r>
      <w:r>
        <w:rPr>
          <w:strike w:val="0"/>
          <w:spacing w:val="-13"/>
          <w:sz w:val="24"/>
        </w:rPr>
        <w:t> </w:t>
      </w:r>
      <w:r>
        <w:rPr>
          <w:rFonts w:ascii="Times New Roman" w:hAnsi="Times New Roman"/>
          <w:b/>
          <w:strike/>
          <w:color w:val="2E97D3"/>
          <w:sz w:val="16"/>
        </w:rPr>
        <w:t>signed</w:t>
      </w:r>
      <w:r>
        <w:rPr>
          <w:rFonts w:ascii="Times New Roman" w:hAnsi="Times New Roman"/>
          <w:b/>
          <w:strike/>
          <w:color w:val="2E97D3"/>
          <w:spacing w:val="-7"/>
          <w:sz w:val="16"/>
        </w:rPr>
        <w:t> </w:t>
      </w:r>
      <w:r>
        <w:rPr>
          <w:rFonts w:ascii="Times New Roman" w:hAnsi="Times New Roman"/>
          <w:b/>
          <w:strike/>
          <w:color w:val="2E97D3"/>
          <w:sz w:val="16"/>
        </w:rPr>
        <w:t>by</w:t>
      </w:r>
      <w:r>
        <w:rPr>
          <w:rFonts w:ascii="Times New Roman" w:hAnsi="Times New Roman"/>
          <w:b/>
          <w:strike/>
          <w:color w:val="2E97D3"/>
          <w:spacing w:val="-5"/>
          <w:sz w:val="16"/>
        </w:rPr>
        <w:t> </w:t>
      </w:r>
      <w:r>
        <w:rPr>
          <w:rFonts w:ascii="Times New Roman" w:hAnsi="Times New Roman"/>
          <w:b/>
          <w:strike/>
          <w:color w:val="2E97D3"/>
          <w:sz w:val="16"/>
        </w:rPr>
        <w:t>the</w:t>
      </w:r>
      <w:r>
        <w:rPr>
          <w:rFonts w:ascii="Times New Roman" w:hAnsi="Times New Roman"/>
          <w:b/>
          <w:strike/>
          <w:color w:val="2E97D3"/>
          <w:spacing w:val="-8"/>
          <w:sz w:val="16"/>
        </w:rPr>
        <w:t> </w:t>
      </w:r>
      <w:r>
        <w:rPr>
          <w:rFonts w:ascii="Times New Roman" w:hAnsi="Times New Roman"/>
          <w:b/>
          <w:strike/>
          <w:color w:val="2E97D3"/>
          <w:sz w:val="16"/>
        </w:rPr>
        <w:t>Governor</w:t>
      </w:r>
      <w:r>
        <w:rPr>
          <w:rFonts w:ascii="Times New Roman" w:hAnsi="Times New Roman"/>
          <w:b/>
          <w:strike/>
          <w:color w:val="2E97D3"/>
          <w:spacing w:val="-11"/>
          <w:sz w:val="16"/>
        </w:rPr>
        <w:t> </w:t>
      </w:r>
      <w:r>
        <w:rPr>
          <w:rFonts w:ascii="Times New Roman" w:hAnsi="Times New Roman"/>
          <w:b/>
          <w:strike/>
          <w:color w:val="2E97D3"/>
          <w:sz w:val="16"/>
        </w:rPr>
        <w:t>must</w:t>
      </w:r>
      <w:r>
        <w:rPr>
          <w:rFonts w:ascii="Times New Roman" w:hAnsi="Times New Roman"/>
          <w:b/>
          <w:strike/>
          <w:color w:val="2E97D3"/>
          <w:spacing w:val="-7"/>
          <w:sz w:val="16"/>
        </w:rPr>
        <w:t> </w:t>
      </w:r>
      <w:r>
        <w:rPr>
          <w:rFonts w:ascii="Times New Roman" w:hAnsi="Times New Roman"/>
          <w:b/>
          <w:strike/>
          <w:color w:val="2E97D3"/>
          <w:sz w:val="16"/>
        </w:rPr>
        <w:t>be</w:t>
      </w:r>
      <w:r>
        <w:rPr>
          <w:rFonts w:ascii="Times New Roman" w:hAnsi="Times New Roman"/>
          <w:b/>
          <w:strike/>
          <w:color w:val="2E97D3"/>
          <w:spacing w:val="-6"/>
          <w:sz w:val="16"/>
        </w:rPr>
        <w:t> </w:t>
      </w:r>
      <w:r>
        <w:rPr>
          <w:rFonts w:ascii="Times New Roman" w:hAnsi="Times New Roman"/>
          <w:b/>
          <w:strike/>
          <w:color w:val="2E97D3"/>
          <w:sz w:val="16"/>
        </w:rPr>
        <w:t>balanced,</w:t>
      </w:r>
      <w:r>
        <w:rPr>
          <w:rFonts w:ascii="Times New Roman" w:hAnsi="Times New Roman"/>
          <w:b/>
          <w:strike/>
          <w:color w:val="2E97D3"/>
          <w:spacing w:val="-8"/>
          <w:sz w:val="16"/>
        </w:rPr>
        <w:t> </w:t>
      </w:r>
      <w:r>
        <w:rPr>
          <w:rFonts w:ascii="Times New Roman" w:hAnsi="Times New Roman"/>
          <w:b/>
          <w:strike/>
          <w:color w:val="2E97D3"/>
          <w:sz w:val="16"/>
        </w:rPr>
        <w:t>as</w:t>
      </w:r>
      <w:r>
        <w:rPr>
          <w:rFonts w:ascii="Times New Roman" w:hAnsi="Times New Roman"/>
          <w:b/>
          <w:strike/>
          <w:color w:val="2E97D3"/>
          <w:spacing w:val="-7"/>
          <w:sz w:val="16"/>
        </w:rPr>
        <w:t> </w:t>
      </w:r>
      <w:r>
        <w:rPr>
          <w:rFonts w:ascii="Times New Roman" w:hAnsi="Times New Roman"/>
          <w:b/>
          <w:strike/>
          <w:color w:val="2E97D3"/>
          <w:sz w:val="16"/>
        </w:rPr>
        <w:t>specified</w:t>
      </w:r>
      <w:r>
        <w:rPr>
          <w:rFonts w:ascii="Times New Roman" w:hAnsi="Times New Roman"/>
          <w:b/>
          <w:strike/>
          <w:color w:val="2E97D3"/>
          <w:spacing w:val="-7"/>
          <w:sz w:val="16"/>
        </w:rPr>
        <w:t> </w:t>
      </w:r>
      <w:r>
        <w:rPr>
          <w:rFonts w:ascii="Times New Roman" w:hAnsi="Times New Roman"/>
          <w:b/>
          <w:strike/>
          <w:color w:val="2E97D3"/>
          <w:sz w:val="16"/>
        </w:rPr>
        <w:t>by</w:t>
      </w:r>
      <w:r>
        <w:rPr>
          <w:rFonts w:ascii="Times New Roman" w:hAnsi="Times New Roman"/>
          <w:b/>
          <w:strike/>
          <w:color w:val="2E97D3"/>
          <w:spacing w:val="-8"/>
          <w:sz w:val="16"/>
        </w:rPr>
        <w:t> </w:t>
      </w:r>
      <w:r>
        <w:rPr>
          <w:rFonts w:ascii="Times New Roman" w:hAnsi="Times New Roman"/>
          <w:b/>
          <w:strike/>
          <w:color w:val="2E97D3"/>
          <w:sz w:val="16"/>
        </w:rPr>
        <w:t>the</w:t>
      </w:r>
      <w:r>
        <w:rPr>
          <w:rFonts w:ascii="Times New Roman" w:hAnsi="Times New Roman"/>
          <w:b/>
          <w:strike/>
          <w:color w:val="2E97D3"/>
          <w:spacing w:val="-6"/>
          <w:sz w:val="16"/>
        </w:rPr>
        <w:t> </w:t>
      </w:r>
      <w:r>
        <w:rPr>
          <w:rFonts w:ascii="Times New Roman" w:hAnsi="Times New Roman"/>
          <w:b/>
          <w:strike/>
          <w:color w:val="2E97D3"/>
          <w:sz w:val="16"/>
        </w:rPr>
        <w:t>Constitution.</w:t>
      </w:r>
      <w:r>
        <w:rPr>
          <w:rFonts w:ascii="Times New Roman" w:hAnsi="Times New Roman"/>
          <w:b/>
          <w:strike/>
          <w:color w:val="2E97D3"/>
          <w:spacing w:val="26"/>
          <w:sz w:val="16"/>
        </w:rPr>
        <w:t> </w:t>
      </w:r>
      <w:r>
        <w:rPr>
          <w:rFonts w:ascii="Times New Roman" w:hAnsi="Times New Roman"/>
          <w:b/>
          <w:strike/>
          <w:color w:val="2E97D3"/>
          <w:sz w:val="16"/>
        </w:rPr>
        <w:t>See</w:t>
      </w:r>
      <w:r>
        <w:rPr>
          <w:rFonts w:ascii="Times New Roman" w:hAnsi="Times New Roman"/>
          <w:b/>
          <w:strike/>
          <w:color w:val="2E97D3"/>
          <w:spacing w:val="-8"/>
          <w:sz w:val="16"/>
        </w:rPr>
        <w:t> </w:t>
      </w:r>
      <w:r>
        <w:rPr>
          <w:rFonts w:ascii="Times New Roman" w:hAnsi="Times New Roman"/>
          <w:b/>
          <w:strike/>
          <w:color w:val="2E97D3"/>
          <w:sz w:val="16"/>
        </w:rPr>
        <w:t>SAM</w:t>
      </w:r>
      <w:r>
        <w:rPr>
          <w:rFonts w:ascii="Times New Roman" w:hAnsi="Times New Roman"/>
          <w:b/>
          <w:strike/>
          <w:color w:val="2E97D3"/>
          <w:spacing w:val="-7"/>
          <w:sz w:val="16"/>
        </w:rPr>
        <w:t> </w:t>
      </w:r>
      <w:r>
        <w:rPr>
          <w:rFonts w:ascii="Times New Roman" w:hAnsi="Times New Roman"/>
          <w:b/>
          <w:strike/>
          <w:color w:val="2E97D3"/>
          <w:sz w:val="16"/>
        </w:rPr>
        <w:t>Section 6350</w:t>
      </w:r>
      <w:r>
        <w:rPr>
          <w:strike w:val="0"/>
          <w:color w:val="2E97D3"/>
          <w:sz w:val="24"/>
          <w:u w:val="single" w:color="2E97D3"/>
        </w:rPr>
        <w:t>becomes the Budget</w:t>
      </w:r>
      <w:r>
        <w:rPr>
          <w:strike w:val="0"/>
          <w:color w:val="2E97D3"/>
          <w:spacing w:val="-12"/>
          <w:sz w:val="24"/>
          <w:u w:val="single" w:color="2E97D3"/>
        </w:rPr>
        <w:t> </w:t>
      </w:r>
      <w:r>
        <w:rPr>
          <w:strike w:val="0"/>
          <w:color w:val="2E97D3"/>
          <w:sz w:val="24"/>
          <w:u w:val="single" w:color="2E97D3"/>
        </w:rPr>
        <w:t>Act</w:t>
      </w:r>
      <w:r>
        <w:rPr>
          <w:strike w:val="0"/>
          <w:sz w:val="24"/>
        </w:rPr>
        <w:t>.</w:t>
      </w:r>
    </w:p>
    <w:p>
      <w:pPr>
        <w:spacing w:after="0" w:line="240" w:lineRule="auto"/>
        <w:jc w:val="both"/>
        <w:rPr>
          <w:sz w:val="24"/>
        </w:rPr>
        <w:sectPr>
          <w:pgSz w:w="12240" w:h="15840"/>
          <w:pgMar w:header="724" w:footer="792" w:top="980" w:bottom="980" w:left="620" w:right="1280"/>
        </w:sectPr>
      </w:pPr>
    </w:p>
    <w:p>
      <w:pPr>
        <w:pStyle w:val="BodyText"/>
        <w:rPr>
          <w:sz w:val="20"/>
        </w:rPr>
      </w:pPr>
    </w:p>
    <w:p>
      <w:pPr>
        <w:pStyle w:val="BodyText"/>
        <w:spacing w:before="214"/>
        <w:ind w:left="820" w:right="112"/>
        <w:jc w:val="both"/>
      </w:pPr>
      <w:r>
        <w:rPr/>
        <w:pict>
          <v:line style="position:absolute;mso-position-horizontal-relative:page;mso-position-vertical-relative:paragraph;z-index:7264" from="36.360001pt,10.915881pt" to="36.360001pt,116.875881pt" stroked="true" strokeweight=".72pt" strokecolor="#000000">
            <v:stroke dashstyle="solid"/>
            <w10:wrap type="none"/>
          </v:line>
        </w:pict>
      </w:r>
      <w:r>
        <w:rPr>
          <w:color w:val="2E97D3"/>
          <w:u w:val="single" w:color="2E97D3"/>
        </w:rPr>
        <w:t>The veto actions of the Governor are listed near the beginning of the publication. However, the veto actions are not amended into each item/section of the Budget Act. When referring to an item of the Budget Act, check for possible veto actions which may be applicable to the item. See SAM Section 6350 for information regarding the Final Budget Summary.</w:t>
      </w:r>
    </w:p>
    <w:p>
      <w:pPr>
        <w:spacing w:after="0"/>
        <w:jc w:val="both"/>
        <w:sectPr>
          <w:pgSz w:w="12240" w:h="15840"/>
          <w:pgMar w:header="724" w:footer="792" w:top="980" w:bottom="980" w:left="620" w:right="1320"/>
        </w:sectPr>
      </w:pPr>
    </w:p>
    <w:p>
      <w:pPr>
        <w:pStyle w:val="BodyText"/>
        <w:rPr>
          <w:sz w:val="20"/>
        </w:rPr>
      </w:pPr>
    </w:p>
    <w:p>
      <w:pPr>
        <w:pStyle w:val="Heading2"/>
        <w:tabs>
          <w:tab w:pos="9594" w:val="left" w:leader="none"/>
        </w:tabs>
        <w:spacing w:before="214"/>
        <w:ind w:left="820"/>
        <w:jc w:val="both"/>
      </w:pPr>
      <w:r>
        <w:rPr/>
        <w:pict>
          <v:line style="position:absolute;mso-position-horizontal-relative:page;mso-position-vertical-relative:paragraph;z-index:7312" from="36.360001pt,10.915881pt" to="36.360001pt,38.515881pt" stroked="true" strokeweight=".72pt" strokecolor="#000000">
            <v:stroke dashstyle="solid"/>
            <w10:wrap type="none"/>
          </v:line>
        </w:pict>
      </w:r>
      <w:r>
        <w:rPr/>
        <w:t>LEGISLATIVE FISCAL COMMITTEE </w:t>
      </w:r>
      <w:r>
        <w:rPr>
          <w:spacing w:val="-3"/>
        </w:rPr>
        <w:t>AND</w:t>
      </w:r>
      <w:r>
        <w:rPr>
          <w:spacing w:val="-9"/>
        </w:rPr>
        <w:t> </w:t>
      </w:r>
      <w:r>
        <w:rPr/>
        <w:t>FLOOR</w:t>
      </w:r>
      <w:r>
        <w:rPr>
          <w:spacing w:val="-2"/>
        </w:rPr>
        <w:t> </w:t>
      </w:r>
      <w:r>
        <w:rPr/>
        <w:t>ACTIONS</w:t>
      </w:r>
      <w:r>
        <w:rPr>
          <w:u w:val="thick" w:color="2E97D3"/>
        </w:rPr>
        <w:t> </w:t>
        <w:tab/>
      </w:r>
      <w:r>
        <w:rPr/>
        <w:t>6335</w:t>
      </w:r>
    </w:p>
    <w:p>
      <w:pPr>
        <w:spacing w:before="0"/>
        <w:ind w:left="820" w:right="0" w:firstLine="0"/>
        <w:jc w:val="both"/>
        <w:rPr>
          <w:sz w:val="24"/>
        </w:rPr>
      </w:pPr>
      <w:r>
        <w:rPr>
          <w:sz w:val="24"/>
        </w:rPr>
        <w:t>(Revised </w:t>
      </w:r>
      <w:r>
        <w:rPr>
          <w:rFonts w:ascii="Times New Roman"/>
          <w:b/>
          <w:strike/>
          <w:color w:val="2E97D3"/>
          <w:sz w:val="16"/>
        </w:rPr>
        <w:t>2/1998</w:t>
      </w:r>
      <w:r>
        <w:rPr>
          <w:strike w:val="0"/>
          <w:color w:val="2E97D3"/>
          <w:sz w:val="24"/>
          <w:u w:val="single" w:color="2E97D3"/>
        </w:rPr>
        <w:t>10/2017</w:t>
      </w:r>
      <w:r>
        <w:rPr>
          <w:strike w:val="0"/>
          <w:sz w:val="24"/>
        </w:rPr>
        <w:t>)</w:t>
      </w:r>
    </w:p>
    <w:p>
      <w:pPr>
        <w:pStyle w:val="BodyText"/>
        <w:spacing w:before="185"/>
        <w:ind w:left="820" w:right="115"/>
        <w:jc w:val="both"/>
      </w:pPr>
      <w:r>
        <w:rPr/>
        <w:pict>
          <v:line style="position:absolute;mso-position-horizontal-relative:page;mso-position-vertical-relative:paragraph;z-index:-465376" from="240.119995pt,45.285854pt" to="243.479995pt,45.285854pt" stroked="true" strokeweight=".6pt" strokecolor="#2e97d3">
            <v:stroke dashstyle="solid"/>
            <w10:wrap type="none"/>
          </v:line>
        </w:pict>
      </w:r>
      <w:r>
        <w:rPr/>
        <w:pict>
          <v:line style="position:absolute;mso-position-horizontal-relative:page;mso-position-vertical-relative:paragraph;z-index:7336" from="36.360001pt,9.464854pt" to="36.360001pt,23.265854pt" stroked="true" strokeweight=".72pt" strokecolor="#000000">
            <v:stroke dashstyle="solid"/>
            <w10:wrap type="none"/>
          </v:line>
        </w:pict>
      </w:r>
      <w:r>
        <w:rPr/>
        <w:pict>
          <v:line style="position:absolute;mso-position-horizontal-relative:page;mso-position-vertical-relative:paragraph;z-index:7360" from="36.360001pt,37.065853pt" to="36.360001pt,76.665853pt" stroked="true" strokeweight=".72pt" strokecolor="#000000">
            <v:stroke dashstyle="solid"/>
            <w10:wrap type="none"/>
          </v:line>
        </w:pict>
      </w:r>
      <w:r>
        <w:rPr>
          <w:strike/>
          <w:color w:val="2E97D3"/>
        </w:rPr>
        <w:t>See SAM Sections </w:t>
      </w:r>
      <w:r>
        <w:rPr>
          <w:strike/>
          <w:color w:val="2E97D3"/>
          <w:u w:val="single" w:color="2E97D3"/>
        </w:rPr>
        <w:t>6130 </w:t>
      </w:r>
      <w:r>
        <w:rPr>
          <w:strike/>
          <w:color w:val="2E97D3"/>
        </w:rPr>
        <w:t>and </w:t>
      </w:r>
      <w:r>
        <w:rPr>
          <w:strike/>
          <w:color w:val="2E97D3"/>
          <w:u w:val="single" w:color="2E97D3"/>
        </w:rPr>
        <w:t>6150</w:t>
      </w:r>
      <w:r>
        <w:rPr>
          <w:strike w:val="0"/>
          <w:color w:val="2E97D3"/>
          <w:u w:val="single" w:color="2E97D3"/>
        </w:rPr>
        <w:t>See SAM Sections </w:t>
      </w:r>
      <w:hyperlink r:id="rId54">
        <w:r>
          <w:rPr>
            <w:strike w:val="0"/>
            <w:color w:val="2E97D3"/>
            <w:u w:val="single" w:color="2E97D3"/>
          </w:rPr>
          <w:t>6130</w:t>
        </w:r>
      </w:hyperlink>
      <w:r>
        <w:rPr>
          <w:strike w:val="0"/>
          <w:color w:val="2E97D3"/>
          <w:u w:val="single" w:color="2E97D3"/>
        </w:rPr>
        <w:t> and 6150 </w:t>
      </w:r>
      <w:r>
        <w:rPr>
          <w:strike w:val="0"/>
        </w:rPr>
        <w:t>(chart) for descriptions of the budget enactment process regarding subcommittee, committee, and floor actions on </w:t>
      </w:r>
      <w:r>
        <w:rPr>
          <w:strike/>
          <w:color w:val="2E97D3"/>
        </w:rPr>
        <w:t>the </w:t>
      </w:r>
      <w:r>
        <w:rPr>
          <w:strike w:val="0"/>
        </w:rPr>
        <w:t>Budget Bills</w:t>
      </w:r>
      <w:r>
        <w:rPr>
          <w:strike w:val="0"/>
          <w:color w:val="2E97D3"/>
        </w:rPr>
        <w:t>.</w:t>
      </w:r>
    </w:p>
    <w:p>
      <w:pPr>
        <w:spacing w:after="0"/>
        <w:jc w:val="both"/>
        <w:sectPr>
          <w:pgSz w:w="12240" w:h="15840"/>
          <w:pgMar w:header="724" w:footer="792" w:top="980" w:bottom="980" w:left="620" w:right="1320"/>
        </w:sectPr>
      </w:pPr>
    </w:p>
    <w:p>
      <w:pPr>
        <w:pStyle w:val="BodyText"/>
        <w:rPr>
          <w:sz w:val="20"/>
        </w:rPr>
      </w:pPr>
    </w:p>
    <w:p>
      <w:pPr>
        <w:pStyle w:val="BodyText"/>
        <w:rPr>
          <w:sz w:val="20"/>
        </w:rPr>
      </w:pPr>
    </w:p>
    <w:p>
      <w:pPr>
        <w:pStyle w:val="BodyText"/>
        <w:rPr>
          <w:sz w:val="20"/>
        </w:rPr>
      </w:pPr>
    </w:p>
    <w:p>
      <w:pPr>
        <w:pStyle w:val="BodyText"/>
        <w:spacing w:before="7"/>
        <w:rPr>
          <w:sz w:val="15"/>
        </w:rPr>
      </w:pPr>
    </w:p>
    <w:p>
      <w:pPr>
        <w:tabs>
          <w:tab w:pos="10179" w:val="left" w:leader="none"/>
        </w:tabs>
        <w:spacing w:before="93"/>
        <w:ind w:left="820" w:right="118" w:firstLine="0"/>
        <w:jc w:val="both"/>
        <w:rPr>
          <w:b/>
          <w:sz w:val="24"/>
        </w:rPr>
      </w:pPr>
      <w:r>
        <w:rPr/>
        <w:pict>
          <v:line style="position:absolute;mso-position-horizontal-relative:page;mso-position-vertical-relative:paragraph;z-index:-465280" from="306.720001pt,13.085837pt" to="324.000001pt,13.085837pt" stroked="true" strokeweight=".6pt" strokecolor="#2e97d3">
            <v:stroke dashstyle="solid"/>
            <w10:wrap type="none"/>
          </v:line>
        </w:pict>
      </w:r>
      <w:r>
        <w:rPr/>
        <w:pict>
          <v:line style="position:absolute;mso-position-horizontal-relative:page;mso-position-vertical-relative:paragraph;z-index:7624" from="36.360001pt,-21.054163pt" to="36.360001pt,18.665837pt" stroked="true" strokeweight=".72pt" strokecolor="#000000">
            <v:stroke dashstyle="solid"/>
            <w10:wrap type="none"/>
          </v:line>
        </w:pict>
      </w:r>
      <w:r>
        <w:rPr/>
        <w:pict>
          <v:line style="position:absolute;mso-position-horizontal-relative:page;mso-position-vertical-relative:paragraph;z-index:7648" from="36.360001pt,32.465836pt" to="36.360001pt,46.265836pt" stroked="true" strokeweight=".72pt" strokecolor="#000000">
            <v:stroke dashstyle="solid"/>
            <w10:wrap type="none"/>
          </v:line>
        </w:pict>
      </w:r>
      <w:r>
        <w:rPr>
          <w:b/>
          <w:sz w:val="24"/>
        </w:rPr>
        <w:t>BUDGET COMMITTEE</w:t>
      </w:r>
      <w:r>
        <w:rPr>
          <w:b/>
          <w:spacing w:val="-9"/>
          <w:sz w:val="24"/>
        </w:rPr>
        <w:t> </w:t>
      </w:r>
      <w:r>
        <w:rPr>
          <w:b/>
          <w:sz w:val="24"/>
        </w:rPr>
        <w:t>ON</w:t>
      </w:r>
      <w:r>
        <w:rPr>
          <w:b/>
          <w:spacing w:val="-5"/>
          <w:sz w:val="24"/>
        </w:rPr>
        <w:t> </w:t>
      </w:r>
      <w:r>
        <w:rPr>
          <w:b/>
          <w:sz w:val="24"/>
        </w:rPr>
        <w:t>CONFERENCE    </w:t>
      </w:r>
      <w:r>
        <w:rPr>
          <w:b/>
          <w:spacing w:val="12"/>
          <w:sz w:val="24"/>
        </w:rPr>
        <w:t> </w:t>
      </w:r>
      <w:r>
        <w:rPr>
          <w:b/>
          <w:w w:val="100"/>
          <w:sz w:val="24"/>
          <w:u w:val="thick" w:color="2E97D3"/>
        </w:rPr>
        <w:t> </w:t>
      </w:r>
      <w:r>
        <w:rPr>
          <w:b/>
          <w:sz w:val="24"/>
          <w:u w:val="thick" w:color="2E97D3"/>
        </w:rPr>
        <w:tab/>
      </w:r>
      <w:r>
        <w:rPr>
          <w:b/>
          <w:sz w:val="24"/>
        </w:rPr>
        <w:t> 6340</w:t>
      </w:r>
    </w:p>
    <w:p>
      <w:pPr>
        <w:spacing w:before="0"/>
        <w:ind w:left="820" w:right="0" w:firstLine="0"/>
        <w:jc w:val="both"/>
        <w:rPr>
          <w:sz w:val="24"/>
        </w:rPr>
      </w:pPr>
      <w:r>
        <w:rPr>
          <w:sz w:val="24"/>
        </w:rPr>
        <w:t>(Revised </w:t>
      </w:r>
      <w:r>
        <w:rPr>
          <w:rFonts w:ascii="Times New Roman"/>
          <w:b/>
          <w:strike/>
          <w:color w:val="2E97D3"/>
          <w:sz w:val="16"/>
        </w:rPr>
        <w:t>9/2010</w:t>
      </w:r>
      <w:r>
        <w:rPr>
          <w:strike w:val="0"/>
          <w:color w:val="2E97D3"/>
          <w:sz w:val="24"/>
          <w:u w:val="single" w:color="2E97D3"/>
        </w:rPr>
        <w:t>10/2017</w:t>
      </w:r>
      <w:r>
        <w:rPr>
          <w:strike w:val="0"/>
          <w:sz w:val="24"/>
        </w:rPr>
        <w:t>)</w:t>
      </w:r>
    </w:p>
    <w:p>
      <w:pPr>
        <w:pStyle w:val="BodyText"/>
        <w:spacing w:before="182"/>
        <w:ind w:left="820" w:right="115"/>
        <w:jc w:val="both"/>
      </w:pPr>
      <w:r>
        <w:rPr/>
        <w:pict>
          <v:line style="position:absolute;mso-position-horizontal-relative:page;mso-position-vertical-relative:paragraph;z-index:-465256" from="464.279999pt,46.095879pt" to="467.519999pt,46.095879pt" stroked="true" strokeweight=".36pt" strokecolor="#2e97d3">
            <v:stroke dashstyle="solid"/>
            <w10:wrap type="none"/>
          </v:line>
        </w:pict>
      </w:r>
      <w:r>
        <w:rPr/>
        <w:pict>
          <v:line style="position:absolute;mso-position-horizontal-relative:page;mso-position-vertical-relative:paragraph;z-index:-465232" from="227.160004pt,73.695877pt" to="229.800004pt,73.695877pt" stroked="true" strokeweight=".36pt" strokecolor="#2e97d3">
            <v:stroke dashstyle="solid"/>
            <w10:wrap type="none"/>
          </v:line>
        </w:pict>
      </w:r>
      <w:r>
        <w:rPr/>
        <w:pict>
          <v:line style="position:absolute;mso-position-horizontal-relative:page;mso-position-vertical-relative:paragraph;z-index:-465208" from="448.799988pt,87.49588pt" to="452.759988pt,87.49588pt" stroked="true" strokeweight=".36pt" strokecolor="#2e97d3">
            <v:stroke dashstyle="solid"/>
            <w10:wrap type="none"/>
          </v:line>
        </w:pict>
      </w:r>
      <w:r>
        <w:rPr/>
        <w:pict>
          <v:line style="position:absolute;mso-position-horizontal-relative:page;mso-position-vertical-relative:paragraph;z-index:7672" from="36.360001pt,36.915878pt" to="36.360001pt,50.715878pt" stroked="true" strokeweight=".72pt" strokecolor="#000000">
            <v:stroke dashstyle="solid"/>
            <w10:wrap type="none"/>
          </v:line>
        </w:pict>
      </w:r>
      <w:r>
        <w:rPr/>
        <w:pict>
          <v:line style="position:absolute;mso-position-horizontal-relative:page;mso-position-vertical-relative:paragraph;z-index:7696" from="36.360001pt,64.516876pt" to="36.360001pt,92.115876pt" stroked="true" strokeweight=".72pt" strokecolor="#000000">
            <v:stroke dashstyle="solid"/>
            <w10:wrap type="none"/>
          </v:line>
        </w:pict>
      </w:r>
      <w:r>
        <w:rPr/>
        <w:t>The Joint Rules provide that when the Senate or Assembly refuses to concur in amendments to a bill made by the other, the Senate and the Assembly will each appoint three members to the Budget Committee on Conference (Committee). However, the Senate or Assembly may deviate from the Joint Rules and appoint more than three members to the Committee. Generally, the appointees for each house will include two members from the majority party and one from the minority party. Meetings of the Committee are held in public.</w:t>
      </w:r>
    </w:p>
    <w:p>
      <w:pPr>
        <w:pStyle w:val="BodyText"/>
        <w:spacing w:before="4"/>
        <w:rPr>
          <w:sz w:val="34"/>
        </w:rPr>
      </w:pPr>
    </w:p>
    <w:p>
      <w:pPr>
        <w:pStyle w:val="BodyText"/>
        <w:ind w:left="820" w:right="114"/>
        <w:jc w:val="both"/>
      </w:pPr>
      <w:r>
        <w:rPr/>
        <w:pict>
          <v:line style="position:absolute;mso-position-horizontal-relative:page;mso-position-vertical-relative:paragraph;z-index:-465184" from="277.920013pt,26.795355pt" to="281.280013pt,26.795355pt" stroked="true" strokeweight=".841pt" strokecolor="#2e97d3">
            <v:stroke dashstyle="solid"/>
            <w10:wrap type="none"/>
          </v:line>
        </w:pict>
      </w:r>
      <w:r>
        <w:rPr/>
        <w:pict>
          <v:line style="position:absolute;mso-position-horizontal-relative:page;mso-position-vertical-relative:paragraph;z-index:-465160" from="138.839996pt,49.836353pt" to="143.038996pt,49.836353pt" stroked="true" strokeweight=".599pt" strokecolor="#2e97d3">
            <v:stroke dashstyle="solid"/>
            <w10:wrap type="none"/>
          </v:line>
        </w:pict>
      </w:r>
      <w:r>
        <w:rPr/>
        <w:pict>
          <v:line style="position:absolute;mso-position-horizontal-relative:page;mso-position-vertical-relative:paragraph;z-index:-465136" from="287.399994pt,63.635853pt" to="290.040994pt,63.635853pt" stroked="true" strokeweight=".6pt" strokecolor="#2e97d3">
            <v:stroke dashstyle="solid"/>
            <w10:wrap type="none"/>
          </v:line>
        </w:pict>
      </w:r>
      <w:r>
        <w:rPr/>
        <w:pict>
          <v:line style="position:absolute;mso-position-horizontal-relative:page;mso-position-vertical-relative:paragraph;z-index:-465112" from="436.079987pt,77.435852pt" to="438.720987pt,77.435852pt" stroked="true" strokeweight=".6pt" strokecolor="#2e97d3">
            <v:stroke dashstyle="solid"/>
            <w10:wrap type="none"/>
          </v:line>
        </w:pict>
      </w:r>
      <w:r>
        <w:rPr/>
        <w:pict>
          <v:line style="position:absolute;mso-position-horizontal-relative:page;mso-position-vertical-relative:paragraph;z-index:7720" from="36.360001pt,14.015855pt" to="36.360001pt,27.815855pt" stroked="true" strokeweight=".72pt" strokecolor="#000000">
            <v:stroke dashstyle="solid"/>
            <w10:wrap type="none"/>
          </v:line>
        </w:pict>
      </w:r>
      <w:r>
        <w:rPr/>
        <w:pict>
          <v:line style="position:absolute;mso-position-horizontal-relative:page;mso-position-vertical-relative:paragraph;z-index:7744" from="36.360001pt,41.615856pt" to="36.360001pt,83.015856pt" stroked="true" strokeweight=".72pt" strokecolor="#000000">
            <v:stroke dashstyle="solid"/>
            <w10:wrap type="none"/>
          </v:line>
        </w:pict>
      </w:r>
      <w:r>
        <w:rPr/>
        <w:t>Passage requires a majority vote of two senators and two assembly members unless there are more members appointed</w:t>
      </w:r>
      <w:r>
        <w:rPr>
          <w:strike/>
          <w:color w:val="2E97D3"/>
        </w:rPr>
        <w:t>.. </w:t>
      </w:r>
      <w:r>
        <w:rPr>
          <w:strike w:val="0"/>
          <w:color w:val="2E97D3"/>
        </w:rPr>
        <w:t>. </w:t>
      </w:r>
      <w:r>
        <w:rPr>
          <w:strike w:val="0"/>
        </w:rPr>
        <w:t>The Committee shall only consider differences between</w:t>
      </w:r>
      <w:r>
        <w:rPr>
          <w:strike w:val="0"/>
          <w:spacing w:val="-8"/>
        </w:rPr>
        <w:t> </w:t>
      </w:r>
      <w:r>
        <w:rPr>
          <w:strike w:val="0"/>
        </w:rPr>
        <w:t>the</w:t>
      </w:r>
      <w:r>
        <w:rPr>
          <w:strike w:val="0"/>
          <w:spacing w:val="-10"/>
        </w:rPr>
        <w:t> </w:t>
      </w:r>
      <w:r>
        <w:rPr>
          <w:strike w:val="0"/>
        </w:rPr>
        <w:t>versions</w:t>
      </w:r>
      <w:r>
        <w:rPr>
          <w:strike w:val="0"/>
          <w:spacing w:val="-9"/>
        </w:rPr>
        <w:t> </w:t>
      </w:r>
      <w:r>
        <w:rPr>
          <w:strike w:val="0"/>
        </w:rPr>
        <w:t>of</w:t>
      </w:r>
      <w:r>
        <w:rPr>
          <w:strike w:val="0"/>
          <w:spacing w:val="-8"/>
        </w:rPr>
        <w:t> </w:t>
      </w:r>
      <w:r>
        <w:rPr>
          <w:strike w:val="0"/>
        </w:rPr>
        <w:t>the</w:t>
      </w:r>
      <w:r>
        <w:rPr>
          <w:strike w:val="0"/>
          <w:spacing w:val="-8"/>
        </w:rPr>
        <w:t> </w:t>
      </w:r>
      <w:r>
        <w:rPr>
          <w:strike w:val="0"/>
        </w:rPr>
        <w:t>Budget</w:t>
      </w:r>
      <w:r>
        <w:rPr>
          <w:strike w:val="0"/>
          <w:spacing w:val="-11"/>
        </w:rPr>
        <w:t> </w:t>
      </w:r>
      <w:r>
        <w:rPr>
          <w:strike w:val="0"/>
        </w:rPr>
        <w:t>Bill</w:t>
      </w:r>
      <w:r>
        <w:rPr>
          <w:strike w:val="0"/>
          <w:spacing w:val="-9"/>
        </w:rPr>
        <w:t> </w:t>
      </w:r>
      <w:r>
        <w:rPr>
          <w:strike w:val="0"/>
        </w:rPr>
        <w:t>unless</w:t>
      </w:r>
      <w:r>
        <w:rPr>
          <w:strike w:val="0"/>
          <w:spacing w:val="-11"/>
        </w:rPr>
        <w:t> </w:t>
      </w:r>
      <w:r>
        <w:rPr>
          <w:strike w:val="0"/>
        </w:rPr>
        <w:t>rules</w:t>
      </w:r>
      <w:r>
        <w:rPr>
          <w:strike w:val="0"/>
          <w:spacing w:val="-9"/>
        </w:rPr>
        <w:t> </w:t>
      </w:r>
      <w:r>
        <w:rPr>
          <w:strike w:val="0"/>
        </w:rPr>
        <w:t>are</w:t>
      </w:r>
      <w:r>
        <w:rPr>
          <w:strike w:val="0"/>
          <w:spacing w:val="-10"/>
        </w:rPr>
        <w:t> </w:t>
      </w:r>
      <w:r>
        <w:rPr>
          <w:strike w:val="0"/>
        </w:rPr>
        <w:t>waived</w:t>
      </w:r>
      <w:r>
        <w:rPr>
          <w:strike w:val="0"/>
          <w:spacing w:val="-8"/>
        </w:rPr>
        <w:t> </w:t>
      </w:r>
      <w:r>
        <w:rPr>
          <w:strike w:val="0"/>
        </w:rPr>
        <w:t>and</w:t>
      </w:r>
      <w:r>
        <w:rPr>
          <w:strike w:val="0"/>
          <w:spacing w:val="-10"/>
        </w:rPr>
        <w:t> </w:t>
      </w:r>
      <w:r>
        <w:rPr>
          <w:strike w:val="0"/>
        </w:rPr>
        <w:t>an</w:t>
      </w:r>
      <w:r>
        <w:rPr>
          <w:strike w:val="0"/>
          <w:spacing w:val="-8"/>
        </w:rPr>
        <w:t> </w:t>
      </w:r>
      <w:r>
        <w:rPr>
          <w:strike w:val="0"/>
        </w:rPr>
        <w:t>open</w:t>
      </w:r>
      <w:r>
        <w:rPr>
          <w:strike w:val="0"/>
          <w:spacing w:val="-10"/>
        </w:rPr>
        <w:t> </w:t>
      </w:r>
      <w:r>
        <w:rPr>
          <w:strike w:val="0"/>
        </w:rPr>
        <w:t>Conference is declared. The Committee shall not approve any item of expenditure which exceeds that</w:t>
      </w:r>
      <w:r>
        <w:rPr>
          <w:strike w:val="0"/>
          <w:spacing w:val="-19"/>
        </w:rPr>
        <w:t> </w:t>
      </w:r>
      <w:r>
        <w:rPr>
          <w:strike w:val="0"/>
        </w:rPr>
        <w:t>contained</w:t>
      </w:r>
      <w:r>
        <w:rPr>
          <w:strike w:val="0"/>
          <w:spacing w:val="-19"/>
        </w:rPr>
        <w:t> </w:t>
      </w:r>
      <w:r>
        <w:rPr>
          <w:strike w:val="0"/>
        </w:rPr>
        <w:t>in</w:t>
      </w:r>
      <w:r>
        <w:rPr>
          <w:strike w:val="0"/>
          <w:spacing w:val="-19"/>
        </w:rPr>
        <w:t> </w:t>
      </w:r>
      <w:r>
        <w:rPr>
          <w:strike w:val="0"/>
        </w:rPr>
        <w:t>one</w:t>
      </w:r>
      <w:r>
        <w:rPr>
          <w:strike w:val="0"/>
          <w:spacing w:val="-19"/>
        </w:rPr>
        <w:t> </w:t>
      </w:r>
      <w:r>
        <w:rPr>
          <w:strike w:val="0"/>
        </w:rPr>
        <w:t>of</w:t>
      </w:r>
      <w:r>
        <w:rPr>
          <w:strike w:val="0"/>
          <w:spacing w:val="-19"/>
        </w:rPr>
        <w:t> </w:t>
      </w:r>
      <w:r>
        <w:rPr>
          <w:strike w:val="0"/>
        </w:rPr>
        <w:t>the</w:t>
      </w:r>
      <w:r>
        <w:rPr>
          <w:strike w:val="0"/>
          <w:spacing w:val="-16"/>
        </w:rPr>
        <w:t> </w:t>
      </w:r>
      <w:r>
        <w:rPr>
          <w:strike w:val="0"/>
        </w:rPr>
        <w:t>two</w:t>
      </w:r>
      <w:r>
        <w:rPr>
          <w:strike w:val="0"/>
          <w:spacing w:val="-16"/>
        </w:rPr>
        <w:t> </w:t>
      </w:r>
      <w:r>
        <w:rPr>
          <w:strike w:val="0"/>
        </w:rPr>
        <w:t>versions.</w:t>
      </w:r>
      <w:r>
        <w:rPr>
          <w:strike w:val="0"/>
          <w:spacing w:val="32"/>
        </w:rPr>
        <w:t> </w:t>
      </w:r>
      <w:r>
        <w:rPr>
          <w:strike w:val="0"/>
        </w:rPr>
        <w:t>If</w:t>
      </w:r>
      <w:r>
        <w:rPr>
          <w:strike w:val="0"/>
          <w:spacing w:val="-17"/>
        </w:rPr>
        <w:t> </w:t>
      </w:r>
      <w:r>
        <w:rPr>
          <w:strike w:val="0"/>
        </w:rPr>
        <w:t>the</w:t>
      </w:r>
      <w:r>
        <w:rPr>
          <w:strike w:val="0"/>
          <w:spacing w:val="-19"/>
        </w:rPr>
        <w:t> </w:t>
      </w:r>
      <w:r>
        <w:rPr>
          <w:strike w:val="0"/>
        </w:rPr>
        <w:t>Committee</w:t>
      </w:r>
      <w:r>
        <w:rPr>
          <w:strike w:val="0"/>
          <w:spacing w:val="-21"/>
        </w:rPr>
        <w:t> </w:t>
      </w:r>
      <w:r>
        <w:rPr>
          <w:strike w:val="0"/>
        </w:rPr>
        <w:t>fails</w:t>
      </w:r>
      <w:r>
        <w:rPr>
          <w:strike w:val="0"/>
          <w:spacing w:val="-20"/>
        </w:rPr>
        <w:t> </w:t>
      </w:r>
      <w:r>
        <w:rPr>
          <w:strike w:val="0"/>
        </w:rPr>
        <w:t>to</w:t>
      </w:r>
      <w:r>
        <w:rPr>
          <w:strike w:val="0"/>
          <w:spacing w:val="-19"/>
        </w:rPr>
        <w:t> </w:t>
      </w:r>
      <w:r>
        <w:rPr>
          <w:strike w:val="0"/>
        </w:rPr>
        <w:t>gain</w:t>
      </w:r>
      <w:r>
        <w:rPr>
          <w:strike w:val="0"/>
          <w:spacing w:val="-16"/>
        </w:rPr>
        <w:t> </w:t>
      </w:r>
      <w:r>
        <w:rPr>
          <w:strike w:val="0"/>
        </w:rPr>
        <w:t>passage,</w:t>
      </w:r>
      <w:r>
        <w:rPr>
          <w:strike w:val="0"/>
          <w:spacing w:val="-19"/>
        </w:rPr>
        <w:t> </w:t>
      </w:r>
      <w:r>
        <w:rPr>
          <w:strike w:val="0"/>
        </w:rPr>
        <w:t>a</w:t>
      </w:r>
      <w:r>
        <w:rPr>
          <w:strike w:val="0"/>
          <w:spacing w:val="-16"/>
        </w:rPr>
        <w:t> </w:t>
      </w:r>
      <w:r>
        <w:rPr>
          <w:strike w:val="0"/>
        </w:rPr>
        <w:t>second Committee</w:t>
      </w:r>
      <w:r>
        <w:rPr>
          <w:strike w:val="0"/>
          <w:spacing w:val="-16"/>
        </w:rPr>
        <w:t> </w:t>
      </w:r>
      <w:r>
        <w:rPr>
          <w:strike w:val="0"/>
        </w:rPr>
        <w:t>on</w:t>
      </w:r>
      <w:r>
        <w:rPr>
          <w:strike w:val="0"/>
          <w:spacing w:val="-16"/>
        </w:rPr>
        <w:t> </w:t>
      </w:r>
      <w:r>
        <w:rPr>
          <w:strike w:val="0"/>
        </w:rPr>
        <w:t>Conference</w:t>
      </w:r>
      <w:r>
        <w:rPr>
          <w:strike w:val="0"/>
          <w:spacing w:val="-16"/>
        </w:rPr>
        <w:t> </w:t>
      </w:r>
      <w:r>
        <w:rPr>
          <w:strike w:val="0"/>
        </w:rPr>
        <w:t>will</w:t>
      </w:r>
      <w:r>
        <w:rPr>
          <w:strike w:val="0"/>
          <w:spacing w:val="-18"/>
        </w:rPr>
        <w:t> </w:t>
      </w:r>
      <w:r>
        <w:rPr>
          <w:strike w:val="0"/>
        </w:rPr>
        <w:t>be</w:t>
      </w:r>
      <w:r>
        <w:rPr>
          <w:strike w:val="0"/>
          <w:spacing w:val="-16"/>
        </w:rPr>
        <w:t> </w:t>
      </w:r>
      <w:r>
        <w:rPr>
          <w:strike w:val="0"/>
        </w:rPr>
        <w:t>selected</w:t>
      </w:r>
      <w:r>
        <w:rPr>
          <w:strike w:val="0"/>
          <w:spacing w:val="-16"/>
        </w:rPr>
        <w:t> </w:t>
      </w:r>
      <w:r>
        <w:rPr>
          <w:strike w:val="0"/>
        </w:rPr>
        <w:t>and</w:t>
      </w:r>
      <w:r>
        <w:rPr>
          <w:strike w:val="0"/>
          <w:spacing w:val="-16"/>
        </w:rPr>
        <w:t> </w:t>
      </w:r>
      <w:r>
        <w:rPr>
          <w:strike w:val="0"/>
        </w:rPr>
        <w:t>the</w:t>
      </w:r>
      <w:r>
        <w:rPr>
          <w:strike w:val="0"/>
          <w:spacing w:val="-19"/>
        </w:rPr>
        <w:t> </w:t>
      </w:r>
      <w:r>
        <w:rPr>
          <w:strike w:val="0"/>
        </w:rPr>
        <w:t>process</w:t>
      </w:r>
      <w:r>
        <w:rPr>
          <w:strike w:val="0"/>
          <w:spacing w:val="-17"/>
        </w:rPr>
        <w:t> </w:t>
      </w:r>
      <w:r>
        <w:rPr>
          <w:strike w:val="0"/>
        </w:rPr>
        <w:t>repeated.</w:t>
      </w:r>
      <w:r>
        <w:rPr>
          <w:strike w:val="0"/>
          <w:spacing w:val="33"/>
        </w:rPr>
        <w:t> </w:t>
      </w:r>
      <w:r>
        <w:rPr>
          <w:strike w:val="0"/>
        </w:rPr>
        <w:t>No</w:t>
      </w:r>
      <w:r>
        <w:rPr>
          <w:strike w:val="0"/>
          <w:spacing w:val="-16"/>
        </w:rPr>
        <w:t> </w:t>
      </w:r>
      <w:r>
        <w:rPr>
          <w:strike w:val="0"/>
        </w:rPr>
        <w:t>more</w:t>
      </w:r>
      <w:r>
        <w:rPr>
          <w:strike w:val="0"/>
          <w:spacing w:val="-16"/>
        </w:rPr>
        <w:t> </w:t>
      </w:r>
      <w:r>
        <w:rPr>
          <w:strike w:val="0"/>
        </w:rPr>
        <w:t>than</w:t>
      </w:r>
      <w:r>
        <w:rPr>
          <w:strike w:val="0"/>
          <w:spacing w:val="-16"/>
        </w:rPr>
        <w:t> </w:t>
      </w:r>
      <w:r>
        <w:rPr>
          <w:strike w:val="0"/>
        </w:rPr>
        <w:t>three different conference committees may be appointed on any one</w:t>
      </w:r>
      <w:r>
        <w:rPr>
          <w:strike w:val="0"/>
          <w:spacing w:val="-31"/>
        </w:rPr>
        <w:t> </w:t>
      </w:r>
      <w:r>
        <w:rPr>
          <w:strike w:val="0"/>
        </w:rPr>
        <w:t>bill.</w:t>
      </w:r>
    </w:p>
    <w:p>
      <w:pPr>
        <w:pStyle w:val="BodyText"/>
        <w:rPr>
          <w:sz w:val="26"/>
        </w:rPr>
      </w:pPr>
    </w:p>
    <w:p>
      <w:pPr>
        <w:pStyle w:val="Heading2"/>
        <w:tabs>
          <w:tab w:pos="4419" w:val="left" w:leader="none"/>
          <w:tab w:pos="10179" w:val="left" w:leader="none"/>
        </w:tabs>
        <w:spacing w:before="216"/>
        <w:ind w:left="820" w:right="118"/>
        <w:jc w:val="both"/>
      </w:pPr>
      <w:r>
        <w:rPr/>
        <w:pict>
          <v:line style="position:absolute;mso-position-horizontal-relative:page;mso-position-vertical-relative:paragraph;z-index:-465088" from="216.240005pt,19.236361pt" to="252.000005pt,19.236361pt" stroked="true" strokeweight=".599pt" strokecolor="#2e97d3">
            <v:stroke dashstyle="solid"/>
            <w10:wrap type="none"/>
          </v:line>
        </w:pict>
      </w:r>
      <w:r>
        <w:rPr/>
        <w:pict>
          <v:line style="position:absolute;mso-position-horizontal-relative:page;mso-position-vertical-relative:paragraph;z-index:7768" from="36.360001pt,11.015861pt" to="36.360001pt,24.815861pt" stroked="true" strokeweight=".72pt" strokecolor="#000000">
            <v:stroke dashstyle="solid"/>
            <w10:wrap type="none"/>
          </v:line>
        </w:pict>
      </w:r>
      <w:r>
        <w:rPr/>
        <w:pict>
          <v:line style="position:absolute;mso-position-horizontal-relative:page;mso-position-vertical-relative:paragraph;z-index:7792" from="36.360001pt,38.614861pt" to="36.360001pt,52.415861pt" stroked="true" strokeweight=".72pt" strokecolor="#000000">
            <v:stroke dashstyle="solid"/>
            <w10:wrap type="none"/>
          </v:line>
        </w:pict>
      </w:r>
      <w:r>
        <w:rPr/>
        <w:t>THE</w:t>
      </w:r>
      <w:r>
        <w:rPr>
          <w:spacing w:val="-3"/>
        </w:rPr>
        <w:t> </w:t>
      </w:r>
      <w:r>
        <w:rPr/>
        <w:t>GOVERNOR'S</w:t>
      </w:r>
      <w:r>
        <w:rPr>
          <w:spacing w:val="-6"/>
        </w:rPr>
        <w:t> </w:t>
      </w:r>
      <w:r>
        <w:rPr/>
        <w:t>VETO</w:t>
        <w:tab/>
      </w:r>
      <w:r>
        <w:rPr>
          <w:w w:val="100"/>
          <w:u w:val="thick" w:color="2E97D3"/>
        </w:rPr>
        <w:t> </w:t>
      </w:r>
      <w:r>
        <w:rPr>
          <w:u w:val="thick" w:color="2E97D3"/>
        </w:rPr>
        <w:tab/>
      </w:r>
      <w:r>
        <w:rPr/>
        <w:t> 6345</w:t>
      </w:r>
    </w:p>
    <w:p>
      <w:pPr>
        <w:spacing w:before="0"/>
        <w:ind w:left="820" w:right="0" w:firstLine="0"/>
        <w:jc w:val="both"/>
        <w:rPr>
          <w:sz w:val="24"/>
        </w:rPr>
      </w:pPr>
      <w:r>
        <w:rPr>
          <w:sz w:val="24"/>
        </w:rPr>
        <w:t>(Revised </w:t>
      </w:r>
      <w:r>
        <w:rPr>
          <w:rFonts w:ascii="Times New Roman"/>
          <w:b/>
          <w:strike/>
          <w:color w:val="2E97D3"/>
          <w:sz w:val="16"/>
        </w:rPr>
        <w:t>9/2010</w:t>
      </w:r>
      <w:r>
        <w:rPr>
          <w:strike w:val="0"/>
          <w:color w:val="2E97D3"/>
          <w:sz w:val="24"/>
          <w:u w:val="single" w:color="2E97D3"/>
        </w:rPr>
        <w:t>10/2017</w:t>
      </w:r>
      <w:r>
        <w:rPr>
          <w:strike w:val="0"/>
          <w:sz w:val="24"/>
        </w:rPr>
        <w:t>)</w:t>
      </w:r>
    </w:p>
    <w:p>
      <w:pPr>
        <w:pStyle w:val="BodyText"/>
        <w:spacing w:before="185"/>
        <w:ind w:left="820" w:right="112"/>
        <w:jc w:val="both"/>
      </w:pPr>
      <w:r>
        <w:rPr/>
        <w:pict>
          <v:line style="position:absolute;mso-position-horizontal-relative:page;mso-position-vertical-relative:paragraph;z-index:-465064" from="159.600006pt,60.045845pt" to="162.120006pt,60.045845pt" stroked="true" strokeweight=".36pt" strokecolor="#2e97d3">
            <v:stroke dashstyle="solid"/>
            <w10:wrap type="none"/>
          </v:line>
        </w:pict>
      </w:r>
      <w:r>
        <w:rPr/>
        <w:pict>
          <v:line style="position:absolute;mso-position-horizontal-relative:page;mso-position-vertical-relative:paragraph;z-index:7816" from="36.360001pt,23.265846pt" to="36.360001pt,37.065846pt" stroked="true" strokeweight=".72pt" strokecolor="#000000">
            <v:stroke dashstyle="solid"/>
            <w10:wrap type="none"/>
          </v:line>
        </w:pict>
      </w:r>
      <w:r>
        <w:rPr/>
        <w:pict>
          <v:line style="position:absolute;mso-position-horizontal-relative:page;mso-position-vertical-relative:paragraph;z-index:7840" from="36.360001pt,50.864845pt" to="36.360001pt,64.665845pt" stroked="true" strokeweight=".72pt" strokecolor="#000000">
            <v:stroke dashstyle="solid"/>
            <w10:wrap type="none"/>
          </v:line>
        </w:pict>
      </w:r>
      <w:r>
        <w:rPr/>
        <w:pict>
          <v:line style="position:absolute;mso-position-horizontal-relative:page;mso-position-vertical-relative:paragraph;z-index:7864" from="36.360001pt,78.465843pt" to="36.360001pt,104.385843pt" stroked="true" strokeweight=".72pt" strokecolor="#000000">
            <v:stroke dashstyle="solid"/>
            <w10:wrap type="none"/>
          </v:line>
        </w:pict>
      </w:r>
      <w:r>
        <w:rPr/>
        <w:t>The Governor may reduce or eliminate one or more items of appropriation while approving other portions of a bill. </w:t>
      </w:r>
      <w:r>
        <w:rPr>
          <w:rFonts w:ascii="Times New Roman"/>
          <w:b/>
          <w:strike/>
          <w:color w:val="2E97D3"/>
          <w:sz w:val="16"/>
        </w:rPr>
        <w:t>He/she</w:t>
      </w:r>
      <w:r>
        <w:rPr>
          <w:strike w:val="0"/>
          <w:color w:val="2E97D3"/>
          <w:u w:val="single" w:color="2E97D3"/>
        </w:rPr>
        <w:t>The Governor </w:t>
      </w:r>
      <w:r>
        <w:rPr>
          <w:strike w:val="0"/>
        </w:rPr>
        <w:t>will then </w:t>
      </w:r>
      <w:r>
        <w:rPr>
          <w:rFonts w:ascii="Times New Roman"/>
          <w:b/>
          <w:strike/>
          <w:color w:val="2E97D3"/>
          <w:sz w:val="16"/>
        </w:rPr>
        <w:t>return the bill with</w:t>
      </w:r>
      <w:r>
        <w:rPr>
          <w:strike w:val="0"/>
          <w:color w:val="2E97D3"/>
          <w:u w:val="single" w:color="2E97D3"/>
        </w:rPr>
        <w:t>provide </w:t>
      </w:r>
      <w:r>
        <w:rPr>
          <w:strike w:val="0"/>
        </w:rPr>
        <w:t>a statement of the items reduced or eliminated with the reasons for his/her action to the house of origin. Items reduced or eliminated may be separately reconsidered and may become law by a two-thirds vote of each house (veto override).</w:t>
      </w:r>
    </w:p>
    <w:p>
      <w:pPr>
        <w:spacing w:after="0"/>
        <w:jc w:val="both"/>
        <w:sectPr>
          <w:footerReference w:type="default" r:id="rId55"/>
          <w:pgSz w:w="12240" w:h="15840"/>
          <w:pgMar w:footer="803" w:header="724" w:top="980" w:bottom="1000" w:left="620" w:right="1320"/>
        </w:sectPr>
      </w:pPr>
    </w:p>
    <w:p>
      <w:pPr>
        <w:pStyle w:val="BodyText"/>
        <w:rPr>
          <w:sz w:val="20"/>
        </w:rPr>
      </w:pPr>
    </w:p>
    <w:p>
      <w:pPr>
        <w:pStyle w:val="BodyText"/>
        <w:spacing w:before="214"/>
        <w:ind w:left="820"/>
      </w:pPr>
      <w:r>
        <w:rPr/>
        <w:pict>
          <v:line style="position:absolute;mso-position-horizontal-relative:page;mso-position-vertical-relative:paragraph;z-index:7888" from="36.360001pt,10.915881pt" to="36.360001pt,50.635881pt" stroked="true" strokeweight=".72pt" strokecolor="#000000">
            <v:stroke dashstyle="solid"/>
            <w10:wrap type="none"/>
          </v:line>
        </w:pict>
      </w:r>
      <w:r>
        <w:rPr>
          <w:strike/>
          <w:color w:val="2E97D3"/>
        </w:rPr>
        <w:t>THE BUDGET ACT/</w:t>
      </w:r>
    </w:p>
    <w:p>
      <w:pPr>
        <w:spacing w:after="0"/>
        <w:sectPr>
          <w:headerReference w:type="default" r:id="rId56"/>
          <w:pgSz w:w="12240" w:h="15840"/>
          <w:pgMar w:header="724" w:footer="803" w:top="980" w:bottom="1000" w:left="620" w:right="1720"/>
        </w:sectPr>
      </w:pPr>
    </w:p>
    <w:p>
      <w:pPr>
        <w:pStyle w:val="BodyText"/>
        <w:rPr>
          <w:sz w:val="20"/>
        </w:rPr>
      </w:pPr>
    </w:p>
    <w:p>
      <w:pPr>
        <w:pStyle w:val="Heading2"/>
        <w:tabs>
          <w:tab w:pos="4419" w:val="left" w:leader="none"/>
          <w:tab w:pos="10179" w:val="left" w:leader="none"/>
        </w:tabs>
        <w:spacing w:before="214"/>
        <w:ind w:left="820" w:right="98"/>
      </w:pPr>
      <w:r>
        <w:rPr/>
        <w:pict>
          <v:line style="position:absolute;mso-position-horizontal-relative:page;mso-position-vertical-relative:paragraph;z-index:-464752" from="226.440002pt,19.135881pt" to="252.000002pt,19.135881pt" stroked="true" strokeweight=".6pt" strokecolor="#2e97d3">
            <v:stroke dashstyle="solid"/>
            <w10:wrap type="none"/>
          </v:line>
        </w:pict>
      </w:r>
      <w:r>
        <w:rPr/>
        <w:pict>
          <v:line style="position:absolute;mso-position-horizontal-relative:page;mso-position-vertical-relative:paragraph;z-index:7984" from="36.360001pt,10.915881pt" to="36.360001pt,24.715881pt" stroked="true" strokeweight=".72pt" strokecolor="#000000">
            <v:stroke dashstyle="solid"/>
            <w10:wrap type="none"/>
          </v:line>
        </w:pict>
      </w:r>
      <w:r>
        <w:rPr/>
        <w:pict>
          <v:line style="position:absolute;mso-position-horizontal-relative:page;mso-position-vertical-relative:paragraph;z-index:8008" from="36.360001pt,38.51688pt" to="36.360001pt,66.11588pt" stroked="true" strokeweight=".72pt" strokecolor="#000000">
            <v:stroke dashstyle="solid"/>
            <w10:wrap type="none"/>
          </v:line>
        </w:pict>
      </w:r>
      <w:r>
        <w:rPr/>
        <w:t>FINAL</w:t>
      </w:r>
      <w:r>
        <w:rPr>
          <w:spacing w:val="-7"/>
        </w:rPr>
        <w:t> </w:t>
      </w:r>
      <w:r>
        <w:rPr/>
        <w:t>BUDGET</w:t>
      </w:r>
      <w:r>
        <w:rPr>
          <w:spacing w:val="-7"/>
        </w:rPr>
        <w:t> </w:t>
      </w:r>
      <w:r>
        <w:rPr/>
        <w:t>SUMMARY</w:t>
        <w:tab/>
      </w:r>
      <w:r>
        <w:rPr>
          <w:w w:val="100"/>
          <w:u w:val="thick" w:color="2E97D3"/>
        </w:rPr>
        <w:t> </w:t>
      </w:r>
      <w:r>
        <w:rPr>
          <w:u w:val="thick" w:color="2E97D3"/>
        </w:rPr>
        <w:tab/>
      </w:r>
      <w:r>
        <w:rPr/>
        <w:t> 6350</w:t>
      </w:r>
    </w:p>
    <w:p>
      <w:pPr>
        <w:pStyle w:val="BodyText"/>
        <w:ind w:left="820" w:right="7478"/>
      </w:pPr>
      <w:r>
        <w:rPr>
          <w:color w:val="2C6234"/>
          <w:u w:val="thick" w:color="2C6234"/>
        </w:rPr>
        <w:t>(Revised 09/2017) </w:t>
      </w:r>
      <w:r>
        <w:rPr>
          <w:strike/>
          <w:color w:val="2E97D3"/>
        </w:rPr>
        <w:t>(Revised 9/2010)</w:t>
      </w:r>
    </w:p>
    <w:p>
      <w:pPr>
        <w:pStyle w:val="BodyText"/>
        <w:spacing w:before="5"/>
        <w:rPr>
          <w:sz w:val="18"/>
        </w:rPr>
      </w:pPr>
    </w:p>
    <w:p>
      <w:pPr>
        <w:pStyle w:val="BodyText"/>
        <w:spacing w:before="93"/>
        <w:ind w:left="820" w:right="381"/>
      </w:pPr>
      <w:r>
        <w:rPr/>
        <w:pict>
          <v:line style="position:absolute;mso-position-horizontal-relative:page;mso-position-vertical-relative:paragraph;z-index:8032" from="36.360001pt,4.866879pt" to="36.360001pt,156.665879pt" stroked="true" strokeweight=".72pt" strokecolor="#000000">
            <v:stroke dashstyle="solid"/>
            <w10:wrap type="none"/>
          </v:line>
        </w:pict>
      </w:r>
      <w:r>
        <w:rPr/>
        <w:t>The </w:t>
      </w:r>
      <w:r>
        <w:rPr>
          <w:strike/>
          <w:color w:val="2E97D3"/>
        </w:rPr>
        <w:t>Budget Bill becomes the Budget Act after it is passed by both houses and signed by the Governor.</w:t>
      </w:r>
    </w:p>
    <w:p>
      <w:pPr>
        <w:pStyle w:val="BodyText"/>
        <w:rPr>
          <w:sz w:val="16"/>
        </w:rPr>
      </w:pPr>
    </w:p>
    <w:p>
      <w:pPr>
        <w:pStyle w:val="BodyText"/>
        <w:spacing w:before="92"/>
        <w:ind w:left="820" w:right="275"/>
      </w:pPr>
      <w:r>
        <w:rPr>
          <w:strike/>
          <w:color w:val="2E97D3"/>
        </w:rPr>
        <w:t>The veto actions </w:t>
      </w:r>
      <w:r>
        <w:rPr>
          <w:strike w:val="0"/>
          <w:color w:val="2E97D3"/>
          <w:u w:val="single" w:color="2E97D3"/>
        </w:rPr>
        <w:t>Department </w:t>
      </w:r>
      <w:r>
        <w:rPr>
          <w:strike w:val="0"/>
        </w:rPr>
        <w:t>of </w:t>
      </w:r>
      <w:r>
        <w:rPr>
          <w:strike/>
          <w:color w:val="2E97D3"/>
        </w:rPr>
        <w:t>the Governor are listed beginning on the first page. The veto actions are not amended into each item/section of the Budget Act. When referring to an item of the Budget Act, be sure to check for possible veto action which may be applicable to the item.</w:t>
      </w:r>
    </w:p>
    <w:p>
      <w:pPr>
        <w:pStyle w:val="BodyText"/>
        <w:spacing w:before="11"/>
        <w:rPr>
          <w:sz w:val="15"/>
        </w:rPr>
      </w:pPr>
    </w:p>
    <w:p>
      <w:pPr>
        <w:spacing w:before="92"/>
        <w:ind w:left="820" w:right="498" w:firstLine="0"/>
        <w:jc w:val="both"/>
        <w:rPr>
          <w:sz w:val="24"/>
        </w:rPr>
      </w:pPr>
      <w:r>
        <w:rPr/>
        <w:pict>
          <v:line style="position:absolute;mso-position-horizontal-relative:page;mso-position-vertical-relative:paragraph;z-index:-464728" from="518.039978pt,27.795855pt" to="519.839978pt,27.795855pt" stroked="true" strokeweight=".36pt" strokecolor="#2e97d3">
            <v:stroke dashstyle="solid"/>
            <w10:wrap type="none"/>
          </v:line>
        </w:pict>
      </w:r>
      <w:r>
        <w:rPr/>
        <w:pict>
          <v:line style="position:absolute;mso-position-horizontal-relative:page;mso-position-vertical-relative:paragraph;z-index:8056" from="36.360001pt,66.014854pt" to="36.360001pt,202.215854pt" stroked="true" strokeweight=".72pt" strokecolor="#000000">
            <v:stroke dashstyle="solid"/>
            <w10:wrap type="none"/>
          </v:line>
        </w:pict>
      </w:r>
      <w:r>
        <w:rPr>
          <w:sz w:val="24"/>
        </w:rPr>
        <w:t>Finance </w:t>
      </w:r>
      <w:r>
        <w:rPr>
          <w:rFonts w:ascii="Times New Roman" w:hAnsi="Times New Roman"/>
          <w:b/>
          <w:strike/>
          <w:color w:val="2E97D3"/>
          <w:sz w:val="16"/>
        </w:rPr>
        <w:t>also </w:t>
      </w:r>
      <w:r>
        <w:rPr>
          <w:strike w:val="0"/>
          <w:sz w:val="24"/>
        </w:rPr>
        <w:t>publishes the Final Budget Summary</w:t>
      </w:r>
      <w:r>
        <w:rPr>
          <w:rFonts w:ascii="Times New Roman" w:hAnsi="Times New Roman"/>
          <w:b/>
          <w:strike/>
          <w:color w:val="2E97D3"/>
          <w:sz w:val="16"/>
        </w:rPr>
        <w:t>. It</w:t>
      </w:r>
      <w:r>
        <w:rPr>
          <w:strike w:val="0"/>
          <w:color w:val="2E97D3"/>
          <w:sz w:val="24"/>
          <w:u w:val="single" w:color="2E97D3"/>
        </w:rPr>
        <w:t>, which </w:t>
      </w:r>
      <w:r>
        <w:rPr>
          <w:strike w:val="0"/>
          <w:sz w:val="24"/>
        </w:rPr>
        <w:t>is available on Finance’s website</w:t>
      </w:r>
      <w:r>
        <w:rPr>
          <w:strike w:val="0"/>
          <w:spacing w:val="-14"/>
          <w:sz w:val="24"/>
        </w:rPr>
        <w:t> </w:t>
      </w:r>
      <w:r>
        <w:rPr>
          <w:strike w:val="0"/>
          <w:sz w:val="24"/>
        </w:rPr>
        <w:t>at</w:t>
      </w:r>
      <w:r>
        <w:rPr>
          <w:strike w:val="0"/>
          <w:spacing w:val="-14"/>
          <w:sz w:val="24"/>
        </w:rPr>
        <w:t> </w:t>
      </w:r>
      <w:hyperlink r:id="rId35">
        <w:r>
          <w:rPr>
            <w:rFonts w:ascii="Times New Roman" w:hAnsi="Times New Roman"/>
            <w:b/>
            <w:strike/>
            <w:color w:val="2E97D3"/>
            <w:sz w:val="16"/>
            <w:u w:val="single" w:color="2E97D3"/>
          </w:rPr>
          <w:t>www.dof.ca.gov</w:t>
        </w:r>
        <w:r>
          <w:rPr>
            <w:rFonts w:ascii="Times New Roman" w:hAnsi="Times New Roman"/>
            <w:b/>
            <w:strike/>
            <w:color w:val="2E97D3"/>
            <w:sz w:val="16"/>
          </w:rPr>
          <w:t>.</w:t>
        </w:r>
        <w:r>
          <w:rPr>
            <w:rFonts w:ascii="Times New Roman" w:hAnsi="Times New Roman"/>
            <w:b/>
            <w:strike/>
            <w:color w:val="2E97D3"/>
            <w:spacing w:val="-20"/>
            <w:sz w:val="16"/>
          </w:rPr>
          <w:t> </w:t>
        </w:r>
      </w:hyperlink>
      <w:hyperlink r:id="rId35">
        <w:r>
          <w:rPr>
            <w:strike w:val="0"/>
            <w:color w:val="2E97D3"/>
            <w:sz w:val="24"/>
            <w:u w:val="single" w:color="2E97D3"/>
          </w:rPr>
          <w:t>www.dof.ca.gov</w:t>
        </w:r>
      </w:hyperlink>
      <w:r>
        <w:rPr>
          <w:strike w:val="0"/>
          <w:color w:val="2E97D3"/>
          <w:sz w:val="24"/>
          <w:u w:val="single" w:color="2E97D3"/>
        </w:rPr>
        <w:t>.</w:t>
      </w:r>
      <w:r>
        <w:rPr>
          <w:strike w:val="0"/>
          <w:color w:val="2E97D3"/>
          <w:spacing w:val="-14"/>
          <w:sz w:val="24"/>
          <w:u w:val="single" w:color="2E97D3"/>
        </w:rPr>
        <w:t> </w:t>
      </w:r>
      <w:r>
        <w:rPr>
          <w:strike w:val="0"/>
          <w:sz w:val="24"/>
        </w:rPr>
        <w:t>This</w:t>
      </w:r>
      <w:r>
        <w:rPr>
          <w:strike w:val="0"/>
          <w:spacing w:val="-15"/>
          <w:sz w:val="24"/>
        </w:rPr>
        <w:t> </w:t>
      </w:r>
      <w:r>
        <w:rPr>
          <w:strike w:val="0"/>
          <w:sz w:val="24"/>
        </w:rPr>
        <w:t>is</w:t>
      </w:r>
      <w:r>
        <w:rPr>
          <w:strike w:val="0"/>
          <w:spacing w:val="-15"/>
          <w:sz w:val="24"/>
        </w:rPr>
        <w:t> </w:t>
      </w:r>
      <w:r>
        <w:rPr>
          <w:strike w:val="0"/>
          <w:sz w:val="24"/>
        </w:rPr>
        <w:t>an</w:t>
      </w:r>
      <w:r>
        <w:rPr>
          <w:strike w:val="0"/>
          <w:spacing w:val="-14"/>
          <w:sz w:val="24"/>
        </w:rPr>
        <w:t> </w:t>
      </w:r>
      <w:r>
        <w:rPr>
          <w:strike w:val="0"/>
          <w:sz w:val="24"/>
        </w:rPr>
        <w:t>annotated</w:t>
      </w:r>
      <w:r>
        <w:rPr>
          <w:strike w:val="0"/>
          <w:spacing w:val="-14"/>
          <w:sz w:val="24"/>
        </w:rPr>
        <w:t> </w:t>
      </w:r>
      <w:r>
        <w:rPr>
          <w:strike w:val="0"/>
          <w:sz w:val="24"/>
        </w:rPr>
        <w:t>version</w:t>
      </w:r>
      <w:r>
        <w:rPr>
          <w:strike w:val="0"/>
          <w:spacing w:val="-14"/>
          <w:sz w:val="24"/>
        </w:rPr>
        <w:t> </w:t>
      </w:r>
      <w:r>
        <w:rPr>
          <w:strike w:val="0"/>
          <w:sz w:val="24"/>
        </w:rPr>
        <w:t>of</w:t>
      </w:r>
      <w:r>
        <w:rPr>
          <w:strike w:val="0"/>
          <w:spacing w:val="-12"/>
          <w:sz w:val="24"/>
        </w:rPr>
        <w:t> </w:t>
      </w:r>
      <w:r>
        <w:rPr>
          <w:strike w:val="0"/>
          <w:sz w:val="24"/>
        </w:rPr>
        <w:t>the</w:t>
      </w:r>
      <w:r>
        <w:rPr>
          <w:strike w:val="0"/>
          <w:spacing w:val="-14"/>
          <w:sz w:val="24"/>
        </w:rPr>
        <w:t> </w:t>
      </w:r>
      <w:r>
        <w:rPr>
          <w:strike w:val="0"/>
          <w:sz w:val="24"/>
        </w:rPr>
        <w:t>Budget</w:t>
      </w:r>
      <w:r>
        <w:rPr>
          <w:strike w:val="0"/>
          <w:spacing w:val="-14"/>
          <w:sz w:val="24"/>
        </w:rPr>
        <w:t> </w:t>
      </w:r>
      <w:r>
        <w:rPr>
          <w:strike w:val="0"/>
          <w:sz w:val="24"/>
        </w:rPr>
        <w:t>Act</w:t>
      </w:r>
      <w:r>
        <w:rPr>
          <w:rFonts w:ascii="Times New Roman" w:hAnsi="Times New Roman"/>
          <w:b/>
          <w:strike w:val="0"/>
          <w:color w:val="2E97D3"/>
          <w:sz w:val="16"/>
        </w:rPr>
        <w:t>, </w:t>
      </w:r>
      <w:r>
        <w:rPr>
          <w:rFonts w:ascii="Times New Roman" w:hAnsi="Times New Roman"/>
          <w:b/>
          <w:strike/>
          <w:color w:val="2E97D3"/>
          <w:sz w:val="16"/>
        </w:rPr>
        <w:t>showing the Governor’s veto actions by item/section as well as technical corrections/changes. It also </w:t>
      </w:r>
      <w:r>
        <w:rPr>
          <w:strike w:val="0"/>
          <w:color w:val="2E97D3"/>
          <w:sz w:val="24"/>
          <w:u w:val="single" w:color="2E97D3"/>
        </w:rPr>
        <w:t>and </w:t>
      </w:r>
      <w:r>
        <w:rPr>
          <w:strike w:val="0"/>
          <w:sz w:val="24"/>
        </w:rPr>
        <w:t>includes fiscal summaries.</w:t>
      </w:r>
    </w:p>
    <w:p>
      <w:pPr>
        <w:pStyle w:val="BodyText"/>
        <w:spacing w:before="10"/>
        <w:rPr>
          <w:sz w:val="36"/>
        </w:rPr>
      </w:pPr>
    </w:p>
    <w:p>
      <w:pPr>
        <w:pStyle w:val="BodyText"/>
        <w:spacing w:line="276" w:lineRule="auto"/>
        <w:ind w:left="820" w:right="274"/>
      </w:pPr>
      <w:r>
        <w:rPr>
          <w:color w:val="2E97D3"/>
          <w:u w:val="single" w:color="2E97D3"/>
        </w:rPr>
        <w:t>The Budget Act does not incorporate additional annotations that are contained in the Final Budget Summary. The additional annotations included in the Final Budget Summary may include technical corrections, revisions made by bills that amend the Budget Act in time to be included in the enactment budget totals, and the effect of veto actions on specific items or sections. Annotations reflected in the Final Budget Summary are described on the Detail of Changes page at the beginning of the publication.</w:t>
      </w:r>
    </w:p>
    <w:p>
      <w:pPr>
        <w:pStyle w:val="BodyText"/>
        <w:spacing w:before="1"/>
        <w:rPr>
          <w:sz w:val="29"/>
        </w:rPr>
      </w:pPr>
    </w:p>
    <w:p>
      <w:pPr>
        <w:pStyle w:val="Heading2"/>
        <w:tabs>
          <w:tab w:pos="3699" w:val="left" w:leader="none"/>
          <w:tab w:pos="9459" w:val="left" w:leader="none"/>
        </w:tabs>
        <w:spacing w:before="93"/>
        <w:ind w:left="820" w:right="283"/>
      </w:pPr>
      <w:r>
        <w:rPr/>
        <w:pict>
          <v:line style="position:absolute;mso-position-horizontal-relative:page;mso-position-vertical-relative:paragraph;z-index:-464704" from="397.679993pt,13.086371pt" to="400.919993pt,13.086371pt" stroked="true" strokeweight=".599pt" strokecolor="#2e97d3">
            <v:stroke dashstyle="solid"/>
            <w10:wrap type="none"/>
          </v:line>
        </w:pict>
      </w:r>
      <w:r>
        <w:rPr/>
        <w:pict>
          <v:line style="position:absolute;mso-position-horizontal-relative:page;mso-position-vertical-relative:paragraph;z-index:8080" from="36.360001pt,4.866871pt" to="36.360001pt,256.025871pt" stroked="true" strokeweight=".72pt" strokecolor="#000000">
            <v:stroke dashstyle="solid"/>
            <w10:wrap type="none"/>
          </v:line>
        </w:pict>
      </w:r>
      <w:r>
        <w:rPr/>
        <w:t>THE LIST OF CHANGES TO THE</w:t>
      </w:r>
      <w:r>
        <w:rPr>
          <w:spacing w:val="-13"/>
        </w:rPr>
        <w:t> </w:t>
      </w:r>
      <w:r>
        <w:rPr/>
        <w:t>GOVERNOR'S</w:t>
      </w:r>
      <w:r>
        <w:rPr>
          <w:spacing w:val="-2"/>
        </w:rPr>
        <w:t> </w:t>
      </w:r>
      <w:r>
        <w:rPr/>
        <w:t>BUDGET,</w:t>
      </w:r>
      <w:r>
        <w:rPr>
          <w:color w:val="2E97D3"/>
          <w:u w:val="thick" w:color="2E97D3"/>
        </w:rPr>
        <w:t> </w:t>
        <w:tab/>
        <w:t>6355 </w:t>
      </w:r>
      <w:r>
        <w:rPr/>
        <w:t>FINAL</w:t>
      </w:r>
      <w:r>
        <w:rPr>
          <w:spacing w:val="-3"/>
        </w:rPr>
        <w:t> </w:t>
      </w:r>
      <w:r>
        <w:rPr/>
        <w:t>CHANGE</w:t>
      </w:r>
      <w:r>
        <w:rPr>
          <w:spacing w:val="-2"/>
        </w:rPr>
        <w:t> </w:t>
      </w:r>
      <w:r>
        <w:rPr/>
        <w:t>BOOK</w:t>
        <w:tab/>
      </w:r>
      <w:r>
        <w:rPr>
          <w:strike/>
          <w:color w:val="2E97D3"/>
        </w:rPr>
        <w:t>6355</w:t>
      </w:r>
    </w:p>
    <w:p>
      <w:pPr>
        <w:pStyle w:val="BodyText"/>
        <w:ind w:left="820" w:right="7478"/>
      </w:pPr>
      <w:r>
        <w:rPr>
          <w:color w:val="2C6234"/>
          <w:u w:val="thick" w:color="2C6234"/>
        </w:rPr>
        <w:t>(Revised 09/2017) </w:t>
      </w:r>
      <w:r>
        <w:rPr>
          <w:strike/>
          <w:color w:val="2E97D3"/>
        </w:rPr>
        <w:t>(Revised 9/2010)</w:t>
      </w:r>
    </w:p>
    <w:p>
      <w:pPr>
        <w:pStyle w:val="BodyText"/>
        <w:spacing w:before="10"/>
        <w:rPr>
          <w:sz w:val="15"/>
        </w:rPr>
      </w:pPr>
    </w:p>
    <w:p>
      <w:pPr>
        <w:spacing w:before="94"/>
        <w:ind w:left="820" w:right="0" w:firstLine="0"/>
        <w:jc w:val="left"/>
        <w:rPr>
          <w:rFonts w:ascii="Times New Roman"/>
          <w:b/>
          <w:sz w:val="16"/>
        </w:rPr>
      </w:pPr>
      <w:r>
        <w:rPr>
          <w:rFonts w:ascii="Times New Roman"/>
          <w:b/>
          <w:strike/>
          <w:color w:val="2E97D3"/>
          <w:sz w:val="16"/>
        </w:rPr>
        <w:t>All</w:t>
      </w:r>
    </w:p>
    <w:p>
      <w:pPr>
        <w:pStyle w:val="BodyText"/>
        <w:spacing w:before="118"/>
        <w:ind w:left="820" w:right="101"/>
      </w:pPr>
      <w:r>
        <w:rPr>
          <w:color w:val="2E97D3"/>
          <w:u w:val="single" w:color="2E97D3"/>
        </w:rPr>
        <w:t>The Final Change Book publication, released after budget enactment, includes all spending authority </w:t>
      </w:r>
      <w:r>
        <w:rPr/>
        <w:t>changes made to proposals contained in the Governor’s Budget</w:t>
      </w:r>
      <w:r>
        <w:rPr>
          <w:color w:val="2E97D3"/>
          <w:u w:val="single" w:color="2E97D3"/>
        </w:rPr>
        <w:t>, as submitted to the California State Legislature by January 10 each year. Changes </w:t>
      </w:r>
      <w:r>
        <w:rPr/>
        <w:t>are </w:t>
      </w:r>
      <w:r>
        <w:rPr>
          <w:strike/>
          <w:color w:val="2E97D3"/>
        </w:rPr>
        <w:t>reflected</w:t>
      </w:r>
      <w:r>
        <w:rPr>
          <w:strike w:val="0"/>
          <w:color w:val="2E97D3"/>
          <w:u w:val="single" w:color="2E97D3"/>
        </w:rPr>
        <w:t>presented </w:t>
      </w:r>
      <w:r>
        <w:rPr>
          <w:strike w:val="0"/>
        </w:rPr>
        <w:t>in </w:t>
      </w:r>
      <w:r>
        <w:rPr>
          <w:strike/>
          <w:color w:val="2E97D3"/>
        </w:rPr>
        <w:t>the “Final Change Book.” The Final Change Book is a published document which provides</w:t>
      </w:r>
      <w:r>
        <w:rPr>
          <w:strike w:val="0"/>
          <w:color w:val="2E97D3"/>
          <w:u w:val="single" w:color="2E97D3"/>
        </w:rPr>
        <w:t>three columns that represent different points-in-time during </w:t>
      </w:r>
      <w:r>
        <w:rPr>
          <w:strike w:val="0"/>
        </w:rPr>
        <w:t>the </w:t>
      </w:r>
      <w:r>
        <w:rPr>
          <w:strike/>
          <w:color w:val="2E97D3"/>
        </w:rPr>
        <w:t>details of the </w:t>
      </w:r>
      <w:r>
        <w:rPr>
          <w:strike w:val="0"/>
          <w:color w:val="2E97D3"/>
          <w:u w:val="single" w:color="2E97D3"/>
        </w:rPr>
        <w:t>budget process. The May Revision column presents </w:t>
      </w:r>
      <w:r>
        <w:rPr>
          <w:strike w:val="0"/>
        </w:rPr>
        <w:t>changes </w:t>
      </w:r>
      <w:r>
        <w:rPr>
          <w:strike/>
          <w:color w:val="2E97D3"/>
        </w:rPr>
        <w:t>by </w:t>
      </w:r>
      <w:r>
        <w:rPr>
          <w:strike w:val="0"/>
          <w:color w:val="2E97D3"/>
          <w:u w:val="single" w:color="2E97D3"/>
        </w:rPr>
        <w:t>since the Governor’s Budget, as proposed in </w:t>
      </w:r>
      <w:r>
        <w:rPr>
          <w:strike w:val="0"/>
        </w:rPr>
        <w:t>the </w:t>
      </w:r>
      <w:r>
        <w:rPr>
          <w:strike/>
          <w:color w:val="2E97D3"/>
        </w:rPr>
        <w:t>Legislature and the Governor's veto actions.</w:t>
      </w:r>
    </w:p>
    <w:p>
      <w:pPr>
        <w:pStyle w:val="BodyText"/>
        <w:ind w:left="820" w:right="195"/>
      </w:pPr>
      <w:r>
        <w:rPr>
          <w:strike/>
          <w:color w:val="2E97D3"/>
        </w:rPr>
        <w:t>It</w:t>
      </w:r>
      <w:r>
        <w:rPr>
          <w:strike w:val="0"/>
          <w:color w:val="2E97D3"/>
          <w:u w:val="single" w:color="2E97D3"/>
        </w:rPr>
        <w:t>May Revision. The Conference Committee column </w:t>
      </w:r>
      <w:r>
        <w:rPr>
          <w:strike w:val="0"/>
        </w:rPr>
        <w:t>contains </w:t>
      </w:r>
      <w:r>
        <w:rPr>
          <w:strike/>
          <w:color w:val="2E97D3"/>
        </w:rPr>
        <w:t>a detailed list of</w:t>
      </w:r>
      <w:r>
        <w:rPr>
          <w:strike w:val="0"/>
          <w:color w:val="2E97D3"/>
          <w:u w:val="single" w:color="2E97D3"/>
        </w:rPr>
        <w:t>legislative </w:t>
      </w:r>
      <w:r>
        <w:rPr>
          <w:strike w:val="0"/>
        </w:rPr>
        <w:t>changes </w:t>
      </w:r>
      <w:r>
        <w:rPr>
          <w:strike/>
          <w:color w:val="2E97D3"/>
        </w:rPr>
        <w:t>in</w:t>
      </w:r>
      <w:r>
        <w:rPr>
          <w:strike w:val="0"/>
          <w:color w:val="2E97D3"/>
          <w:u w:val="single" w:color="2E97D3"/>
        </w:rPr>
        <w:t>to the proposed budget plan, as well as the Legislature’s acceptance of the Administration’s proposals. The Enacted Budget column includes all changes to the Governor’s Budget, including any changes resulting from vetoes by the Governor.</w:t>
      </w:r>
    </w:p>
    <w:p>
      <w:pPr>
        <w:spacing w:after="0"/>
        <w:sectPr>
          <w:pgSz w:w="12240" w:h="15840"/>
          <w:pgMar w:header="724" w:footer="803" w:top="980" w:bottom="1000" w:left="620" w:right="1340"/>
        </w:sectPr>
      </w:pPr>
    </w:p>
    <w:p>
      <w:pPr>
        <w:pStyle w:val="BodyText"/>
        <w:rPr>
          <w:sz w:val="20"/>
        </w:rPr>
      </w:pPr>
    </w:p>
    <w:p>
      <w:pPr>
        <w:pStyle w:val="BodyText"/>
        <w:spacing w:before="214"/>
        <w:ind w:left="820" w:right="101"/>
      </w:pPr>
      <w:r>
        <w:rPr/>
        <w:pict>
          <v:line style="position:absolute;mso-position-horizontal-relative:page;mso-position-vertical-relative:paragraph;z-index:-464560" from="469.679993pt,88.136383pt" to="473.039993pt,88.136383pt" stroked="true" strokeweight=".599pt" strokecolor="#2e97d3">
            <v:stroke dashstyle="solid"/>
            <w10:wrap type="none"/>
          </v:line>
        </w:pict>
      </w:r>
      <w:r>
        <w:rPr/>
        <w:pict>
          <v:line style="position:absolute;mso-position-horizontal-relative:page;mso-position-vertical-relative:paragraph;z-index:8128" from="36.360001pt,10.915881pt" to="36.360001pt,107.515881pt" stroked="true" strokeweight=".72pt" strokecolor="#000000">
            <v:stroke dashstyle="solid"/>
            <w10:wrap type="none"/>
          </v:line>
        </w:pict>
      </w:r>
      <w:r>
        <w:rPr>
          <w:color w:val="2E97D3"/>
          <w:u w:val="single" w:color="2E97D3"/>
        </w:rPr>
        <w:t>Each change is identified by an item number or control section related to the </w:t>
      </w:r>
      <w:r>
        <w:rPr/>
        <w:t>Budget Act </w:t>
      </w:r>
      <w:r>
        <w:rPr>
          <w:strike/>
          <w:color w:val="2E97D3"/>
        </w:rPr>
        <w:t>items, non-Budget act items</w:t>
      </w:r>
      <w:r>
        <w:rPr>
          <w:strike w:val="0"/>
          <w:color w:val="2E97D3"/>
          <w:u w:val="single" w:color="2E97D3"/>
        </w:rPr>
        <w:t>or other authority, and a budget request name </w:t>
      </w:r>
      <w:r>
        <w:rPr>
          <w:strike w:val="0"/>
        </w:rPr>
        <w:t>and </w:t>
      </w:r>
      <w:r>
        <w:rPr>
          <w:strike/>
          <w:color w:val="2E97D3"/>
        </w:rPr>
        <w:t>control sections</w:t>
      </w:r>
      <w:r>
        <w:rPr>
          <w:strike w:val="0"/>
          <w:color w:val="2E97D3"/>
          <w:u w:val="single" w:color="2E97D3"/>
        </w:rPr>
        <w:t>title. Only changes for the newly enacted fiscal year are displayed (changes to the prior fiscal years are not included).  Details include information for the categories and programs changed in the identified department </w:t>
      </w:r>
      <w:r>
        <w:rPr>
          <w:strike w:val="0"/>
        </w:rPr>
        <w:t>for state operations, local assistance, capital outlay, and unclassified items.  The Final Change Book  also includes </w:t>
      </w:r>
      <w:r>
        <w:rPr>
          <w:strike w:val="0"/>
          <w:color w:val="2E97D3"/>
          <w:u w:val="single" w:color="2E97D3"/>
        </w:rPr>
        <w:t>statewide </w:t>
      </w:r>
      <w:r>
        <w:rPr>
          <w:strike w:val="0"/>
        </w:rPr>
        <w:t>fiscal summaries.</w:t>
      </w:r>
    </w:p>
    <w:p>
      <w:pPr>
        <w:spacing w:after="0"/>
        <w:sectPr>
          <w:pgSz w:w="12240" w:h="15840"/>
          <w:pgMar w:header="724" w:footer="803" w:top="980" w:bottom="1000" w:left="620" w:right="1360"/>
        </w:sectPr>
      </w:pPr>
    </w:p>
    <w:p>
      <w:pPr>
        <w:pStyle w:val="BodyText"/>
        <w:spacing w:before="11"/>
        <w:rPr>
          <w:sz w:val="15"/>
        </w:rPr>
      </w:pPr>
    </w:p>
    <w:p>
      <w:pPr>
        <w:tabs>
          <w:tab w:pos="8679" w:val="left" w:leader="none"/>
          <w:tab w:pos="9399" w:val="left" w:leader="none"/>
        </w:tabs>
        <w:spacing w:before="92"/>
        <w:ind w:left="760" w:right="0" w:firstLine="0"/>
        <w:jc w:val="left"/>
        <w:rPr>
          <w:b/>
          <w:sz w:val="24"/>
        </w:rPr>
      </w:pPr>
      <w:r>
        <w:rPr/>
        <w:pict>
          <v:line style="position:absolute;mso-position-horizontal-relative:page;mso-position-vertical-relative:paragraph;z-index:-464512" from="343.920013pt,13.035854pt" to="347.400013pt,13.035854pt" stroked="true" strokeweight=".6pt" strokecolor="#2e97d3">
            <v:stroke dashstyle="solid"/>
            <w10:wrap type="none"/>
          </v:line>
        </w:pict>
      </w:r>
      <w:r>
        <w:rPr/>
        <w:pict>
          <v:line style="position:absolute;mso-position-horizontal-relative:page;mso-position-vertical-relative:paragraph;z-index:8176" from="33.360001pt,4.815855pt" to="33.360001pt,32.415855pt" stroked="true" strokeweight=".72pt" strokecolor="#000000">
            <v:stroke dashstyle="solid"/>
            <w10:wrap type="none"/>
          </v:line>
        </w:pict>
      </w:r>
      <w:r>
        <w:rPr>
          <w:b/>
          <w:sz w:val="24"/>
        </w:rPr>
        <w:t>THE DEPARTMENTAL</w:t>
      </w:r>
      <w:r>
        <w:rPr>
          <w:b/>
          <w:spacing w:val="-7"/>
          <w:sz w:val="24"/>
        </w:rPr>
        <w:t> </w:t>
      </w:r>
      <w:r>
        <w:rPr>
          <w:b/>
          <w:sz w:val="24"/>
        </w:rPr>
        <w:t>BUDGET</w:t>
      </w:r>
      <w:r>
        <w:rPr>
          <w:b/>
          <w:spacing w:val="-4"/>
          <w:sz w:val="24"/>
        </w:rPr>
        <w:t> </w:t>
      </w:r>
      <w:r>
        <w:rPr>
          <w:b/>
          <w:sz w:val="24"/>
        </w:rPr>
        <w:t>PRESENTATION</w:t>
      </w:r>
      <w:r>
        <w:rPr>
          <w:b/>
          <w:sz w:val="24"/>
          <w:u w:val="thick" w:color="2E97D3"/>
        </w:rPr>
        <w:t> </w:t>
        <w:tab/>
      </w:r>
      <w:r>
        <w:rPr>
          <w:b/>
          <w:sz w:val="24"/>
        </w:rPr>
        <w:tab/>
        <w:t>6400</w:t>
      </w:r>
    </w:p>
    <w:p>
      <w:pPr>
        <w:pStyle w:val="BodyText"/>
        <w:ind w:left="760"/>
      </w:pPr>
      <w:r>
        <w:rPr/>
        <w:t>(Revised </w:t>
      </w:r>
      <w:r>
        <w:rPr>
          <w:strike/>
          <w:color w:val="2E97D3"/>
        </w:rPr>
        <w:t>6/2014</w:t>
      </w:r>
      <w:r>
        <w:rPr>
          <w:strike w:val="0"/>
          <w:color w:val="2E97D3"/>
          <w:u w:val="single" w:color="2E97D3"/>
        </w:rPr>
        <w:t>11/2017</w:t>
      </w:r>
      <w:r>
        <w:rPr>
          <w:strike w:val="0"/>
        </w:rPr>
        <w:t>)</w:t>
      </w:r>
    </w:p>
    <w:p>
      <w:pPr>
        <w:pStyle w:val="BodyText"/>
        <w:spacing w:before="3"/>
        <w:rPr>
          <w:sz w:val="18"/>
        </w:rPr>
      </w:pPr>
    </w:p>
    <w:p>
      <w:pPr>
        <w:pStyle w:val="ListParagraph"/>
        <w:numPr>
          <w:ilvl w:val="0"/>
          <w:numId w:val="7"/>
        </w:numPr>
        <w:tabs>
          <w:tab w:pos="1120" w:val="left" w:leader="none"/>
        </w:tabs>
        <w:spacing w:line="240" w:lineRule="auto" w:before="93" w:after="0"/>
        <w:ind w:left="1120" w:right="212" w:hanging="360"/>
        <w:jc w:val="left"/>
        <w:rPr>
          <w:sz w:val="24"/>
        </w:rPr>
      </w:pPr>
      <w:r>
        <w:rPr/>
        <w:pict>
          <v:line style="position:absolute;mso-position-horizontal-relative:page;mso-position-vertical-relative:paragraph;z-index:8200" from="33.360001pt,4.865884pt" to="33.360001pt,88.505884pt" stroked="true" strokeweight=".72pt" strokecolor="#000000">
            <v:stroke dashstyle="solid"/>
            <w10:wrap type="none"/>
          </v:line>
        </w:pict>
      </w:r>
      <w:r>
        <w:rPr>
          <w:strike/>
          <w:color w:val="2E97D3"/>
          <w:sz w:val="24"/>
        </w:rPr>
        <w:t>The departmental presentation should be arranged in the order and format prescribed in the current annual budget preparation instructions. Normally the format will follow the presentation of the latest Governor’s Budget. The budget spreadsheet should be submitted directly to</w:t>
      </w:r>
      <w:r>
        <w:rPr>
          <w:strike/>
          <w:color w:val="2E97D3"/>
          <w:spacing w:val="-15"/>
          <w:sz w:val="24"/>
        </w:rPr>
        <w:t> </w:t>
      </w:r>
      <w:r>
        <w:rPr>
          <w:strike/>
          <w:color w:val="2E97D3"/>
          <w:sz w:val="24"/>
        </w:rPr>
        <w:t>Finance.</w:t>
      </w:r>
    </w:p>
    <w:p>
      <w:pPr>
        <w:pStyle w:val="BodyText"/>
      </w:pPr>
    </w:p>
    <w:p>
      <w:pPr>
        <w:pStyle w:val="ListParagraph"/>
        <w:numPr>
          <w:ilvl w:val="1"/>
          <w:numId w:val="7"/>
        </w:numPr>
        <w:tabs>
          <w:tab w:pos="1351" w:val="left" w:leader="none"/>
          <w:tab w:pos="1820" w:val="left" w:leader="none"/>
        </w:tabs>
        <w:spacing w:line="240" w:lineRule="auto" w:before="0" w:after="0"/>
        <w:ind w:left="1480" w:right="650" w:hanging="360"/>
        <w:jc w:val="left"/>
        <w:rPr>
          <w:sz w:val="24"/>
        </w:rPr>
      </w:pPr>
      <w:r>
        <w:rPr/>
        <w:pict>
          <v:line style="position:absolute;mso-position-horizontal-relative:page;mso-position-vertical-relative:paragraph;z-index:8224" from="33.360001pt,56.22345pt" to="33.360001pt,70.02445pt" stroked="true" strokeweight=".72pt" strokecolor="#000000">
            <v:stroke dashstyle="solid"/>
            <w10:wrap type="none"/>
          </v:line>
        </w:pict>
      </w:r>
      <w:r>
        <w:rPr>
          <w:strike/>
          <w:color w:val="2E97D3"/>
          <w:sz w:val="24"/>
        </w:rPr>
        <w:t>2.</w:t>
        <w:tab/>
      </w:r>
      <w:r>
        <w:rPr>
          <w:strike w:val="0"/>
          <w:sz w:val="24"/>
        </w:rPr>
        <w:t>Departmental estimates of expenditures and revenue in</w:t>
      </w:r>
      <w:r>
        <w:rPr>
          <w:strike w:val="0"/>
          <w:spacing w:val="-37"/>
          <w:sz w:val="24"/>
        </w:rPr>
        <w:t> </w:t>
      </w:r>
      <w:r>
        <w:rPr>
          <w:strike w:val="0"/>
          <w:sz w:val="24"/>
        </w:rPr>
        <w:t>the</w:t>
      </w:r>
      <w:r>
        <w:rPr>
          <w:strike w:val="0"/>
          <w:spacing w:val="-4"/>
          <w:sz w:val="24"/>
        </w:rPr>
        <w:t> </w:t>
      </w:r>
      <w:r>
        <w:rPr>
          <w:strike w:val="0"/>
          <w:sz w:val="24"/>
        </w:rPr>
        <w:t>Governor’s Budget should be based on existing law and policies. No consideration should be given in the budget presentation to proposed program changes in laws and policies except for those approved by the Administration as part of the Governor’s</w:t>
      </w:r>
      <w:r>
        <w:rPr>
          <w:strike w:val="0"/>
          <w:spacing w:val="-45"/>
          <w:sz w:val="24"/>
        </w:rPr>
        <w:t> </w:t>
      </w:r>
      <w:r>
        <w:rPr>
          <w:strike w:val="0"/>
          <w:sz w:val="24"/>
        </w:rPr>
        <w:t>Budget.</w:t>
      </w:r>
    </w:p>
    <w:p>
      <w:pPr>
        <w:pStyle w:val="BodyText"/>
        <w:spacing w:before="4"/>
        <w:rPr>
          <w:sz w:val="34"/>
        </w:rPr>
      </w:pPr>
    </w:p>
    <w:p>
      <w:pPr>
        <w:pStyle w:val="ListParagraph"/>
        <w:numPr>
          <w:ilvl w:val="0"/>
          <w:numId w:val="8"/>
        </w:numPr>
        <w:tabs>
          <w:tab w:pos="1347" w:val="left" w:leader="none"/>
          <w:tab w:pos="1348" w:val="left" w:leader="none"/>
          <w:tab w:pos="1815" w:val="left" w:leader="none"/>
        </w:tabs>
        <w:spacing w:line="240" w:lineRule="auto" w:before="1" w:after="0"/>
        <w:ind w:left="1348" w:right="0" w:hanging="468"/>
        <w:jc w:val="left"/>
        <w:rPr>
          <w:sz w:val="24"/>
        </w:rPr>
      </w:pPr>
      <w:r>
        <w:rPr/>
        <w:pict>
          <v:line style="position:absolute;mso-position-horizontal-relative:page;mso-position-vertical-relative:paragraph;z-index:8248" from="33.360001pt,.234436pt" to="33.360001pt,14.754436pt" stroked="true" strokeweight=".72pt" strokecolor="#000000">
            <v:stroke dashstyle="solid"/>
            <w10:wrap type="none"/>
          </v:line>
        </w:pict>
      </w:r>
      <w:r>
        <w:rPr>
          <w:strike/>
          <w:color w:val="2E97D3"/>
          <w:sz w:val="24"/>
        </w:rPr>
        <w:t>3.</w:t>
        <w:tab/>
      </w:r>
      <w:r>
        <w:rPr>
          <w:strike w:val="0"/>
          <w:sz w:val="24"/>
        </w:rPr>
        <w:t>Past Year Presentation of the Governor’s</w:t>
      </w:r>
      <w:r>
        <w:rPr>
          <w:strike w:val="0"/>
          <w:spacing w:val="-47"/>
          <w:sz w:val="24"/>
        </w:rPr>
        <w:t> </w:t>
      </w:r>
      <w:r>
        <w:rPr>
          <w:strike w:val="0"/>
          <w:sz w:val="24"/>
        </w:rPr>
        <w:t>Budget</w:t>
      </w:r>
    </w:p>
    <w:p>
      <w:pPr>
        <w:pStyle w:val="BodyText"/>
        <w:rPr>
          <w:sz w:val="26"/>
        </w:rPr>
      </w:pPr>
    </w:p>
    <w:p>
      <w:pPr>
        <w:pStyle w:val="BodyText"/>
        <w:spacing w:line="276" w:lineRule="exact" w:before="97"/>
        <w:ind w:left="2199" w:right="777" w:hanging="360"/>
      </w:pPr>
      <w:r>
        <w:rPr/>
        <w:pict>
          <v:line style="position:absolute;mso-position-horizontal-relative:page;mso-position-vertical-relative:paragraph;z-index:8272" from="33.360001pt,60.050003pt" to="33.360001pt,87.650003pt" stroked="true" strokeweight=".72pt" strokecolor="#000000">
            <v:stroke dashstyle="solid"/>
            <w10:wrap type="none"/>
          </v:line>
        </w:pict>
      </w:r>
      <w:r>
        <w:rPr>
          <w:strike/>
          <w:color w:val="2E97D3"/>
        </w:rPr>
        <w:t>a.</w:t>
      </w:r>
      <w:r>
        <w:rPr>
          <w:rFonts w:ascii="Courier New" w:hAnsi="Courier New"/>
          <w:strike w:val="0"/>
          <w:color w:val="2E97D3"/>
          <w:u w:val="single" w:color="2E97D3"/>
        </w:rPr>
        <w:t>o</w:t>
      </w:r>
      <w:r>
        <w:rPr>
          <w:strike w:val="0"/>
        </w:rPr>
        <w:t>It is important that fund balance, revenues, expenditures, and other data included in the past year’s presentation of the Governor's Budget reconciles with similar data published in the State Controller’s Budgetary/Legal Basis Annual Report. Therefore, departments must ensure that </w:t>
      </w:r>
      <w:r>
        <w:rPr>
          <w:strike/>
          <w:color w:val="2E97D3"/>
        </w:rPr>
        <w:t>data included in </w:t>
      </w:r>
      <w:r>
        <w:rPr>
          <w:strike w:val="0"/>
        </w:rPr>
        <w:t>budget </w:t>
      </w:r>
      <w:r>
        <w:rPr>
          <w:strike/>
          <w:color w:val="2E97D3"/>
        </w:rPr>
        <w:t>schedules reconcile</w:t>
      </w:r>
      <w:r>
        <w:rPr>
          <w:strike w:val="0"/>
          <w:color w:val="2E97D3"/>
          <w:u w:val="single" w:color="2E97D3"/>
        </w:rPr>
        <w:t>information reconciles </w:t>
      </w:r>
      <w:r>
        <w:rPr>
          <w:strike w:val="0"/>
        </w:rPr>
        <w:t>with year-end financial reports. In very limited circumstances, there may be differences between the amounts in the Governor’s Budget and the year-end financial reports (e.g., pending budget decisions or legislation).</w:t>
      </w:r>
    </w:p>
    <w:p>
      <w:pPr>
        <w:pStyle w:val="BodyText"/>
        <w:spacing w:before="4"/>
        <w:rPr>
          <w:sz w:val="34"/>
        </w:rPr>
      </w:pPr>
    </w:p>
    <w:p>
      <w:pPr>
        <w:pStyle w:val="BodyText"/>
        <w:spacing w:line="276" w:lineRule="exact" w:before="1"/>
        <w:ind w:left="2200" w:right="370" w:hanging="360"/>
      </w:pPr>
      <w:r>
        <w:rPr/>
        <w:pict>
          <v:line style="position:absolute;mso-position-horizontal-relative:page;mso-position-vertical-relative:paragraph;z-index:8296" from="33.360001pt,.050002pt" to="33.360001pt,27.650002pt" stroked="true" strokeweight=".72pt" strokecolor="#000000">
            <v:stroke dashstyle="solid"/>
            <w10:wrap type="none"/>
          </v:line>
        </w:pict>
      </w:r>
      <w:r>
        <w:rPr>
          <w:strike/>
          <w:color w:val="2E97D3"/>
        </w:rPr>
        <w:t>b.</w:t>
      </w:r>
      <w:r>
        <w:rPr>
          <w:rFonts w:ascii="Courier New"/>
          <w:strike w:val="0"/>
          <w:color w:val="2E97D3"/>
          <w:u w:val="single" w:color="2E97D3"/>
        </w:rPr>
        <w:t>o</w:t>
      </w:r>
      <w:r>
        <w:rPr>
          <w:strike w:val="0"/>
        </w:rPr>
        <w:t>Each department head or designee (</w:t>
      </w:r>
      <w:r>
        <w:rPr>
          <w:strike/>
          <w:color w:val="2E97D3"/>
        </w:rPr>
        <w:t>who must be at least </w:t>
      </w:r>
      <w:r>
        <w:rPr>
          <w:strike w:val="0"/>
        </w:rPr>
        <w:t>one level </w:t>
      </w:r>
      <w:r>
        <w:rPr>
          <w:strike/>
          <w:color w:val="2E97D3"/>
        </w:rPr>
        <w:t>above both budgeting and accounting</w:t>
      </w:r>
      <w:r>
        <w:rPr>
          <w:strike w:val="0"/>
          <w:color w:val="2E97D3"/>
          <w:u w:val="single" w:color="2E97D3"/>
        </w:rPr>
        <w:t>below department head</w:t>
      </w:r>
      <w:r>
        <w:rPr>
          <w:strike w:val="0"/>
        </w:rPr>
        <w:t>) must complete a DF-117, Certification of Past and Prior Year Information, when submitting past year budget information to Finance to certify the following:</w:t>
      </w:r>
    </w:p>
    <w:p>
      <w:pPr>
        <w:pStyle w:val="BodyText"/>
        <w:spacing w:line="274" w:lineRule="exact" w:before="23"/>
        <w:ind w:left="2920" w:right="1249" w:hanging="360"/>
      </w:pPr>
      <w:r>
        <w:rPr>
          <w:rFonts w:ascii="Symbol" w:hAnsi="Symbol"/>
          <w:strike/>
          <w:color w:val="2E97D3"/>
        </w:rPr>
        <w:t></w:t>
      </w:r>
      <w:r>
        <w:rPr>
          <w:rFonts w:ascii="Wingdings" w:hAnsi="Wingdings"/>
          <w:strike w:val="0"/>
          <w:color w:val="2E97D3"/>
          <w:u w:val="single" w:color="2E97D3"/>
        </w:rPr>
        <w:t></w:t>
      </w:r>
      <w:r>
        <w:rPr>
          <w:rFonts w:ascii="Times New Roman" w:hAnsi="Times New Roman"/>
          <w:strike w:val="0"/>
          <w:color w:val="2E97D3"/>
          <w:u w:val="single" w:color="2E97D3"/>
        </w:rPr>
        <w:t> </w:t>
      </w:r>
      <w:r>
        <w:rPr>
          <w:strike w:val="0"/>
        </w:rPr>
        <w:t>Past/prior year information provided to Finance is accurate and reconciles between budget and accounting information, and</w:t>
      </w:r>
    </w:p>
    <w:p>
      <w:pPr>
        <w:pStyle w:val="BodyText"/>
        <w:spacing w:line="276" w:lineRule="exact" w:before="14"/>
        <w:ind w:left="2920" w:right="814" w:hanging="360"/>
      </w:pPr>
      <w:r>
        <w:rPr>
          <w:rFonts w:ascii="Symbol" w:hAnsi="Symbol"/>
          <w:strike/>
          <w:color w:val="2E97D3"/>
        </w:rPr>
        <w:t></w:t>
      </w:r>
      <w:r>
        <w:rPr>
          <w:rFonts w:ascii="Wingdings" w:hAnsi="Wingdings"/>
          <w:strike w:val="0"/>
          <w:color w:val="2E97D3"/>
          <w:u w:val="single" w:color="2E97D3"/>
        </w:rPr>
        <w:t></w:t>
      </w:r>
      <w:r>
        <w:rPr>
          <w:rFonts w:ascii="Times New Roman" w:hAnsi="Times New Roman"/>
          <w:strike w:val="0"/>
          <w:color w:val="2E97D3"/>
          <w:u w:val="single" w:color="2E97D3"/>
        </w:rPr>
        <w:t> </w:t>
      </w:r>
      <w:r>
        <w:rPr>
          <w:strike w:val="0"/>
        </w:rPr>
        <w:t>Accounting records and information are consistent with information provided to the Controller.</w:t>
      </w:r>
    </w:p>
    <w:p>
      <w:pPr>
        <w:pStyle w:val="BodyText"/>
        <w:spacing w:before="6"/>
        <w:rPr>
          <w:sz w:val="33"/>
        </w:rPr>
      </w:pPr>
    </w:p>
    <w:p>
      <w:pPr>
        <w:pStyle w:val="BodyText"/>
        <w:spacing w:before="1"/>
        <w:ind w:left="1780"/>
      </w:pPr>
      <w:r>
        <w:rPr/>
        <w:t>The certification is required for </w:t>
      </w:r>
      <w:r>
        <w:rPr>
          <w:b/>
        </w:rPr>
        <w:t>all </w:t>
      </w:r>
      <w:r>
        <w:rPr/>
        <w:t>funds with past/prior year activity.</w:t>
      </w:r>
    </w:p>
    <w:p>
      <w:pPr>
        <w:pStyle w:val="BodyText"/>
        <w:rPr>
          <w:sz w:val="26"/>
        </w:rPr>
      </w:pPr>
    </w:p>
    <w:p>
      <w:pPr>
        <w:pStyle w:val="ListParagraph"/>
        <w:numPr>
          <w:ilvl w:val="0"/>
          <w:numId w:val="9"/>
        </w:numPr>
        <w:tabs>
          <w:tab w:pos="1227" w:val="left" w:leader="none"/>
          <w:tab w:pos="1228" w:val="left" w:leader="none"/>
        </w:tabs>
        <w:spacing w:line="240" w:lineRule="auto" w:before="205" w:after="0"/>
        <w:ind w:left="760" w:right="113" w:firstLine="0"/>
        <w:jc w:val="left"/>
        <w:rPr>
          <w:sz w:val="24"/>
        </w:rPr>
      </w:pPr>
      <w:r>
        <w:rPr/>
        <w:pict>
          <v:line style="position:absolute;mso-position-horizontal-relative:page;mso-position-vertical-relative:paragraph;z-index:8320" from="33.360001pt,10.465855pt" to="33.360001pt,24.265855pt" stroked="true" strokeweight=".72pt" strokecolor="#000000">
            <v:stroke dashstyle="solid"/>
            <w10:wrap type="none"/>
          </v:line>
        </w:pict>
      </w:r>
      <w:r>
        <w:rPr/>
        <w:pict>
          <v:line style="position:absolute;mso-position-horizontal-relative:page;mso-position-vertical-relative:paragraph;z-index:8344" from="33.360001pt,93.265854pt" to="33.360001pt,107.065854pt" stroked="true" strokeweight=".72pt" strokecolor="#000000">
            <v:stroke dashstyle="solid"/>
            <w10:wrap type="none"/>
          </v:line>
        </w:pict>
      </w:r>
      <w:r>
        <w:rPr>
          <w:strike w:val="0"/>
          <w:sz w:val="24"/>
        </w:rPr>
        <w:t>The following sections of SAM deal with departmental budget presentations. The first section, management of funds, includes the responsibilities of fund administrators and fund users. Following the management of funds are sections dealing with the presentation of personal services, as the reconciliation of the position base to the legislative authorizations typically is an initial task in building the next budget, operating expenses and equipment, supplementary schedules, Expenditures by Category, Details of Appropriations and Adjustments, </w:t>
      </w:r>
      <w:r>
        <w:rPr>
          <w:strike w:val="0"/>
          <w:color w:val="2E97D3"/>
          <w:sz w:val="24"/>
          <w:u w:val="single" w:color="2E97D3"/>
        </w:rPr>
        <w:t>and </w:t>
      </w:r>
      <w:r>
        <w:rPr>
          <w:strike w:val="0"/>
          <w:sz w:val="24"/>
        </w:rPr>
        <w:t>Fund Condition Statements</w:t>
      </w:r>
      <w:r>
        <w:rPr>
          <w:strike/>
          <w:color w:val="2E97D3"/>
          <w:sz w:val="24"/>
        </w:rPr>
        <w:t>, and Schedule</w:t>
      </w:r>
      <w:r>
        <w:rPr>
          <w:strike/>
          <w:color w:val="2E97D3"/>
          <w:spacing w:val="-41"/>
          <w:sz w:val="24"/>
        </w:rPr>
        <w:t> </w:t>
      </w:r>
      <w:r>
        <w:rPr>
          <w:strike/>
          <w:color w:val="2E97D3"/>
          <w:sz w:val="24"/>
        </w:rPr>
        <w:t>10s</w:t>
      </w:r>
      <w:r>
        <w:rPr>
          <w:strike w:val="0"/>
          <w:sz w:val="24"/>
        </w:rPr>
        <w:t>.</w:t>
      </w:r>
    </w:p>
    <w:p>
      <w:pPr>
        <w:spacing w:after="0" w:line="240" w:lineRule="auto"/>
        <w:jc w:val="left"/>
        <w:rPr>
          <w:sz w:val="24"/>
        </w:rPr>
        <w:sectPr>
          <w:footerReference w:type="default" r:id="rId57"/>
          <w:pgSz w:w="12240" w:h="15840"/>
          <w:pgMar w:footer="864" w:header="724" w:top="980" w:bottom="1060" w:left="560" w:right="1260"/>
        </w:sectPr>
      </w:pPr>
    </w:p>
    <w:p>
      <w:pPr>
        <w:pStyle w:val="BodyText"/>
        <w:spacing w:before="11"/>
        <w:rPr>
          <w:sz w:val="15"/>
        </w:rPr>
      </w:pPr>
    </w:p>
    <w:p>
      <w:pPr>
        <w:pStyle w:val="Heading2"/>
        <w:tabs>
          <w:tab w:pos="5799" w:val="left" w:leader="none"/>
          <w:tab w:pos="9668" w:val="left" w:leader="none"/>
        </w:tabs>
        <w:spacing w:before="92"/>
        <w:ind w:left="760" w:right="115"/>
      </w:pPr>
      <w:r>
        <w:rPr/>
        <w:pict>
          <v:line style="position:absolute;mso-position-horizontal-relative:page;mso-position-vertical-relative:paragraph;z-index:8536" from="33.360001pt,4.814855pt" to="33.360001pt,60.015855pt" stroked="true" strokeweight=".72pt" strokecolor="#000000">
            <v:stroke dashstyle="solid"/>
            <w10:wrap type="none"/>
          </v:line>
        </w:pict>
      </w:r>
      <w:r>
        <w:rPr/>
        <w:t>RESPONSIBILITIES AND AUTHORITY</w:t>
      </w:r>
      <w:r>
        <w:rPr>
          <w:spacing w:val="-11"/>
        </w:rPr>
        <w:t> </w:t>
      </w:r>
      <w:r>
        <w:rPr/>
        <w:t>OF</w:t>
      </w:r>
      <w:r>
        <w:rPr>
          <w:spacing w:val="-4"/>
        </w:rPr>
        <w:t> </w:t>
      </w:r>
      <w:r>
        <w:rPr/>
        <w:t>FUND</w:t>
      </w:r>
      <w:r>
        <w:rPr>
          <w:color w:val="2E97D3"/>
          <w:u w:val="thick" w:color="2E97D3"/>
        </w:rPr>
        <w:t> </w:t>
        <w:tab/>
        <w:t>6401 </w:t>
      </w:r>
      <w:r>
        <w:rPr/>
        <w:t>ADMINISTRATORS </w:t>
      </w:r>
      <w:r>
        <w:rPr>
          <w:color w:val="2E97D3"/>
          <w:u w:val="thick" w:color="2E97D3"/>
        </w:rPr>
        <w:t>AND FUND</w:t>
      </w:r>
      <w:r>
        <w:rPr>
          <w:color w:val="2E97D3"/>
          <w:spacing w:val="-15"/>
          <w:u w:val="thick" w:color="2E97D3"/>
        </w:rPr>
        <w:t> </w:t>
      </w:r>
      <w:r>
        <w:rPr>
          <w:color w:val="2E97D3"/>
          <w:u w:val="thick" w:color="2E97D3"/>
        </w:rPr>
        <w:t>USERS</w:t>
        <w:tab/>
      </w:r>
    </w:p>
    <w:p>
      <w:pPr>
        <w:tabs>
          <w:tab w:pos="9575" w:val="left" w:leader="none"/>
        </w:tabs>
        <w:spacing w:before="0"/>
        <w:ind w:left="760" w:right="0" w:firstLine="0"/>
        <w:jc w:val="left"/>
        <w:rPr>
          <w:b/>
          <w:sz w:val="24"/>
        </w:rPr>
      </w:pPr>
      <w:r>
        <w:rPr/>
        <w:pict>
          <v:line style="position:absolute;mso-position-horizontal-relative:page;mso-position-vertical-relative:paragraph;z-index:-464296" from="66pt,8.435879pt" to="533.401pt,8.435879pt" stroked="true" strokeweight=".6pt" strokecolor="#2e97d3">
            <v:stroke dashstyle="solid"/>
            <w10:wrap type="none"/>
          </v:line>
        </w:pict>
      </w:r>
      <w:r>
        <w:rPr>
          <w:b/>
          <w:color w:val="2E97D3"/>
          <w:sz w:val="24"/>
        </w:rPr>
        <w:t>AND</w:t>
      </w:r>
      <w:r>
        <w:rPr>
          <w:b/>
          <w:color w:val="2E97D3"/>
          <w:spacing w:val="-1"/>
          <w:sz w:val="24"/>
        </w:rPr>
        <w:t> </w:t>
      </w:r>
      <w:r>
        <w:rPr>
          <w:b/>
          <w:color w:val="2E97D3"/>
          <w:sz w:val="24"/>
        </w:rPr>
        <w:t>FUND</w:t>
      </w:r>
      <w:r>
        <w:rPr>
          <w:b/>
          <w:color w:val="2E97D3"/>
          <w:spacing w:val="-3"/>
          <w:sz w:val="24"/>
        </w:rPr>
        <w:t> </w:t>
      </w:r>
      <w:r>
        <w:rPr>
          <w:b/>
          <w:color w:val="2E97D3"/>
          <w:sz w:val="24"/>
        </w:rPr>
        <w:t>USERS</w:t>
        <w:tab/>
        <w:t>6401</w:t>
      </w:r>
    </w:p>
    <w:p>
      <w:pPr>
        <w:pStyle w:val="BodyText"/>
        <w:ind w:left="760"/>
      </w:pPr>
      <w:r>
        <w:rPr/>
        <w:t>(New </w:t>
      </w:r>
      <w:r>
        <w:rPr>
          <w:strike/>
          <w:color w:val="2E97D3"/>
        </w:rPr>
        <w:t>6/2014</w:t>
      </w:r>
      <w:r>
        <w:rPr>
          <w:strike w:val="0"/>
          <w:color w:val="2E97D3"/>
          <w:u w:val="single" w:color="2E97D3"/>
        </w:rPr>
        <w:t>09/2017</w:t>
      </w:r>
      <w:r>
        <w:rPr>
          <w:strike w:val="0"/>
        </w:rPr>
        <w:t>)</w:t>
      </w:r>
    </w:p>
    <w:p>
      <w:pPr>
        <w:pStyle w:val="BodyText"/>
        <w:spacing w:before="10"/>
        <w:rPr>
          <w:sz w:val="15"/>
        </w:rPr>
      </w:pPr>
    </w:p>
    <w:p>
      <w:pPr>
        <w:spacing w:before="93"/>
        <w:ind w:left="760" w:right="214" w:firstLine="0"/>
        <w:jc w:val="both"/>
        <w:rPr>
          <w:rFonts w:ascii="Times New Roman"/>
          <w:b/>
          <w:sz w:val="16"/>
        </w:rPr>
      </w:pPr>
      <w:r>
        <w:rPr/>
        <w:pict>
          <v:line style="position:absolute;mso-position-horizontal-relative:page;mso-position-vertical-relative:paragraph;z-index:-464272" from="89.400002pt,27.845854pt" to="93.121002pt,27.845854pt" stroked="true" strokeweight=".36pt" strokecolor="#2e97d3">
            <v:stroke dashstyle="solid"/>
            <w10:wrap type="none"/>
          </v:line>
        </w:pict>
      </w:r>
      <w:r>
        <w:rPr/>
        <w:pict>
          <v:line style="position:absolute;mso-position-horizontal-relative:page;mso-position-vertical-relative:paragraph;z-index:8560" from="33.360001pt,4.865854pt" to="33.360001pt,78.425854pt" stroked="true" strokeweight=".72pt" strokecolor="#000000">
            <v:stroke dashstyle="solid"/>
            <w10:wrap type="none"/>
          </v:line>
        </w:pict>
      </w:r>
      <w:r>
        <w:rPr>
          <w:color w:val="2E97D3"/>
          <w:sz w:val="24"/>
          <w:u w:val="single" w:color="2E97D3"/>
        </w:rPr>
        <w:t>The</w:t>
      </w:r>
      <w:r>
        <w:rPr>
          <w:color w:val="2E97D3"/>
          <w:spacing w:val="-11"/>
          <w:sz w:val="24"/>
          <w:u w:val="single" w:color="2E97D3"/>
        </w:rPr>
        <w:t> </w:t>
      </w:r>
      <w:r>
        <w:rPr>
          <w:sz w:val="24"/>
        </w:rPr>
        <w:t>Department</w:t>
      </w:r>
      <w:r>
        <w:rPr>
          <w:spacing w:val="-13"/>
          <w:sz w:val="24"/>
        </w:rPr>
        <w:t> </w:t>
      </w:r>
      <w:r>
        <w:rPr>
          <w:sz w:val="24"/>
        </w:rPr>
        <w:t>of</w:t>
      </w:r>
      <w:r>
        <w:rPr>
          <w:spacing w:val="-11"/>
          <w:sz w:val="24"/>
        </w:rPr>
        <w:t> </w:t>
      </w:r>
      <w:r>
        <w:rPr>
          <w:rFonts w:ascii="Times New Roman"/>
          <w:b/>
          <w:strike/>
          <w:color w:val="2E97D3"/>
          <w:sz w:val="16"/>
        </w:rPr>
        <w:t>Finance</w:t>
      </w:r>
      <w:r>
        <w:rPr>
          <w:rFonts w:ascii="Times New Roman"/>
          <w:b/>
          <w:strike/>
          <w:color w:val="2E97D3"/>
          <w:spacing w:val="-7"/>
          <w:sz w:val="16"/>
        </w:rPr>
        <w:t> </w:t>
      </w:r>
      <w:r>
        <w:rPr>
          <w:rFonts w:ascii="Times New Roman"/>
          <w:b/>
          <w:strike/>
          <w:color w:val="2E97D3"/>
          <w:sz w:val="16"/>
        </w:rPr>
        <w:t>(</w:t>
      </w:r>
      <w:r>
        <w:rPr>
          <w:rFonts w:ascii="Times New Roman"/>
          <w:b/>
          <w:strike/>
          <w:color w:val="2E97D3"/>
          <w:sz w:val="16"/>
          <w:u w:val="thick" w:color="2E97D3"/>
        </w:rPr>
        <w:t>Finance</w:t>
      </w:r>
      <w:hyperlink r:id="rId35">
        <w:r>
          <w:rPr>
            <w:rFonts w:ascii="Times New Roman"/>
            <w:b/>
            <w:strike/>
            <w:color w:val="2E97D3"/>
            <w:sz w:val="16"/>
            <w:u w:val="thick" w:color="2E97D3"/>
          </w:rPr>
          <w:t>)</w:t>
        </w:r>
        <w:r>
          <w:rPr>
            <w:strike w:val="0"/>
            <w:color w:val="2E97D3"/>
            <w:sz w:val="24"/>
            <w:u w:val="thick" w:color="2E97D3"/>
          </w:rPr>
          <w:t>Finance</w:t>
        </w:r>
        <w:r>
          <w:rPr>
            <w:strike w:val="0"/>
            <w:color w:val="2E97D3"/>
            <w:spacing w:val="-13"/>
            <w:sz w:val="24"/>
            <w:u w:val="thick" w:color="2E97D3"/>
          </w:rPr>
          <w:t> </w:t>
        </w:r>
      </w:hyperlink>
      <w:r>
        <w:rPr>
          <w:strike w:val="0"/>
          <w:sz w:val="24"/>
        </w:rPr>
        <w:t>designates</w:t>
      </w:r>
      <w:r>
        <w:rPr>
          <w:strike w:val="0"/>
          <w:spacing w:val="-14"/>
          <w:sz w:val="24"/>
        </w:rPr>
        <w:t> </w:t>
      </w:r>
      <w:r>
        <w:rPr>
          <w:strike w:val="0"/>
          <w:sz w:val="24"/>
        </w:rPr>
        <w:t>an</w:t>
      </w:r>
      <w:r>
        <w:rPr>
          <w:strike w:val="0"/>
          <w:spacing w:val="-15"/>
          <w:sz w:val="24"/>
        </w:rPr>
        <w:t> </w:t>
      </w:r>
      <w:r>
        <w:rPr>
          <w:strike w:val="0"/>
          <w:sz w:val="24"/>
        </w:rPr>
        <w:t>administering</w:t>
      </w:r>
      <w:r>
        <w:rPr>
          <w:strike w:val="0"/>
          <w:spacing w:val="-15"/>
          <w:sz w:val="24"/>
        </w:rPr>
        <w:t> </w:t>
      </w:r>
      <w:r>
        <w:rPr>
          <w:strike w:val="0"/>
          <w:sz w:val="24"/>
        </w:rPr>
        <w:t>department</w:t>
      </w:r>
      <w:r>
        <w:rPr>
          <w:strike w:val="0"/>
          <w:spacing w:val="-15"/>
          <w:sz w:val="24"/>
        </w:rPr>
        <w:t> </w:t>
      </w:r>
      <w:r>
        <w:rPr>
          <w:strike w:val="0"/>
          <w:sz w:val="24"/>
        </w:rPr>
        <w:t>for</w:t>
      </w:r>
      <w:r>
        <w:rPr>
          <w:strike w:val="0"/>
          <w:spacing w:val="-14"/>
          <w:sz w:val="24"/>
        </w:rPr>
        <w:t> </w:t>
      </w:r>
      <w:r>
        <w:rPr>
          <w:strike w:val="0"/>
          <w:sz w:val="24"/>
        </w:rPr>
        <w:t>each fund</w:t>
      </w:r>
      <w:r>
        <w:rPr>
          <w:rFonts w:ascii="Times New Roman"/>
          <w:b/>
          <w:strike w:val="0"/>
          <w:color w:val="2E97D3"/>
          <w:sz w:val="16"/>
        </w:rPr>
        <w:t>.</w:t>
      </w:r>
      <w:r>
        <w:rPr>
          <w:rFonts w:ascii="Times New Roman"/>
          <w:b/>
          <w:strike w:val="0"/>
          <w:color w:val="2E97D3"/>
          <w:spacing w:val="-19"/>
          <w:sz w:val="16"/>
        </w:rPr>
        <w:t> </w:t>
      </w:r>
      <w:r>
        <w:rPr>
          <w:strike w:val="0"/>
          <w:color w:val="2E97D3"/>
          <w:sz w:val="24"/>
          <w:u w:val="single" w:color="2E97D3"/>
        </w:rPr>
        <w:t>,</w:t>
      </w:r>
      <w:r>
        <w:rPr>
          <w:strike w:val="0"/>
          <w:color w:val="2E97D3"/>
          <w:spacing w:val="-14"/>
          <w:sz w:val="24"/>
          <w:u w:val="single" w:color="2E97D3"/>
        </w:rPr>
        <w:t> </w:t>
      </w:r>
      <w:r>
        <w:rPr>
          <w:strike w:val="0"/>
          <w:color w:val="2E97D3"/>
          <w:sz w:val="24"/>
          <w:u w:val="single" w:color="2E97D3"/>
        </w:rPr>
        <w:t>which</w:t>
      </w:r>
      <w:r>
        <w:rPr>
          <w:strike w:val="0"/>
          <w:color w:val="2E97D3"/>
          <w:spacing w:val="-14"/>
          <w:sz w:val="24"/>
          <w:u w:val="single" w:color="2E97D3"/>
        </w:rPr>
        <w:t> </w:t>
      </w:r>
      <w:r>
        <w:rPr>
          <w:strike w:val="0"/>
          <w:color w:val="2E97D3"/>
          <w:sz w:val="24"/>
          <w:u w:val="single" w:color="2E97D3"/>
        </w:rPr>
        <w:t>is</w:t>
      </w:r>
      <w:r>
        <w:rPr>
          <w:strike w:val="0"/>
          <w:color w:val="2E97D3"/>
          <w:spacing w:val="-15"/>
          <w:sz w:val="24"/>
          <w:u w:val="single" w:color="2E97D3"/>
        </w:rPr>
        <w:t> </w:t>
      </w:r>
      <w:r>
        <w:rPr>
          <w:strike w:val="0"/>
          <w:color w:val="2E97D3"/>
          <w:sz w:val="24"/>
          <w:u w:val="single" w:color="2E97D3"/>
        </w:rPr>
        <w:t>indicated</w:t>
      </w:r>
      <w:r>
        <w:rPr>
          <w:strike w:val="0"/>
          <w:color w:val="2E97D3"/>
          <w:spacing w:val="-14"/>
          <w:sz w:val="24"/>
          <w:u w:val="single" w:color="2E97D3"/>
        </w:rPr>
        <w:t> </w:t>
      </w:r>
      <w:r>
        <w:rPr>
          <w:strike w:val="0"/>
          <w:color w:val="2E97D3"/>
          <w:sz w:val="24"/>
          <w:u w:val="single" w:color="2E97D3"/>
        </w:rPr>
        <w:t>in</w:t>
      </w:r>
      <w:r>
        <w:rPr>
          <w:strike w:val="0"/>
          <w:color w:val="2E97D3"/>
          <w:spacing w:val="-14"/>
          <w:sz w:val="24"/>
          <w:u w:val="single" w:color="2E97D3"/>
        </w:rPr>
        <w:t> </w:t>
      </w:r>
      <w:r>
        <w:rPr>
          <w:strike w:val="0"/>
          <w:color w:val="2E97D3"/>
          <w:sz w:val="24"/>
          <w:u w:val="single" w:color="2E97D3"/>
        </w:rPr>
        <w:t>the</w:t>
      </w:r>
      <w:r>
        <w:rPr>
          <w:strike w:val="0"/>
          <w:color w:val="2E97D3"/>
          <w:spacing w:val="-14"/>
          <w:sz w:val="24"/>
          <w:u w:val="single" w:color="2E97D3"/>
        </w:rPr>
        <w:t> </w:t>
      </w:r>
      <w:r>
        <w:rPr>
          <w:strike w:val="0"/>
          <w:color w:val="2E97D3"/>
          <w:sz w:val="24"/>
          <w:u w:val="single" w:color="2E97D3"/>
        </w:rPr>
        <w:t>description</w:t>
      </w:r>
      <w:r>
        <w:rPr>
          <w:strike w:val="0"/>
          <w:color w:val="2E97D3"/>
          <w:spacing w:val="-16"/>
          <w:sz w:val="24"/>
          <w:u w:val="single" w:color="2E97D3"/>
        </w:rPr>
        <w:t> </w:t>
      </w:r>
      <w:r>
        <w:rPr>
          <w:strike w:val="0"/>
          <w:color w:val="2E97D3"/>
          <w:sz w:val="24"/>
          <w:u w:val="single" w:color="2E97D3"/>
        </w:rPr>
        <w:t>of</w:t>
      </w:r>
      <w:r>
        <w:rPr>
          <w:strike w:val="0"/>
          <w:color w:val="2E97D3"/>
          <w:spacing w:val="-12"/>
          <w:sz w:val="24"/>
          <w:u w:val="single" w:color="2E97D3"/>
        </w:rPr>
        <w:t> </w:t>
      </w:r>
      <w:r>
        <w:rPr>
          <w:strike w:val="0"/>
          <w:color w:val="2E97D3"/>
          <w:sz w:val="24"/>
          <w:u w:val="single" w:color="2E97D3"/>
        </w:rPr>
        <w:t>the</w:t>
      </w:r>
      <w:r>
        <w:rPr>
          <w:strike w:val="0"/>
          <w:color w:val="2E97D3"/>
          <w:spacing w:val="-16"/>
          <w:sz w:val="24"/>
          <w:u w:val="single" w:color="2E97D3"/>
        </w:rPr>
        <w:t> </w:t>
      </w:r>
      <w:r>
        <w:rPr>
          <w:strike w:val="0"/>
          <w:color w:val="2E97D3"/>
          <w:sz w:val="24"/>
          <w:u w:val="single" w:color="2E97D3"/>
        </w:rPr>
        <w:t>fund</w:t>
      </w:r>
      <w:r>
        <w:rPr>
          <w:strike w:val="0"/>
          <w:color w:val="2E97D3"/>
          <w:spacing w:val="-14"/>
          <w:sz w:val="24"/>
          <w:u w:val="single" w:color="2E97D3"/>
        </w:rPr>
        <w:t> </w:t>
      </w:r>
      <w:r>
        <w:rPr>
          <w:strike w:val="0"/>
          <w:color w:val="2E97D3"/>
          <w:sz w:val="24"/>
          <w:u w:val="single" w:color="2E97D3"/>
        </w:rPr>
        <w:t>in</w:t>
      </w:r>
      <w:r>
        <w:rPr>
          <w:strike w:val="0"/>
          <w:color w:val="2E97D3"/>
          <w:spacing w:val="-14"/>
          <w:sz w:val="24"/>
          <w:u w:val="single" w:color="2E97D3"/>
        </w:rPr>
        <w:t> </w:t>
      </w:r>
      <w:r>
        <w:rPr>
          <w:strike w:val="0"/>
          <w:color w:val="2E97D3"/>
          <w:sz w:val="24"/>
          <w:u w:val="single" w:color="2E97D3"/>
        </w:rPr>
        <w:t>the</w:t>
      </w:r>
      <w:r>
        <w:rPr>
          <w:strike w:val="0"/>
          <w:color w:val="2E97D3"/>
          <w:spacing w:val="-14"/>
          <w:sz w:val="24"/>
          <w:u w:val="single" w:color="2E97D3"/>
        </w:rPr>
        <w:t> </w:t>
      </w:r>
      <w:r>
        <w:rPr>
          <w:strike w:val="0"/>
          <w:color w:val="2E97D3"/>
          <w:sz w:val="24"/>
          <w:u w:val="single" w:color="2E97D3"/>
        </w:rPr>
        <w:t>Manual</w:t>
      </w:r>
      <w:r>
        <w:rPr>
          <w:strike w:val="0"/>
          <w:color w:val="2E97D3"/>
          <w:spacing w:val="-15"/>
          <w:sz w:val="24"/>
          <w:u w:val="single" w:color="2E97D3"/>
        </w:rPr>
        <w:t> </w:t>
      </w:r>
      <w:r>
        <w:rPr>
          <w:strike w:val="0"/>
          <w:color w:val="2E97D3"/>
          <w:sz w:val="24"/>
          <w:u w:val="single" w:color="2E97D3"/>
        </w:rPr>
        <w:t>of</w:t>
      </w:r>
      <w:r>
        <w:rPr>
          <w:strike w:val="0"/>
          <w:color w:val="2E97D3"/>
          <w:spacing w:val="-12"/>
          <w:sz w:val="24"/>
          <w:u w:val="single" w:color="2E97D3"/>
        </w:rPr>
        <w:t> </w:t>
      </w:r>
      <w:r>
        <w:rPr>
          <w:strike w:val="0"/>
          <w:color w:val="2E97D3"/>
          <w:sz w:val="24"/>
          <w:u w:val="single" w:color="2E97D3"/>
        </w:rPr>
        <w:t>State</w:t>
      </w:r>
      <w:r>
        <w:rPr>
          <w:strike w:val="0"/>
          <w:color w:val="2E97D3"/>
          <w:spacing w:val="-14"/>
          <w:sz w:val="24"/>
          <w:u w:val="single" w:color="2E97D3"/>
        </w:rPr>
        <w:t> </w:t>
      </w:r>
      <w:r>
        <w:rPr>
          <w:strike w:val="0"/>
          <w:color w:val="2E97D3"/>
          <w:sz w:val="24"/>
          <w:u w:val="single" w:color="2E97D3"/>
        </w:rPr>
        <w:t>Funds</w:t>
      </w:r>
      <w:r>
        <w:rPr>
          <w:strike w:val="0"/>
          <w:color w:val="2E97D3"/>
          <w:spacing w:val="-15"/>
          <w:sz w:val="24"/>
          <w:u w:val="single" w:color="2E97D3"/>
        </w:rPr>
        <w:t> </w:t>
      </w:r>
      <w:r>
        <w:rPr>
          <w:strike w:val="0"/>
          <w:color w:val="2E97D3"/>
          <w:sz w:val="24"/>
          <w:u w:val="single" w:color="2E97D3"/>
        </w:rPr>
        <w:t>(found at: </w:t>
      </w:r>
      <w:hyperlink r:id="rId58">
        <w:r>
          <w:rPr>
            <w:strike w:val="0"/>
            <w:color w:val="2E97D3"/>
            <w:sz w:val="24"/>
            <w:u w:val="single" w:color="2E97D3"/>
          </w:rPr>
          <w:t>http://www.dof.ca.gov/accounting/manual_of_state_funds/</w:t>
        </w:r>
      </w:hyperlink>
      <w:r>
        <w:rPr>
          <w:strike w:val="0"/>
          <w:color w:val="2E97D3"/>
          <w:sz w:val="24"/>
          <w:u w:val="single" w:color="2E97D3"/>
        </w:rPr>
        <w:t>). </w:t>
      </w:r>
      <w:r>
        <w:rPr>
          <w:strike w:val="0"/>
          <w:sz w:val="24"/>
        </w:rPr>
        <w:t>The administering department is responsible for the overall management of the fund. </w:t>
      </w:r>
      <w:r>
        <w:rPr>
          <w:rFonts w:ascii="Times New Roman"/>
          <w:b/>
          <w:strike/>
          <w:color w:val="2E97D3"/>
          <w:sz w:val="16"/>
        </w:rPr>
        <w:t>The administering department is indicated in the description of the fund in the Manual of State Funds, which can be found at: </w:t>
      </w:r>
      <w:hyperlink r:id="rId58">
        <w:r>
          <w:rPr>
            <w:rFonts w:ascii="Times New Roman"/>
            <w:b/>
            <w:strike/>
            <w:color w:val="2E97D3"/>
            <w:sz w:val="16"/>
            <w:u w:val="single" w:color="2E97D3"/>
          </w:rPr>
          <w:t>http://www.dof.ca.gov/accounting/manual_of_state_funds/</w:t>
        </w:r>
        <w:r>
          <w:rPr>
            <w:rFonts w:ascii="Times New Roman"/>
            <w:b/>
            <w:strike/>
            <w:color w:val="2E97D3"/>
            <w:sz w:val="16"/>
          </w:rPr>
          <w:t>.</w:t>
        </w:r>
      </w:hyperlink>
    </w:p>
    <w:p>
      <w:pPr>
        <w:pStyle w:val="BodyText"/>
        <w:rPr>
          <w:rFonts w:ascii="Times New Roman"/>
          <w:b/>
          <w:sz w:val="16"/>
        </w:rPr>
      </w:pPr>
    </w:p>
    <w:p>
      <w:pPr>
        <w:pStyle w:val="BodyText"/>
        <w:ind w:left="760" w:right="116"/>
        <w:jc w:val="both"/>
      </w:pPr>
      <w:r>
        <w:rPr/>
        <w:pict>
          <v:line style="position:absolute;mso-position-horizontal-relative:page;mso-position-vertical-relative:paragraph;z-index:-464248" from="294.119995pt,23.195868pt" to="296.759995pt,23.195868pt" stroked="true" strokeweight=".36pt" strokecolor="#2e97d3">
            <v:stroke dashstyle="solid"/>
            <w10:wrap type="none"/>
          </v:line>
        </w:pict>
      </w:r>
      <w:r>
        <w:rPr/>
        <w:pict>
          <v:line style="position:absolute;mso-position-horizontal-relative:page;mso-position-vertical-relative:paragraph;z-index:8584" from="33.360001pt,14.015866pt" to="33.360001pt,55.415866pt" stroked="true" strokeweight=".72pt" strokecolor="#000000">
            <v:stroke dashstyle="solid"/>
            <w10:wrap type="none"/>
          </v:line>
        </w:pict>
      </w:r>
      <w:r>
        <w:rPr/>
        <w:t>This section outlines the responsibilities of a fund administrator for both non-shared and shared funds, and users of shared funds. Responsibilities pertaining to Fund Condition Statements apply </w:t>
      </w:r>
      <w:r>
        <w:rPr>
          <w:rFonts w:ascii="Times New Roman" w:hAnsi="Times New Roman"/>
          <w:b/>
          <w:strike/>
          <w:color w:val="2E97D3"/>
          <w:sz w:val="16"/>
        </w:rPr>
        <w:t>only when a</w:t>
      </w:r>
      <w:r>
        <w:rPr>
          <w:strike w:val="0"/>
          <w:color w:val="2E97D3"/>
          <w:u w:val="single" w:color="2E97D3"/>
        </w:rPr>
        <w:t>to </w:t>
      </w:r>
      <w:r>
        <w:rPr>
          <w:strike w:val="0"/>
        </w:rPr>
        <w:t>Fund Condition </w:t>
      </w:r>
      <w:r>
        <w:rPr>
          <w:rFonts w:ascii="Times New Roman" w:hAnsi="Times New Roman"/>
          <w:b/>
          <w:strike/>
          <w:color w:val="2E97D3"/>
          <w:sz w:val="16"/>
        </w:rPr>
        <w:t>Statement is</w:t>
      </w:r>
      <w:r>
        <w:rPr>
          <w:strike w:val="0"/>
          <w:color w:val="2E97D3"/>
          <w:u w:val="single" w:color="2E97D3"/>
        </w:rPr>
        <w:t>Statements </w:t>
      </w:r>
      <w:r>
        <w:rPr>
          <w:strike w:val="0"/>
        </w:rPr>
        <w:t>prepared </w:t>
      </w:r>
      <w:r>
        <w:rPr>
          <w:strike w:val="0"/>
          <w:color w:val="2E97D3"/>
          <w:u w:val="single" w:color="2E97D3"/>
        </w:rPr>
        <w:t>for </w:t>
      </w:r>
      <w:r>
        <w:rPr>
          <w:strike w:val="0"/>
        </w:rPr>
        <w:t>and </w:t>
      </w:r>
      <w:r>
        <w:rPr>
          <w:rFonts w:ascii="Times New Roman" w:hAnsi="Times New Roman"/>
          <w:b/>
          <w:strike/>
          <w:color w:val="2E97D3"/>
          <w:sz w:val="16"/>
        </w:rPr>
        <w:t>to be </w:t>
      </w:r>
      <w:r>
        <w:rPr>
          <w:strike w:val="0"/>
        </w:rPr>
        <w:t>published in the Governor’s Budget</w:t>
      </w:r>
      <w:r>
        <w:rPr>
          <w:rFonts w:ascii="Times New Roman" w:hAnsi="Times New Roman"/>
          <w:b/>
          <w:strike/>
          <w:color w:val="2E97D3"/>
          <w:sz w:val="16"/>
        </w:rPr>
        <w:t>.   </w:t>
      </w:r>
      <w:r>
        <w:rPr>
          <w:strike w:val="0"/>
          <w:color w:val="2E97D3"/>
          <w:u w:val="single" w:color="2E97D3"/>
        </w:rPr>
        <w:t>or the Enacted Budget.</w:t>
      </w:r>
    </w:p>
    <w:p>
      <w:pPr>
        <w:pStyle w:val="BodyText"/>
        <w:spacing w:before="182"/>
        <w:ind w:left="760"/>
        <w:jc w:val="both"/>
      </w:pPr>
      <w:r>
        <w:rPr/>
        <w:pict>
          <v:line style="position:absolute;mso-position-horizontal-relative:page;mso-position-vertical-relative:paragraph;z-index:8608" from="33.360001pt,9.315860pt" to="33.360001pt,23.11586pt" stroked="true" strokeweight=".72pt" strokecolor="#000000">
            <v:stroke dashstyle="solid"/>
            <w10:wrap type="none"/>
          </v:line>
        </w:pict>
      </w:r>
      <w:r>
        <w:rPr/>
        <w:t>Responsibilities of a Fund Administrator that is the sole user </w:t>
      </w:r>
      <w:r>
        <w:rPr>
          <w:color w:val="2E97D3"/>
          <w:u w:val="single" w:color="2E97D3"/>
        </w:rPr>
        <w:t>of a </w:t>
      </w:r>
      <w:r>
        <w:rPr/>
        <w:t>(non-shared) </w:t>
      </w:r>
      <w:r>
        <w:rPr>
          <w:rFonts w:ascii="Times New Roman"/>
          <w:b/>
          <w:strike/>
          <w:color w:val="2E97D3"/>
          <w:sz w:val="16"/>
        </w:rPr>
        <w:t>of the </w:t>
      </w:r>
      <w:r>
        <w:rPr>
          <w:strike w:val="0"/>
        </w:rPr>
        <w:t>fund:</w:t>
      </w:r>
    </w:p>
    <w:p>
      <w:pPr>
        <w:pStyle w:val="BodyText"/>
        <w:spacing w:before="1"/>
        <w:rPr>
          <w:sz w:val="19"/>
        </w:rPr>
      </w:pPr>
    </w:p>
    <w:p>
      <w:pPr>
        <w:pStyle w:val="BodyText"/>
        <w:spacing w:line="273" w:lineRule="auto" w:before="100"/>
        <w:ind w:left="1480" w:right="115" w:hanging="360"/>
      </w:pPr>
      <w:r>
        <w:rPr/>
        <w:pict>
          <v:line style="position:absolute;mso-position-horizontal-relative:page;mso-position-vertical-relative:paragraph;z-index:8632" from="33.360001pt,37.704449pt" to="33.360001pt,69.504449pt" stroked="true" strokeweight=".72pt" strokecolor="#000000">
            <v:stroke dashstyle="solid"/>
            <w10:wrap type="none"/>
          </v:line>
        </w:pict>
      </w:r>
      <w:r>
        <w:rPr>
          <w:strike/>
          <w:color w:val="2E97D3"/>
        </w:rPr>
        <w:t>1.</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Verifies the accuracy of departmental accounting records by performing monthly reconciliations with source documents and corresponding appropriation and general ledger accounts maintained by the State Controller’s Office (</w:t>
      </w:r>
      <w:r>
        <w:rPr>
          <w:strike/>
          <w:color w:val="2E97D3"/>
          <w:u w:val="single" w:color="2E97D3"/>
        </w:rPr>
        <w:t>SCO</w:t>
      </w:r>
      <w:r>
        <w:rPr>
          <w:strike/>
          <w:color w:val="2E97D3"/>
        </w:rPr>
        <w:t>).</w:t>
      </w:r>
    </w:p>
    <w:p>
      <w:pPr>
        <w:pStyle w:val="BodyText"/>
        <w:spacing w:before="5"/>
        <w:ind w:left="1480"/>
      </w:pPr>
      <w:hyperlink r:id="rId59">
        <w:r>
          <w:rPr>
            <w:color w:val="2E97D3"/>
            <w:u w:val="single" w:color="2E97D3"/>
          </w:rPr>
          <w:t>SCO</w:t>
        </w:r>
      </w:hyperlink>
      <w:r>
        <w:rPr>
          <w:color w:val="2E97D3"/>
          <w:u w:val="single" w:color="2E97D3"/>
        </w:rPr>
        <w:t>).</w:t>
      </w:r>
    </w:p>
    <w:p>
      <w:pPr>
        <w:pStyle w:val="BodyText"/>
        <w:spacing w:line="276" w:lineRule="auto" w:before="38"/>
        <w:ind w:left="1480" w:right="335" w:hanging="360"/>
      </w:pPr>
      <w:r>
        <w:rPr/>
        <w:pict>
          <v:line style="position:absolute;mso-position-horizontal-relative:page;mso-position-vertical-relative:paragraph;z-index:8656" from="33.360001pt,18.884439pt" to="33.360001pt,99.164439pt" stroked="true" strokeweight=".72pt" strokecolor="#000000">
            <v:stroke dashstyle="solid"/>
            <w10:wrap type="none"/>
          </v:line>
        </w:pict>
      </w:r>
      <w:r>
        <w:rPr>
          <w:strike/>
          <w:color w:val="2E97D3"/>
        </w:rPr>
        <w:t>2.</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Calculates prior year adjustments and keeps documentation for such adjustments.</w:t>
      </w:r>
    </w:p>
    <w:p>
      <w:pPr>
        <w:pStyle w:val="BodyText"/>
        <w:spacing w:line="273" w:lineRule="auto"/>
        <w:ind w:left="1480" w:right="335" w:hanging="360"/>
      </w:pPr>
      <w:r>
        <w:rPr>
          <w:strike/>
          <w:color w:val="2E97D3"/>
        </w:rPr>
        <w:t>3.</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Submits Fund Condition Statement to Finance with prior year </w:t>
      </w:r>
      <w:r>
        <w:rPr>
          <w:strike/>
          <w:color w:val="2E97D3"/>
        </w:rPr>
        <w:t>adjustments and appropriate backup documents</w:t>
      </w:r>
      <w:r>
        <w:rPr>
          <w:strike w:val="0"/>
          <w:color w:val="2E97D3"/>
          <w:u w:val="single" w:color="2E97D3"/>
        </w:rPr>
        <w:t>adjustment</w:t>
      </w:r>
      <w:r>
        <w:rPr>
          <w:strike w:val="0"/>
        </w:rPr>
        <w:t>, past year revenues, transfers, loans, and past year expenditures</w:t>
      </w:r>
      <w:r>
        <w:rPr>
          <w:strike/>
          <w:color w:val="2E97D3"/>
        </w:rPr>
        <w:t>.  Works</w:t>
      </w:r>
      <w:r>
        <w:rPr>
          <w:strike w:val="0"/>
          <w:color w:val="2E97D3"/>
          <w:u w:val="single" w:color="2E97D3"/>
        </w:rPr>
        <w:t>, and appropriate backup documents.</w:t>
      </w:r>
    </w:p>
    <w:p>
      <w:pPr>
        <w:pStyle w:val="BodyText"/>
        <w:spacing w:line="276" w:lineRule="auto" w:before="5"/>
        <w:ind w:left="1480" w:right="375"/>
      </w:pPr>
      <w:r>
        <w:rPr>
          <w:color w:val="2E97D3"/>
          <w:u w:val="single" w:color="2E97D3"/>
        </w:rPr>
        <w:t>Departments should work </w:t>
      </w:r>
      <w:r>
        <w:rPr/>
        <w:t>with Finance to determine any special adjustments or reserves.</w:t>
      </w:r>
    </w:p>
    <w:p>
      <w:pPr>
        <w:pStyle w:val="BodyText"/>
        <w:spacing w:before="6"/>
        <w:ind w:left="1120"/>
      </w:pPr>
      <w:r>
        <w:rPr>
          <w:strike/>
          <w:color w:val="2E97D3"/>
        </w:rPr>
        <w:t>4.</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Ensures accuracy and consistency of data between budget documents</w:t>
      </w:r>
    </w:p>
    <w:p>
      <w:pPr>
        <w:pStyle w:val="BodyText"/>
        <w:spacing w:line="276" w:lineRule="auto" w:before="39"/>
        <w:ind w:left="1480" w:right="115"/>
      </w:pPr>
      <w:r>
        <w:rPr/>
        <w:pict>
          <v:line style="position:absolute;mso-position-horizontal-relative:page;mso-position-vertical-relative:paragraph;z-index:-464224" from="132.720001pt,14.945351pt" to="136.080001pt,14.945351pt" stroked="true" strokeweight=".841pt" strokecolor="#2e97d3">
            <v:stroke dashstyle="solid"/>
            <w10:wrap type="none"/>
          </v:line>
        </w:pict>
      </w:r>
      <w:r>
        <w:rPr/>
        <w:pict>
          <v:line style="position:absolute;mso-position-horizontal-relative:page;mso-position-vertical-relative:paragraph;z-index:-464200" from="129.360001pt,10.385851pt" to="132.721001pt,10.385851pt" stroked="true" strokeweight=".6pt" strokecolor="#2e97d3">
            <v:stroke dashstyle="solid"/>
            <w10:wrap type="none"/>
          </v:line>
        </w:pict>
      </w:r>
      <w:r>
        <w:rPr/>
        <w:pict>
          <v:line style="position:absolute;mso-position-horizontal-relative:page;mso-position-vertical-relative:paragraph;z-index:8680" from="33.360001pt,2.045851pt" to="33.360001pt,17.885851pt" stroked="true" strokeweight=".72pt" strokecolor="#000000">
            <v:stroke dashstyle="solid"/>
            <w10:wrap type="none"/>
          </v:line>
        </w:pict>
      </w:r>
      <w:r>
        <w:rPr/>
        <w:t>(e.g., Fund Condition Statement) and year-end financial reports submitted to the SCO.</w:t>
      </w:r>
    </w:p>
    <w:p>
      <w:pPr>
        <w:pStyle w:val="BodyText"/>
        <w:spacing w:line="276" w:lineRule="auto" w:before="1"/>
        <w:ind w:left="1480" w:right="134" w:hanging="360"/>
      </w:pPr>
      <w:r>
        <w:rPr/>
        <w:pict>
          <v:line style="position:absolute;mso-position-horizontal-relative:page;mso-position-vertical-relative:paragraph;z-index:-464176" from="462.359985pt,41.094955pt" to="465.599985pt,41.094955pt" stroked="true" strokeweight=".599pt" strokecolor="#2e97d3">
            <v:stroke dashstyle="solid"/>
            <w10:wrap type="none"/>
          </v:line>
        </w:pict>
      </w:r>
      <w:r>
        <w:rPr/>
        <w:pict>
          <v:line style="position:absolute;mso-position-horizontal-relative:page;mso-position-vertical-relative:paragraph;z-index:8704" from="33.360001pt,32.754456pt" to="33.360001pt,106.194456pt" stroked="true" strokeweight=".72pt" strokecolor="#000000">
            <v:stroke dashstyle="solid"/>
            <w10:wrap type="none"/>
          </v:line>
        </w:pict>
      </w:r>
      <w:r>
        <w:rPr>
          <w:strike/>
          <w:color w:val="2E97D3"/>
        </w:rPr>
        <w:t>5.</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Ensures both sets of documents are prepared with the same method and on the same accounting basis as in the Governor’s Budget and Budget Act per Government Code section </w:t>
      </w:r>
      <w:r>
        <w:rPr>
          <w:strike/>
          <w:color w:val="2E97D3"/>
          <w:u w:val="single" w:color="2E97D3"/>
        </w:rPr>
        <w:t>12460</w:t>
      </w:r>
      <w:r>
        <w:rPr>
          <w:strike/>
          <w:color w:val="2E97D3"/>
        </w:rPr>
        <w:t>. </w:t>
      </w:r>
      <w:hyperlink r:id="rId60">
        <w:r>
          <w:rPr>
            <w:strike w:val="0"/>
            <w:color w:val="2E97D3"/>
            <w:u w:val="single" w:color="2E97D3"/>
          </w:rPr>
          <w:t>12460</w:t>
        </w:r>
      </w:hyperlink>
      <w:r>
        <w:rPr>
          <w:strike w:val="0"/>
          <w:color w:val="2E97D3"/>
          <w:u w:val="single" w:color="2E97D3"/>
        </w:rPr>
        <w:t>. </w:t>
      </w:r>
      <w:r>
        <w:rPr>
          <w:strike w:val="0"/>
        </w:rPr>
        <w:t>No variance should exist. No exceptions, unless approved by Finance or authorized in law.</w:t>
      </w:r>
    </w:p>
    <w:p>
      <w:pPr>
        <w:pStyle w:val="ListParagraph"/>
        <w:numPr>
          <w:ilvl w:val="1"/>
          <w:numId w:val="9"/>
        </w:numPr>
        <w:tabs>
          <w:tab w:pos="1480" w:val="left" w:leader="none"/>
        </w:tabs>
        <w:spacing w:line="276" w:lineRule="auto" w:before="0" w:after="0"/>
        <w:ind w:left="1480" w:right="188" w:hanging="360"/>
        <w:jc w:val="left"/>
        <w:rPr>
          <w:sz w:val="24"/>
        </w:rPr>
      </w:pPr>
      <w:r>
        <w:rPr>
          <w:strike/>
          <w:color w:val="2E97D3"/>
          <w:sz w:val="24"/>
        </w:rPr>
        <w:t>Reports changes to Finance and/or SCO for any changes in past year fund condition (prior year adjustments, past year revenues, or past year</w:t>
      </w:r>
      <w:r>
        <w:rPr>
          <w:strike/>
          <w:color w:val="2E97D3"/>
          <w:spacing w:val="-41"/>
          <w:sz w:val="24"/>
        </w:rPr>
        <w:t> </w:t>
      </w:r>
      <w:r>
        <w:rPr>
          <w:strike/>
          <w:color w:val="2E97D3"/>
          <w:sz w:val="24"/>
        </w:rPr>
        <w:t>expenditures).</w:t>
      </w:r>
    </w:p>
    <w:p>
      <w:pPr>
        <w:pStyle w:val="BodyText"/>
        <w:spacing w:line="273" w:lineRule="auto" w:before="200"/>
        <w:ind w:left="1480" w:right="115" w:hanging="360"/>
      </w:pPr>
      <w:r>
        <w:rPr/>
        <w:pict>
          <v:line style="position:absolute;mso-position-horizontal-relative:page;mso-position-vertical-relative:paragraph;z-index:8728" from="33.360001pt,42.704449pt" to="33.360001pt,75.464449pt" stroked="true" strokeweight=".72pt" strokecolor="#000000">
            <v:stroke dashstyle="solid"/>
            <w10:wrap type="none"/>
          </v:line>
        </w:pict>
      </w:r>
      <w:r>
        <w:rPr>
          <w:strike/>
          <w:color w:val="2E97D3"/>
        </w:rPr>
        <w:t>7.</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Coordinates with Finance budget analyst who oversees the fund to ensure there are no other statewide changes to be included in the Fund Condition Statement.</w:t>
      </w:r>
    </w:p>
    <w:p>
      <w:pPr>
        <w:pStyle w:val="BodyText"/>
        <w:spacing w:line="276" w:lineRule="auto" w:before="1"/>
        <w:ind w:left="1480" w:right="115" w:hanging="360"/>
      </w:pPr>
      <w:r>
        <w:rPr/>
        <w:pict>
          <v:line style="position:absolute;mso-position-horizontal-relative:page;mso-position-vertical-relative:paragraph;z-index:-464152" from="503.76001pt,9.294453pt" to="507.12101pt,9.294453pt" stroked="true" strokeweight=".6pt" strokecolor="#2e97d3">
            <v:stroke dashstyle="solid"/>
            <w10:wrap type="none"/>
          </v:line>
        </w:pict>
      </w:r>
      <w:r>
        <w:rPr/>
        <w:pict>
          <v:line style="position:absolute;mso-position-horizontal-relative:page;mso-position-vertical-relative:paragraph;z-index:8752" from="33.360001pt,49.073452pt" to="33.360001pt,67.914452pt" stroked="true" strokeweight=".72pt" strokecolor="#000000">
            <v:stroke dashstyle="solid"/>
            <w10:wrap type="none"/>
          </v:line>
        </w:pict>
      </w:r>
      <w:r>
        <w:rPr>
          <w:strike/>
          <w:color w:val="2E97D3"/>
        </w:rPr>
        <w:t>8.</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Tracks and manages changes and ensures a prudent reserve is maintained</w:t>
      </w:r>
      <w:r>
        <w:rPr>
          <w:strike w:val="0"/>
          <w:color w:val="2E97D3"/>
        </w:rPr>
        <w:t>. </w:t>
      </w:r>
      <w:r>
        <w:rPr>
          <w:strike/>
          <w:color w:val="2E97D3"/>
        </w:rPr>
        <w:t>Works</w:t>
      </w:r>
      <w:r>
        <w:rPr>
          <w:strike w:val="0"/>
          <w:color w:val="2E97D3"/>
          <w:u w:val="single" w:color="2E97D3"/>
        </w:rPr>
        <w:t>, working </w:t>
      </w:r>
      <w:r>
        <w:rPr>
          <w:strike w:val="0"/>
        </w:rPr>
        <w:t>with Finance to determine the level necessary for a prudent reserve.</w:t>
      </w:r>
    </w:p>
    <w:p>
      <w:pPr>
        <w:spacing w:before="78"/>
        <w:ind w:left="880" w:right="0" w:firstLine="0"/>
        <w:jc w:val="left"/>
        <w:rPr>
          <w:rFonts w:ascii="Times New Roman"/>
          <w:b/>
          <w:sz w:val="16"/>
        </w:rPr>
      </w:pPr>
      <w:r>
        <w:rPr>
          <w:rFonts w:ascii="Times New Roman"/>
          <w:b/>
          <w:strike/>
          <w:color w:val="2C6234"/>
          <w:sz w:val="16"/>
        </w:rPr>
        <w:t>(Continued)</w:t>
      </w:r>
    </w:p>
    <w:p>
      <w:pPr>
        <w:spacing w:after="0"/>
        <w:jc w:val="left"/>
        <w:rPr>
          <w:rFonts w:ascii="Times New Roman"/>
          <w:sz w:val="16"/>
        </w:rPr>
        <w:sectPr>
          <w:pgSz w:w="12240" w:h="15840"/>
          <w:pgMar w:header="724" w:footer="864" w:top="980" w:bottom="1060" w:left="560" w:right="1360"/>
        </w:sectPr>
      </w:pPr>
    </w:p>
    <w:p>
      <w:pPr>
        <w:pStyle w:val="BodyText"/>
        <w:spacing w:before="10"/>
        <w:rPr>
          <w:rFonts w:ascii="Times New Roman"/>
          <w:b/>
          <w:sz w:val="15"/>
        </w:rPr>
      </w:pPr>
    </w:p>
    <w:p>
      <w:pPr>
        <w:spacing w:line="183" w:lineRule="exact" w:before="95"/>
        <w:ind w:left="760" w:right="0" w:firstLine="0"/>
        <w:jc w:val="left"/>
        <w:rPr>
          <w:rFonts w:ascii="Times New Roman"/>
          <w:b/>
          <w:sz w:val="16"/>
        </w:rPr>
      </w:pPr>
      <w:r>
        <w:rPr/>
        <w:pict>
          <v:line style="position:absolute;mso-position-horizontal-relative:page;mso-position-vertical-relative:paragraph;z-index:8800" from="33.360001pt,4.898777pt" to="33.360001pt,85.898777pt" stroked="true" strokeweight=".72pt" strokecolor="#000000">
            <v:stroke dashstyle="solid"/>
            <w10:wrap type="none"/>
          </v:line>
        </w:pict>
      </w:r>
      <w:r>
        <w:rPr>
          <w:rFonts w:ascii="Times New Roman"/>
          <w:b/>
          <w:strike/>
          <w:color w:val="2C6234"/>
          <w:sz w:val="16"/>
        </w:rPr>
        <w:t>(Continued)</w:t>
      </w:r>
    </w:p>
    <w:p>
      <w:pPr>
        <w:pStyle w:val="Heading2"/>
        <w:spacing w:line="275" w:lineRule="exact"/>
        <w:ind w:left="760"/>
      </w:pPr>
      <w:r>
        <w:rPr>
          <w:strike/>
          <w:color w:val="2E97D3"/>
        </w:rPr>
        <w:t>RESPONSIBILITIES AND AUTHORITY OF FUND ADMINISTRATORS</w:t>
      </w:r>
    </w:p>
    <w:p>
      <w:pPr>
        <w:tabs>
          <w:tab w:pos="8576" w:val="left" w:leader="none"/>
        </w:tabs>
        <w:spacing w:before="0"/>
        <w:ind w:left="760" w:right="0" w:firstLine="0"/>
        <w:jc w:val="left"/>
        <w:rPr>
          <w:sz w:val="24"/>
        </w:rPr>
      </w:pPr>
      <w:r>
        <w:rPr/>
        <w:pict>
          <v:line style="position:absolute;mso-position-horizontal-relative:page;mso-position-vertical-relative:paragraph;z-index:-463888" from="66pt,8.435871pt" to="533.401pt,8.435871pt" stroked="true" strokeweight=".6pt" strokecolor="#2e97d3">
            <v:stroke dashstyle="solid"/>
            <w10:wrap type="none"/>
          </v:line>
        </w:pict>
      </w:r>
      <w:r>
        <w:rPr>
          <w:b/>
          <w:color w:val="2E97D3"/>
          <w:sz w:val="24"/>
        </w:rPr>
        <w:t>AND</w:t>
      </w:r>
      <w:r>
        <w:rPr>
          <w:b/>
          <w:color w:val="2E97D3"/>
          <w:spacing w:val="-1"/>
          <w:sz w:val="24"/>
        </w:rPr>
        <w:t> </w:t>
      </w:r>
      <w:r>
        <w:rPr>
          <w:b/>
          <w:color w:val="2E97D3"/>
          <w:sz w:val="24"/>
        </w:rPr>
        <w:t>FUND</w:t>
      </w:r>
      <w:r>
        <w:rPr>
          <w:b/>
          <w:color w:val="2E97D3"/>
          <w:spacing w:val="-3"/>
          <w:sz w:val="24"/>
        </w:rPr>
        <w:t> </w:t>
      </w:r>
      <w:r>
        <w:rPr>
          <w:b/>
          <w:color w:val="2E97D3"/>
          <w:sz w:val="24"/>
        </w:rPr>
        <w:t>USERS</w:t>
        <w:tab/>
        <w:t>6401 </w:t>
      </w:r>
      <w:r>
        <w:rPr>
          <w:color w:val="2E97D3"/>
          <w:sz w:val="24"/>
        </w:rPr>
        <w:t>(Cont.</w:t>
      </w:r>
      <w:r>
        <w:rPr>
          <w:color w:val="2E97D3"/>
          <w:spacing w:val="-8"/>
          <w:sz w:val="24"/>
        </w:rPr>
        <w:t> </w:t>
      </w:r>
      <w:r>
        <w:rPr>
          <w:color w:val="2E97D3"/>
          <w:sz w:val="24"/>
        </w:rPr>
        <w:t>1)</w:t>
      </w:r>
    </w:p>
    <w:p>
      <w:pPr>
        <w:pStyle w:val="BodyText"/>
        <w:ind w:left="760"/>
      </w:pPr>
      <w:r>
        <w:rPr>
          <w:strike/>
          <w:color w:val="2E97D3"/>
        </w:rPr>
        <w:t>(New 6/2014)</w:t>
      </w:r>
    </w:p>
    <w:p>
      <w:pPr>
        <w:pStyle w:val="BodyText"/>
      </w:pPr>
    </w:p>
    <w:p>
      <w:pPr>
        <w:pStyle w:val="BodyText"/>
        <w:spacing w:line="273" w:lineRule="auto"/>
        <w:ind w:left="1480" w:hanging="360"/>
      </w:pPr>
      <w:r>
        <w:rPr>
          <w:strike/>
          <w:color w:val="2E97D3"/>
        </w:rPr>
        <w:t>9.</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Provides all necessary information </w:t>
      </w:r>
      <w:r>
        <w:rPr>
          <w:strike/>
          <w:color w:val="2E97D3"/>
        </w:rPr>
        <w:t>per Finance’s request </w:t>
      </w:r>
      <w:r>
        <w:rPr>
          <w:strike w:val="0"/>
        </w:rPr>
        <w:t>on a timely basis when Finance performs its review of the fund’s components, including thefollowing:</w:t>
      </w:r>
    </w:p>
    <w:p>
      <w:pPr>
        <w:pStyle w:val="BodyText"/>
        <w:spacing w:line="252" w:lineRule="auto" w:before="1"/>
        <w:ind w:left="2200" w:right="1249" w:hanging="360"/>
      </w:pPr>
      <w:r>
        <w:rPr/>
        <w:pict>
          <v:line style="position:absolute;mso-position-horizontal-relative:page;mso-position-vertical-relative:paragraph;z-index:8824" from="33.360001pt,16.794456pt" to="33.360001pt,32.514456pt" stroked="true" strokeweight=".72pt" strokecolor="#000000">
            <v:stroke dashstyle="solid"/>
            <w10:wrap type="none"/>
          </v:line>
        </w:pict>
      </w:r>
      <w:r>
        <w:rPr>
          <w:rFonts w:ascii="Symbol" w:hAnsi="Symbol"/>
          <w:strike/>
          <w:color w:val="2E97D3"/>
        </w:rPr>
        <w:t></w:t>
      </w:r>
      <w:r>
        <w:rPr>
          <w:rFonts w:ascii="Courier New" w:hAnsi="Courier New"/>
          <w:strike w:val="0"/>
          <w:color w:val="2E97D3"/>
          <w:u w:val="single" w:color="2E97D3"/>
        </w:rPr>
        <w:t>o </w:t>
      </w:r>
      <w:r>
        <w:rPr>
          <w:strike w:val="0"/>
        </w:rPr>
        <w:t>DF-303, Detailed Fund Balance Report (applies to funds with a </w:t>
      </w:r>
      <w:r>
        <w:rPr>
          <w:strike w:val="0"/>
          <w:color w:val="2E97D3"/>
          <w:u w:val="single" w:color="2E97D3"/>
        </w:rPr>
        <w:t>published </w:t>
      </w:r>
      <w:r>
        <w:rPr>
          <w:strike w:val="0"/>
        </w:rPr>
        <w:t>Fund Condition Statement </w:t>
      </w:r>
      <w:r>
        <w:rPr>
          <w:strike/>
          <w:color w:val="2E97D3"/>
        </w:rPr>
        <w:t>in the Governor’s Budget</w:t>
      </w:r>
      <w:r>
        <w:rPr>
          <w:strike w:val="0"/>
        </w:rPr>
        <w:t>).</w:t>
      </w:r>
    </w:p>
    <w:p>
      <w:pPr>
        <w:pStyle w:val="BodyText"/>
        <w:spacing w:line="252" w:lineRule="auto" w:before="30"/>
        <w:ind w:left="2200" w:hanging="360"/>
      </w:pPr>
      <w:r>
        <w:rPr>
          <w:rFonts w:ascii="Symbol" w:hAnsi="Symbol"/>
          <w:strike/>
          <w:color w:val="2E97D3"/>
        </w:rPr>
        <w:t></w:t>
      </w:r>
      <w:r>
        <w:rPr>
          <w:rFonts w:ascii="Courier New" w:hAnsi="Courier New"/>
          <w:strike w:val="0"/>
          <w:color w:val="2E97D3"/>
          <w:u w:val="single" w:color="2E97D3"/>
        </w:rPr>
        <w:t>o</w:t>
      </w:r>
      <w:r>
        <w:rPr>
          <w:rFonts w:ascii="Courier New" w:hAnsi="Courier New"/>
          <w:strike w:val="0"/>
          <w:color w:val="2E97D3"/>
          <w:spacing w:val="-72"/>
          <w:u w:val="single" w:color="2E97D3"/>
        </w:rPr>
        <w:t> </w:t>
      </w:r>
      <w:r>
        <w:rPr>
          <w:strike w:val="0"/>
        </w:rPr>
        <w:t>Year-end financial reports or other backup documents related to the fund’s prior year adjustments and past year revenues/expenditures.</w:t>
      </w:r>
    </w:p>
    <w:p>
      <w:pPr>
        <w:pStyle w:val="BodyText"/>
        <w:spacing w:line="278" w:lineRule="auto" w:before="27"/>
        <w:ind w:left="880" w:right="1249" w:firstLine="960"/>
      </w:pPr>
      <w:r>
        <w:rPr/>
        <w:pict>
          <v:line style="position:absolute;mso-position-horizontal-relative:page;mso-position-vertical-relative:paragraph;z-index:8848" from="33.360001pt,16.054468pt" to="33.360001pt,39.574468pt" stroked="true" strokeweight=".72pt" strokecolor="#000000">
            <v:stroke dashstyle="solid"/>
            <w10:wrap type="none"/>
          </v:line>
        </w:pict>
      </w:r>
      <w:r>
        <w:rPr>
          <w:rFonts w:ascii="Symbol" w:hAnsi="Symbol"/>
          <w:strike/>
          <w:color w:val="2E97D3"/>
        </w:rPr>
        <w:t></w:t>
      </w:r>
      <w:r>
        <w:rPr>
          <w:rFonts w:ascii="Courier New" w:hAnsi="Courier New"/>
          <w:strike w:val="0"/>
          <w:color w:val="2E97D3"/>
          <w:u w:val="single" w:color="2E97D3"/>
        </w:rPr>
        <w:t>o</w:t>
      </w:r>
      <w:r>
        <w:rPr>
          <w:rFonts w:ascii="Courier New" w:hAnsi="Courier New"/>
          <w:strike w:val="0"/>
          <w:color w:val="2E97D3"/>
          <w:spacing w:val="-94"/>
          <w:u w:val="single" w:color="2E97D3"/>
        </w:rPr>
        <w:t> </w:t>
      </w:r>
      <w:r>
        <w:rPr>
          <w:strike w:val="0"/>
        </w:rPr>
        <w:t>DF-117, Certification of Past and Prior Year Information. </w:t>
      </w:r>
      <w:r>
        <w:rPr>
          <w:strike w:val="0"/>
          <w:color w:val="2C6234"/>
          <w:u w:val="thick" w:color="2C6234"/>
        </w:rPr>
        <w:t>(Continued)</w:t>
      </w:r>
    </w:p>
    <w:p>
      <w:pPr>
        <w:spacing w:after="0" w:line="278" w:lineRule="auto"/>
        <w:sectPr>
          <w:pgSz w:w="12240" w:h="15840"/>
          <w:pgMar w:header="724" w:footer="864" w:top="980" w:bottom="1060" w:left="560" w:right="1460"/>
        </w:sectPr>
      </w:pPr>
    </w:p>
    <w:p>
      <w:pPr>
        <w:pStyle w:val="BodyText"/>
        <w:spacing w:before="5"/>
        <w:rPr>
          <w:sz w:val="22"/>
        </w:rPr>
      </w:pPr>
    </w:p>
    <w:p>
      <w:pPr>
        <w:pStyle w:val="BodyText"/>
        <w:spacing w:line="275" w:lineRule="exact" w:before="92"/>
        <w:ind w:left="760"/>
      </w:pPr>
      <w:r>
        <w:rPr/>
        <w:pict>
          <v:line style="position:absolute;mso-position-horizontal-relative:page;mso-position-vertical-relative:paragraph;z-index:8992" from="33.360001pt,1.094884pt" to="33.360001pt,59.895884pt" stroked="true" strokeweight=".72pt" strokecolor="#000000">
            <v:stroke dashstyle="solid"/>
            <w10:wrap type="none"/>
          </v:line>
        </w:pict>
      </w:r>
      <w:r>
        <w:rPr>
          <w:color w:val="2C6234"/>
          <w:u w:val="thick" w:color="2C6234"/>
        </w:rPr>
        <w:t>(Continued)</w:t>
      </w:r>
    </w:p>
    <w:p>
      <w:pPr>
        <w:pStyle w:val="Heading2"/>
        <w:tabs>
          <w:tab w:pos="8627" w:val="left" w:leader="none"/>
        </w:tabs>
        <w:spacing w:line="275" w:lineRule="exact"/>
        <w:ind w:left="760"/>
        <w:rPr>
          <w:b w:val="0"/>
        </w:rPr>
      </w:pPr>
      <w:r>
        <w:rPr/>
        <w:pict>
          <v:line style="position:absolute;mso-position-horizontal-relative:page;mso-position-vertical-relative:paragraph;z-index:-463792" from="66pt,13.116443pt" to="536.04pt,13.116443pt" stroked="true" strokeweight="1.2pt" strokecolor="#2e97d3">
            <v:stroke dashstyle="solid"/>
            <w10:wrap type="none"/>
          </v:line>
        </w:pict>
      </w:r>
      <w:r>
        <w:rPr>
          <w:color w:val="2E97D3"/>
        </w:rPr>
        <w:t>RESPONSIBILITIES AND AUTHORITY</w:t>
      </w:r>
      <w:r>
        <w:rPr>
          <w:color w:val="2E97D3"/>
          <w:spacing w:val="-11"/>
        </w:rPr>
        <w:t> </w:t>
      </w:r>
      <w:r>
        <w:rPr>
          <w:color w:val="2E97D3"/>
        </w:rPr>
        <w:t>OF</w:t>
      </w:r>
      <w:r>
        <w:rPr>
          <w:color w:val="2E97D3"/>
          <w:spacing w:val="-4"/>
        </w:rPr>
        <w:t> </w:t>
      </w:r>
      <w:r>
        <w:rPr>
          <w:color w:val="2E97D3"/>
        </w:rPr>
        <w:t>FUND</w:t>
        <w:tab/>
        <w:t>6401 </w:t>
      </w:r>
      <w:r>
        <w:rPr>
          <w:b w:val="0"/>
          <w:color w:val="2E97D3"/>
        </w:rPr>
        <w:t>(Cont.</w:t>
      </w:r>
      <w:r>
        <w:rPr>
          <w:b w:val="0"/>
          <w:color w:val="2E97D3"/>
          <w:spacing w:val="-5"/>
        </w:rPr>
        <w:t> </w:t>
      </w:r>
      <w:r>
        <w:rPr>
          <w:b w:val="0"/>
          <w:color w:val="2E97D3"/>
        </w:rPr>
        <w:t>1)</w:t>
      </w:r>
    </w:p>
    <w:p>
      <w:pPr>
        <w:tabs>
          <w:tab w:pos="5799" w:val="left" w:leader="none"/>
        </w:tabs>
        <w:spacing w:before="0"/>
        <w:ind w:left="760" w:right="0" w:firstLine="0"/>
        <w:jc w:val="left"/>
        <w:rPr>
          <w:b/>
          <w:sz w:val="24"/>
        </w:rPr>
      </w:pPr>
      <w:r>
        <w:rPr>
          <w:b/>
          <w:color w:val="2E97D3"/>
          <w:sz w:val="24"/>
          <w:u w:val="thick" w:color="2E97D3"/>
        </w:rPr>
        <w:t>ADMINISTRATORS AND FUND</w:t>
      </w:r>
      <w:r>
        <w:rPr>
          <w:b/>
          <w:color w:val="2E97D3"/>
          <w:spacing w:val="-14"/>
          <w:sz w:val="24"/>
          <w:u w:val="thick" w:color="2E97D3"/>
        </w:rPr>
        <w:t> </w:t>
      </w:r>
      <w:r>
        <w:rPr>
          <w:b/>
          <w:color w:val="2E97D3"/>
          <w:sz w:val="24"/>
          <w:u w:val="thick" w:color="2E97D3"/>
        </w:rPr>
        <w:t>USERS</w:t>
        <w:tab/>
      </w:r>
    </w:p>
    <w:p>
      <w:pPr>
        <w:pStyle w:val="BodyText"/>
        <w:ind w:left="760"/>
      </w:pPr>
      <w:r>
        <w:rPr>
          <w:color w:val="2E97D3"/>
          <w:u w:val="single" w:color="2E97D3"/>
        </w:rPr>
        <w:t>(New 09/2017)</w:t>
      </w:r>
    </w:p>
    <w:p>
      <w:pPr>
        <w:pStyle w:val="BodyText"/>
        <w:spacing w:before="8"/>
        <w:rPr>
          <w:sz w:val="18"/>
        </w:rPr>
      </w:pPr>
    </w:p>
    <w:p>
      <w:pPr>
        <w:pStyle w:val="BodyText"/>
        <w:spacing w:before="92"/>
        <w:ind w:left="851"/>
      </w:pPr>
      <w:bookmarkStart w:name="Authority and Responsibilities of a Shar" w:id="27"/>
      <w:bookmarkEnd w:id="27"/>
      <w:r>
        <w:rPr/>
      </w:r>
      <w:r>
        <w:rPr/>
        <w:t>Authority and Responsibilities of a Shared Fund Administrator:</w:t>
      </w:r>
    </w:p>
    <w:p>
      <w:pPr>
        <w:pStyle w:val="BodyText"/>
        <w:spacing w:before="5"/>
        <w:rPr>
          <w:sz w:val="26"/>
        </w:rPr>
      </w:pPr>
    </w:p>
    <w:p>
      <w:pPr>
        <w:pStyle w:val="BodyText"/>
        <w:ind w:left="1909"/>
      </w:pPr>
      <w:r>
        <w:rPr/>
        <w:pict>
          <v:line style="position:absolute;mso-position-horizontal-relative:page;mso-position-vertical-relative:paragraph;z-index:9016" from="33.360001pt,.18447pt" to="33.360001pt,33.544470pt" stroked="true" strokeweight=".72pt" strokecolor="#000000">
            <v:stroke dashstyle="solid"/>
            <w10:wrap type="none"/>
          </v:line>
        </w:pict>
      </w:r>
      <w:r>
        <w:rPr>
          <w:strike/>
          <w:color w:val="2E97D3"/>
        </w:rPr>
        <w:t>1.</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Performs all responsibilities as listed above.</w:t>
      </w:r>
    </w:p>
    <w:p>
      <w:pPr>
        <w:pStyle w:val="BodyText"/>
        <w:spacing w:line="276" w:lineRule="auto" w:before="41"/>
        <w:ind w:left="2269" w:right="737" w:hanging="360"/>
      </w:pPr>
      <w:r>
        <w:rPr/>
        <w:pict>
          <v:line style="position:absolute;mso-position-horizontal-relative:page;mso-position-vertical-relative:paragraph;z-index:-463768" from="251.639999pt,42.974483pt" to="254.999999pt,42.974483pt" stroked="true" strokeweight=".6pt" strokecolor="#2e97d3">
            <v:stroke dashstyle="solid"/>
            <w10:wrap type="none"/>
          </v:line>
        </w:pict>
      </w:r>
      <w:r>
        <w:rPr/>
        <w:pict>
          <v:line style="position:absolute;mso-position-horizontal-relative:page;mso-position-vertical-relative:paragraph;z-index:9040" from="33.360001pt,34.634483pt" to="33.360001pt,50.594483pt" stroked="true" strokeweight=".72pt" strokecolor="#000000">
            <v:stroke dashstyle="solid"/>
            <w10:wrap type="none"/>
          </v:line>
        </w:pict>
      </w:r>
      <w:r>
        <w:rPr>
          <w:strike/>
          <w:color w:val="2E97D3"/>
        </w:rPr>
        <w:t>2.</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Possesses authority to request information from user department(s). User departments include departments that collect revenues and/or spend from the fund. The shared fund administrator can request the following information from user departments at any time:</w:t>
      </w:r>
    </w:p>
    <w:p>
      <w:pPr>
        <w:pStyle w:val="BodyText"/>
        <w:spacing w:line="261" w:lineRule="auto"/>
        <w:ind w:left="2989" w:right="737" w:hanging="360"/>
      </w:pPr>
      <w:r>
        <w:rPr/>
        <w:pict>
          <v:line style="position:absolute;mso-position-horizontal-relative:page;mso-position-vertical-relative:paragraph;z-index:9064" from="33.360001pt,16.624470pt" to="33.360001pt,48.06447pt" stroked="true" strokeweight=".72pt" strokecolor="#000000">
            <v:stroke dashstyle="solid"/>
            <w10:wrap type="none"/>
          </v:line>
        </w:pict>
      </w:r>
      <w:r>
        <w:rPr>
          <w:rFonts w:ascii="Symbol" w:hAnsi="Symbol"/>
          <w:strike/>
          <w:color w:val="2E97D3"/>
        </w:rPr>
        <w:t></w:t>
      </w:r>
      <w:r>
        <w:rPr>
          <w:rFonts w:ascii="Courier New" w:hAnsi="Courier New"/>
          <w:strike w:val="0"/>
          <w:color w:val="2E97D3"/>
          <w:u w:val="single" w:color="2E97D3"/>
        </w:rPr>
        <w:t>o</w:t>
      </w:r>
      <w:r>
        <w:rPr>
          <w:rFonts w:ascii="Courier New" w:hAnsi="Courier New"/>
          <w:strike w:val="0"/>
          <w:color w:val="2E97D3"/>
          <w:spacing w:val="-67"/>
          <w:u w:val="single" w:color="2E97D3"/>
        </w:rPr>
        <w:t> </w:t>
      </w:r>
      <w:r>
        <w:rPr>
          <w:strike w:val="0"/>
        </w:rPr>
        <w:t>DF-303, Detailed Fund Balance Report (applies to funds with a </w:t>
      </w:r>
      <w:r>
        <w:rPr>
          <w:strike w:val="0"/>
          <w:color w:val="2E97D3"/>
          <w:u w:val="single" w:color="2E97D3"/>
        </w:rPr>
        <w:t>published </w:t>
      </w:r>
      <w:r>
        <w:rPr>
          <w:strike w:val="0"/>
        </w:rPr>
        <w:t>Fund Condition Statement </w:t>
      </w:r>
      <w:r>
        <w:rPr>
          <w:strike/>
          <w:color w:val="2E97D3"/>
        </w:rPr>
        <w:t>in the Governor’s Budget</w:t>
      </w:r>
      <w:r>
        <w:rPr>
          <w:strike w:val="0"/>
        </w:rPr>
        <w:t>).</w:t>
      </w:r>
    </w:p>
    <w:p>
      <w:pPr>
        <w:pStyle w:val="BodyText"/>
        <w:spacing w:line="261" w:lineRule="auto" w:before="18"/>
        <w:ind w:left="2989" w:right="1014" w:hanging="360"/>
      </w:pPr>
      <w:r>
        <w:rPr>
          <w:rFonts w:ascii="Symbol" w:hAnsi="Symbol"/>
          <w:strike/>
          <w:color w:val="2E97D3"/>
        </w:rPr>
        <w:t></w:t>
      </w:r>
      <w:r>
        <w:rPr>
          <w:rFonts w:ascii="Courier New" w:hAnsi="Courier New"/>
          <w:strike w:val="0"/>
          <w:color w:val="2E97D3"/>
          <w:u w:val="single" w:color="2E97D3"/>
        </w:rPr>
        <w:t>o </w:t>
      </w:r>
      <w:r>
        <w:rPr>
          <w:strike w:val="0"/>
        </w:rPr>
        <w:t>Copies of the year-end financial reports or other backup documents related to the fund’s prior year adjustments and past year revenues/expenditures.</w:t>
      </w:r>
    </w:p>
    <w:p>
      <w:pPr>
        <w:pStyle w:val="BodyText"/>
        <w:spacing w:line="266" w:lineRule="auto" w:before="16"/>
        <w:ind w:left="2989" w:right="413" w:hanging="360"/>
      </w:pPr>
      <w:r>
        <w:rPr/>
        <w:pict>
          <v:line style="position:absolute;mso-position-horizontal-relative:page;mso-position-vertical-relative:paragraph;z-index:9088" from="33.360001pt,33.504440pt" to="33.360001pt,49.34444pt" stroked="true" strokeweight=".72pt" strokecolor="#000000">
            <v:stroke dashstyle="solid"/>
            <w10:wrap type="none"/>
          </v:line>
        </w:pict>
      </w:r>
      <w:r>
        <w:rPr>
          <w:rFonts w:ascii="Symbol" w:hAnsi="Symbol"/>
          <w:strike/>
          <w:color w:val="2E97D3"/>
        </w:rPr>
        <w:t></w:t>
      </w:r>
      <w:r>
        <w:rPr>
          <w:rFonts w:ascii="Courier New" w:hAnsi="Courier New"/>
          <w:strike w:val="0"/>
          <w:color w:val="2E97D3"/>
          <w:u w:val="single" w:color="2E97D3"/>
        </w:rPr>
        <w:t>o </w:t>
      </w:r>
      <w:r>
        <w:rPr>
          <w:strike w:val="0"/>
        </w:rPr>
        <w:t>Copies of reconciliations and reports as necessary to allow the shared fund administrator to reconcile departmental account and fund balances to </w:t>
      </w:r>
      <w:r>
        <w:rPr>
          <w:strike/>
          <w:color w:val="2E97D3"/>
          <w:u w:val="single" w:color="2E97D3"/>
        </w:rPr>
        <w:t>SCO</w:t>
      </w:r>
      <w:r>
        <w:rPr>
          <w:strike/>
          <w:color w:val="2E97D3"/>
        </w:rPr>
        <w:t>. </w:t>
      </w:r>
      <w:hyperlink r:id="rId59">
        <w:r>
          <w:rPr>
            <w:strike w:val="0"/>
            <w:color w:val="2E97D3"/>
            <w:u w:val="single" w:color="2E97D3"/>
          </w:rPr>
          <w:t>SCO</w:t>
        </w:r>
      </w:hyperlink>
      <w:r>
        <w:rPr>
          <w:strike w:val="0"/>
          <w:color w:val="2E97D3"/>
          <w:u w:val="single" w:color="2E97D3"/>
        </w:rPr>
        <w:t>.</w:t>
      </w:r>
    </w:p>
    <w:p>
      <w:pPr>
        <w:pStyle w:val="BodyText"/>
        <w:spacing w:before="6"/>
        <w:ind w:left="2629"/>
      </w:pPr>
      <w:r>
        <w:rPr/>
        <w:pict>
          <v:line style="position:absolute;mso-position-horizontal-relative:page;mso-position-vertical-relative:paragraph;z-index:9112" from="33.360001pt,15.24445pt" to="33.360001pt,49.80445pt" stroked="true" strokeweight=".72pt" strokecolor="#000000">
            <v:stroke dashstyle="solid"/>
            <w10:wrap type="none"/>
          </v:line>
        </w:pict>
      </w:r>
      <w:r>
        <w:rPr>
          <w:rFonts w:ascii="Symbol" w:hAnsi="Symbol"/>
          <w:strike/>
          <w:color w:val="2E97D3"/>
        </w:rPr>
        <w:t></w:t>
      </w:r>
      <w:r>
        <w:rPr>
          <w:rFonts w:ascii="Courier New" w:hAnsi="Courier New"/>
          <w:strike w:val="0"/>
          <w:color w:val="2E97D3"/>
          <w:u w:val="single" w:color="2E97D3"/>
        </w:rPr>
        <w:t>o</w:t>
      </w:r>
      <w:r>
        <w:rPr>
          <w:rFonts w:ascii="Courier New" w:hAnsi="Courier New"/>
          <w:strike w:val="0"/>
          <w:color w:val="2E97D3"/>
          <w:spacing w:val="-95"/>
          <w:u w:val="single" w:color="2E97D3"/>
        </w:rPr>
        <w:t> </w:t>
      </w:r>
      <w:r>
        <w:rPr>
          <w:strike w:val="0"/>
        </w:rPr>
        <w:t>DF-117, Certification of Past and Prior Year Information.</w:t>
      </w:r>
    </w:p>
    <w:p>
      <w:pPr>
        <w:pStyle w:val="BodyText"/>
        <w:spacing w:line="276" w:lineRule="auto" w:before="24"/>
        <w:ind w:left="2269" w:right="98" w:hanging="360"/>
      </w:pPr>
      <w:r>
        <w:rPr/>
        <w:pict>
          <v:line style="position:absolute;mso-position-horizontal-relative:page;mso-position-vertical-relative:paragraph;z-index:-463744" from="443.040009pt,10.444467pt" to="446.400009pt,10.444467pt" stroked="true" strokeweight=".6pt" strokecolor="#2e97d3">
            <v:stroke dashstyle="solid"/>
            <w10:wrap type="none"/>
          </v:line>
        </w:pict>
      </w:r>
      <w:r>
        <w:rPr/>
        <w:pict>
          <v:line style="position:absolute;mso-position-horizontal-relative:page;mso-position-vertical-relative:paragraph;z-index:-463720" from="207pt,58.084465pt" to="210pt,58.084465pt" stroked="true" strokeweight=".6pt" strokecolor="#2e97d3">
            <v:stroke dashstyle="solid"/>
            <w10:wrap type="none"/>
          </v:line>
        </w:pict>
      </w:r>
      <w:r>
        <w:rPr/>
        <w:pict>
          <v:line style="position:absolute;mso-position-horizontal-relative:page;mso-position-vertical-relative:paragraph;z-index:-463696" from="228.960007pt,73.924469pt" to="232.320007pt,73.924469pt" stroked="true" strokeweight=".6pt" strokecolor="#2e97d3">
            <v:stroke dashstyle="solid"/>
            <w10:wrap type="none"/>
          </v:line>
        </w:pict>
      </w:r>
      <w:r>
        <w:rPr/>
        <w:pict>
          <v:line style="position:absolute;mso-position-horizontal-relative:page;mso-position-vertical-relative:paragraph;z-index:9136" from="33.360001pt,49.744465pt" to="33.360001pt,81.424465pt" stroked="true" strokeweight=".72pt" strokecolor="#000000">
            <v:stroke dashstyle="solid"/>
            <w10:wrap type="none"/>
          </v:line>
        </w:pict>
      </w:r>
      <w:r>
        <w:rPr>
          <w:strike/>
          <w:color w:val="2E97D3"/>
        </w:rPr>
        <w:t>3.</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Reviews data from other fund users for reasonableness. Except </w:t>
      </w:r>
      <w:r>
        <w:rPr>
          <w:strike/>
          <w:color w:val="2E97D3"/>
        </w:rPr>
        <w:t>for</w:t>
      </w:r>
      <w:r>
        <w:rPr>
          <w:strike w:val="0"/>
          <w:color w:val="2E97D3"/>
          <w:u w:val="single" w:color="2E97D3"/>
        </w:rPr>
        <w:t>during the </w:t>
      </w:r>
      <w:r>
        <w:rPr>
          <w:strike w:val="0"/>
        </w:rPr>
        <w:t>budget development period (when changes are tracked by Finance), tracks and manages changes and ensures a prudent reserve is maintained. Works with Finance to determine the level necessary for a prudent reserve. Once all budget proposals are developed and approved, Finance will share a copy of the Fund Condition Statement with the fund administrator.</w:t>
      </w:r>
    </w:p>
    <w:p>
      <w:pPr>
        <w:pStyle w:val="BodyText"/>
        <w:spacing w:before="1"/>
        <w:rPr>
          <w:sz w:val="34"/>
        </w:rPr>
      </w:pPr>
    </w:p>
    <w:p>
      <w:pPr>
        <w:spacing w:before="0"/>
        <w:ind w:left="760" w:right="0" w:firstLine="0"/>
        <w:jc w:val="left"/>
        <w:rPr>
          <w:rFonts w:ascii="Times New Roman"/>
          <w:b/>
          <w:sz w:val="16"/>
        </w:rPr>
      </w:pPr>
      <w:r>
        <w:rPr/>
        <w:pict>
          <v:line style="position:absolute;mso-position-horizontal-relative:page;mso-position-vertical-relative:paragraph;z-index:9160" from="33.360001pt,-3.571248pt" to="33.360001pt,35.188752pt" stroked="true" strokeweight=".72pt" strokecolor="#000000">
            <v:stroke dashstyle="solid"/>
            <w10:wrap type="none"/>
          </v:line>
        </w:pict>
      </w:r>
      <w:r>
        <w:rPr>
          <w:rFonts w:ascii="Times New Roman"/>
          <w:b/>
          <w:strike/>
          <w:color w:val="2C6234"/>
          <w:sz w:val="16"/>
        </w:rPr>
        <w:t>(Continued)</w:t>
      </w:r>
    </w:p>
    <w:p>
      <w:pPr>
        <w:spacing w:after="0"/>
        <w:jc w:val="left"/>
        <w:rPr>
          <w:rFonts w:ascii="Times New Roman"/>
          <w:sz w:val="16"/>
        </w:rPr>
        <w:sectPr>
          <w:pgSz w:w="12240" w:h="15840"/>
          <w:pgMar w:header="724" w:footer="864" w:top="980" w:bottom="1060" w:left="560" w:right="1400"/>
        </w:sectPr>
      </w:pPr>
    </w:p>
    <w:p>
      <w:pPr>
        <w:pStyle w:val="BodyText"/>
        <w:spacing w:before="10"/>
        <w:rPr>
          <w:rFonts w:ascii="Times New Roman"/>
          <w:b/>
          <w:sz w:val="15"/>
        </w:rPr>
      </w:pPr>
    </w:p>
    <w:p>
      <w:pPr>
        <w:spacing w:line="183" w:lineRule="exact" w:before="95"/>
        <w:ind w:left="760" w:right="0" w:firstLine="0"/>
        <w:jc w:val="left"/>
        <w:rPr>
          <w:rFonts w:ascii="Times New Roman"/>
          <w:b/>
          <w:sz w:val="16"/>
        </w:rPr>
      </w:pPr>
      <w:r>
        <w:rPr/>
        <w:pict>
          <v:line style="position:absolute;mso-position-horizontal-relative:page;mso-position-vertical-relative:paragraph;z-index:9232" from="33.360001pt,4.898777pt" to="33.360001pt,71.378777pt" stroked="true" strokeweight=".72pt" strokecolor="#000000">
            <v:stroke dashstyle="solid"/>
            <w10:wrap type="none"/>
          </v:line>
        </w:pict>
      </w:r>
      <w:r>
        <w:rPr>
          <w:rFonts w:ascii="Times New Roman"/>
          <w:b/>
          <w:strike/>
          <w:color w:val="2C6234"/>
          <w:sz w:val="16"/>
        </w:rPr>
        <w:t>(Continued)</w:t>
      </w:r>
    </w:p>
    <w:p>
      <w:pPr>
        <w:pStyle w:val="Heading2"/>
        <w:spacing w:line="275" w:lineRule="exact"/>
        <w:ind w:left="760"/>
      </w:pPr>
      <w:r>
        <w:rPr>
          <w:strike/>
          <w:color w:val="2E97D3"/>
        </w:rPr>
        <w:t>RESPONSIBILITIES AND AUTHORITY OF FUND ADMINISTRATORS</w:t>
      </w:r>
    </w:p>
    <w:p>
      <w:pPr>
        <w:tabs>
          <w:tab w:pos="8576" w:val="left" w:leader="none"/>
        </w:tabs>
        <w:spacing w:before="0"/>
        <w:ind w:left="760" w:right="0" w:firstLine="0"/>
        <w:jc w:val="left"/>
        <w:rPr>
          <w:sz w:val="24"/>
        </w:rPr>
      </w:pPr>
      <w:r>
        <w:rPr/>
        <w:pict>
          <v:line style="position:absolute;mso-position-horizontal-relative:page;mso-position-vertical-relative:paragraph;z-index:-463480" from="66pt,8.435871pt" to="533.401pt,8.435871pt" stroked="true" strokeweight=".6pt" strokecolor="#2e97d3">
            <v:stroke dashstyle="solid"/>
            <w10:wrap type="none"/>
          </v:line>
        </w:pict>
      </w:r>
      <w:r>
        <w:rPr>
          <w:b/>
          <w:color w:val="2E97D3"/>
          <w:sz w:val="24"/>
        </w:rPr>
        <w:t>AND</w:t>
      </w:r>
      <w:r>
        <w:rPr>
          <w:b/>
          <w:color w:val="2E97D3"/>
          <w:spacing w:val="-1"/>
          <w:sz w:val="24"/>
        </w:rPr>
        <w:t> </w:t>
      </w:r>
      <w:r>
        <w:rPr>
          <w:b/>
          <w:color w:val="2E97D3"/>
          <w:sz w:val="24"/>
        </w:rPr>
        <w:t>FUND</w:t>
      </w:r>
      <w:r>
        <w:rPr>
          <w:b/>
          <w:color w:val="2E97D3"/>
          <w:spacing w:val="-3"/>
          <w:sz w:val="24"/>
        </w:rPr>
        <w:t> </w:t>
      </w:r>
      <w:r>
        <w:rPr>
          <w:b/>
          <w:color w:val="2E97D3"/>
          <w:sz w:val="24"/>
        </w:rPr>
        <w:t>USERS</w:t>
        <w:tab/>
        <w:t>6401 </w:t>
      </w:r>
      <w:r>
        <w:rPr>
          <w:color w:val="2E97D3"/>
          <w:sz w:val="24"/>
        </w:rPr>
        <w:t>(Cont.</w:t>
      </w:r>
      <w:r>
        <w:rPr>
          <w:color w:val="2E97D3"/>
          <w:spacing w:val="-8"/>
          <w:sz w:val="24"/>
        </w:rPr>
        <w:t> </w:t>
      </w:r>
      <w:r>
        <w:rPr>
          <w:color w:val="2E97D3"/>
          <w:sz w:val="24"/>
        </w:rPr>
        <w:t>2)</w:t>
      </w:r>
    </w:p>
    <w:p>
      <w:pPr>
        <w:pStyle w:val="BodyText"/>
        <w:ind w:left="760"/>
      </w:pPr>
      <w:r>
        <w:rPr>
          <w:strike/>
          <w:color w:val="2E97D3"/>
        </w:rPr>
        <w:t>(New 6/2014)</w:t>
      </w:r>
    </w:p>
    <w:p>
      <w:pPr>
        <w:pStyle w:val="BodyText"/>
        <w:spacing w:before="1"/>
        <w:rPr>
          <w:sz w:val="19"/>
        </w:rPr>
      </w:pPr>
    </w:p>
    <w:p>
      <w:pPr>
        <w:pStyle w:val="BodyText"/>
        <w:spacing w:line="276" w:lineRule="auto" w:before="100"/>
        <w:ind w:left="2269" w:right="247" w:hanging="360"/>
      </w:pPr>
      <w:r>
        <w:rPr/>
        <w:pict>
          <v:line style="position:absolute;mso-position-horizontal-relative:page;mso-position-vertical-relative:paragraph;z-index:-463456" from="304.320007pt,46.044941pt" to="307.681007pt,46.044941pt" stroked="true" strokeweight=".599pt" strokecolor="#2e97d3">
            <v:stroke dashstyle="solid"/>
            <w10:wrap type="none"/>
          </v:line>
        </w:pict>
      </w:r>
      <w:r>
        <w:rPr/>
        <w:pict>
          <v:line style="position:absolute;mso-position-horizontal-relative:page;mso-position-vertical-relative:paragraph;z-index:9256" from="33.360001pt,37.704441pt" to="33.360001pt,53.544441pt" stroked="true" strokeweight=".72pt" strokecolor="#000000">
            <v:stroke dashstyle="solid"/>
            <w10:wrap type="none"/>
          </v:line>
        </w:pict>
      </w:r>
      <w:r>
        <w:rPr/>
        <w:pict>
          <v:line style="position:absolute;mso-position-horizontal-relative:page;mso-position-vertical-relative:paragraph;z-index:9280" from="33.360001pt,69.383438pt" to="33.360001pt,101.184438pt" stroked="true" strokeweight=".72pt" strokecolor="#000000">
            <v:stroke dashstyle="solid"/>
            <w10:wrap type="none"/>
          </v:line>
        </w:pict>
      </w:r>
      <w:r>
        <w:rPr>
          <w:strike/>
          <w:color w:val="2E97D3"/>
        </w:rPr>
        <w:t>4.</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Based on latest available information, provides a letter of support or opposition to fund users when they ask for a determination of sufficiency of the fund to fund a proposal. Fund users are not to provide details of the proposal, but must obtain a letter of support from fund administrators regarding adequacy of fund balance.</w:t>
      </w:r>
    </w:p>
    <w:p>
      <w:pPr>
        <w:pStyle w:val="BodyText"/>
        <w:spacing w:before="7"/>
        <w:rPr>
          <w:sz w:val="27"/>
        </w:rPr>
      </w:pPr>
    </w:p>
    <w:p>
      <w:pPr>
        <w:pStyle w:val="BodyText"/>
        <w:spacing w:line="276" w:lineRule="auto"/>
        <w:ind w:left="2269" w:right="736" w:hanging="360"/>
      </w:pPr>
      <w:r>
        <w:rPr>
          <w:strike/>
          <w:color w:val="2E97D3"/>
        </w:rPr>
        <w:t>5.</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Assists Finance when requested in determining the use of the fund for new purposes.</w:t>
      </w:r>
    </w:p>
    <w:p>
      <w:pPr>
        <w:pStyle w:val="BodyText"/>
        <w:rPr>
          <w:sz w:val="34"/>
        </w:rPr>
      </w:pPr>
    </w:p>
    <w:p>
      <w:pPr>
        <w:pStyle w:val="BodyText"/>
        <w:ind w:left="760"/>
      </w:pPr>
      <w:r>
        <w:rPr/>
        <w:pict>
          <v:line style="position:absolute;mso-position-horizontal-relative:page;mso-position-vertical-relative:paragraph;z-index:9304" from="33.360001pt,-3.503133pt" to="33.360001pt,14.015867pt" stroked="true" strokeweight=".72pt" strokecolor="#000000">
            <v:stroke dashstyle="solid"/>
            <w10:wrap type="none"/>
          </v:line>
        </w:pict>
      </w:r>
      <w:r>
        <w:rPr>
          <w:color w:val="2C6234"/>
          <w:u w:val="thick" w:color="2C6234"/>
        </w:rPr>
        <w:t>(Continued)</w:t>
      </w:r>
    </w:p>
    <w:p>
      <w:pPr>
        <w:spacing w:after="0"/>
        <w:sectPr>
          <w:pgSz w:w="12240" w:h="15840"/>
          <w:pgMar w:header="724" w:footer="864" w:top="980" w:bottom="1060" w:left="560" w:right="1460"/>
        </w:sectPr>
      </w:pPr>
    </w:p>
    <w:p>
      <w:pPr>
        <w:pStyle w:val="BodyText"/>
        <w:rPr>
          <w:sz w:val="20"/>
        </w:rPr>
      </w:pPr>
      <w:r>
        <w:rPr/>
        <w:pict>
          <v:line style="position:absolute;mso-position-horizontal-relative:page;mso-position-vertical-relative:page;z-index:9520" from="36.360001pt,742.200012pt" to="36.360001pt,756.000012pt" stroked="true" strokeweight=".72pt" strokecolor="#000000">
            <v:stroke dashstyle="solid"/>
            <w10:wrap type="none"/>
          </v:line>
        </w:pict>
      </w:r>
    </w:p>
    <w:p>
      <w:pPr>
        <w:pStyle w:val="BodyText"/>
        <w:rPr>
          <w:sz w:val="17"/>
        </w:rPr>
      </w:pPr>
    </w:p>
    <w:p>
      <w:pPr>
        <w:pStyle w:val="BodyText"/>
        <w:spacing w:before="93"/>
        <w:ind w:left="820"/>
      </w:pPr>
      <w:r>
        <w:rPr/>
        <w:pict>
          <v:line style="position:absolute;mso-position-horizontal-relative:page;mso-position-vertical-relative:paragraph;z-index:9400" from="36.360001pt,1.14585pt" to="36.360001pt,75.54585pt" stroked="true" strokeweight=".72pt" strokecolor="#000000">
            <v:stroke dashstyle="solid"/>
            <w10:wrap type="none"/>
          </v:line>
        </w:pict>
      </w:r>
      <w:bookmarkStart w:name="RESPONSIBILITIES AND AUTHORITY OF FUND  " w:id="28"/>
      <w:bookmarkEnd w:id="28"/>
      <w:r>
        <w:rPr/>
      </w:r>
      <w:r>
        <w:rPr>
          <w:color w:val="2C6234"/>
          <w:u w:val="thick" w:color="2C6234"/>
        </w:rPr>
        <w:t>(Continued)</w:t>
      </w:r>
    </w:p>
    <w:p>
      <w:pPr>
        <w:pStyle w:val="Heading2"/>
        <w:tabs>
          <w:tab w:pos="8622" w:val="left" w:leader="none"/>
        </w:tabs>
        <w:ind w:left="820"/>
        <w:rPr>
          <w:b w:val="0"/>
        </w:rPr>
      </w:pPr>
      <w:r>
        <w:rPr/>
        <w:pict>
          <v:line style="position:absolute;mso-position-horizontal-relative:page;mso-position-vertical-relative:paragraph;z-index:-463312" from="72pt,13.175861pt" to="538.680pt,13.175861pt" stroked="true" strokeweight="1.2pt" strokecolor="#2e97d3">
            <v:stroke dashstyle="solid"/>
            <w10:wrap type="none"/>
          </v:line>
        </w:pict>
      </w:r>
      <w:bookmarkStart w:name="ADMINISTRATORS AND FUND USERS" w:id="29"/>
      <w:bookmarkEnd w:id="29"/>
      <w:r>
        <w:rPr>
          <w:b w:val="0"/>
        </w:rPr>
      </w:r>
      <w:r>
        <w:rPr>
          <w:color w:val="2E97D3"/>
        </w:rPr>
        <w:t>RESPONSIBILITIES AND AUTHORITY</w:t>
      </w:r>
      <w:r>
        <w:rPr>
          <w:color w:val="2E97D3"/>
          <w:spacing w:val="-11"/>
        </w:rPr>
        <w:t> </w:t>
      </w:r>
      <w:r>
        <w:rPr>
          <w:color w:val="2E97D3"/>
        </w:rPr>
        <w:t>OF</w:t>
      </w:r>
      <w:r>
        <w:rPr>
          <w:color w:val="2E97D3"/>
          <w:spacing w:val="-4"/>
        </w:rPr>
        <w:t> </w:t>
      </w:r>
      <w:r>
        <w:rPr>
          <w:color w:val="2E97D3"/>
        </w:rPr>
        <w:t>FUND</w:t>
        <w:tab/>
        <w:t>6401 </w:t>
      </w:r>
      <w:r>
        <w:rPr>
          <w:b w:val="0"/>
          <w:color w:val="2E97D3"/>
        </w:rPr>
        <w:t>(Cont.</w:t>
      </w:r>
      <w:r>
        <w:rPr>
          <w:b w:val="0"/>
          <w:color w:val="2E97D3"/>
          <w:spacing w:val="-8"/>
        </w:rPr>
        <w:t> </w:t>
      </w:r>
      <w:r>
        <w:rPr>
          <w:b w:val="0"/>
          <w:color w:val="2E97D3"/>
        </w:rPr>
        <w:t>2)</w:t>
      </w:r>
    </w:p>
    <w:p>
      <w:pPr>
        <w:tabs>
          <w:tab w:pos="5859" w:val="left" w:leader="none"/>
        </w:tabs>
        <w:spacing w:before="0"/>
        <w:ind w:left="820" w:right="0" w:firstLine="0"/>
        <w:jc w:val="left"/>
        <w:rPr>
          <w:b/>
          <w:sz w:val="24"/>
        </w:rPr>
      </w:pPr>
      <w:r>
        <w:rPr>
          <w:b/>
          <w:color w:val="2E97D3"/>
          <w:sz w:val="24"/>
          <w:u w:val="thick" w:color="2E97D3"/>
        </w:rPr>
        <w:t>ADMINISTRATORS AND FUND</w:t>
      </w:r>
      <w:r>
        <w:rPr>
          <w:b/>
          <w:color w:val="2E97D3"/>
          <w:spacing w:val="-14"/>
          <w:sz w:val="24"/>
          <w:u w:val="thick" w:color="2E97D3"/>
        </w:rPr>
        <w:t> </w:t>
      </w:r>
      <w:r>
        <w:rPr>
          <w:b/>
          <w:color w:val="2E97D3"/>
          <w:sz w:val="24"/>
          <w:u w:val="thick" w:color="2E97D3"/>
        </w:rPr>
        <w:t>USERS</w:t>
        <w:tab/>
      </w:r>
    </w:p>
    <w:p>
      <w:pPr>
        <w:pStyle w:val="BodyText"/>
        <w:ind w:left="820"/>
      </w:pPr>
      <w:r>
        <w:rPr>
          <w:color w:val="2E97D3"/>
          <w:u w:val="single" w:color="2E97D3"/>
        </w:rPr>
        <w:t>(New 09/2017)</w:t>
      </w:r>
    </w:p>
    <w:p>
      <w:pPr>
        <w:pStyle w:val="BodyText"/>
        <w:spacing w:before="10"/>
        <w:rPr>
          <w:sz w:val="18"/>
        </w:rPr>
      </w:pPr>
    </w:p>
    <w:p>
      <w:pPr>
        <w:pStyle w:val="BodyText"/>
        <w:spacing w:before="92"/>
        <w:ind w:left="820"/>
      </w:pPr>
      <w:bookmarkStart w:name="Responsibilities of Shared Fund Users:" w:id="30"/>
      <w:bookmarkEnd w:id="30"/>
      <w:r>
        <w:rPr/>
      </w:r>
      <w:r>
        <w:rPr/>
        <w:t>Responsibilities of Shared Fund Users:</w:t>
      </w:r>
    </w:p>
    <w:p>
      <w:pPr>
        <w:pStyle w:val="BodyText"/>
        <w:spacing w:before="8"/>
        <w:rPr>
          <w:sz w:val="26"/>
        </w:rPr>
      </w:pPr>
    </w:p>
    <w:p>
      <w:pPr>
        <w:pStyle w:val="BodyText"/>
        <w:spacing w:line="273" w:lineRule="auto"/>
        <w:ind w:left="1180" w:right="181" w:hanging="360"/>
      </w:pPr>
      <w:r>
        <w:rPr/>
        <w:pict>
          <v:line style="position:absolute;mso-position-horizontal-relative:page;mso-position-vertical-relative:paragraph;z-index:9424" from="36.360001pt,32.704453pt" to="36.360001pt,48.544453pt" stroked="true" strokeweight=".72pt" strokecolor="#000000">
            <v:stroke dashstyle="solid"/>
            <w10:wrap type="none"/>
          </v:line>
        </w:pict>
      </w:r>
      <w:r>
        <w:rPr>
          <w:strike/>
          <w:color w:val="2E97D3"/>
        </w:rPr>
        <w:t>1.</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Verifies the accuracy of departmental accounting records by performing monthly reconciliations with source documents and corresponding appropriation and general ledger accounts maintained by the SCO.</w:t>
      </w:r>
    </w:p>
    <w:p>
      <w:pPr>
        <w:pStyle w:val="BodyText"/>
        <w:spacing w:line="273" w:lineRule="auto" w:before="3"/>
        <w:ind w:left="1179" w:right="98" w:hanging="360"/>
      </w:pPr>
      <w:r>
        <w:rPr>
          <w:strike/>
          <w:color w:val="2E97D3"/>
        </w:rPr>
        <w:t>2.</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Ensures the accuracy and consistency of data between budget documents (e.g., Fund Condition Statement, if applicable) and year-end financial reportssubmitted to the SCO.</w:t>
      </w:r>
    </w:p>
    <w:p>
      <w:pPr>
        <w:pStyle w:val="BodyText"/>
        <w:spacing w:line="276" w:lineRule="auto" w:before="3"/>
        <w:ind w:left="1180" w:right="275" w:hanging="360"/>
      </w:pPr>
      <w:r>
        <w:rPr/>
        <w:pict>
          <v:line style="position:absolute;mso-position-horizontal-relative:page;mso-position-vertical-relative:paragraph;z-index:9448" from="36.360001pt,33.09446pt" to="36.360001pt,82.054460pt" stroked="true" strokeweight=".72pt" strokecolor="#000000">
            <v:stroke dashstyle="solid"/>
            <w10:wrap type="none"/>
          </v:line>
        </w:pict>
      </w:r>
      <w:r>
        <w:rPr>
          <w:strike/>
          <w:color w:val="2E97D3"/>
        </w:rPr>
        <w:t>3.</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Provides all necessary information requested by the fund administrator to manage and reconcile the fund on a timely basis, including the following:</w:t>
      </w:r>
    </w:p>
    <w:p>
      <w:pPr>
        <w:pStyle w:val="BodyText"/>
        <w:spacing w:line="252" w:lineRule="auto" w:before="1"/>
        <w:ind w:left="1900" w:right="275" w:hanging="360"/>
      </w:pPr>
      <w:r>
        <w:rPr>
          <w:rFonts w:ascii="Symbol" w:hAnsi="Symbol"/>
          <w:strike/>
          <w:color w:val="2E97D3"/>
        </w:rPr>
        <w:t></w:t>
      </w:r>
      <w:r>
        <w:rPr>
          <w:rFonts w:ascii="Courier New" w:hAnsi="Courier New"/>
          <w:strike w:val="0"/>
          <w:color w:val="2E97D3"/>
          <w:u w:val="single" w:color="2E97D3"/>
        </w:rPr>
        <w:t>o</w:t>
      </w:r>
      <w:r>
        <w:rPr>
          <w:rFonts w:ascii="Courier New" w:hAnsi="Courier New"/>
          <w:strike w:val="0"/>
          <w:color w:val="2E97D3"/>
          <w:spacing w:val="-71"/>
          <w:u w:val="single" w:color="2E97D3"/>
        </w:rPr>
        <w:t> </w:t>
      </w:r>
      <w:r>
        <w:rPr>
          <w:strike w:val="0"/>
        </w:rPr>
        <w:t>DF-303, Detailed Fund Balance Report (applies to funds with a </w:t>
      </w:r>
      <w:r>
        <w:rPr>
          <w:strike w:val="0"/>
          <w:color w:val="2E97D3"/>
          <w:u w:val="single" w:color="2E97D3"/>
        </w:rPr>
        <w:t>published </w:t>
      </w:r>
      <w:r>
        <w:rPr>
          <w:strike w:val="0"/>
        </w:rPr>
        <w:t>Fund Condition Statement </w:t>
      </w:r>
      <w:r>
        <w:rPr>
          <w:strike/>
          <w:color w:val="2E97D3"/>
        </w:rPr>
        <w:t>in the Governor’s Budget</w:t>
      </w:r>
      <w:r>
        <w:rPr>
          <w:strike w:val="0"/>
        </w:rPr>
        <w:t>).</w:t>
      </w:r>
    </w:p>
    <w:p>
      <w:pPr>
        <w:pStyle w:val="BodyText"/>
        <w:spacing w:line="252" w:lineRule="auto" w:before="30"/>
        <w:ind w:left="1900" w:right="275" w:hanging="360"/>
      </w:pPr>
      <w:r>
        <w:rPr>
          <w:rFonts w:ascii="Symbol" w:hAnsi="Symbol"/>
          <w:strike/>
          <w:color w:val="2E97D3"/>
        </w:rPr>
        <w:t></w:t>
      </w:r>
      <w:r>
        <w:rPr>
          <w:rFonts w:ascii="Courier New" w:hAnsi="Courier New"/>
          <w:strike w:val="0"/>
          <w:color w:val="2E97D3"/>
          <w:u w:val="single" w:color="2E97D3"/>
        </w:rPr>
        <w:t>o</w:t>
      </w:r>
      <w:r>
        <w:rPr>
          <w:rFonts w:ascii="Courier New" w:hAnsi="Courier New"/>
          <w:strike w:val="0"/>
          <w:color w:val="2E97D3"/>
          <w:spacing w:val="-75"/>
          <w:u w:val="single" w:color="2E97D3"/>
        </w:rPr>
        <w:t> </w:t>
      </w:r>
      <w:r>
        <w:rPr>
          <w:strike/>
          <w:color w:val="2E97D3"/>
        </w:rPr>
        <w:t>Year</w:t>
      </w:r>
      <w:r>
        <w:rPr>
          <w:strike w:val="0"/>
          <w:color w:val="2E97D3"/>
          <w:u w:val="single" w:color="2E97D3"/>
        </w:rPr>
        <w:t>Copies of year</w:t>
      </w:r>
      <w:r>
        <w:rPr>
          <w:strike w:val="0"/>
        </w:rPr>
        <w:t>-end financial reports or other backup documents related to the fund’s prior year adjustments and past year revenues/expenditures.</w:t>
      </w:r>
    </w:p>
    <w:p>
      <w:pPr>
        <w:pStyle w:val="BodyText"/>
        <w:spacing w:line="252" w:lineRule="auto" w:before="25"/>
        <w:ind w:left="1900" w:right="195" w:hanging="360"/>
      </w:pPr>
      <w:r>
        <w:rPr>
          <w:rFonts w:ascii="Symbol" w:hAnsi="Symbol"/>
          <w:strike/>
          <w:color w:val="2E97D3"/>
        </w:rPr>
        <w:t></w:t>
      </w:r>
      <w:r>
        <w:rPr>
          <w:rFonts w:ascii="Courier New" w:hAnsi="Courier New"/>
          <w:strike w:val="0"/>
          <w:color w:val="2E97D3"/>
          <w:u w:val="single" w:color="2E97D3"/>
        </w:rPr>
        <w:t>o</w:t>
      </w:r>
      <w:r>
        <w:rPr>
          <w:rFonts w:ascii="Courier New" w:hAnsi="Courier New"/>
          <w:strike w:val="0"/>
          <w:color w:val="2E97D3"/>
          <w:spacing w:val="-73"/>
          <w:u w:val="single" w:color="2E97D3"/>
        </w:rPr>
        <w:t> </w:t>
      </w:r>
      <w:r>
        <w:rPr>
          <w:strike w:val="0"/>
        </w:rPr>
        <w:t>Reconciliations and reports necessary to allow the shared fund administrator to reconcile departmental account and fund balances to </w:t>
      </w:r>
      <w:hyperlink r:id="rId59">
        <w:r>
          <w:rPr>
            <w:strike w:val="0"/>
          </w:rPr>
          <w:t>SCO</w:t>
        </w:r>
      </w:hyperlink>
      <w:r>
        <w:rPr>
          <w:strike w:val="0"/>
        </w:rPr>
        <w:t>.</w:t>
      </w:r>
    </w:p>
    <w:p>
      <w:pPr>
        <w:pStyle w:val="BodyText"/>
        <w:spacing w:line="302" w:lineRule="exact" w:before="28"/>
        <w:ind w:left="1540"/>
      </w:pPr>
      <w:r>
        <w:rPr/>
        <w:pict>
          <v:line style="position:absolute;mso-position-horizontal-relative:page;mso-position-vertical-relative:paragraph;z-index:9472" from="36.360001pt,16.105457pt" to="36.360001pt,106.344457pt" stroked="true" strokeweight=".72pt" strokecolor="#000000">
            <v:stroke dashstyle="solid"/>
            <w10:wrap type="none"/>
          </v:line>
        </w:pict>
      </w:r>
      <w:r>
        <w:rPr>
          <w:rFonts w:ascii="Symbol" w:hAnsi="Symbol"/>
          <w:strike/>
          <w:color w:val="2E97D3"/>
        </w:rPr>
        <w:t></w:t>
      </w:r>
      <w:r>
        <w:rPr>
          <w:rFonts w:ascii="Courier New" w:hAnsi="Courier New"/>
          <w:strike w:val="0"/>
          <w:color w:val="2E97D3"/>
          <w:u w:val="single" w:color="2E97D3"/>
        </w:rPr>
        <w:t>o</w:t>
      </w:r>
      <w:r>
        <w:rPr>
          <w:rFonts w:ascii="Courier New" w:hAnsi="Courier New"/>
          <w:strike w:val="0"/>
          <w:color w:val="2E97D3"/>
          <w:spacing w:val="-95"/>
          <w:u w:val="single" w:color="2E97D3"/>
        </w:rPr>
        <w:t> </w:t>
      </w:r>
      <w:r>
        <w:rPr>
          <w:strike w:val="0"/>
        </w:rPr>
        <w:t>DF-117, Certification of Past and Prior Year Information.</w:t>
      </w:r>
    </w:p>
    <w:p>
      <w:pPr>
        <w:pStyle w:val="ListParagraph"/>
        <w:numPr>
          <w:ilvl w:val="2"/>
          <w:numId w:val="9"/>
        </w:numPr>
        <w:tabs>
          <w:tab w:pos="2259" w:val="left" w:leader="none"/>
          <w:tab w:pos="2260" w:val="left" w:leader="none"/>
        </w:tabs>
        <w:spacing w:line="276" w:lineRule="auto" w:before="0" w:after="0"/>
        <w:ind w:left="2260" w:right="409" w:hanging="360"/>
        <w:jc w:val="left"/>
        <w:rPr>
          <w:sz w:val="24"/>
        </w:rPr>
      </w:pPr>
      <w:r>
        <w:rPr>
          <w:strike/>
          <w:color w:val="2E97D3"/>
          <w:sz w:val="24"/>
        </w:rPr>
        <w:t>Amount of new spending requests (from Budget Change Proposals or requests for spring Finance Letters) to ensure there is sufficient fund balance available in the fund. Other confidential information is not necessary. Proposals that could result in additional revenue to the fund should also be</w:t>
      </w:r>
      <w:r>
        <w:rPr>
          <w:strike/>
          <w:color w:val="2E97D3"/>
          <w:spacing w:val="-12"/>
          <w:sz w:val="24"/>
        </w:rPr>
        <w:t> </w:t>
      </w:r>
      <w:r>
        <w:rPr>
          <w:strike/>
          <w:color w:val="2E97D3"/>
          <w:sz w:val="24"/>
        </w:rPr>
        <w:t>communicated.</w:t>
      </w:r>
    </w:p>
    <w:p>
      <w:pPr>
        <w:pStyle w:val="BodyText"/>
        <w:rPr>
          <w:sz w:val="20"/>
        </w:rPr>
      </w:pPr>
    </w:p>
    <w:p>
      <w:pPr>
        <w:pStyle w:val="BodyText"/>
        <w:spacing w:before="3"/>
        <w:rPr>
          <w:sz w:val="17"/>
        </w:rPr>
      </w:pPr>
    </w:p>
    <w:p>
      <w:pPr>
        <w:pStyle w:val="BodyText"/>
        <w:spacing w:before="92"/>
        <w:ind w:left="820"/>
      </w:pPr>
      <w:r>
        <w:rPr/>
        <w:pict>
          <v:line style="position:absolute;mso-position-horizontal-relative:page;mso-position-vertical-relative:paragraph;z-index:-463288" from="100.800003pt,13.035871pt" to="104.160003pt,13.035871pt" stroked="true" strokeweight=".6pt" strokecolor="#2e97d3">
            <v:stroke dashstyle="solid"/>
            <w10:wrap type="none"/>
          </v:line>
        </w:pict>
      </w:r>
      <w:r>
        <w:rPr/>
        <w:pict>
          <v:line style="position:absolute;mso-position-horizontal-relative:page;mso-position-vertical-relative:paragraph;z-index:9496" from="36.360001pt,4.81487pt" to="36.360001pt,18.61587pt" stroked="true" strokeweight=".72pt" strokecolor="#000000">
            <v:stroke dashstyle="solid"/>
            <w10:wrap type="none"/>
          </v:line>
        </w:pict>
      </w:r>
      <w:r>
        <w:rPr/>
        <w:t>Note: Assessments by statewide projects/programs are not considered fund users for purposes of the responsibilities above.</w:t>
      </w:r>
    </w:p>
    <w:p>
      <w:pPr>
        <w:pStyle w:val="BodyText"/>
        <w:ind w:left="99"/>
        <w:rPr>
          <w:sz w:val="20"/>
        </w:rPr>
      </w:pPr>
      <w:r>
        <w:rPr>
          <w:sz w:val="20"/>
        </w:rPr>
        <w:pict>
          <v:group style="width:.75pt;height:16.6pt;mso-position-horizontal-relative:char;mso-position-vertical-relative:line" coordorigin="0,0" coordsize="15,332">
            <v:line style="position:absolute" from="8,8" to="8,324" stroked="true" strokeweight=".72pt" strokecolor="#000000">
              <v:stroke dashstyle="solid"/>
            </v:line>
          </v:group>
        </w:pict>
      </w:r>
      <w:r>
        <w:rPr>
          <w:sz w:val="20"/>
        </w:rPr>
      </w:r>
    </w:p>
    <w:p>
      <w:pPr>
        <w:spacing w:after="0"/>
        <w:rPr>
          <w:sz w:val="20"/>
        </w:rPr>
        <w:sectPr>
          <w:footerReference w:type="default" r:id="rId61"/>
          <w:pgSz w:w="12240" w:h="15840"/>
          <w:pgMar w:footer="792" w:header="724" w:top="980" w:bottom="980" w:left="620" w:right="1340"/>
        </w:sectPr>
      </w:pPr>
    </w:p>
    <w:p>
      <w:pPr>
        <w:pStyle w:val="BodyText"/>
        <w:rPr>
          <w:sz w:val="20"/>
        </w:rPr>
      </w:pPr>
    </w:p>
    <w:p>
      <w:pPr>
        <w:tabs>
          <w:tab w:pos="9647" w:val="left" w:leader="none"/>
        </w:tabs>
        <w:spacing w:before="214"/>
        <w:ind w:left="819" w:right="0" w:firstLine="0"/>
        <w:jc w:val="left"/>
        <w:rPr>
          <w:b/>
          <w:sz w:val="24"/>
        </w:rPr>
      </w:pPr>
      <w:r>
        <w:rPr>
          <w:b/>
          <w:sz w:val="24"/>
        </w:rPr>
        <w:t>PERSONAL</w:t>
      </w:r>
      <w:r>
        <w:rPr>
          <w:b/>
          <w:spacing w:val="-4"/>
          <w:sz w:val="24"/>
        </w:rPr>
        <w:t> </w:t>
      </w:r>
      <w:r>
        <w:rPr>
          <w:b/>
          <w:sz w:val="24"/>
        </w:rPr>
        <w:t>SERVICES</w:t>
        <w:tab/>
        <w:t>6403</w:t>
      </w:r>
    </w:p>
    <w:p>
      <w:pPr>
        <w:pStyle w:val="BodyText"/>
        <w:ind w:left="819"/>
      </w:pPr>
      <w:r>
        <w:rPr/>
        <w:t>(Revised 9/2010)</w:t>
      </w:r>
    </w:p>
    <w:p>
      <w:pPr>
        <w:pStyle w:val="BodyText"/>
      </w:pPr>
    </w:p>
    <w:p>
      <w:pPr>
        <w:pStyle w:val="BodyText"/>
        <w:ind w:left="819"/>
      </w:pPr>
      <w:r>
        <w:rPr/>
        <w:t>The category of Personal Services includes all payments for personal services except:</w:t>
      </w:r>
    </w:p>
    <w:p>
      <w:pPr>
        <w:pStyle w:val="ListParagraph"/>
        <w:numPr>
          <w:ilvl w:val="0"/>
          <w:numId w:val="10"/>
        </w:numPr>
        <w:tabs>
          <w:tab w:pos="1180" w:val="left" w:leader="none"/>
        </w:tabs>
        <w:spacing w:line="240" w:lineRule="auto" w:before="0" w:after="0"/>
        <w:ind w:left="820" w:right="305" w:firstLine="0"/>
        <w:jc w:val="left"/>
        <w:rPr>
          <w:sz w:val="24"/>
        </w:rPr>
      </w:pPr>
      <w:r>
        <w:rPr>
          <w:sz w:val="24"/>
        </w:rPr>
        <w:t>those obtained under contract; and (2) payments for health and welfare benefits for prevailing rate employees as authorized by Government Code Section </w:t>
      </w:r>
      <w:hyperlink r:id="rId63">
        <w:r>
          <w:rPr>
            <w:color w:val="0000FF"/>
            <w:sz w:val="24"/>
            <w:u w:val="single" w:color="0000FF"/>
          </w:rPr>
          <w:t>19831</w:t>
        </w:r>
      </w:hyperlink>
      <w:r>
        <w:rPr>
          <w:sz w:val="24"/>
        </w:rPr>
        <w:t>. The category contains two objects of expenditure: (1) salaries and wages, which include all direct payments for personal services; and (2) staff benefits, except for those services obtained under contract. See Government Code Section </w:t>
      </w:r>
      <w:hyperlink r:id="rId64">
        <w:r>
          <w:rPr>
            <w:color w:val="0000FF"/>
            <w:sz w:val="24"/>
            <w:u w:val="single" w:color="0000FF"/>
          </w:rPr>
          <w:t>19830 </w:t>
        </w:r>
      </w:hyperlink>
      <w:r>
        <w:rPr>
          <w:sz w:val="24"/>
        </w:rPr>
        <w:t>and SAM Section </w:t>
      </w:r>
      <w:hyperlink r:id="rId54">
        <w:r>
          <w:rPr>
            <w:color w:val="0000FF"/>
            <w:sz w:val="24"/>
            <w:u w:val="single" w:color="0000FF"/>
          </w:rPr>
          <w:t>6412</w:t>
        </w:r>
      </w:hyperlink>
      <w:r>
        <w:rPr>
          <w:sz w:val="24"/>
        </w:rPr>
        <w:t>.</w:t>
      </w:r>
    </w:p>
    <w:p>
      <w:pPr>
        <w:pStyle w:val="BodyText"/>
        <w:spacing w:before="11"/>
        <w:rPr>
          <w:sz w:val="15"/>
        </w:rPr>
      </w:pPr>
    </w:p>
    <w:p>
      <w:pPr>
        <w:pStyle w:val="BodyText"/>
        <w:spacing w:before="92"/>
        <w:ind w:left="820" w:right="162"/>
      </w:pPr>
      <w:r>
        <w:rPr/>
        <w:pict>
          <v:line style="position:absolute;mso-position-horizontal-relative:page;mso-position-vertical-relative:paragraph;z-index:9544" from="36.360001pt,73.815834pt" to="36.360001pt,99.615834pt" stroked="true" strokeweight=".72pt" strokecolor="#000000">
            <v:stroke dashstyle="solid"/>
            <w10:wrap type="none"/>
          </v:line>
        </w:pict>
      </w:r>
      <w:r>
        <w:rPr/>
        <w:t>Government Code Sections </w:t>
      </w:r>
      <w:hyperlink r:id="rId65">
        <w:r>
          <w:rPr>
            <w:color w:val="0000FF"/>
            <w:u w:val="single" w:color="0000FF"/>
          </w:rPr>
          <w:t>19130-19134 </w:t>
        </w:r>
      </w:hyperlink>
      <w:r>
        <w:rPr/>
        <w:t>provide criteria and procedures regarding the state’s use of personal service contracts. These provisions basically provide for personal services contracts to achieve savings when specific conditions are met and for the State Personnel Board to review the contracts for compliance with the specified standards.</w:t>
      </w:r>
    </w:p>
    <w:p>
      <w:pPr>
        <w:spacing w:after="0"/>
        <w:sectPr>
          <w:footerReference w:type="default" r:id="rId62"/>
          <w:pgSz w:w="12240" w:h="15840"/>
          <w:pgMar w:footer="792" w:header="724" w:top="980" w:bottom="980" w:left="620" w:right="1320"/>
        </w:sectPr>
      </w:pPr>
    </w:p>
    <w:p>
      <w:pPr>
        <w:pStyle w:val="BodyText"/>
        <w:spacing w:before="4"/>
        <w:rPr>
          <w:rFonts w:ascii="Times New Roman"/>
          <w:sz w:val="17"/>
        </w:rPr>
      </w:pPr>
      <w:r>
        <w:rPr/>
        <w:pict>
          <v:line style="position:absolute;mso-position-horizontal-relative:page;mso-position-vertical-relative:page;z-index:9568" from="36.360001pt,72pt" to="36.360001pt,97.92pt" stroked="true" strokeweight=".72pt" strokecolor="#000000">
            <v:stroke dashstyle="solid"/>
            <w10:wrap type="none"/>
          </v:line>
        </w:pict>
      </w:r>
    </w:p>
    <w:p>
      <w:pPr>
        <w:spacing w:after="0"/>
        <w:rPr>
          <w:rFonts w:ascii="Times New Roman"/>
          <w:sz w:val="17"/>
        </w:rPr>
        <w:sectPr>
          <w:pgSz w:w="12240" w:h="15840"/>
          <w:pgMar w:header="724" w:footer="792" w:top="980" w:bottom="980" w:left="620" w:right="1720"/>
        </w:sectPr>
      </w:pPr>
    </w:p>
    <w:p>
      <w:pPr>
        <w:pStyle w:val="BodyText"/>
        <w:rPr>
          <w:rFonts w:ascii="Times New Roman"/>
          <w:sz w:val="20"/>
        </w:rPr>
      </w:pPr>
    </w:p>
    <w:p>
      <w:pPr>
        <w:pStyle w:val="Heading2"/>
        <w:spacing w:before="214"/>
        <w:ind w:left="119"/>
      </w:pPr>
      <w:r>
        <w:rPr/>
        <w:t>POSITION/PERSONNEL YEARS/SALARY COST</w:t>
      </w:r>
    </w:p>
    <w:p>
      <w:pPr>
        <w:tabs>
          <w:tab w:pos="8947" w:val="left" w:leader="none"/>
        </w:tabs>
        <w:spacing w:before="0"/>
        <w:ind w:left="119" w:right="0" w:firstLine="0"/>
        <w:jc w:val="left"/>
        <w:rPr>
          <w:b/>
          <w:sz w:val="24"/>
        </w:rPr>
      </w:pPr>
      <w:r>
        <w:rPr>
          <w:b/>
          <w:sz w:val="24"/>
        </w:rPr>
        <w:t>ESTIMATES</w:t>
      </w:r>
      <w:r>
        <w:rPr>
          <w:b/>
          <w:spacing w:val="-5"/>
          <w:sz w:val="24"/>
        </w:rPr>
        <w:t> </w:t>
      </w:r>
      <w:r>
        <w:rPr>
          <w:b/>
          <w:sz w:val="24"/>
        </w:rPr>
        <w:t>PRESENTATION</w:t>
        <w:tab/>
        <w:t>6406</w:t>
      </w:r>
    </w:p>
    <w:p>
      <w:pPr>
        <w:pStyle w:val="BodyText"/>
        <w:ind w:left="119"/>
      </w:pPr>
      <w:r>
        <w:rPr/>
        <w:t>(Revised 9/2010)</w:t>
      </w:r>
    </w:p>
    <w:p>
      <w:pPr>
        <w:pStyle w:val="BodyText"/>
      </w:pPr>
    </w:p>
    <w:p>
      <w:pPr>
        <w:pStyle w:val="BodyText"/>
        <w:ind w:left="119" w:right="643"/>
      </w:pPr>
      <w:r>
        <w:rPr/>
        <w:t>The detailed presentation of Authorized Positions and Personnel Years information consists of two major parts: (1) the Salaries and Wages Supplement (Schedule 7A) which is presented as a separate publication; and (2) the Changes in Authorized Positions presentation in the Governor's Budget.</w:t>
      </w:r>
    </w:p>
    <w:p>
      <w:pPr>
        <w:pStyle w:val="BodyText"/>
      </w:pPr>
    </w:p>
    <w:p>
      <w:pPr>
        <w:pStyle w:val="BodyText"/>
        <w:ind w:left="119"/>
      </w:pPr>
      <w:r>
        <w:rPr/>
        <w:t>The instructions which follow are for the preparation of the Changes in Authorized Positions presentation. For examples, refer to departmental presentations in the Governor’s Budget. Position entries should be grouped under the appropriate organizational headings and subheadings as reported in the Salaries and Wages Supplement. Footnotes may be used to explain action taken for continuously vacant positions per Government Code section </w:t>
      </w:r>
      <w:hyperlink r:id="rId66">
        <w:r>
          <w:rPr>
            <w:color w:val="0000FF"/>
            <w:u w:val="single" w:color="0000FF"/>
          </w:rPr>
          <w:t>12439</w:t>
        </w:r>
      </w:hyperlink>
      <w:r>
        <w:rPr/>
        <w:t>, etc., or to document limited-term positions.</w:t>
      </w:r>
    </w:p>
    <w:p>
      <w:pPr>
        <w:pStyle w:val="BodyText"/>
      </w:pPr>
    </w:p>
    <w:p>
      <w:pPr>
        <w:pStyle w:val="Heading2"/>
        <w:ind w:left="120"/>
      </w:pPr>
      <w:r>
        <w:rPr/>
        <w:t>Authorized Positions</w:t>
      </w:r>
    </w:p>
    <w:p>
      <w:pPr>
        <w:pStyle w:val="BodyText"/>
        <w:rPr>
          <w:b/>
        </w:rPr>
      </w:pPr>
    </w:p>
    <w:p>
      <w:pPr>
        <w:pStyle w:val="BodyText"/>
        <w:ind w:left="119" w:right="152"/>
      </w:pPr>
      <w:r>
        <w:rPr/>
        <w:t>This line shows total position/personnel-year count and expenditures and will agree with the corresponding Totals, Authorized Positions shown in the Salaries and Wages Supplement (Schedule 7A). This total will </w:t>
      </w:r>
      <w:r>
        <w:rPr>
          <w:b/>
        </w:rPr>
        <w:t>not </w:t>
      </w:r>
      <w:r>
        <w:rPr/>
        <w:t>include those positions abolished as vacant by the State Controller per GC section </w:t>
      </w:r>
      <w:hyperlink r:id="rId66">
        <w:r>
          <w:rPr>
            <w:color w:val="0000FF"/>
            <w:u w:val="single" w:color="0000FF"/>
          </w:rPr>
          <w:t>12439 </w:t>
        </w:r>
      </w:hyperlink>
      <w:r>
        <w:rPr/>
        <w:t>unless re-established under specified criteria in the code.  The number of positions must be reconciled to the number of positions approved in the final budget of the preceding year, less those positions abolished as vacant by the State Controller per GC section </w:t>
      </w:r>
      <w:hyperlink r:id="rId66">
        <w:r>
          <w:rPr>
            <w:color w:val="0000FF"/>
            <w:u w:val="single" w:color="0000FF"/>
          </w:rPr>
          <w:t>12439</w:t>
        </w:r>
      </w:hyperlink>
      <w:r>
        <w:rPr/>
        <w:t>, net of re- establishment. That is, the total number of authorized positions shown in the Expenditures by Category is to be reconciled with the total number of positions approved for the current year. Authorized positions may be established as individual positions or for certain blanket authorizations. See section 31.00 of the current Budget Act for restrictions on administratively established</w:t>
      </w:r>
      <w:r>
        <w:rPr>
          <w:spacing w:val="-31"/>
        </w:rPr>
        <w:t> </w:t>
      </w:r>
      <w:r>
        <w:rPr/>
        <w:t>positions.</w:t>
      </w:r>
    </w:p>
    <w:p>
      <w:pPr>
        <w:pStyle w:val="BodyText"/>
      </w:pPr>
    </w:p>
    <w:p>
      <w:pPr>
        <w:pStyle w:val="Heading2"/>
        <w:ind w:left="120"/>
      </w:pPr>
      <w:r>
        <w:rPr/>
        <w:t>Workload and Administrative Adjustments</w:t>
      </w:r>
    </w:p>
    <w:p>
      <w:pPr>
        <w:pStyle w:val="BodyText"/>
        <w:rPr>
          <w:b/>
        </w:rPr>
      </w:pPr>
    </w:p>
    <w:p>
      <w:pPr>
        <w:pStyle w:val="BodyText"/>
        <w:ind w:left="120" w:right="748"/>
      </w:pPr>
      <w:r>
        <w:rPr/>
        <w:t>Under this major heading, list all administrative changes being made to the Totals, Authorized Positions described above.</w:t>
      </w:r>
    </w:p>
    <w:p>
      <w:pPr>
        <w:pStyle w:val="BodyText"/>
        <w:spacing w:before="2"/>
      </w:pPr>
    </w:p>
    <w:p>
      <w:pPr>
        <w:pStyle w:val="Heading2"/>
        <w:numPr>
          <w:ilvl w:val="0"/>
          <w:numId w:val="11"/>
        </w:numPr>
        <w:tabs>
          <w:tab w:pos="480" w:val="left" w:leader="none"/>
        </w:tabs>
        <w:spacing w:line="240" w:lineRule="auto" w:before="0" w:after="0"/>
        <w:ind w:left="480" w:right="0" w:hanging="360"/>
        <w:jc w:val="left"/>
      </w:pPr>
      <w:r>
        <w:rPr/>
        <w:t>Positions</w:t>
      </w:r>
      <w:r>
        <w:rPr>
          <w:spacing w:val="-12"/>
        </w:rPr>
        <w:t> </w:t>
      </w:r>
      <w:r>
        <w:rPr/>
        <w:t>Established</w:t>
      </w:r>
    </w:p>
    <w:p>
      <w:pPr>
        <w:pStyle w:val="BodyText"/>
        <w:spacing w:before="196"/>
        <w:ind w:left="480" w:right="214"/>
      </w:pPr>
      <w:r>
        <w:rPr/>
        <w:t>Positions established as workload and administrative adjustments are limited-term positions and terminate by the end of the fiscal year per section 31.00 of the Budget Act.  The date of termination should be noted if it is not June 30.</w:t>
      </w:r>
    </w:p>
    <w:p>
      <w:pPr>
        <w:pStyle w:val="BodyText"/>
        <w:spacing w:before="2"/>
      </w:pPr>
    </w:p>
    <w:p>
      <w:pPr>
        <w:pStyle w:val="BodyText"/>
        <w:ind w:left="120"/>
      </w:pPr>
      <w:r>
        <w:rPr/>
        <w:t>(Continued)</w:t>
      </w:r>
    </w:p>
    <w:p>
      <w:pPr>
        <w:spacing w:after="0"/>
        <w:sectPr>
          <w:pgSz w:w="12240" w:h="15840"/>
          <w:pgMar w:header="724" w:footer="792" w:top="980" w:bottom="980" w:left="1320" w:right="1320"/>
        </w:sectPr>
      </w:pPr>
    </w:p>
    <w:p>
      <w:pPr>
        <w:pStyle w:val="BodyText"/>
        <w:rPr>
          <w:sz w:val="20"/>
        </w:rPr>
      </w:pPr>
    </w:p>
    <w:p>
      <w:pPr>
        <w:pStyle w:val="BodyText"/>
        <w:spacing w:line="275" w:lineRule="exact" w:before="216"/>
        <w:ind w:left="119"/>
      </w:pPr>
      <w:r>
        <w:rPr/>
        <w:t>(Continued)</w:t>
      </w:r>
    </w:p>
    <w:p>
      <w:pPr>
        <w:pStyle w:val="Heading2"/>
        <w:spacing w:line="275" w:lineRule="exact"/>
        <w:ind w:left="119"/>
      </w:pPr>
      <w:r>
        <w:rPr/>
        <w:t>POSITION/PERSONNEL YEARS/SALARY COST</w:t>
      </w:r>
    </w:p>
    <w:p>
      <w:pPr>
        <w:tabs>
          <w:tab w:pos="7946" w:val="left" w:leader="none"/>
        </w:tabs>
        <w:spacing w:before="0"/>
        <w:ind w:left="119" w:right="0" w:firstLine="0"/>
        <w:jc w:val="left"/>
        <w:rPr>
          <w:sz w:val="24"/>
        </w:rPr>
      </w:pPr>
      <w:r>
        <w:rPr>
          <w:b/>
          <w:sz w:val="24"/>
        </w:rPr>
        <w:t>ESTIMATES</w:t>
      </w:r>
      <w:r>
        <w:rPr>
          <w:b/>
          <w:spacing w:val="-5"/>
          <w:sz w:val="24"/>
        </w:rPr>
        <w:t> </w:t>
      </w:r>
      <w:r>
        <w:rPr>
          <w:b/>
          <w:sz w:val="24"/>
        </w:rPr>
        <w:t>PRESENTATION</w:t>
        <w:tab/>
        <w:t>6406 </w:t>
      </w:r>
      <w:r>
        <w:rPr>
          <w:sz w:val="24"/>
        </w:rPr>
        <w:t>(Cont.</w:t>
      </w:r>
      <w:r>
        <w:rPr>
          <w:spacing w:val="-6"/>
          <w:sz w:val="24"/>
        </w:rPr>
        <w:t> </w:t>
      </w:r>
      <w:r>
        <w:rPr>
          <w:sz w:val="24"/>
        </w:rPr>
        <w:t>1)</w:t>
      </w:r>
    </w:p>
    <w:p>
      <w:pPr>
        <w:pStyle w:val="BodyText"/>
        <w:ind w:left="120"/>
      </w:pPr>
      <w:r>
        <w:rPr/>
        <w:t>(Revised 9/2010)</w:t>
      </w:r>
    </w:p>
    <w:p>
      <w:pPr>
        <w:pStyle w:val="BodyText"/>
      </w:pPr>
    </w:p>
    <w:p>
      <w:pPr>
        <w:pStyle w:val="BodyText"/>
        <w:ind w:left="480" w:right="214"/>
      </w:pPr>
      <w:r>
        <w:rPr/>
        <w:t>Administratively established positions which are proposed for continuation beyond June 30 may not be listed here but need to be included under Proposed New Positions as described below. Positions administratively established in the previous year may not be reestablished as </w:t>
      </w:r>
      <w:r>
        <w:rPr>
          <w:b/>
        </w:rPr>
        <w:t>workload adjustments </w:t>
      </w:r>
      <w:r>
        <w:rPr/>
        <w:t>in the following year.</w:t>
      </w:r>
    </w:p>
    <w:p>
      <w:pPr>
        <w:pStyle w:val="Heading2"/>
        <w:numPr>
          <w:ilvl w:val="0"/>
          <w:numId w:val="11"/>
        </w:numPr>
        <w:tabs>
          <w:tab w:pos="480" w:val="left" w:leader="none"/>
        </w:tabs>
        <w:spacing w:line="240" w:lineRule="auto" w:before="198" w:after="0"/>
        <w:ind w:left="480" w:right="0" w:hanging="360"/>
        <w:jc w:val="left"/>
      </w:pPr>
      <w:r>
        <w:rPr/>
        <w:t>Reduction in Authorized</w:t>
      </w:r>
      <w:r>
        <w:rPr>
          <w:spacing w:val="-16"/>
        </w:rPr>
        <w:t> </w:t>
      </w:r>
      <w:r>
        <w:rPr/>
        <w:t>Positions</w:t>
      </w:r>
    </w:p>
    <w:p>
      <w:pPr>
        <w:pStyle w:val="BodyText"/>
        <w:tabs>
          <w:tab w:pos="5966" w:val="left" w:leader="none"/>
        </w:tabs>
        <w:spacing w:before="198"/>
        <w:ind w:left="480" w:right="133"/>
      </w:pPr>
      <w:r>
        <w:rPr/>
        <w:t>List by classification, authorized positions to be abolished. Note that for positions to be abolished during the current year, entries will be required in the columns for both the current and budget years because such positions have been included in the totals forwarded from Schedule 7A for</w:t>
      </w:r>
      <w:r>
        <w:rPr>
          <w:spacing w:val="-19"/>
        </w:rPr>
        <w:t> </w:t>
      </w:r>
      <w:r>
        <w:rPr/>
        <w:t>both</w:t>
      </w:r>
      <w:r>
        <w:rPr>
          <w:spacing w:val="-1"/>
        </w:rPr>
        <w:t> </w:t>
      </w:r>
      <w:r>
        <w:rPr/>
        <w:t>years.</w:t>
        <w:tab/>
        <w:t>Do not list positions</w:t>
      </w:r>
      <w:r>
        <w:rPr>
          <w:spacing w:val="-12"/>
        </w:rPr>
        <w:t> </w:t>
      </w:r>
      <w:r>
        <w:rPr/>
        <w:t>abolished</w:t>
      </w:r>
      <w:r>
        <w:rPr>
          <w:spacing w:val="-3"/>
        </w:rPr>
        <w:t> </w:t>
      </w:r>
      <w:r>
        <w:rPr/>
        <w:t>by</w:t>
      </w:r>
      <w:r>
        <w:rPr>
          <w:w w:val="99"/>
        </w:rPr>
        <w:t> </w:t>
      </w:r>
      <w:r>
        <w:rPr/>
        <w:t>the State Controller under the provisions of GC section </w:t>
      </w:r>
      <w:hyperlink r:id="rId66">
        <w:r>
          <w:rPr>
            <w:color w:val="0000FF"/>
            <w:u w:val="single" w:color="0000FF"/>
          </w:rPr>
          <w:t>12439 </w:t>
        </w:r>
      </w:hyperlink>
      <w:r>
        <w:rPr/>
        <w:t>under this</w:t>
      </w:r>
      <w:r>
        <w:rPr>
          <w:spacing w:val="-41"/>
        </w:rPr>
        <w:t> </w:t>
      </w:r>
      <w:r>
        <w:rPr/>
        <w:t>heading.</w:t>
      </w:r>
    </w:p>
    <w:p>
      <w:pPr>
        <w:pStyle w:val="BodyText"/>
        <w:spacing w:line="242" w:lineRule="auto"/>
        <w:ind w:left="480" w:right="215"/>
      </w:pPr>
      <w:r>
        <w:rPr/>
        <w:t>Instead they will be listed as reconciling entries (in footnote format) at the end of the Salaries and Wages Supplement presentation.</w:t>
      </w:r>
    </w:p>
    <w:p>
      <w:pPr>
        <w:pStyle w:val="Heading2"/>
        <w:numPr>
          <w:ilvl w:val="0"/>
          <w:numId w:val="11"/>
        </w:numPr>
        <w:tabs>
          <w:tab w:pos="480" w:val="left" w:leader="none"/>
        </w:tabs>
        <w:spacing w:line="240" w:lineRule="auto" w:before="197" w:after="0"/>
        <w:ind w:left="480" w:right="0" w:hanging="360"/>
        <w:jc w:val="left"/>
      </w:pPr>
      <w:r>
        <w:rPr/>
        <w:t>Positions</w:t>
      </w:r>
      <w:r>
        <w:rPr>
          <w:spacing w:val="-13"/>
        </w:rPr>
        <w:t> </w:t>
      </w:r>
      <w:r>
        <w:rPr/>
        <w:t>Reclassified</w:t>
      </w:r>
    </w:p>
    <w:p>
      <w:pPr>
        <w:pStyle w:val="BodyText"/>
        <w:spacing w:before="197"/>
        <w:ind w:left="480"/>
      </w:pPr>
      <w:r>
        <w:rPr/>
        <w:t>Change in Established Positions form, </w:t>
      </w:r>
      <w:hyperlink r:id="rId67">
        <w:r>
          <w:rPr>
            <w:color w:val="0000FF"/>
            <w:u w:val="single" w:color="0000FF"/>
          </w:rPr>
          <w:t>STD. 607</w:t>
        </w:r>
      </w:hyperlink>
      <w:r>
        <w:rPr/>
        <w:t>, is used to reclassify positions.</w:t>
      </w:r>
    </w:p>
    <w:p>
      <w:pPr>
        <w:pStyle w:val="BodyText"/>
        <w:ind w:left="479" w:right="121"/>
      </w:pPr>
      <w:r>
        <w:rPr/>
        <w:t>See SAM section </w:t>
      </w:r>
      <w:hyperlink r:id="rId54">
        <w:r>
          <w:rPr>
            <w:color w:val="0000FF"/>
            <w:u w:val="single" w:color="0000FF"/>
          </w:rPr>
          <w:t>6527 </w:t>
        </w:r>
      </w:hyperlink>
      <w:r>
        <w:rPr/>
        <w:t>for transactions requiring Finance approval. Section 31.00 of the Budget Act requires that all reclassifications of positions with a minimum monthly salary in excess of the amount specified must be approved by Finance. These positions do not necessarily have to be reported again under Changes in Authorized Positions unless they are major reclassifications. Most of these reclassifications will be minor and can merely be shown in the Salaries and Wages Supplement at their new classification.</w:t>
      </w:r>
    </w:p>
    <w:p>
      <w:pPr>
        <w:pStyle w:val="BodyText"/>
        <w:spacing w:before="196"/>
        <w:ind w:left="480" w:right="361"/>
      </w:pPr>
      <w:r>
        <w:rPr/>
        <w:t>Reclassifications should be considered "major" if any program redirection or organization change is involved, and should always be reported if the position is at all controversial.</w:t>
      </w:r>
    </w:p>
    <w:p>
      <w:pPr>
        <w:pStyle w:val="Heading2"/>
        <w:numPr>
          <w:ilvl w:val="0"/>
          <w:numId w:val="11"/>
        </w:numPr>
        <w:tabs>
          <w:tab w:pos="480" w:val="left" w:leader="none"/>
        </w:tabs>
        <w:spacing w:line="240" w:lineRule="auto" w:before="201" w:after="0"/>
        <w:ind w:left="480" w:right="0" w:hanging="360"/>
        <w:jc w:val="left"/>
      </w:pPr>
      <w:r>
        <w:rPr/>
        <w:t>Positions</w:t>
      </w:r>
      <w:r>
        <w:rPr>
          <w:spacing w:val="-11"/>
        </w:rPr>
        <w:t> </w:t>
      </w:r>
      <w:r>
        <w:rPr/>
        <w:t>Transferred</w:t>
      </w:r>
    </w:p>
    <w:p>
      <w:pPr>
        <w:pStyle w:val="BodyText"/>
        <w:spacing w:before="197"/>
        <w:ind w:left="480" w:right="121"/>
      </w:pPr>
      <w:r>
        <w:rPr/>
        <w:t>If a position is to be transferred from one organizational unit to another within a department, the transfer may normally be shown in the Salaries and Wages Supplement. If, however, the position transfer is for a new function and/or legislative review is required, then the transfer should be reported in the Changes in Authorized Positions.</w:t>
      </w:r>
    </w:p>
    <w:p>
      <w:pPr>
        <w:pStyle w:val="BodyText"/>
        <w:spacing w:before="197"/>
        <w:ind w:left="119"/>
      </w:pPr>
      <w:r>
        <w:rPr/>
        <w:t>(Continued)</w:t>
      </w:r>
    </w:p>
    <w:p>
      <w:pPr>
        <w:spacing w:after="0"/>
        <w:sectPr>
          <w:pgSz w:w="12240" w:h="15840"/>
          <w:pgMar w:header="724" w:footer="792" w:top="980" w:bottom="980" w:left="1320" w:right="1320"/>
        </w:sectPr>
      </w:pPr>
    </w:p>
    <w:p>
      <w:pPr>
        <w:pStyle w:val="BodyText"/>
        <w:rPr>
          <w:sz w:val="20"/>
        </w:rPr>
      </w:pPr>
    </w:p>
    <w:p>
      <w:pPr>
        <w:pStyle w:val="BodyText"/>
        <w:spacing w:before="214"/>
        <w:ind w:left="119"/>
      </w:pPr>
      <w:r>
        <w:rPr/>
        <w:t>(Continued)</w:t>
      </w:r>
    </w:p>
    <w:p>
      <w:pPr>
        <w:pStyle w:val="Heading2"/>
        <w:ind w:left="119"/>
      </w:pPr>
      <w:r>
        <w:rPr/>
        <w:t>POSITION/PERSONNEL YEARS/SALARY</w:t>
      </w:r>
    </w:p>
    <w:p>
      <w:pPr>
        <w:tabs>
          <w:tab w:pos="7946" w:val="left" w:leader="none"/>
        </w:tabs>
        <w:spacing w:before="0"/>
        <w:ind w:left="119" w:right="0" w:firstLine="0"/>
        <w:jc w:val="left"/>
        <w:rPr>
          <w:sz w:val="24"/>
        </w:rPr>
      </w:pPr>
      <w:r>
        <w:rPr>
          <w:b/>
          <w:sz w:val="24"/>
        </w:rPr>
        <w:t>COST</w:t>
      </w:r>
      <w:r>
        <w:rPr>
          <w:b/>
          <w:spacing w:val="-5"/>
          <w:sz w:val="24"/>
        </w:rPr>
        <w:t> </w:t>
      </w:r>
      <w:r>
        <w:rPr>
          <w:b/>
          <w:sz w:val="24"/>
        </w:rPr>
        <w:t>ESTIMATES</w:t>
      </w:r>
      <w:r>
        <w:rPr>
          <w:b/>
          <w:spacing w:val="-4"/>
          <w:sz w:val="24"/>
        </w:rPr>
        <w:t> </w:t>
      </w:r>
      <w:r>
        <w:rPr>
          <w:b/>
          <w:sz w:val="24"/>
        </w:rPr>
        <w:t>PRESENTATION</w:t>
        <w:tab/>
        <w:t>6406 </w:t>
      </w:r>
      <w:r>
        <w:rPr>
          <w:sz w:val="24"/>
        </w:rPr>
        <w:t>(Cont.</w:t>
      </w:r>
      <w:r>
        <w:rPr>
          <w:spacing w:val="-6"/>
          <w:sz w:val="24"/>
        </w:rPr>
        <w:t> </w:t>
      </w:r>
      <w:r>
        <w:rPr>
          <w:sz w:val="24"/>
        </w:rPr>
        <w:t>2)</w:t>
      </w:r>
    </w:p>
    <w:p>
      <w:pPr>
        <w:pStyle w:val="BodyText"/>
        <w:spacing w:before="2"/>
        <w:ind w:left="120"/>
      </w:pPr>
      <w:r>
        <w:rPr/>
        <w:t>(Revised 9/2010)</w:t>
      </w:r>
    </w:p>
    <w:p>
      <w:pPr>
        <w:pStyle w:val="Heading2"/>
        <w:numPr>
          <w:ilvl w:val="0"/>
          <w:numId w:val="11"/>
        </w:numPr>
        <w:tabs>
          <w:tab w:pos="480" w:val="left" w:leader="none"/>
        </w:tabs>
        <w:spacing w:line="240" w:lineRule="auto" w:before="199" w:after="0"/>
        <w:ind w:left="480" w:right="0" w:hanging="360"/>
        <w:jc w:val="left"/>
      </w:pPr>
      <w:r>
        <w:rPr/>
        <w:t>Totals, Workload, and Administrative</w:t>
      </w:r>
      <w:r>
        <w:rPr>
          <w:spacing w:val="-26"/>
        </w:rPr>
        <w:t> </w:t>
      </w:r>
      <w:r>
        <w:rPr/>
        <w:t>Adjustments</w:t>
      </w:r>
    </w:p>
    <w:p>
      <w:pPr>
        <w:pStyle w:val="BodyText"/>
        <w:spacing w:before="201"/>
        <w:ind w:left="480"/>
      </w:pPr>
      <w:r>
        <w:rPr/>
        <w:t>Enter totals of the preceding items 1 through 4.</w:t>
      </w:r>
    </w:p>
    <w:p>
      <w:pPr>
        <w:pStyle w:val="BodyText"/>
        <w:spacing w:before="196"/>
        <w:ind w:left="480" w:right="547"/>
      </w:pPr>
      <w:r>
        <w:rPr>
          <w:b/>
        </w:rPr>
        <w:t>Proposed New Positions. </w:t>
      </w:r>
      <w:r>
        <w:rPr/>
        <w:t>Under this subheading show all additional positions established during the current year and proposed to continue through the budget year and all additional positions proposed for the budget year.</w:t>
      </w:r>
    </w:p>
    <w:p>
      <w:pPr>
        <w:pStyle w:val="ListParagraph"/>
        <w:numPr>
          <w:ilvl w:val="1"/>
          <w:numId w:val="11"/>
        </w:numPr>
        <w:tabs>
          <w:tab w:pos="840" w:val="left" w:leader="none"/>
        </w:tabs>
        <w:spacing w:line="240" w:lineRule="auto" w:before="196" w:after="0"/>
        <w:ind w:left="840" w:right="228" w:hanging="360"/>
        <w:jc w:val="left"/>
        <w:rPr>
          <w:sz w:val="24"/>
        </w:rPr>
      </w:pPr>
      <w:r>
        <w:rPr>
          <w:sz w:val="24"/>
        </w:rPr>
        <w:t>If proposing to increase the time for existing part-time positions, list the incremental change as a proposed new position. The increase in number of positions (converted to nearest 1/10) is counted as Proposed New Positions and the additional amount required to fund the</w:t>
      </w:r>
      <w:r>
        <w:rPr>
          <w:spacing w:val="-28"/>
          <w:sz w:val="24"/>
        </w:rPr>
        <w:t> </w:t>
      </w:r>
      <w:r>
        <w:rPr>
          <w:sz w:val="24"/>
        </w:rPr>
        <w:t>positions.</w:t>
      </w:r>
    </w:p>
    <w:p>
      <w:pPr>
        <w:pStyle w:val="ListParagraph"/>
        <w:numPr>
          <w:ilvl w:val="1"/>
          <w:numId w:val="11"/>
        </w:numPr>
        <w:tabs>
          <w:tab w:pos="840" w:val="left" w:leader="none"/>
        </w:tabs>
        <w:spacing w:line="242" w:lineRule="auto" w:before="198" w:after="0"/>
        <w:ind w:left="840" w:right="1123" w:hanging="360"/>
        <w:jc w:val="left"/>
        <w:rPr>
          <w:sz w:val="24"/>
        </w:rPr>
      </w:pPr>
      <w:r>
        <w:rPr>
          <w:sz w:val="24"/>
        </w:rPr>
        <w:t>List the increases or decreases in part-time seasonal or temporary help, overtime, or</w:t>
      </w:r>
      <w:r>
        <w:rPr>
          <w:spacing w:val="-20"/>
          <w:sz w:val="24"/>
        </w:rPr>
        <w:t> </w:t>
      </w:r>
      <w:r>
        <w:rPr>
          <w:sz w:val="24"/>
        </w:rPr>
        <w:t>terminal-pay.</w:t>
      </w:r>
    </w:p>
    <w:p>
      <w:pPr>
        <w:pStyle w:val="ListParagraph"/>
        <w:numPr>
          <w:ilvl w:val="1"/>
          <w:numId w:val="11"/>
        </w:numPr>
        <w:tabs>
          <w:tab w:pos="840" w:val="left" w:leader="none"/>
        </w:tabs>
        <w:spacing w:line="240" w:lineRule="auto" w:before="193" w:after="0"/>
        <w:ind w:left="840" w:right="230" w:hanging="360"/>
        <w:jc w:val="left"/>
        <w:rPr>
          <w:sz w:val="24"/>
        </w:rPr>
      </w:pPr>
      <w:r>
        <w:rPr>
          <w:sz w:val="24"/>
        </w:rPr>
        <w:t>New positions are arranged in the same order as in the Salaries and Wages Supplement. Compute the cost of proposed new positions at the mid step of the salary</w:t>
      </w:r>
      <w:r>
        <w:rPr>
          <w:spacing w:val="-8"/>
          <w:sz w:val="24"/>
        </w:rPr>
        <w:t> </w:t>
      </w:r>
      <w:r>
        <w:rPr>
          <w:sz w:val="24"/>
        </w:rPr>
        <w:t>range.</w:t>
      </w:r>
    </w:p>
    <w:p>
      <w:pPr>
        <w:pStyle w:val="ListParagraph"/>
        <w:numPr>
          <w:ilvl w:val="1"/>
          <w:numId w:val="11"/>
        </w:numPr>
        <w:tabs>
          <w:tab w:pos="840" w:val="left" w:leader="none"/>
        </w:tabs>
        <w:spacing w:line="242" w:lineRule="auto" w:before="196" w:after="0"/>
        <w:ind w:left="840" w:right="281" w:hanging="360"/>
        <w:jc w:val="left"/>
        <w:rPr>
          <w:sz w:val="24"/>
        </w:rPr>
      </w:pPr>
      <w:r>
        <w:rPr>
          <w:sz w:val="24"/>
        </w:rPr>
        <w:t>For positions authorized for a time period less than a full fiscal year, the position and dollars should reflect the net position count and</w:t>
      </w:r>
      <w:r>
        <w:rPr>
          <w:spacing w:val="-30"/>
          <w:sz w:val="24"/>
        </w:rPr>
        <w:t> </w:t>
      </w:r>
      <w:r>
        <w:rPr>
          <w:sz w:val="24"/>
        </w:rPr>
        <w:t>dollars.</w:t>
      </w:r>
    </w:p>
    <w:p>
      <w:pPr>
        <w:pStyle w:val="ListParagraph"/>
        <w:numPr>
          <w:ilvl w:val="1"/>
          <w:numId w:val="11"/>
        </w:numPr>
        <w:tabs>
          <w:tab w:pos="840" w:val="left" w:leader="none"/>
        </w:tabs>
        <w:spacing w:line="240" w:lineRule="auto" w:before="194" w:after="0"/>
        <w:ind w:left="840" w:right="190" w:hanging="360"/>
        <w:jc w:val="both"/>
        <w:rPr>
          <w:sz w:val="24"/>
        </w:rPr>
      </w:pPr>
      <w:r>
        <w:rPr>
          <w:sz w:val="24"/>
        </w:rPr>
        <w:t>Establishing positions for a portion of a fiscal year is accommodated by the State Controller’s system. The SCO’s Employment History Database will reflect future effective dates and termination</w:t>
      </w:r>
      <w:r>
        <w:rPr>
          <w:spacing w:val="-19"/>
          <w:sz w:val="24"/>
        </w:rPr>
        <w:t> </w:t>
      </w:r>
      <w:r>
        <w:rPr>
          <w:sz w:val="24"/>
        </w:rPr>
        <w:t>dates.</w:t>
      </w:r>
    </w:p>
    <w:p>
      <w:pPr>
        <w:pStyle w:val="ListParagraph"/>
        <w:numPr>
          <w:ilvl w:val="1"/>
          <w:numId w:val="11"/>
        </w:numPr>
        <w:tabs>
          <w:tab w:pos="839" w:val="left" w:leader="none"/>
          <w:tab w:pos="840" w:val="left" w:leader="none"/>
        </w:tabs>
        <w:spacing w:line="240" w:lineRule="auto" w:before="199" w:after="0"/>
        <w:ind w:left="840" w:right="257" w:hanging="360"/>
        <w:jc w:val="left"/>
        <w:rPr>
          <w:sz w:val="24"/>
        </w:rPr>
      </w:pPr>
      <w:r>
        <w:rPr>
          <w:sz w:val="24"/>
        </w:rPr>
        <w:t>When departments prepare </w:t>
      </w:r>
      <w:hyperlink r:id="rId67">
        <w:r>
          <w:rPr>
            <w:color w:val="0000FF"/>
            <w:sz w:val="24"/>
            <w:u w:val="single" w:color="0000FF"/>
          </w:rPr>
          <w:t>STD. 607s </w:t>
        </w:r>
      </w:hyperlink>
      <w:r>
        <w:rPr>
          <w:sz w:val="24"/>
        </w:rPr>
        <w:t>to establish or abolish positions, the effective date can be later than July 1 or the termination date can be earlier than June 30. For example, departments can prepare STD. 607s on July 1 with a future effective date of January 1. The SCO records will report ½ of the position or 0.5 position</w:t>
      </w:r>
      <w:r>
        <w:rPr>
          <w:spacing w:val="-10"/>
          <w:sz w:val="24"/>
        </w:rPr>
        <w:t> </w:t>
      </w:r>
      <w:r>
        <w:rPr>
          <w:sz w:val="24"/>
        </w:rPr>
        <w:t>count.</w:t>
      </w:r>
    </w:p>
    <w:p>
      <w:pPr>
        <w:pStyle w:val="ListParagraph"/>
        <w:numPr>
          <w:ilvl w:val="1"/>
          <w:numId w:val="11"/>
        </w:numPr>
        <w:tabs>
          <w:tab w:pos="840" w:val="left" w:leader="none"/>
        </w:tabs>
        <w:spacing w:line="242" w:lineRule="auto" w:before="196" w:after="0"/>
        <w:ind w:left="840" w:right="538" w:hanging="360"/>
        <w:jc w:val="left"/>
        <w:rPr>
          <w:sz w:val="24"/>
        </w:rPr>
      </w:pPr>
      <w:r>
        <w:rPr>
          <w:sz w:val="24"/>
        </w:rPr>
        <w:t>Count each proposed part-time or part-salary position to the nearest 1/10 of a personnel-year.</w:t>
      </w:r>
    </w:p>
    <w:p>
      <w:pPr>
        <w:pStyle w:val="ListParagraph"/>
        <w:numPr>
          <w:ilvl w:val="1"/>
          <w:numId w:val="11"/>
        </w:numPr>
        <w:tabs>
          <w:tab w:pos="840" w:val="left" w:leader="none"/>
        </w:tabs>
        <w:spacing w:line="240" w:lineRule="auto" w:before="193" w:after="0"/>
        <w:ind w:left="840" w:right="149" w:hanging="360"/>
        <w:jc w:val="left"/>
        <w:rPr>
          <w:sz w:val="24"/>
        </w:rPr>
      </w:pPr>
      <w:r>
        <w:rPr>
          <w:sz w:val="24"/>
        </w:rPr>
        <w:t>Administratively established positions which meet the provisions of Section 31.00 of the Budget Act and which are to be continued into the budget year are to be listed with the other proposed new positions in descending salary order. The position count and expenditure data will be reported for the current year and budget year, as</w:t>
      </w:r>
      <w:r>
        <w:rPr>
          <w:spacing w:val="-15"/>
          <w:sz w:val="24"/>
        </w:rPr>
        <w:t> </w:t>
      </w:r>
      <w:r>
        <w:rPr>
          <w:sz w:val="24"/>
        </w:rPr>
        <w:t>appropriate.</w:t>
      </w:r>
    </w:p>
    <w:p>
      <w:pPr>
        <w:pStyle w:val="BodyText"/>
        <w:spacing w:before="198"/>
        <w:ind w:left="120"/>
      </w:pPr>
      <w:r>
        <w:rPr/>
        <w:t>(Continued)</w:t>
      </w:r>
    </w:p>
    <w:p>
      <w:pPr>
        <w:spacing w:after="0"/>
        <w:sectPr>
          <w:pgSz w:w="12240" w:h="15840"/>
          <w:pgMar w:header="724" w:footer="792" w:top="980" w:bottom="980" w:left="1320" w:right="1320"/>
        </w:sectPr>
      </w:pPr>
    </w:p>
    <w:p>
      <w:pPr>
        <w:pStyle w:val="BodyText"/>
        <w:rPr>
          <w:sz w:val="20"/>
        </w:rPr>
      </w:pPr>
    </w:p>
    <w:p>
      <w:pPr>
        <w:pStyle w:val="BodyText"/>
        <w:spacing w:before="214"/>
        <w:ind w:left="119"/>
      </w:pPr>
      <w:r>
        <w:rPr/>
        <w:t>(Continued)</w:t>
      </w:r>
    </w:p>
    <w:p>
      <w:pPr>
        <w:pStyle w:val="Heading2"/>
        <w:ind w:left="119"/>
      </w:pPr>
      <w:r>
        <w:rPr/>
        <w:t>POSITION/PERSONNEL YEARS/SALARY</w:t>
      </w:r>
    </w:p>
    <w:p>
      <w:pPr>
        <w:tabs>
          <w:tab w:pos="7946" w:val="left" w:leader="none"/>
        </w:tabs>
        <w:spacing w:before="0"/>
        <w:ind w:left="119" w:right="0" w:firstLine="0"/>
        <w:jc w:val="left"/>
        <w:rPr>
          <w:sz w:val="24"/>
        </w:rPr>
      </w:pPr>
      <w:r>
        <w:rPr>
          <w:b/>
          <w:sz w:val="24"/>
        </w:rPr>
        <w:t>COST</w:t>
      </w:r>
      <w:r>
        <w:rPr>
          <w:b/>
          <w:spacing w:val="-5"/>
          <w:sz w:val="24"/>
        </w:rPr>
        <w:t> </w:t>
      </w:r>
      <w:r>
        <w:rPr>
          <w:b/>
          <w:sz w:val="24"/>
        </w:rPr>
        <w:t>ESTIMATES</w:t>
      </w:r>
      <w:r>
        <w:rPr>
          <w:b/>
          <w:spacing w:val="-4"/>
          <w:sz w:val="24"/>
        </w:rPr>
        <w:t> </w:t>
      </w:r>
      <w:r>
        <w:rPr>
          <w:b/>
          <w:sz w:val="24"/>
        </w:rPr>
        <w:t>PRESENTATION</w:t>
        <w:tab/>
        <w:t>6406 </w:t>
      </w:r>
      <w:r>
        <w:rPr>
          <w:sz w:val="24"/>
        </w:rPr>
        <w:t>(Cont.</w:t>
      </w:r>
      <w:r>
        <w:rPr>
          <w:spacing w:val="-6"/>
          <w:sz w:val="24"/>
        </w:rPr>
        <w:t> </w:t>
      </w:r>
      <w:r>
        <w:rPr>
          <w:sz w:val="24"/>
        </w:rPr>
        <w:t>3)</w:t>
      </w:r>
    </w:p>
    <w:p>
      <w:pPr>
        <w:pStyle w:val="BodyText"/>
        <w:spacing w:before="2"/>
        <w:ind w:left="120"/>
      </w:pPr>
      <w:r>
        <w:rPr/>
        <w:t>(Revised 9/2010)</w:t>
      </w:r>
    </w:p>
    <w:p>
      <w:pPr>
        <w:spacing w:before="196"/>
        <w:ind w:left="120" w:right="214" w:firstLine="0"/>
        <w:jc w:val="left"/>
        <w:rPr>
          <w:sz w:val="24"/>
        </w:rPr>
      </w:pPr>
      <w:r>
        <w:rPr>
          <w:b/>
          <w:sz w:val="24"/>
        </w:rPr>
        <w:t>Totals, Proposed New Positions. </w:t>
      </w:r>
      <w:r>
        <w:rPr>
          <w:sz w:val="24"/>
        </w:rPr>
        <w:t>Show totals for proposed new positions. Place a dash in the Column, headed Salary Range.</w:t>
      </w:r>
    </w:p>
    <w:p>
      <w:pPr>
        <w:pStyle w:val="BodyText"/>
        <w:spacing w:before="11"/>
        <w:rPr>
          <w:sz w:val="23"/>
        </w:rPr>
      </w:pPr>
    </w:p>
    <w:p>
      <w:pPr>
        <w:pStyle w:val="BodyText"/>
        <w:ind w:left="119"/>
      </w:pPr>
      <w:r>
        <w:rPr>
          <w:b/>
        </w:rPr>
        <w:t>Totals, Salaries and Wages. </w:t>
      </w:r>
      <w:r>
        <w:rPr/>
        <w:t>Enter the totals of the Authorized Positions; Totals, Workload and Administrative Adjustments; and Proposed New Positions.</w:t>
      </w:r>
    </w:p>
    <w:p>
      <w:pPr>
        <w:pStyle w:val="BodyText"/>
        <w:spacing w:before="11"/>
        <w:rPr>
          <w:sz w:val="23"/>
        </w:rPr>
      </w:pPr>
    </w:p>
    <w:p>
      <w:pPr>
        <w:pStyle w:val="BodyText"/>
        <w:ind w:left="119" w:right="214"/>
      </w:pPr>
      <w:r>
        <w:rPr/>
        <w:t>The Changes in Authorized Positions schedule is summarized in the Expenditures by Category. The following additional personnel data is also required in the Expenditures by Category.</w:t>
      </w:r>
    </w:p>
    <w:p>
      <w:pPr>
        <w:pStyle w:val="BodyText"/>
        <w:spacing w:before="11"/>
        <w:rPr>
          <w:sz w:val="23"/>
        </w:rPr>
      </w:pPr>
    </w:p>
    <w:p>
      <w:pPr>
        <w:spacing w:before="0"/>
        <w:ind w:left="119" w:right="0" w:firstLine="0"/>
        <w:jc w:val="left"/>
        <w:rPr>
          <w:sz w:val="24"/>
        </w:rPr>
      </w:pPr>
      <w:r>
        <w:rPr>
          <w:b/>
          <w:sz w:val="24"/>
        </w:rPr>
        <w:t>Estimated Salary Savings.  </w:t>
      </w:r>
      <w:r>
        <w:rPr>
          <w:sz w:val="24"/>
        </w:rPr>
        <w:t>See SAM section </w:t>
      </w:r>
      <w:hyperlink r:id="rId54">
        <w:r>
          <w:rPr>
            <w:color w:val="0000FF"/>
            <w:sz w:val="24"/>
            <w:u w:val="single" w:color="0000FF"/>
          </w:rPr>
          <w:t>6409</w:t>
        </w:r>
      </w:hyperlink>
      <w:r>
        <w:rPr>
          <w:sz w:val="24"/>
        </w:rPr>
        <w:t>.</w:t>
      </w:r>
    </w:p>
    <w:p>
      <w:pPr>
        <w:pStyle w:val="BodyText"/>
        <w:spacing w:before="11"/>
        <w:rPr>
          <w:sz w:val="15"/>
        </w:rPr>
      </w:pPr>
    </w:p>
    <w:p>
      <w:pPr>
        <w:spacing w:before="92"/>
        <w:ind w:left="120" w:right="0" w:firstLine="0"/>
        <w:jc w:val="left"/>
        <w:rPr>
          <w:sz w:val="24"/>
        </w:rPr>
      </w:pPr>
      <w:r>
        <w:rPr>
          <w:b/>
          <w:sz w:val="24"/>
        </w:rPr>
        <w:t>Net Totals, Salaries, and Wages. </w:t>
      </w:r>
      <w:r>
        <w:rPr>
          <w:sz w:val="24"/>
        </w:rPr>
        <w:t>Subtract the Estimated Salary Savings from the Totals, Salaries, and Wages.  Enter the balance here.</w:t>
      </w:r>
    </w:p>
    <w:p>
      <w:pPr>
        <w:pStyle w:val="BodyText"/>
        <w:spacing w:before="11"/>
        <w:rPr>
          <w:sz w:val="23"/>
        </w:rPr>
      </w:pPr>
    </w:p>
    <w:p>
      <w:pPr>
        <w:spacing w:before="0"/>
        <w:ind w:left="120" w:right="0" w:firstLine="0"/>
        <w:jc w:val="left"/>
        <w:rPr>
          <w:sz w:val="24"/>
        </w:rPr>
      </w:pPr>
      <w:r>
        <w:rPr>
          <w:b/>
          <w:sz w:val="24"/>
        </w:rPr>
        <w:t>Staff Benefits.  </w:t>
      </w:r>
      <w:r>
        <w:rPr>
          <w:sz w:val="24"/>
        </w:rPr>
        <w:t>See SAM section </w:t>
      </w:r>
      <w:hyperlink r:id="rId54">
        <w:r>
          <w:rPr>
            <w:color w:val="0000FF"/>
            <w:sz w:val="24"/>
            <w:u w:val="single" w:color="0000FF"/>
          </w:rPr>
          <w:t>6412 </w:t>
        </w:r>
      </w:hyperlink>
      <w:r>
        <w:rPr>
          <w:sz w:val="24"/>
        </w:rPr>
        <w:t>and the Annual Price Letter.</w:t>
      </w:r>
    </w:p>
    <w:p>
      <w:pPr>
        <w:pStyle w:val="BodyText"/>
        <w:spacing w:before="11"/>
        <w:rPr>
          <w:sz w:val="15"/>
        </w:rPr>
      </w:pPr>
    </w:p>
    <w:p>
      <w:pPr>
        <w:spacing w:before="92"/>
        <w:ind w:left="120" w:right="0" w:firstLine="0"/>
        <w:jc w:val="left"/>
        <w:rPr>
          <w:sz w:val="24"/>
        </w:rPr>
      </w:pPr>
      <w:r>
        <w:rPr>
          <w:b/>
          <w:sz w:val="24"/>
        </w:rPr>
        <w:t>Totals, Personal Services. </w:t>
      </w:r>
      <w:r>
        <w:rPr>
          <w:sz w:val="24"/>
        </w:rPr>
        <w:t>Enter totals of Salaries and Wages, Estimated Salary Savings, and Staff Benefits.</w:t>
      </w:r>
    </w:p>
    <w:p>
      <w:pPr>
        <w:spacing w:after="0"/>
        <w:jc w:val="left"/>
        <w:rPr>
          <w:sz w:val="24"/>
        </w:rPr>
        <w:sectPr>
          <w:pgSz w:w="12240" w:h="15840"/>
          <w:pgMar w:header="724" w:footer="792" w:top="980" w:bottom="980" w:left="1320" w:right="1320"/>
        </w:sectPr>
      </w:pPr>
    </w:p>
    <w:p>
      <w:pPr>
        <w:pStyle w:val="BodyText"/>
        <w:rPr>
          <w:sz w:val="20"/>
        </w:rPr>
      </w:pPr>
    </w:p>
    <w:p>
      <w:pPr>
        <w:pStyle w:val="Heading2"/>
        <w:tabs>
          <w:tab w:pos="8947" w:val="left" w:leader="none"/>
        </w:tabs>
        <w:spacing w:before="214"/>
        <w:ind w:left="119"/>
      </w:pPr>
      <w:r>
        <w:rPr/>
        <w:t>ESTIMATED</w:t>
      </w:r>
      <w:r>
        <w:rPr>
          <w:spacing w:val="-4"/>
        </w:rPr>
        <w:t> </w:t>
      </w:r>
      <w:r>
        <w:rPr/>
        <w:t>SALARY</w:t>
      </w:r>
      <w:r>
        <w:rPr>
          <w:spacing w:val="-3"/>
        </w:rPr>
        <w:t> </w:t>
      </w:r>
      <w:r>
        <w:rPr/>
        <w:t>SAVINGS</w:t>
        <w:tab/>
        <w:t>6409</w:t>
      </w:r>
    </w:p>
    <w:p>
      <w:pPr>
        <w:pStyle w:val="BodyText"/>
        <w:ind w:left="119"/>
      </w:pPr>
      <w:r>
        <w:rPr/>
        <w:t>(Revised 9/2010)</w:t>
      </w:r>
    </w:p>
    <w:p>
      <w:pPr>
        <w:pStyle w:val="BodyText"/>
      </w:pPr>
    </w:p>
    <w:p>
      <w:pPr>
        <w:pStyle w:val="BodyText"/>
        <w:ind w:left="119" w:right="283"/>
      </w:pPr>
      <w:r>
        <w:rPr/>
        <w:t>The Totals, Personal Services entry in the Expenditure by Category shows the gross total of the positions and salaries of authorized positions. In practice, due to leaves of absence, vacancies, downward reclassifications, and turnover (inability to fill a position immediately and at the same step), it is generally not possible to keep all authorized positions filled at the budgeted level for the entire year.</w:t>
      </w:r>
    </w:p>
    <w:p>
      <w:pPr>
        <w:pStyle w:val="BodyText"/>
        <w:spacing w:before="11"/>
        <w:rPr>
          <w:sz w:val="23"/>
        </w:rPr>
      </w:pPr>
    </w:p>
    <w:p>
      <w:pPr>
        <w:pStyle w:val="BodyText"/>
        <w:ind w:left="119" w:right="576"/>
      </w:pPr>
      <w:r>
        <w:rPr/>
        <w:t>The amount not expended and the number of personnel-years not used result in savings which are subtracted from the gross level to reflect the net levels of position usage and dollars that are likely to occur.</w:t>
      </w:r>
    </w:p>
    <w:p>
      <w:pPr>
        <w:pStyle w:val="BodyText"/>
        <w:spacing w:before="11"/>
        <w:rPr>
          <w:sz w:val="23"/>
        </w:rPr>
      </w:pPr>
    </w:p>
    <w:p>
      <w:pPr>
        <w:pStyle w:val="BodyText"/>
        <w:ind w:left="119" w:right="362"/>
      </w:pPr>
      <w:r>
        <w:rPr/>
        <w:t>The position count shown with salary savings represents estimated vacant position levels only and does not necessarily have a direct relationship to the dollar amounts. Care should be exercised in computing the personnel-year counts and dollar amounts to avoid erroneous impressions of vacancies and levels of service.</w:t>
      </w:r>
    </w:p>
    <w:p>
      <w:pPr>
        <w:pStyle w:val="BodyText"/>
        <w:spacing w:before="11"/>
        <w:rPr>
          <w:sz w:val="23"/>
        </w:rPr>
      </w:pPr>
    </w:p>
    <w:p>
      <w:pPr>
        <w:pStyle w:val="BodyText"/>
        <w:ind w:left="119" w:right="163"/>
      </w:pPr>
      <w:r>
        <w:rPr/>
        <w:t>The amount of savings should be estimated partly on the basis of the past year experience of departments. Factors to be considered include the experience in the past year in obtaining qualified personnel to fill vacancies, the turnover rate, and the employment conditions. Departments should also consider other factors that would affect current and budget years.</w:t>
      </w:r>
    </w:p>
    <w:p>
      <w:pPr>
        <w:pStyle w:val="BodyText"/>
        <w:spacing w:before="11"/>
        <w:rPr>
          <w:sz w:val="23"/>
        </w:rPr>
      </w:pPr>
    </w:p>
    <w:p>
      <w:pPr>
        <w:pStyle w:val="BodyText"/>
        <w:ind w:left="119" w:right="214"/>
      </w:pPr>
      <w:r>
        <w:rPr/>
        <w:t>New positions for the budget year are reflected in the salaries and wages totals at the full salary level. A salary savings adjustment for new positions must be incorporated in the estimated salary savings entry based on the time each new position is expected to be vacant.</w:t>
      </w:r>
    </w:p>
    <w:p>
      <w:pPr>
        <w:pStyle w:val="BodyText"/>
        <w:spacing w:before="11"/>
        <w:rPr>
          <w:sz w:val="23"/>
        </w:rPr>
      </w:pPr>
    </w:p>
    <w:p>
      <w:pPr>
        <w:pStyle w:val="BodyText"/>
        <w:ind w:left="119" w:right="510"/>
      </w:pPr>
      <w:r>
        <w:rPr/>
        <w:t>Five percent is generally acceptable as a minimum dollar value for salary savings on new positions if the position is to be authorized on July 1.</w:t>
      </w:r>
    </w:p>
    <w:p>
      <w:pPr>
        <w:pStyle w:val="BodyText"/>
        <w:spacing w:before="11"/>
        <w:rPr>
          <w:sz w:val="23"/>
        </w:rPr>
      </w:pPr>
    </w:p>
    <w:p>
      <w:pPr>
        <w:pStyle w:val="BodyText"/>
        <w:ind w:left="119" w:right="296"/>
      </w:pPr>
      <w:r>
        <w:rPr/>
        <w:t>If a department is proposing additional funding in order to reduce an excessively high budgeted salary savings amount, they must submit a BCP to Finance to explain the basis for their request. Any BCP must meet the guidelines and policy provided by Finance through Budget Letters or other notification process. The justification should include documentation of turnover experience, leaves of absence, projected retirements, vacancies, levels of positions originally funded vs. current/projected levels of filled positions. and any other factors which are expected to have an impact on the departmental funding needs.</w:t>
      </w:r>
    </w:p>
    <w:p>
      <w:pPr>
        <w:spacing w:after="0"/>
        <w:sectPr>
          <w:pgSz w:w="12240" w:h="15840"/>
          <w:pgMar w:header="724" w:footer="792" w:top="980" w:bottom="980" w:left="1320" w:right="1320"/>
        </w:sectPr>
      </w:pPr>
    </w:p>
    <w:p>
      <w:pPr>
        <w:pStyle w:val="BodyText"/>
        <w:rPr>
          <w:sz w:val="20"/>
        </w:rPr>
      </w:pPr>
    </w:p>
    <w:p>
      <w:pPr>
        <w:pStyle w:val="Heading2"/>
        <w:tabs>
          <w:tab w:pos="8947" w:val="left" w:leader="none"/>
        </w:tabs>
        <w:spacing w:before="214"/>
        <w:ind w:left="119"/>
      </w:pPr>
      <w:r>
        <w:rPr/>
        <w:t>STAFF</w:t>
      </w:r>
      <w:r>
        <w:rPr>
          <w:spacing w:val="-3"/>
        </w:rPr>
        <w:t> </w:t>
      </w:r>
      <w:r>
        <w:rPr/>
        <w:t>BENEFITS</w:t>
        <w:tab/>
        <w:t>6412</w:t>
      </w:r>
    </w:p>
    <w:p>
      <w:pPr>
        <w:pStyle w:val="BodyText"/>
        <w:ind w:left="119"/>
      </w:pPr>
      <w:r>
        <w:rPr/>
        <w:t>(Revised 9/2010)</w:t>
      </w:r>
    </w:p>
    <w:p>
      <w:pPr>
        <w:pStyle w:val="BodyText"/>
      </w:pPr>
    </w:p>
    <w:p>
      <w:pPr>
        <w:pStyle w:val="BodyText"/>
        <w:ind w:left="119"/>
      </w:pPr>
      <w:r>
        <w:rPr/>
        <w:t>State contributions to the Public Employees' Retirement Fund, Old Age and Survivor Insurance, State Employees' Health Benefits, and Worker's Compensation for state officers and employees will be combined and entered immediately following "Net Totals, Salaries and Wages" in the "Expenditures by Category." The item will be entitled "Staff Benefits" and will show the total contributions by year. Estimates will be prepared in accordance with instructions in the Annual Price Letter and Budget Letters. For the past year, the amount of actual contributions may be taken from the appropriate allotment expenditure account.</w:t>
      </w:r>
    </w:p>
    <w:p>
      <w:pPr>
        <w:pStyle w:val="BodyText"/>
        <w:spacing w:before="11"/>
        <w:rPr>
          <w:sz w:val="23"/>
        </w:rPr>
      </w:pPr>
    </w:p>
    <w:p>
      <w:pPr>
        <w:pStyle w:val="ListParagraph"/>
        <w:numPr>
          <w:ilvl w:val="0"/>
          <w:numId w:val="12"/>
        </w:numPr>
        <w:tabs>
          <w:tab w:pos="480" w:val="left" w:leader="none"/>
        </w:tabs>
        <w:spacing w:line="240" w:lineRule="auto" w:before="0" w:after="0"/>
        <w:ind w:left="480" w:right="569" w:hanging="360"/>
        <w:jc w:val="left"/>
        <w:rPr>
          <w:sz w:val="24"/>
        </w:rPr>
      </w:pPr>
      <w:r>
        <w:rPr>
          <w:sz w:val="24"/>
        </w:rPr>
        <w:t>The Public Employees' Retirement component includes all state contributions for state employees covered under the Public Employees' Retirement System (Government Code Sections 20000 through 21765). Estimates of the amount of contributions are prepared according to the Annual Price and Budget</w:t>
      </w:r>
      <w:r>
        <w:rPr>
          <w:spacing w:val="-36"/>
          <w:sz w:val="24"/>
        </w:rPr>
        <w:t> </w:t>
      </w:r>
      <w:r>
        <w:rPr>
          <w:sz w:val="24"/>
        </w:rPr>
        <w:t>Letters.</w:t>
      </w:r>
    </w:p>
    <w:p>
      <w:pPr>
        <w:pStyle w:val="ListParagraph"/>
        <w:numPr>
          <w:ilvl w:val="0"/>
          <w:numId w:val="12"/>
        </w:numPr>
        <w:tabs>
          <w:tab w:pos="480" w:val="left" w:leader="none"/>
        </w:tabs>
        <w:spacing w:line="240" w:lineRule="auto" w:before="196" w:after="0"/>
        <w:ind w:left="480" w:right="190" w:hanging="360"/>
        <w:jc w:val="left"/>
        <w:rPr>
          <w:sz w:val="24"/>
        </w:rPr>
      </w:pPr>
      <w:r>
        <w:rPr>
          <w:sz w:val="24"/>
        </w:rPr>
        <w:t>The Old Age and Survivors' Insurance data include all state contributions for state employees covered under the Federal System (Government Code Sections 22000 through 22603). Estimates of the amount of contributions are prepared according to the Annual Price and Budget</w:t>
      </w:r>
      <w:r>
        <w:rPr>
          <w:spacing w:val="-17"/>
          <w:sz w:val="24"/>
        </w:rPr>
        <w:t> </w:t>
      </w:r>
      <w:r>
        <w:rPr>
          <w:sz w:val="24"/>
        </w:rPr>
        <w:t>Letters.</w:t>
      </w:r>
    </w:p>
    <w:p>
      <w:pPr>
        <w:pStyle w:val="ListParagraph"/>
        <w:numPr>
          <w:ilvl w:val="0"/>
          <w:numId w:val="12"/>
        </w:numPr>
        <w:tabs>
          <w:tab w:pos="480" w:val="left" w:leader="none"/>
        </w:tabs>
        <w:spacing w:line="240" w:lineRule="auto" w:before="196" w:after="0"/>
        <w:ind w:left="480" w:right="209" w:hanging="360"/>
        <w:jc w:val="left"/>
        <w:rPr>
          <w:sz w:val="24"/>
        </w:rPr>
      </w:pPr>
      <w:r>
        <w:rPr>
          <w:sz w:val="24"/>
        </w:rPr>
        <w:t>The State Employees' Health Benefits component includes all state contributions for state employees enrolled under any approved health benefit plan (Government Code Sections </w:t>
      </w:r>
      <w:hyperlink r:id="rId68">
        <w:r>
          <w:rPr>
            <w:color w:val="0000FF"/>
            <w:sz w:val="24"/>
            <w:u w:val="single" w:color="0000FF"/>
          </w:rPr>
          <w:t>22750 through 22944</w:t>
        </w:r>
      </w:hyperlink>
      <w:r>
        <w:rPr>
          <w:sz w:val="24"/>
        </w:rPr>
        <w:t>). Costs of payments for health and welfare for nonpermanent, prevailing rate employees as authorized by Government Code Section </w:t>
      </w:r>
      <w:hyperlink r:id="rId64">
        <w:r>
          <w:rPr>
            <w:color w:val="0000FF"/>
            <w:sz w:val="24"/>
            <w:u w:val="single" w:color="0000FF"/>
          </w:rPr>
          <w:t>19830 </w:t>
        </w:r>
      </w:hyperlink>
      <w:r>
        <w:rPr>
          <w:sz w:val="24"/>
        </w:rPr>
        <w:t>will be applied as operating expenses. Estimates of the amount of contributions are prepared according to the Annual Price and Budget</w:t>
      </w:r>
      <w:r>
        <w:rPr>
          <w:spacing w:val="-36"/>
          <w:sz w:val="24"/>
        </w:rPr>
        <w:t> </w:t>
      </w:r>
      <w:r>
        <w:rPr>
          <w:sz w:val="24"/>
        </w:rPr>
        <w:t>Letters.</w:t>
      </w:r>
    </w:p>
    <w:p>
      <w:pPr>
        <w:pStyle w:val="ListParagraph"/>
        <w:numPr>
          <w:ilvl w:val="0"/>
          <w:numId w:val="12"/>
        </w:numPr>
        <w:tabs>
          <w:tab w:pos="480" w:val="left" w:leader="none"/>
        </w:tabs>
        <w:spacing w:line="242" w:lineRule="auto" w:before="198" w:after="0"/>
        <w:ind w:left="480" w:right="339" w:hanging="360"/>
        <w:jc w:val="left"/>
        <w:rPr>
          <w:sz w:val="24"/>
        </w:rPr>
      </w:pPr>
      <w:r>
        <w:rPr>
          <w:sz w:val="24"/>
        </w:rPr>
        <w:t>Workers’ Compensation for state officers and employees is budgeted as an item of Staff</w:t>
      </w:r>
      <w:r>
        <w:rPr>
          <w:spacing w:val="-4"/>
          <w:sz w:val="24"/>
        </w:rPr>
        <w:t> </w:t>
      </w:r>
      <w:r>
        <w:rPr>
          <w:sz w:val="24"/>
        </w:rPr>
        <w:t>Benefits.</w:t>
      </w:r>
    </w:p>
    <w:p>
      <w:pPr>
        <w:pStyle w:val="BodyText"/>
        <w:spacing w:before="193"/>
        <w:ind w:left="479" w:right="1004"/>
      </w:pPr>
      <w:r>
        <w:rPr/>
        <w:t>State entities that carry Workers’ Compensation policies with the State Compensation Insurance Fund will not budget </w:t>
      </w:r>
      <w:r>
        <w:rPr>
          <w:b/>
        </w:rPr>
        <w:t>additional </w:t>
      </w:r>
      <w:r>
        <w:rPr/>
        <w:t>funds for Workers’ Compensation benefits. They will continue to budget funds for payments of premiums that will be included as a part of Staff Benefits.</w:t>
      </w:r>
    </w:p>
    <w:p>
      <w:pPr>
        <w:pStyle w:val="BodyText"/>
        <w:spacing w:before="196"/>
        <w:ind w:left="480" w:right="123"/>
      </w:pPr>
      <w:r>
        <w:rPr/>
        <w:t>Because of the nature of this type of expense, some agencies may have to rely upon certain subjective factors in computing requirements. Departments should prepare estimates taking into consideration all pertinent factors, particularly those which might result in a difference in cost from that experienced in past years. Accident and injury experience loss rates, changes in working conditions affecting risk exposure, changes in number of employees and salary rates are examples of areas that can fluctuate</w:t>
      </w:r>
      <w:r>
        <w:rPr>
          <w:spacing w:val="-12"/>
        </w:rPr>
        <w:t> </w:t>
      </w:r>
      <w:r>
        <w:rPr/>
        <w:t>yearly.</w:t>
      </w:r>
    </w:p>
    <w:p>
      <w:pPr>
        <w:pStyle w:val="BodyText"/>
        <w:spacing w:before="4"/>
      </w:pPr>
    </w:p>
    <w:p>
      <w:pPr>
        <w:pStyle w:val="BodyText"/>
        <w:ind w:left="120"/>
      </w:pPr>
      <w:r>
        <w:rPr/>
        <w:t>(Continued)</w:t>
      </w:r>
    </w:p>
    <w:p>
      <w:pPr>
        <w:spacing w:after="0"/>
        <w:sectPr>
          <w:pgSz w:w="12240" w:h="15840"/>
          <w:pgMar w:header="724" w:footer="792" w:top="980" w:bottom="980" w:left="1320" w:right="1320"/>
        </w:sectPr>
      </w:pPr>
    </w:p>
    <w:p>
      <w:pPr>
        <w:pStyle w:val="BodyText"/>
        <w:rPr>
          <w:sz w:val="20"/>
        </w:rPr>
      </w:pPr>
    </w:p>
    <w:p>
      <w:pPr>
        <w:pStyle w:val="BodyText"/>
        <w:spacing w:before="214"/>
        <w:ind w:left="119"/>
      </w:pPr>
      <w:r>
        <w:rPr/>
        <w:t>(Continued)</w:t>
      </w:r>
    </w:p>
    <w:p>
      <w:pPr>
        <w:tabs>
          <w:tab w:pos="7586" w:val="left" w:leader="none"/>
        </w:tabs>
        <w:spacing w:before="0"/>
        <w:ind w:left="119" w:right="0" w:firstLine="0"/>
        <w:jc w:val="left"/>
        <w:rPr>
          <w:sz w:val="24"/>
        </w:rPr>
      </w:pPr>
      <w:r>
        <w:rPr>
          <w:b/>
          <w:sz w:val="24"/>
        </w:rPr>
        <w:t>STAFF</w:t>
      </w:r>
      <w:r>
        <w:rPr>
          <w:b/>
          <w:spacing w:val="-3"/>
          <w:sz w:val="24"/>
        </w:rPr>
        <w:t> </w:t>
      </w:r>
      <w:r>
        <w:rPr>
          <w:b/>
          <w:sz w:val="24"/>
        </w:rPr>
        <w:t>BENEFITS</w:t>
        <w:tab/>
        <w:t>6412 </w:t>
      </w:r>
      <w:r>
        <w:rPr>
          <w:sz w:val="24"/>
        </w:rPr>
        <w:t>(Cont.</w:t>
      </w:r>
      <w:r>
        <w:rPr>
          <w:spacing w:val="-6"/>
          <w:sz w:val="24"/>
        </w:rPr>
        <w:t> </w:t>
      </w:r>
      <w:r>
        <w:rPr>
          <w:sz w:val="24"/>
        </w:rPr>
        <w:t>1)</w:t>
      </w:r>
    </w:p>
    <w:p>
      <w:pPr>
        <w:pStyle w:val="BodyText"/>
        <w:ind w:left="120"/>
      </w:pPr>
      <w:r>
        <w:rPr/>
        <w:t>(Revised 9/2010)</w:t>
      </w:r>
    </w:p>
    <w:p>
      <w:pPr>
        <w:pStyle w:val="BodyText"/>
      </w:pPr>
    </w:p>
    <w:p>
      <w:pPr>
        <w:pStyle w:val="BodyText"/>
        <w:ind w:left="120" w:right="302"/>
      </w:pPr>
      <w:r>
        <w:rPr/>
        <w:t>If a department is proposing additional funding for staff benefits, a BCP must be submitted to Finance. Any BCP must meet the guidelines and policy provided by Finance through Budget Letters or other notification process. If no variation is expected, the following method may be used in computing Workers' Compensation Insurance expense:</w:t>
      </w:r>
    </w:p>
    <w:p>
      <w:pPr>
        <w:pStyle w:val="BodyText"/>
      </w:pPr>
    </w:p>
    <w:p>
      <w:pPr>
        <w:pStyle w:val="ListParagraph"/>
        <w:numPr>
          <w:ilvl w:val="0"/>
          <w:numId w:val="13"/>
        </w:numPr>
        <w:tabs>
          <w:tab w:pos="480" w:val="left" w:leader="none"/>
        </w:tabs>
        <w:spacing w:line="240" w:lineRule="auto" w:before="0" w:after="0"/>
        <w:ind w:left="480" w:right="476" w:hanging="360"/>
        <w:jc w:val="both"/>
        <w:rPr>
          <w:sz w:val="24"/>
        </w:rPr>
      </w:pPr>
      <w:r>
        <w:rPr>
          <w:sz w:val="24"/>
        </w:rPr>
        <w:t>Determine total Workers' Compensation Insurance expenses for departmental employees for each of the past three years. This information is available from the Compensation Insurance</w:t>
      </w:r>
      <w:r>
        <w:rPr>
          <w:spacing w:val="-17"/>
          <w:sz w:val="24"/>
        </w:rPr>
        <w:t> </w:t>
      </w:r>
      <w:r>
        <w:rPr>
          <w:sz w:val="24"/>
        </w:rPr>
        <w:t>Fund.</w:t>
      </w:r>
    </w:p>
    <w:p>
      <w:pPr>
        <w:pStyle w:val="BodyText"/>
      </w:pPr>
    </w:p>
    <w:p>
      <w:pPr>
        <w:pStyle w:val="ListParagraph"/>
        <w:numPr>
          <w:ilvl w:val="0"/>
          <w:numId w:val="13"/>
        </w:numPr>
        <w:tabs>
          <w:tab w:pos="480" w:val="left" w:leader="none"/>
        </w:tabs>
        <w:spacing w:line="240" w:lineRule="auto" w:before="0" w:after="0"/>
        <w:ind w:left="480" w:right="322" w:hanging="360"/>
        <w:jc w:val="left"/>
        <w:rPr>
          <w:sz w:val="24"/>
        </w:rPr>
      </w:pPr>
      <w:r>
        <w:rPr>
          <w:sz w:val="24"/>
        </w:rPr>
        <w:t>Determine total salaries and wages paid to departmental employees for each of the past three years excluding staff</w:t>
      </w:r>
      <w:r>
        <w:rPr>
          <w:spacing w:val="-20"/>
          <w:sz w:val="24"/>
        </w:rPr>
        <w:t> </w:t>
      </w:r>
      <w:r>
        <w:rPr>
          <w:sz w:val="24"/>
        </w:rPr>
        <w:t>benefits.</w:t>
      </w:r>
    </w:p>
    <w:p>
      <w:pPr>
        <w:pStyle w:val="BodyText"/>
      </w:pPr>
    </w:p>
    <w:p>
      <w:pPr>
        <w:pStyle w:val="ListParagraph"/>
        <w:numPr>
          <w:ilvl w:val="0"/>
          <w:numId w:val="13"/>
        </w:numPr>
        <w:tabs>
          <w:tab w:pos="480" w:val="left" w:leader="none"/>
        </w:tabs>
        <w:spacing w:line="240" w:lineRule="auto" w:before="0" w:after="0"/>
        <w:ind w:left="480" w:right="243" w:hanging="360"/>
        <w:jc w:val="left"/>
        <w:rPr>
          <w:sz w:val="24"/>
        </w:rPr>
      </w:pPr>
      <w:r>
        <w:rPr>
          <w:sz w:val="24"/>
        </w:rPr>
        <w:t>Divide the total expenses for three years by total salary and wages for three years to determine the ratio of Workers' Compensation Insurance expenses to salaries and wages. Apply this ratio to the total salaries and wages estimated to be required for the budget and current years to determine the amount</w:t>
      </w:r>
      <w:r>
        <w:rPr>
          <w:spacing w:val="-37"/>
          <w:sz w:val="24"/>
        </w:rPr>
        <w:t> </w:t>
      </w:r>
      <w:r>
        <w:rPr>
          <w:sz w:val="24"/>
        </w:rPr>
        <w:t>required.</w:t>
      </w:r>
    </w:p>
    <w:p>
      <w:pPr>
        <w:spacing w:after="0" w:line="240" w:lineRule="auto"/>
        <w:jc w:val="left"/>
        <w:rPr>
          <w:sz w:val="24"/>
        </w:rPr>
        <w:sectPr>
          <w:pgSz w:w="12240" w:h="15840"/>
          <w:pgMar w:header="724" w:footer="792" w:top="980" w:bottom="980" w:left="1680" w:right="1320"/>
        </w:sectPr>
      </w:pPr>
    </w:p>
    <w:p>
      <w:pPr>
        <w:pStyle w:val="BodyText"/>
        <w:rPr>
          <w:sz w:val="20"/>
        </w:rPr>
      </w:pPr>
    </w:p>
    <w:p>
      <w:pPr>
        <w:pStyle w:val="Heading2"/>
        <w:spacing w:before="214"/>
        <w:ind w:left="119"/>
      </w:pPr>
      <w:r>
        <w:rPr/>
        <w:t>SCHEDULE 7A—SALARIES AND WAGES</w:t>
      </w:r>
    </w:p>
    <w:p>
      <w:pPr>
        <w:tabs>
          <w:tab w:pos="8947" w:val="left" w:leader="none"/>
        </w:tabs>
        <w:spacing w:before="0"/>
        <w:ind w:left="119" w:right="0" w:firstLine="0"/>
        <w:jc w:val="left"/>
        <w:rPr>
          <w:b/>
          <w:sz w:val="24"/>
        </w:rPr>
      </w:pPr>
      <w:r>
        <w:rPr>
          <w:b/>
          <w:sz w:val="24"/>
        </w:rPr>
        <w:t>(STATE CONTROLLER’S</w:t>
      </w:r>
      <w:r>
        <w:rPr>
          <w:b/>
          <w:spacing w:val="-4"/>
          <w:sz w:val="24"/>
        </w:rPr>
        <w:t> </w:t>
      </w:r>
      <w:r>
        <w:rPr>
          <w:b/>
          <w:sz w:val="24"/>
        </w:rPr>
        <w:t>OFFICE</w:t>
      </w:r>
      <w:r>
        <w:rPr>
          <w:b/>
          <w:spacing w:val="-2"/>
          <w:sz w:val="24"/>
        </w:rPr>
        <w:t> </w:t>
      </w:r>
      <w:r>
        <w:rPr>
          <w:b/>
          <w:sz w:val="24"/>
        </w:rPr>
        <w:t>ROLE)</w:t>
        <w:tab/>
        <w:t>6415</w:t>
      </w:r>
    </w:p>
    <w:p>
      <w:pPr>
        <w:pStyle w:val="BodyText"/>
        <w:ind w:left="119"/>
      </w:pPr>
      <w:r>
        <w:rPr/>
        <w:t>(Revised 9/2010)</w:t>
      </w:r>
    </w:p>
    <w:p>
      <w:pPr>
        <w:pStyle w:val="BodyText"/>
      </w:pPr>
    </w:p>
    <w:p>
      <w:pPr>
        <w:pStyle w:val="BodyText"/>
        <w:ind w:left="119" w:right="269"/>
      </w:pPr>
      <w:r>
        <w:rPr/>
        <w:t>The Uniform State Payroll System records maintained by the State Controller’s Office (</w:t>
      </w:r>
      <w:hyperlink r:id="rId69">
        <w:r>
          <w:rPr>
            <w:color w:val="0000FF"/>
            <w:u w:val="single" w:color="0000FF"/>
          </w:rPr>
          <w:t>SCO</w:t>
        </w:r>
      </w:hyperlink>
      <w:r>
        <w:rPr/>
        <w:t>) are used as the basis for the preparation of the Salaries and Wages (Schedule 7A). Each department served by the Uniform State Payroll System will use SCO’s information, as of July 1, to update the Schedule 7A spreadsheets. Departments not included in the Uniform State Payroll System will update the Schedule 7A using payroll information from their own system.</w:t>
      </w:r>
    </w:p>
    <w:p>
      <w:pPr>
        <w:pStyle w:val="BodyText"/>
      </w:pPr>
    </w:p>
    <w:p>
      <w:pPr>
        <w:pStyle w:val="BodyText"/>
        <w:ind w:left="120" w:right="797"/>
      </w:pPr>
      <w:r>
        <w:rPr/>
        <w:t>The Schedule 8 tabulation is prepared from SCO’s payroll records of "Established Positions."</w:t>
      </w:r>
    </w:p>
    <w:p>
      <w:pPr>
        <w:pStyle w:val="BodyText"/>
      </w:pPr>
    </w:p>
    <w:p>
      <w:pPr>
        <w:pStyle w:val="BodyText"/>
        <w:ind w:left="120" w:right="135"/>
      </w:pPr>
      <w:r>
        <w:rPr/>
        <w:t>Generally, adjustments will be required to bring the payroll-based data to authorized levels in the Schedule 8. If adjustments are required they should be explained fully on the form 33 (Supplementary Schedule of Salaries and Wages). Adjustments may be required to bring the department and SCO records into agreement. Differences may arise due to problems with position documentation, timing, or error. If the SCO has </w:t>
      </w:r>
      <w:r>
        <w:rPr>
          <w:b/>
        </w:rPr>
        <w:t>erroneously abolished </w:t>
      </w:r>
      <w:r>
        <w:rPr/>
        <w:t>a position pursuant to Government Code Section </w:t>
      </w:r>
      <w:hyperlink r:id="rId66">
        <w:r>
          <w:rPr>
            <w:color w:val="0000FF"/>
            <w:u w:val="single" w:color="0000FF"/>
          </w:rPr>
          <w:t>12439</w:t>
        </w:r>
      </w:hyperlink>
      <w:r>
        <w:rPr>
          <w:color w:val="0000FF"/>
          <w:u w:val="single" w:color="0000FF"/>
        </w:rPr>
        <w:t> </w:t>
      </w:r>
      <w:r>
        <w:rPr/>
        <w:t>criteria—a position actually filled by a department but not recorded in SCO records—the error may be corrected (See restrictions and instructions in SAM Section 6445). If a position is </w:t>
      </w:r>
      <w:r>
        <w:rPr>
          <w:b/>
        </w:rPr>
        <w:t>properly abolished </w:t>
      </w:r>
      <w:r>
        <w:rPr/>
        <w:t>under the criteria of Government Code Section </w:t>
      </w:r>
      <w:hyperlink r:id="rId66">
        <w:r>
          <w:rPr>
            <w:color w:val="0000FF"/>
            <w:u w:val="single" w:color="0000FF"/>
          </w:rPr>
          <w:t>12439</w:t>
        </w:r>
      </w:hyperlink>
      <w:r>
        <w:rPr>
          <w:color w:val="0000FF"/>
          <w:u w:val="single" w:color="0000FF"/>
        </w:rPr>
        <w:t> </w:t>
      </w:r>
      <w:r>
        <w:rPr/>
        <w:t>and the department wishes to retain it, the department may be able to re-establish the position under certain specified criteria included in the Government Code. If these specified criteria cannot be met, the department may need to submit a BCP. See SAM Section 6406.</w:t>
      </w:r>
    </w:p>
    <w:p>
      <w:pPr>
        <w:pStyle w:val="BodyText"/>
      </w:pPr>
    </w:p>
    <w:p>
      <w:pPr>
        <w:pStyle w:val="BodyText"/>
        <w:ind w:left="120" w:right="827"/>
      </w:pPr>
      <w:r>
        <w:rPr/>
        <w:t>Analysis of the Schedule 7A spreadsheet should be facilitated by reference to the Conversion Code Listing.  See SAM Section 6430.</w:t>
      </w:r>
    </w:p>
    <w:p>
      <w:pPr>
        <w:pStyle w:val="BodyText"/>
      </w:pPr>
    </w:p>
    <w:p>
      <w:pPr>
        <w:pStyle w:val="BodyText"/>
        <w:ind w:left="120" w:right="214"/>
      </w:pPr>
      <w:r>
        <w:rPr/>
        <w:t>The Schedule 7A spreadsheets are distributed to departments via e-mail by their Finance analyst, usually in August. Departments should carefully review and complete the Schedule 7A per the instructions provided in the Salaries and Wages Spreadsheet Budget Letter.</w:t>
      </w:r>
    </w:p>
    <w:p>
      <w:pPr>
        <w:spacing w:after="0"/>
        <w:sectPr>
          <w:pgSz w:w="12240" w:h="15840"/>
          <w:pgMar w:header="724" w:footer="792" w:top="980" w:bottom="980" w:left="1320" w:right="1320"/>
        </w:sectPr>
      </w:pPr>
    </w:p>
    <w:p>
      <w:pPr>
        <w:pStyle w:val="BodyText"/>
        <w:rPr>
          <w:sz w:val="20"/>
        </w:rPr>
      </w:pPr>
    </w:p>
    <w:p>
      <w:pPr>
        <w:pStyle w:val="Heading2"/>
        <w:spacing w:before="214"/>
        <w:ind w:left="119"/>
      </w:pPr>
      <w:r>
        <w:rPr/>
        <w:t>SCHEDULE 7A—BUDGET SUPPLEMENT OF AUTHORIZED</w:t>
      </w:r>
    </w:p>
    <w:p>
      <w:pPr>
        <w:tabs>
          <w:tab w:pos="8923" w:val="left" w:leader="none"/>
        </w:tabs>
        <w:spacing w:before="0"/>
        <w:ind w:left="119" w:right="0" w:firstLine="0"/>
        <w:jc w:val="left"/>
        <w:rPr>
          <w:b/>
          <w:sz w:val="24"/>
        </w:rPr>
      </w:pPr>
      <w:r>
        <w:rPr>
          <w:b/>
          <w:sz w:val="24"/>
        </w:rPr>
        <w:t>SALARIES </w:t>
      </w:r>
      <w:r>
        <w:rPr>
          <w:b/>
          <w:spacing w:val="-3"/>
          <w:sz w:val="24"/>
        </w:rPr>
        <w:t>AND</w:t>
      </w:r>
      <w:r>
        <w:rPr>
          <w:b/>
          <w:spacing w:val="1"/>
          <w:sz w:val="24"/>
        </w:rPr>
        <w:t> </w:t>
      </w:r>
      <w:r>
        <w:rPr>
          <w:b/>
          <w:sz w:val="24"/>
        </w:rPr>
        <w:t>WAGES</w:t>
      </w:r>
      <w:r>
        <w:rPr>
          <w:b/>
          <w:spacing w:val="-1"/>
          <w:sz w:val="24"/>
        </w:rPr>
        <w:t> </w:t>
      </w:r>
      <w:r>
        <w:rPr>
          <w:b/>
          <w:sz w:val="24"/>
        </w:rPr>
        <w:t>(PROCESSING)</w:t>
        <w:tab/>
        <w:t>6418</w:t>
      </w:r>
    </w:p>
    <w:p>
      <w:pPr>
        <w:pStyle w:val="BodyText"/>
        <w:ind w:left="120"/>
      </w:pPr>
      <w:bookmarkStart w:name="(Revised 9/2010)" w:id="31"/>
      <w:bookmarkEnd w:id="31"/>
      <w:r>
        <w:rPr/>
      </w:r>
      <w:r>
        <w:rPr/>
        <w:t>(Revised 9/2010)</w:t>
      </w:r>
    </w:p>
    <w:p>
      <w:pPr>
        <w:pStyle w:val="BodyText"/>
        <w:spacing w:before="2"/>
        <w:rPr>
          <w:sz w:val="29"/>
        </w:rPr>
      </w:pPr>
    </w:p>
    <w:p>
      <w:pPr>
        <w:pStyle w:val="BodyText"/>
        <w:ind w:left="120" w:right="327"/>
      </w:pPr>
      <w:r>
        <w:rPr/>
        <w:t>The Schedule 7A spreadsheets are distributed to departments via e-mail from their Finance analyst, usually in August. Departments should carefully review and make all changes per the instructions provided in the Salaries and Wages Spreadsheet Budget Letter.</w:t>
      </w:r>
    </w:p>
    <w:p>
      <w:pPr>
        <w:pStyle w:val="BodyText"/>
        <w:spacing w:before="11"/>
        <w:rPr>
          <w:sz w:val="23"/>
        </w:rPr>
      </w:pPr>
    </w:p>
    <w:p>
      <w:pPr>
        <w:pStyle w:val="BodyText"/>
        <w:ind w:left="120" w:right="982"/>
      </w:pPr>
      <w:r>
        <w:rPr/>
        <w:t>Only the important, significant programs or subfunctions which are necessary to understand the department’s organization or operations should be presented.</w:t>
      </w:r>
    </w:p>
    <w:p>
      <w:pPr>
        <w:pStyle w:val="BodyText"/>
        <w:ind w:left="120"/>
      </w:pPr>
      <w:r>
        <w:rPr/>
        <w:t>Insignificant subfunctions should not be shown separately even though they may have been separately shown on the Schedule 8 tabulation. Changes to the arrangement may be made in the latest salary supplement only after consulting with Finance.</w:t>
      </w:r>
    </w:p>
    <w:p>
      <w:pPr>
        <w:pStyle w:val="BodyText"/>
      </w:pPr>
    </w:p>
    <w:p>
      <w:pPr>
        <w:pStyle w:val="BodyText"/>
        <w:ind w:left="119" w:right="358"/>
      </w:pPr>
      <w:r>
        <w:rPr/>
        <w:t>Within each such significant expenditure class or subclass, combine all identical full- time positions by classification regardless of differences in pay rates or other factors. Part-time or part-salary positions of the same class are combined irrespective of the fraction of time. Position classifications are listed in descending order of the minimum step of the salary range.</w:t>
      </w:r>
    </w:p>
    <w:p>
      <w:pPr>
        <w:pStyle w:val="BodyText"/>
        <w:spacing w:before="11"/>
        <w:rPr>
          <w:sz w:val="23"/>
        </w:rPr>
      </w:pPr>
    </w:p>
    <w:p>
      <w:pPr>
        <w:pStyle w:val="BodyText"/>
        <w:tabs>
          <w:tab w:pos="1790" w:val="left" w:leader="none"/>
        </w:tabs>
        <w:ind w:left="119" w:right="115"/>
      </w:pPr>
      <w:r>
        <w:rPr/>
        <w:t>Under the Number of Positions column, show each year’s number of positions for each classification or title. Positions should be shown with the net personnel-year count, based on establishment or abolishment dates, and whether or not they are limited-term or temporary. Blanket position personnel-year counts and the dollars associated with them must be displayed on the temporary help line, not the overtime line. Dollar amounts are to be reported to the nearest dollar.  All permanent positions approved in the final budget are to be included.  For the past year, positions are counted on an actual</w:t>
      </w:r>
      <w:r>
        <w:rPr>
          <w:spacing w:val="-4"/>
        </w:rPr>
        <w:t> </w:t>
      </w:r>
      <w:r>
        <w:rPr/>
        <w:t>basis.</w:t>
        <w:tab/>
        <w:t>Changes in positions authorized by the Legislature in</w:t>
      </w:r>
      <w:r>
        <w:rPr>
          <w:spacing w:val="-33"/>
        </w:rPr>
        <w:t> </w:t>
      </w:r>
      <w:r>
        <w:rPr/>
        <w:t>the</w:t>
      </w:r>
      <w:r>
        <w:rPr>
          <w:spacing w:val="-4"/>
        </w:rPr>
        <w:t> </w:t>
      </w:r>
      <w:r>
        <w:rPr/>
        <w:t>approved</w:t>
      </w:r>
      <w:r>
        <w:rPr>
          <w:w w:val="99"/>
        </w:rPr>
        <w:t> </w:t>
      </w:r>
      <w:r>
        <w:rPr/>
        <w:t>budget (Workload and Administrative Adjustments and Proposed New Positions as amended by the Final Change Book) should be posted and documents (</w:t>
      </w:r>
      <w:hyperlink r:id="rId67">
        <w:r>
          <w:rPr>
            <w:color w:val="0000FF"/>
            <w:u w:val="single" w:color="0000FF"/>
          </w:rPr>
          <w:t>STD. 607</w:t>
        </w:r>
      </w:hyperlink>
      <w:r>
        <w:rPr/>
        <w:t>) should be sent to the State Controller’s Office.  Do not make any proposed staff changes directly to the Schedule 7A spreadsheets.  Such changes will be reported in the Changes in Authorized Positions presentation under Workload and Administrative Adjustments and Proposed New Positions.  See SAM Section 6406.  A position count for blanket positions (seasonal, temporary help, or terminal-pay positions) is included in totals. For the past year, enter actual personnel years of employment. For the current and budget years enter the exact number of personnel years authorized by the Legislature.  The necessary changes in blanket positions will be reported under Workload and Administrative Adjustments or Proposed New Positions in the Changes in Authorized Positions presentation. The number of positions reported must be fully reconciled with the number of positions approved in the latest enacted</w:t>
      </w:r>
      <w:r>
        <w:rPr>
          <w:spacing w:val="-40"/>
        </w:rPr>
        <w:t> </w:t>
      </w:r>
      <w:r>
        <w:rPr/>
        <w:t>budget.</w:t>
      </w:r>
    </w:p>
    <w:p>
      <w:pPr>
        <w:pStyle w:val="BodyText"/>
        <w:rPr>
          <w:sz w:val="26"/>
        </w:rPr>
      </w:pPr>
    </w:p>
    <w:p>
      <w:pPr>
        <w:pStyle w:val="BodyText"/>
        <w:spacing w:before="4"/>
        <w:rPr>
          <w:sz w:val="22"/>
        </w:rPr>
      </w:pPr>
    </w:p>
    <w:p>
      <w:pPr>
        <w:pStyle w:val="BodyText"/>
        <w:ind w:left="120"/>
      </w:pPr>
      <w:r>
        <w:rPr/>
        <w:t>(Continued)</w:t>
      </w:r>
    </w:p>
    <w:p>
      <w:pPr>
        <w:spacing w:after="0"/>
        <w:sectPr>
          <w:pgSz w:w="12240" w:h="15840"/>
          <w:pgMar w:header="724" w:footer="792" w:top="980" w:bottom="980" w:left="1320" w:right="1340"/>
        </w:sectPr>
      </w:pPr>
    </w:p>
    <w:p>
      <w:pPr>
        <w:pStyle w:val="BodyText"/>
        <w:rPr>
          <w:sz w:val="20"/>
        </w:rPr>
      </w:pPr>
    </w:p>
    <w:p>
      <w:pPr>
        <w:pStyle w:val="BodyText"/>
        <w:spacing w:before="214"/>
        <w:ind w:left="119"/>
      </w:pPr>
      <w:r>
        <w:rPr/>
        <w:t>(Continued)</w:t>
      </w:r>
    </w:p>
    <w:p>
      <w:pPr>
        <w:pStyle w:val="Heading2"/>
        <w:ind w:left="119"/>
      </w:pPr>
      <w:r>
        <w:rPr/>
        <w:t>SCHEDULE 7A—BUDGET SUPPLEMENT OF AUTHORIZED</w:t>
      </w:r>
    </w:p>
    <w:p>
      <w:pPr>
        <w:tabs>
          <w:tab w:pos="7922" w:val="left" w:leader="none"/>
        </w:tabs>
        <w:spacing w:before="0"/>
        <w:ind w:left="119" w:right="0" w:firstLine="0"/>
        <w:jc w:val="left"/>
        <w:rPr>
          <w:sz w:val="24"/>
        </w:rPr>
      </w:pPr>
      <w:r>
        <w:rPr>
          <w:b/>
          <w:sz w:val="24"/>
        </w:rPr>
        <w:t>SALARIES </w:t>
      </w:r>
      <w:r>
        <w:rPr>
          <w:b/>
          <w:spacing w:val="-3"/>
          <w:sz w:val="24"/>
        </w:rPr>
        <w:t>AND</w:t>
      </w:r>
      <w:r>
        <w:rPr>
          <w:b/>
          <w:spacing w:val="1"/>
          <w:sz w:val="24"/>
        </w:rPr>
        <w:t> </w:t>
      </w:r>
      <w:r>
        <w:rPr>
          <w:b/>
          <w:sz w:val="24"/>
        </w:rPr>
        <w:t>WAGES</w:t>
      </w:r>
      <w:r>
        <w:rPr>
          <w:b/>
          <w:spacing w:val="-1"/>
          <w:sz w:val="24"/>
        </w:rPr>
        <w:t> </w:t>
      </w:r>
      <w:r>
        <w:rPr>
          <w:b/>
          <w:sz w:val="24"/>
        </w:rPr>
        <w:t>(PROCESSING)</w:t>
        <w:tab/>
        <w:t>6418 </w:t>
      </w:r>
      <w:r>
        <w:rPr>
          <w:sz w:val="24"/>
        </w:rPr>
        <w:t>(Cont.</w:t>
      </w:r>
      <w:r>
        <w:rPr>
          <w:spacing w:val="-8"/>
          <w:sz w:val="24"/>
        </w:rPr>
        <w:t> </w:t>
      </w:r>
      <w:r>
        <w:rPr>
          <w:sz w:val="24"/>
        </w:rPr>
        <w:t>1)</w:t>
      </w:r>
    </w:p>
    <w:p>
      <w:pPr>
        <w:pStyle w:val="BodyText"/>
        <w:ind w:left="120"/>
      </w:pPr>
      <w:r>
        <w:rPr/>
        <w:t>(Revised 9/2010)</w:t>
      </w:r>
    </w:p>
    <w:p>
      <w:pPr>
        <w:pStyle w:val="BodyText"/>
      </w:pPr>
    </w:p>
    <w:p>
      <w:pPr>
        <w:pStyle w:val="BodyText"/>
        <w:ind w:left="120" w:right="175"/>
      </w:pPr>
      <w:r>
        <w:rPr/>
        <w:t>The Salary Range column will show, for each classification, the established minimum and maximum rates of the approved monthly salary range as of July 1, current year; or, if appropriate, show the established flat monthly rate (e.g., $1,430-2,138; or $2,101).</w:t>
      </w:r>
    </w:p>
    <w:p>
      <w:pPr>
        <w:pStyle w:val="BodyText"/>
        <w:ind w:left="120"/>
      </w:pPr>
      <w:r>
        <w:rPr/>
        <w:t>Flat rate salaries fixed by Constitution or statute are shown on an annual basis.</w:t>
      </w:r>
    </w:p>
    <w:p>
      <w:pPr>
        <w:pStyle w:val="BodyText"/>
      </w:pPr>
    </w:p>
    <w:p>
      <w:pPr>
        <w:pStyle w:val="BodyText"/>
        <w:ind w:left="120" w:right="98"/>
      </w:pPr>
      <w:r>
        <w:rPr/>
        <w:t>For each blanket position (or authorization), show the actual amounts used in the past year in parenthesis. For the current and budget years enter the position equivalent and dollar amounts authorized by the Legislature. Generally, the authorized temporary help/blanket amounts do not change from year to year.  However, they may be increased to include previously approved general or special salary range changes. If general salary increases are not effective at the start of the current fiscal year, it may not be included in Schedules 7A and 8. In this case, the increases will be reflected in a single line entry (salary adjustment) in the Expenditures by Category. All other changes proposed for blanket positions must first be approved by the Legislature as Workload and Administrative Adjustments or Proposed New Positions before being included in the Salary Supplement. When the Salary Supplement is prepared in this fashion, no additional explanation or justification of blanket positions is</w:t>
      </w:r>
      <w:r>
        <w:rPr>
          <w:spacing w:val="-41"/>
        </w:rPr>
        <w:t> </w:t>
      </w:r>
      <w:r>
        <w:rPr/>
        <w:t>required.</w:t>
      </w:r>
    </w:p>
    <w:p>
      <w:pPr>
        <w:pStyle w:val="BodyText"/>
        <w:spacing w:before="11"/>
        <w:rPr>
          <w:sz w:val="23"/>
        </w:rPr>
      </w:pPr>
    </w:p>
    <w:p>
      <w:pPr>
        <w:pStyle w:val="BodyText"/>
        <w:ind w:left="120" w:right="227"/>
      </w:pPr>
      <w:r>
        <w:rPr/>
        <w:t>If an administratively authorized position has been established and has been paid from blanket funds, the position will terminate on June 30 of the current year. However, it may be reestablished upon approval of Finance, provided it is included in the budget submitted to the Legislature as described previously, and provided that this does not result in the establishment of positions previously deleted by the Legislature. See Section 31.00 of the Budget Act.</w:t>
      </w:r>
    </w:p>
    <w:p>
      <w:pPr>
        <w:pStyle w:val="BodyText"/>
        <w:spacing w:before="11"/>
        <w:rPr>
          <w:sz w:val="23"/>
        </w:rPr>
      </w:pPr>
    </w:p>
    <w:p>
      <w:pPr>
        <w:pStyle w:val="BodyText"/>
        <w:ind w:left="120" w:right="388"/>
      </w:pPr>
      <w:r>
        <w:rPr/>
        <w:t>For a more complete definition and description of blanket positions, see SAM Section </w:t>
      </w:r>
      <w:hyperlink r:id="rId54">
        <w:r>
          <w:rPr>
            <w:color w:val="0000FF"/>
            <w:u w:val="single" w:color="0000FF"/>
          </w:rPr>
          <w:t>6518</w:t>
        </w:r>
      </w:hyperlink>
      <w:r>
        <w:rPr/>
        <w:t>.</w:t>
      </w:r>
    </w:p>
    <w:p>
      <w:pPr>
        <w:pStyle w:val="BodyText"/>
        <w:spacing w:before="11"/>
        <w:rPr>
          <w:sz w:val="15"/>
        </w:rPr>
      </w:pPr>
    </w:p>
    <w:p>
      <w:pPr>
        <w:pStyle w:val="BodyText"/>
        <w:spacing w:before="92"/>
        <w:ind w:left="120"/>
      </w:pPr>
      <w:r>
        <w:rPr/>
        <w:t>(Continued)</w:t>
      </w:r>
    </w:p>
    <w:p>
      <w:pPr>
        <w:spacing w:after="0"/>
        <w:sectPr>
          <w:pgSz w:w="12240" w:h="15840"/>
          <w:pgMar w:header="724" w:footer="792" w:top="980" w:bottom="980" w:left="1320" w:right="1360"/>
        </w:sectPr>
      </w:pPr>
    </w:p>
    <w:p>
      <w:pPr>
        <w:pStyle w:val="BodyText"/>
        <w:rPr>
          <w:sz w:val="20"/>
        </w:rPr>
      </w:pPr>
    </w:p>
    <w:p>
      <w:pPr>
        <w:pStyle w:val="BodyText"/>
        <w:spacing w:before="214"/>
        <w:ind w:left="119"/>
      </w:pPr>
      <w:r>
        <w:rPr/>
        <w:t>(Continued)</w:t>
      </w:r>
    </w:p>
    <w:p>
      <w:pPr>
        <w:pStyle w:val="Heading2"/>
        <w:ind w:left="119"/>
      </w:pPr>
      <w:r>
        <w:rPr/>
        <w:t>SCHEDULE 7A—BUDGET SUPPLEMENT OF AUTHORIZED</w:t>
      </w:r>
    </w:p>
    <w:p>
      <w:pPr>
        <w:tabs>
          <w:tab w:pos="7922" w:val="left" w:leader="none"/>
        </w:tabs>
        <w:spacing w:before="0"/>
        <w:ind w:left="119" w:right="0" w:firstLine="0"/>
        <w:jc w:val="left"/>
        <w:rPr>
          <w:sz w:val="24"/>
        </w:rPr>
      </w:pPr>
      <w:bookmarkStart w:name="(Revised 9/2010)" w:id="32"/>
      <w:bookmarkEnd w:id="32"/>
      <w:r>
        <w:rPr/>
      </w:r>
      <w:r>
        <w:rPr>
          <w:b/>
          <w:sz w:val="24"/>
        </w:rPr>
        <w:t>SALARIES </w:t>
      </w:r>
      <w:r>
        <w:rPr>
          <w:b/>
          <w:spacing w:val="-3"/>
          <w:sz w:val="24"/>
        </w:rPr>
        <w:t>AND</w:t>
      </w:r>
      <w:r>
        <w:rPr>
          <w:b/>
          <w:spacing w:val="1"/>
          <w:sz w:val="24"/>
        </w:rPr>
        <w:t> </w:t>
      </w:r>
      <w:r>
        <w:rPr>
          <w:b/>
          <w:sz w:val="24"/>
        </w:rPr>
        <w:t>WAGES</w:t>
      </w:r>
      <w:r>
        <w:rPr>
          <w:b/>
          <w:spacing w:val="-1"/>
          <w:sz w:val="24"/>
        </w:rPr>
        <w:t> </w:t>
      </w:r>
      <w:r>
        <w:rPr>
          <w:b/>
          <w:sz w:val="24"/>
        </w:rPr>
        <w:t>(PROCESSING)</w:t>
        <w:tab/>
        <w:t>6418 </w:t>
      </w:r>
      <w:r>
        <w:rPr>
          <w:sz w:val="24"/>
        </w:rPr>
        <w:t>(Cont.</w:t>
      </w:r>
      <w:r>
        <w:rPr>
          <w:spacing w:val="-8"/>
          <w:sz w:val="24"/>
        </w:rPr>
        <w:t> </w:t>
      </w:r>
      <w:r>
        <w:rPr>
          <w:sz w:val="24"/>
        </w:rPr>
        <w:t>2)</w:t>
      </w:r>
    </w:p>
    <w:p>
      <w:pPr>
        <w:pStyle w:val="BodyText"/>
        <w:ind w:left="120"/>
      </w:pPr>
      <w:r>
        <w:rPr/>
        <w:t>(Revised 9/2010)</w:t>
      </w:r>
    </w:p>
    <w:p>
      <w:pPr>
        <w:pStyle w:val="BodyText"/>
        <w:spacing w:before="60"/>
        <w:ind w:left="120" w:right="535"/>
      </w:pPr>
      <w:r>
        <w:rPr/>
        <w:t>Changes because positions were reclassified, filled, or vacant are reported per SAM Section </w:t>
      </w:r>
      <w:hyperlink r:id="rId54">
        <w:r>
          <w:rPr>
            <w:color w:val="0000FF"/>
            <w:u w:val="single" w:color="0000FF"/>
          </w:rPr>
          <w:t>6406</w:t>
        </w:r>
      </w:hyperlink>
      <w:r>
        <w:rPr/>
        <w:t>.</w:t>
      </w:r>
    </w:p>
    <w:p>
      <w:pPr>
        <w:pStyle w:val="BodyText"/>
        <w:spacing w:before="11"/>
        <w:rPr>
          <w:sz w:val="15"/>
        </w:rPr>
      </w:pPr>
    </w:p>
    <w:p>
      <w:pPr>
        <w:pStyle w:val="BodyText"/>
        <w:spacing w:before="92"/>
        <w:ind w:left="120" w:right="442"/>
      </w:pPr>
      <w:r>
        <w:rPr/>
        <w:t>Reclassifications of trainee positions to the next higher grade are shown as existing positions. Show both class titles. In the "Salary Range" column give the minimum of the trainee range and the maximum of the range for the higher class. Combine reclassifications in this manner only when the class specifications clearly provide that upgrading is intended after completion of a training period. Amounts requested will include the total amount required for the entrance class as well as for the reclassification.  Give complete information.</w:t>
      </w:r>
    </w:p>
    <w:p>
      <w:pPr>
        <w:pStyle w:val="BodyText"/>
        <w:spacing w:before="11"/>
        <w:rPr>
          <w:sz w:val="23"/>
        </w:rPr>
      </w:pPr>
    </w:p>
    <w:p>
      <w:pPr>
        <w:pStyle w:val="BodyText"/>
        <w:spacing w:after="4"/>
        <w:ind w:left="480"/>
      </w:pPr>
      <w:r>
        <w:rPr/>
        <w:t>For example:</w:t>
      </w:r>
    </w:p>
    <w:tbl>
      <w:tblPr>
        <w:tblW w:w="0" w:type="auto"/>
        <w:jc w:val="left"/>
        <w:tblInd w:w="3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40"/>
        <w:gridCol w:w="1579"/>
        <w:gridCol w:w="1625"/>
        <w:gridCol w:w="1755"/>
      </w:tblGrid>
      <w:tr>
        <w:trPr>
          <w:trHeight w:val="690" w:hRule="exact"/>
        </w:trPr>
        <w:tc>
          <w:tcPr>
            <w:tcW w:w="3440" w:type="dxa"/>
            <w:tcBorders>
              <w:right w:val="double" w:sz="4" w:space="0" w:color="000000"/>
            </w:tcBorders>
          </w:tcPr>
          <w:p>
            <w:pPr/>
          </w:p>
        </w:tc>
        <w:tc>
          <w:tcPr>
            <w:tcW w:w="1579" w:type="dxa"/>
            <w:tcBorders>
              <w:left w:val="double" w:sz="4" w:space="0" w:color="000000"/>
              <w:right w:val="double" w:sz="4" w:space="0" w:color="000000"/>
            </w:tcBorders>
          </w:tcPr>
          <w:p>
            <w:pPr>
              <w:pStyle w:val="TableParagraph"/>
              <w:ind w:left="410" w:right="386" w:firstLine="7"/>
              <w:rPr>
                <w:b/>
                <w:sz w:val="24"/>
              </w:rPr>
            </w:pPr>
            <w:r>
              <w:rPr>
                <w:b/>
                <w:sz w:val="24"/>
                <w:u w:val="thick"/>
              </w:rPr>
              <w:t>Salary Range</w:t>
            </w:r>
          </w:p>
        </w:tc>
        <w:tc>
          <w:tcPr>
            <w:tcW w:w="1625" w:type="dxa"/>
            <w:tcBorders>
              <w:left w:val="double" w:sz="4" w:space="0" w:color="000000"/>
              <w:right w:val="double" w:sz="4" w:space="0" w:color="000000"/>
            </w:tcBorders>
          </w:tcPr>
          <w:p>
            <w:pPr>
              <w:pStyle w:val="TableParagraph"/>
              <w:ind w:left="535" w:right="347" w:hanging="173"/>
              <w:rPr>
                <w:b/>
                <w:sz w:val="24"/>
              </w:rPr>
            </w:pPr>
            <w:r>
              <w:rPr>
                <w:b/>
                <w:sz w:val="24"/>
                <w:u w:val="thick"/>
              </w:rPr>
              <w:t>Current Year</w:t>
            </w:r>
          </w:p>
        </w:tc>
        <w:tc>
          <w:tcPr>
            <w:tcW w:w="1755" w:type="dxa"/>
            <w:tcBorders>
              <w:left w:val="double" w:sz="4" w:space="0" w:color="000000"/>
            </w:tcBorders>
          </w:tcPr>
          <w:p>
            <w:pPr>
              <w:pStyle w:val="TableParagraph"/>
              <w:spacing w:before="132"/>
              <w:ind w:right="199"/>
              <w:jc w:val="right"/>
              <w:rPr>
                <w:b/>
                <w:sz w:val="24"/>
              </w:rPr>
            </w:pPr>
            <w:r>
              <w:rPr>
                <w:b/>
                <w:sz w:val="24"/>
                <w:u w:val="thick"/>
              </w:rPr>
              <w:t>Budget Year</w:t>
            </w:r>
          </w:p>
        </w:tc>
      </w:tr>
      <w:tr>
        <w:trPr>
          <w:trHeight w:val="690" w:hRule="exact"/>
        </w:trPr>
        <w:tc>
          <w:tcPr>
            <w:tcW w:w="3440" w:type="dxa"/>
            <w:tcBorders>
              <w:right w:val="double" w:sz="4" w:space="0" w:color="000000"/>
            </w:tcBorders>
          </w:tcPr>
          <w:p>
            <w:pPr>
              <w:pStyle w:val="TableParagraph"/>
              <w:spacing w:before="134"/>
              <w:ind w:left="200" w:right="470"/>
              <w:rPr>
                <w:sz w:val="24"/>
              </w:rPr>
            </w:pPr>
            <w:r>
              <w:rPr>
                <w:sz w:val="24"/>
              </w:rPr>
              <w:t>Accountant I - Accounting Officer</w:t>
            </w:r>
          </w:p>
        </w:tc>
        <w:tc>
          <w:tcPr>
            <w:tcW w:w="1579" w:type="dxa"/>
            <w:tcBorders>
              <w:left w:val="double" w:sz="4" w:space="0" w:color="000000"/>
              <w:right w:val="double" w:sz="4" w:space="0" w:color="000000"/>
            </w:tcBorders>
          </w:tcPr>
          <w:p>
            <w:pPr>
              <w:pStyle w:val="TableParagraph"/>
              <w:spacing w:before="134"/>
              <w:ind w:left="475" w:right="289" w:hanging="168"/>
              <w:rPr>
                <w:sz w:val="24"/>
              </w:rPr>
            </w:pPr>
            <w:r>
              <w:rPr>
                <w:sz w:val="24"/>
              </w:rPr>
              <w:t>$2,239 – 3,602</w:t>
            </w:r>
          </w:p>
        </w:tc>
        <w:tc>
          <w:tcPr>
            <w:tcW w:w="1625" w:type="dxa"/>
            <w:tcBorders>
              <w:left w:val="double" w:sz="4" w:space="0" w:color="000000"/>
              <w:right w:val="double" w:sz="4" w:space="0" w:color="000000"/>
            </w:tcBorders>
          </w:tcPr>
          <w:p>
            <w:pPr>
              <w:pStyle w:val="TableParagraph"/>
              <w:spacing w:before="6"/>
              <w:rPr>
                <w:sz w:val="23"/>
              </w:rPr>
            </w:pPr>
          </w:p>
          <w:p>
            <w:pPr>
              <w:pStyle w:val="TableParagraph"/>
              <w:ind w:left="539"/>
              <w:rPr>
                <w:sz w:val="24"/>
              </w:rPr>
            </w:pPr>
            <w:r>
              <w:rPr>
                <w:sz w:val="24"/>
              </w:rPr>
              <w:t>$26,868</w:t>
            </w:r>
          </w:p>
        </w:tc>
        <w:tc>
          <w:tcPr>
            <w:tcW w:w="1755" w:type="dxa"/>
            <w:tcBorders>
              <w:left w:val="double" w:sz="4" w:space="0" w:color="000000"/>
            </w:tcBorders>
          </w:tcPr>
          <w:p>
            <w:pPr>
              <w:pStyle w:val="TableParagraph"/>
              <w:spacing w:before="6"/>
              <w:rPr>
                <w:sz w:val="23"/>
              </w:rPr>
            </w:pPr>
          </w:p>
          <w:p>
            <w:pPr>
              <w:pStyle w:val="TableParagraph"/>
              <w:ind w:right="290"/>
              <w:jc w:val="right"/>
              <w:rPr>
                <w:sz w:val="24"/>
              </w:rPr>
            </w:pPr>
            <w:r>
              <w:rPr>
                <w:sz w:val="24"/>
              </w:rPr>
              <w:t>$35,952</w:t>
            </w:r>
          </w:p>
        </w:tc>
      </w:tr>
    </w:tbl>
    <w:p>
      <w:pPr>
        <w:pStyle w:val="BodyText"/>
        <w:spacing w:before="7"/>
        <w:rPr>
          <w:sz w:val="23"/>
        </w:rPr>
      </w:pPr>
    </w:p>
    <w:p>
      <w:pPr>
        <w:pStyle w:val="BodyText"/>
        <w:ind w:left="120" w:right="255"/>
      </w:pPr>
      <w:r>
        <w:rPr/>
        <w:t>The Totals, Authorized Positions line shows the personnel-year count of positions filled and actual amount expended for the past year, the number of positions, and amounts approved by the Legislature in the approved budget for the current and budget years.</w:t>
      </w:r>
    </w:p>
    <w:p>
      <w:pPr>
        <w:pStyle w:val="BodyText"/>
        <w:rPr>
          <w:sz w:val="26"/>
        </w:rPr>
      </w:pPr>
    </w:p>
    <w:p>
      <w:pPr>
        <w:pStyle w:val="BodyText"/>
        <w:rPr>
          <w:sz w:val="26"/>
        </w:rPr>
      </w:pPr>
    </w:p>
    <w:p>
      <w:pPr>
        <w:pStyle w:val="Heading2"/>
        <w:spacing w:before="194"/>
        <w:ind w:left="120"/>
      </w:pPr>
      <w:r>
        <w:rPr/>
        <w:t>SUBMITTAL OF SCHEDULE 7A</w:t>
      </w:r>
    </w:p>
    <w:p>
      <w:pPr>
        <w:tabs>
          <w:tab w:pos="8947" w:val="left" w:leader="none"/>
        </w:tabs>
        <w:spacing w:before="0"/>
        <w:ind w:left="120" w:right="0" w:firstLine="0"/>
        <w:jc w:val="left"/>
        <w:rPr>
          <w:b/>
          <w:sz w:val="24"/>
        </w:rPr>
      </w:pPr>
      <w:r>
        <w:rPr>
          <w:b/>
          <w:sz w:val="24"/>
        </w:rPr>
        <w:t>SPREADSHEET</w:t>
      </w:r>
      <w:r>
        <w:rPr>
          <w:b/>
          <w:spacing w:val="-4"/>
          <w:sz w:val="24"/>
        </w:rPr>
        <w:t> </w:t>
      </w:r>
      <w:r>
        <w:rPr>
          <w:b/>
          <w:sz w:val="24"/>
        </w:rPr>
        <w:t>TO</w:t>
      </w:r>
      <w:r>
        <w:rPr>
          <w:b/>
          <w:spacing w:val="-3"/>
          <w:sz w:val="24"/>
        </w:rPr>
        <w:t> </w:t>
      </w:r>
      <w:r>
        <w:rPr>
          <w:b/>
          <w:sz w:val="24"/>
        </w:rPr>
        <w:t>FINANCE</w:t>
        <w:tab/>
        <w:t>6419</w:t>
      </w:r>
    </w:p>
    <w:p>
      <w:pPr>
        <w:pStyle w:val="BodyText"/>
        <w:ind w:left="120"/>
      </w:pPr>
      <w:r>
        <w:rPr/>
        <w:t>(Revised 9/2010)</w:t>
      </w:r>
    </w:p>
    <w:p>
      <w:pPr>
        <w:pStyle w:val="BodyText"/>
      </w:pPr>
    </w:p>
    <w:p>
      <w:pPr>
        <w:pStyle w:val="BodyText"/>
        <w:ind w:left="120"/>
      </w:pPr>
      <w:r>
        <w:rPr/>
        <w:t>Upon completion, the Schedule 7A spreadsheets are to be submitted to Finance.</w:t>
      </w:r>
    </w:p>
    <w:p>
      <w:pPr>
        <w:pStyle w:val="BodyText"/>
        <w:spacing w:before="11"/>
        <w:rPr>
          <w:sz w:val="23"/>
        </w:rPr>
      </w:pPr>
    </w:p>
    <w:p>
      <w:pPr>
        <w:pStyle w:val="BodyText"/>
        <w:ind w:left="120" w:right="134"/>
      </w:pPr>
      <w:r>
        <w:rPr/>
        <w:t>The "as of" date of the reconciled Schedule 7A and the Schedule 8 tabulation is July 1. The Schedule 7A will summarize the information presented in detail in the Schedule 8. The totals for the current and budget years must reconcile to the legislatively authorized positions, less any vacant positions abolished by the State Controller’s Office pursuant to Government Code Section </w:t>
      </w:r>
      <w:hyperlink r:id="rId66">
        <w:r>
          <w:rPr>
            <w:color w:val="0000FF"/>
            <w:u w:val="single" w:color="0000FF"/>
          </w:rPr>
          <w:t>12439 </w:t>
        </w:r>
      </w:hyperlink>
      <w:r>
        <w:rPr/>
        <w:t>that are not re-established either under department’s self-certification or approval by Finance.  The general rule is that the July 1 current year positions should equal those proposed in the Governor’s Budget adjusted for changes reflected in the Final Change Book. Any exception should be footnoted at the end of the Schedule</w:t>
      </w:r>
      <w:r>
        <w:rPr>
          <w:spacing w:val="-9"/>
        </w:rPr>
        <w:t> </w:t>
      </w:r>
      <w:r>
        <w:rPr/>
        <w:t>7A.</w:t>
      </w:r>
    </w:p>
    <w:p>
      <w:pPr>
        <w:spacing w:after="0"/>
        <w:sectPr>
          <w:pgSz w:w="12240" w:h="15840"/>
          <w:pgMar w:header="724" w:footer="792" w:top="980" w:bottom="980" w:left="1320" w:right="1320"/>
        </w:sectPr>
      </w:pPr>
    </w:p>
    <w:p>
      <w:pPr>
        <w:pStyle w:val="BodyText"/>
        <w:rPr>
          <w:sz w:val="20"/>
        </w:rPr>
      </w:pPr>
    </w:p>
    <w:p>
      <w:pPr>
        <w:pStyle w:val="Heading2"/>
        <w:spacing w:before="214"/>
        <w:ind w:left="119"/>
      </w:pPr>
      <w:r>
        <w:rPr/>
        <w:t>STATE CONTROLLER'S OFFICE TABULATIONS</w:t>
      </w:r>
    </w:p>
    <w:p>
      <w:pPr>
        <w:tabs>
          <w:tab w:pos="8947" w:val="left" w:leader="none"/>
        </w:tabs>
        <w:spacing w:before="0"/>
        <w:ind w:left="119" w:right="0" w:firstLine="0"/>
        <w:jc w:val="left"/>
        <w:rPr>
          <w:b/>
          <w:sz w:val="24"/>
        </w:rPr>
      </w:pPr>
      <w:r>
        <w:rPr>
          <w:b/>
          <w:sz w:val="24"/>
        </w:rPr>
        <w:t>(OTHER THAN</w:t>
      </w:r>
      <w:r>
        <w:rPr>
          <w:b/>
          <w:spacing w:val="-5"/>
          <w:sz w:val="24"/>
        </w:rPr>
        <w:t> </w:t>
      </w:r>
      <w:r>
        <w:rPr>
          <w:b/>
          <w:sz w:val="24"/>
        </w:rPr>
        <w:t>SCHEDULE</w:t>
      </w:r>
      <w:r>
        <w:rPr>
          <w:b/>
          <w:spacing w:val="-2"/>
          <w:sz w:val="24"/>
        </w:rPr>
        <w:t> </w:t>
      </w:r>
      <w:r>
        <w:rPr>
          <w:b/>
          <w:sz w:val="24"/>
        </w:rPr>
        <w:t>7A)</w:t>
        <w:tab/>
        <w:t>6421</w:t>
      </w:r>
    </w:p>
    <w:p>
      <w:pPr>
        <w:pStyle w:val="BodyText"/>
        <w:ind w:left="119"/>
      </w:pPr>
      <w:r>
        <w:rPr/>
        <w:t>(Revised 9/2010)</w:t>
      </w:r>
    </w:p>
    <w:p>
      <w:pPr>
        <w:pStyle w:val="BodyText"/>
      </w:pPr>
    </w:p>
    <w:p>
      <w:pPr>
        <w:pStyle w:val="BodyText"/>
        <w:ind w:left="120" w:right="228"/>
      </w:pPr>
      <w:r>
        <w:rPr/>
        <w:t>The </w:t>
      </w:r>
      <w:hyperlink r:id="rId69">
        <w:r>
          <w:rPr>
            <w:color w:val="0000FF"/>
            <w:u w:val="single" w:color="0000FF"/>
          </w:rPr>
          <w:t>State Controller’s Office </w:t>
        </w:r>
      </w:hyperlink>
      <w:r>
        <w:rPr/>
        <w:t>prepares several reports to assist in preparation of budget and encumbrance information for the Salaries and Wages Supplement. More detailed explanations of the specific tabulations follow.</w:t>
      </w:r>
    </w:p>
    <w:p>
      <w:pPr>
        <w:pStyle w:val="BodyText"/>
        <w:rPr>
          <w:sz w:val="26"/>
        </w:rPr>
      </w:pPr>
    </w:p>
    <w:p>
      <w:pPr>
        <w:pStyle w:val="Heading2"/>
        <w:tabs>
          <w:tab w:pos="8947" w:val="left" w:leader="none"/>
        </w:tabs>
        <w:spacing w:line="275" w:lineRule="exact" w:before="219"/>
        <w:ind w:left="120"/>
      </w:pPr>
      <w:r>
        <w:rPr/>
        <w:t>SCHEDULE</w:t>
      </w:r>
      <w:r>
        <w:rPr>
          <w:spacing w:val="-3"/>
        </w:rPr>
        <w:t> </w:t>
      </w:r>
      <w:r>
        <w:rPr/>
        <w:t>8</w:t>
      </w:r>
      <w:r>
        <w:rPr>
          <w:spacing w:val="-3"/>
        </w:rPr>
        <w:t> </w:t>
      </w:r>
      <w:r>
        <w:rPr/>
        <w:t>TABULATION</w:t>
        <w:tab/>
        <w:t>6424</w:t>
      </w:r>
    </w:p>
    <w:p>
      <w:pPr>
        <w:pStyle w:val="BodyText"/>
        <w:spacing w:line="275" w:lineRule="exact"/>
        <w:ind w:left="120"/>
      </w:pPr>
      <w:r>
        <w:rPr/>
        <w:t>(Revised 9/2010)</w:t>
      </w:r>
    </w:p>
    <w:p>
      <w:pPr>
        <w:pStyle w:val="BodyText"/>
      </w:pPr>
    </w:p>
    <w:p>
      <w:pPr>
        <w:pStyle w:val="BodyText"/>
        <w:ind w:left="120" w:right="374"/>
      </w:pPr>
      <w:r>
        <w:rPr/>
        <w:t>In the latter part of July, the State Controller’s Office (</w:t>
      </w:r>
      <w:hyperlink r:id="rId69">
        <w:r>
          <w:rPr>
            <w:color w:val="0000FF"/>
            <w:u w:val="single" w:color="0000FF"/>
          </w:rPr>
          <w:t>SCO</w:t>
        </w:r>
      </w:hyperlink>
      <w:r>
        <w:rPr/>
        <w:t>) prepares a Schedule 8 report from the position and payroll rosters of all positions existing on June 30 of each fiscal year which are maintained by that office. The "as of" date for this report will be July 1 of the current year.  The report is then distributed to departments.</w:t>
      </w:r>
    </w:p>
    <w:p>
      <w:pPr>
        <w:pStyle w:val="BodyText"/>
        <w:spacing w:before="11"/>
        <w:rPr>
          <w:sz w:val="23"/>
        </w:rPr>
      </w:pPr>
    </w:p>
    <w:p>
      <w:pPr>
        <w:pStyle w:val="BodyText"/>
        <w:ind w:left="120"/>
      </w:pPr>
      <w:r>
        <w:rPr/>
        <w:t>No transactions effective July 1 or later will be included with the following exceptions:</w:t>
      </w:r>
    </w:p>
    <w:p>
      <w:pPr>
        <w:pStyle w:val="BodyText"/>
      </w:pPr>
    </w:p>
    <w:p>
      <w:pPr>
        <w:pStyle w:val="ListParagraph"/>
        <w:numPr>
          <w:ilvl w:val="0"/>
          <w:numId w:val="14"/>
        </w:numPr>
        <w:tabs>
          <w:tab w:pos="479" w:val="left" w:leader="none"/>
          <w:tab w:pos="480" w:val="left" w:leader="none"/>
        </w:tabs>
        <w:spacing w:line="273" w:lineRule="auto" w:before="0" w:after="0"/>
        <w:ind w:left="480" w:right="804" w:hanging="360"/>
        <w:jc w:val="left"/>
        <w:rPr>
          <w:sz w:val="24"/>
        </w:rPr>
      </w:pPr>
      <w:r>
        <w:rPr>
          <w:sz w:val="24"/>
        </w:rPr>
        <w:t>Salary changes effective July 1 will be included if approval is completed by the salary setting and approval authorities prior to</w:t>
      </w:r>
      <w:r>
        <w:rPr>
          <w:spacing w:val="-31"/>
          <w:sz w:val="24"/>
        </w:rPr>
        <w:t> </w:t>
      </w:r>
      <w:r>
        <w:rPr>
          <w:sz w:val="24"/>
        </w:rPr>
        <w:t>mid-July.</w:t>
      </w:r>
    </w:p>
    <w:p>
      <w:pPr>
        <w:pStyle w:val="ListParagraph"/>
        <w:numPr>
          <w:ilvl w:val="0"/>
          <w:numId w:val="14"/>
        </w:numPr>
        <w:tabs>
          <w:tab w:pos="479" w:val="left" w:leader="none"/>
          <w:tab w:pos="480" w:val="left" w:leader="none"/>
        </w:tabs>
        <w:spacing w:line="273" w:lineRule="auto" w:before="3" w:after="0"/>
        <w:ind w:left="480" w:right="407" w:hanging="360"/>
        <w:jc w:val="left"/>
        <w:rPr>
          <w:sz w:val="24"/>
        </w:rPr>
      </w:pPr>
      <w:r>
        <w:rPr>
          <w:sz w:val="24"/>
        </w:rPr>
        <w:t>A reorganization effective July 1 which has prior approval of SCO and Finance</w:t>
      </w:r>
      <w:r>
        <w:rPr>
          <w:spacing w:val="-41"/>
          <w:sz w:val="24"/>
        </w:rPr>
        <w:t> </w:t>
      </w:r>
      <w:r>
        <w:rPr>
          <w:sz w:val="24"/>
        </w:rPr>
        <w:t>will be</w:t>
      </w:r>
      <w:r>
        <w:rPr>
          <w:spacing w:val="-6"/>
          <w:sz w:val="24"/>
        </w:rPr>
        <w:t> </w:t>
      </w:r>
      <w:r>
        <w:rPr>
          <w:sz w:val="24"/>
        </w:rPr>
        <w:t>included.</w:t>
      </w:r>
    </w:p>
    <w:p>
      <w:pPr>
        <w:pStyle w:val="ListParagraph"/>
        <w:numPr>
          <w:ilvl w:val="0"/>
          <w:numId w:val="14"/>
        </w:numPr>
        <w:tabs>
          <w:tab w:pos="479" w:val="left" w:leader="none"/>
          <w:tab w:pos="480" w:val="left" w:leader="none"/>
        </w:tabs>
        <w:spacing w:line="273" w:lineRule="auto" w:before="1" w:after="0"/>
        <w:ind w:left="480" w:right="444" w:hanging="360"/>
        <w:jc w:val="left"/>
        <w:rPr>
          <w:sz w:val="24"/>
        </w:rPr>
      </w:pPr>
      <w:r>
        <w:rPr>
          <w:sz w:val="24"/>
        </w:rPr>
        <w:t>Continuously vacant positions which are to be abolished under Government Code Section </w:t>
      </w:r>
      <w:hyperlink r:id="rId66">
        <w:r>
          <w:rPr>
            <w:color w:val="0000FF"/>
            <w:sz w:val="24"/>
            <w:u w:val="single" w:color="0000FF"/>
          </w:rPr>
          <w:t>12439 </w:t>
        </w:r>
      </w:hyperlink>
      <w:r>
        <w:rPr>
          <w:sz w:val="24"/>
        </w:rPr>
        <w:t>will not be included in SCO</w:t>
      </w:r>
      <w:r>
        <w:rPr>
          <w:spacing w:val="-22"/>
          <w:sz w:val="24"/>
        </w:rPr>
        <w:t> </w:t>
      </w:r>
      <w:r>
        <w:rPr>
          <w:sz w:val="24"/>
        </w:rPr>
        <w:t>tabulation.</w:t>
      </w:r>
    </w:p>
    <w:p>
      <w:pPr>
        <w:pStyle w:val="ListParagraph"/>
        <w:numPr>
          <w:ilvl w:val="0"/>
          <w:numId w:val="14"/>
        </w:numPr>
        <w:tabs>
          <w:tab w:pos="479" w:val="left" w:leader="none"/>
          <w:tab w:pos="480" w:val="left" w:leader="none"/>
        </w:tabs>
        <w:spacing w:line="273" w:lineRule="auto" w:before="1" w:after="0"/>
        <w:ind w:left="480" w:right="338" w:hanging="360"/>
        <w:jc w:val="left"/>
        <w:rPr>
          <w:sz w:val="24"/>
        </w:rPr>
      </w:pPr>
      <w:r>
        <w:rPr>
          <w:sz w:val="24"/>
        </w:rPr>
        <w:t>New permanent positions (full time or fractional) to become effective on July 1 (this does not include California State University</w:t>
      </w:r>
      <w:r>
        <w:rPr>
          <w:spacing w:val="-27"/>
          <w:sz w:val="24"/>
        </w:rPr>
        <w:t> </w:t>
      </w:r>
      <w:r>
        <w:rPr>
          <w:sz w:val="24"/>
        </w:rPr>
        <w:t>positions).</w:t>
      </w:r>
    </w:p>
    <w:p>
      <w:pPr>
        <w:spacing w:after="0" w:line="273" w:lineRule="auto"/>
        <w:jc w:val="left"/>
        <w:rPr>
          <w:sz w:val="24"/>
        </w:rPr>
        <w:sectPr>
          <w:pgSz w:w="12240" w:h="15840"/>
          <w:pgMar w:header="724" w:footer="792" w:top="980" w:bottom="980" w:left="1320" w:right="1320"/>
        </w:sectPr>
      </w:pPr>
    </w:p>
    <w:p>
      <w:pPr>
        <w:pStyle w:val="BodyText"/>
        <w:rPr>
          <w:sz w:val="20"/>
        </w:rPr>
      </w:pPr>
    </w:p>
    <w:p>
      <w:pPr>
        <w:pStyle w:val="Heading2"/>
        <w:tabs>
          <w:tab w:pos="8947" w:val="left" w:leader="none"/>
        </w:tabs>
        <w:spacing w:before="214"/>
        <w:ind w:left="119"/>
      </w:pPr>
      <w:r>
        <w:rPr/>
        <w:t>DESCRIPTION OF SCHEDULE</w:t>
      </w:r>
      <w:r>
        <w:rPr>
          <w:spacing w:val="-8"/>
        </w:rPr>
        <w:t> </w:t>
      </w:r>
      <w:r>
        <w:rPr/>
        <w:t>8</w:t>
      </w:r>
      <w:r>
        <w:rPr>
          <w:spacing w:val="-2"/>
        </w:rPr>
        <w:t> </w:t>
      </w:r>
      <w:r>
        <w:rPr/>
        <w:t>TABULATION</w:t>
        <w:tab/>
        <w:t>6427</w:t>
      </w:r>
    </w:p>
    <w:p>
      <w:pPr>
        <w:pStyle w:val="BodyText"/>
        <w:ind w:left="119"/>
      </w:pPr>
      <w:r>
        <w:rPr/>
        <w:t>(Revised 9/2010)</w:t>
      </w:r>
    </w:p>
    <w:p>
      <w:pPr>
        <w:pStyle w:val="BodyText"/>
      </w:pPr>
    </w:p>
    <w:p>
      <w:pPr>
        <w:pStyle w:val="BodyText"/>
        <w:ind w:left="120" w:right="294"/>
      </w:pPr>
      <w:r>
        <w:rPr/>
        <w:t>The </w:t>
      </w:r>
      <w:hyperlink r:id="rId69">
        <w:r>
          <w:rPr>
            <w:color w:val="0000FF"/>
            <w:u w:val="single" w:color="0000FF"/>
          </w:rPr>
          <w:t>SCO </w:t>
        </w:r>
      </w:hyperlink>
      <w:r>
        <w:rPr/>
        <w:t>will prepare a schedule of established positions (excluding blanket and other positions having serial numbers in the 900 series) as of June 30 of the past year that are authorized to extend beyond June 30, indicating the following for each budget function, in numerical order of budget function code:</w:t>
      </w:r>
    </w:p>
    <w:p>
      <w:pPr>
        <w:pStyle w:val="BodyText"/>
        <w:spacing w:before="2"/>
      </w:pPr>
    </w:p>
    <w:p>
      <w:pPr>
        <w:pStyle w:val="ListParagraph"/>
        <w:numPr>
          <w:ilvl w:val="0"/>
          <w:numId w:val="15"/>
        </w:numPr>
        <w:tabs>
          <w:tab w:pos="480" w:val="left" w:leader="none"/>
        </w:tabs>
        <w:spacing w:line="240" w:lineRule="auto" w:before="0" w:after="0"/>
        <w:ind w:left="480" w:right="0" w:hanging="360"/>
        <w:jc w:val="left"/>
        <w:rPr>
          <w:sz w:val="24"/>
        </w:rPr>
      </w:pPr>
      <w:r>
        <w:rPr>
          <w:sz w:val="24"/>
        </w:rPr>
        <w:t>Class</w:t>
      </w:r>
      <w:r>
        <w:rPr>
          <w:spacing w:val="-5"/>
          <w:sz w:val="24"/>
        </w:rPr>
        <w:t> </w:t>
      </w:r>
      <w:r>
        <w:rPr>
          <w:sz w:val="24"/>
        </w:rPr>
        <w:t>title.</w:t>
      </w:r>
    </w:p>
    <w:p>
      <w:pPr>
        <w:pStyle w:val="ListParagraph"/>
        <w:numPr>
          <w:ilvl w:val="0"/>
          <w:numId w:val="15"/>
        </w:numPr>
        <w:tabs>
          <w:tab w:pos="480" w:val="left" w:leader="none"/>
        </w:tabs>
        <w:spacing w:line="242" w:lineRule="auto" w:before="196" w:after="0"/>
        <w:ind w:left="480" w:right="459" w:hanging="360"/>
        <w:jc w:val="left"/>
        <w:rPr>
          <w:sz w:val="24"/>
        </w:rPr>
      </w:pPr>
      <w:r>
        <w:rPr>
          <w:sz w:val="24"/>
        </w:rPr>
        <w:t>Position number—includes codes for department, reporting unit or function, class, and</w:t>
      </w:r>
      <w:r>
        <w:rPr>
          <w:spacing w:val="-6"/>
          <w:sz w:val="24"/>
        </w:rPr>
        <w:t> </w:t>
      </w:r>
      <w:r>
        <w:rPr>
          <w:sz w:val="24"/>
        </w:rPr>
        <w:t>serial.</w:t>
      </w:r>
    </w:p>
    <w:p>
      <w:pPr>
        <w:pStyle w:val="ListParagraph"/>
        <w:numPr>
          <w:ilvl w:val="0"/>
          <w:numId w:val="15"/>
        </w:numPr>
        <w:tabs>
          <w:tab w:pos="480" w:val="left" w:leader="none"/>
        </w:tabs>
        <w:spacing w:line="242" w:lineRule="auto" w:before="196" w:after="0"/>
        <w:ind w:left="480" w:right="116" w:hanging="360"/>
        <w:jc w:val="left"/>
        <w:rPr>
          <w:sz w:val="24"/>
        </w:rPr>
      </w:pPr>
      <w:r>
        <w:rPr>
          <w:sz w:val="24"/>
        </w:rPr>
        <w:t>Social security number and name (or "vacant" or "termin"). An asterisk will appear to the right of the name if the employee has OASDI</w:t>
      </w:r>
      <w:r>
        <w:rPr>
          <w:spacing w:val="-24"/>
          <w:sz w:val="24"/>
        </w:rPr>
        <w:t> </w:t>
      </w:r>
      <w:r>
        <w:rPr>
          <w:sz w:val="24"/>
        </w:rPr>
        <w:t>coverage.</w:t>
      </w:r>
    </w:p>
    <w:p>
      <w:pPr>
        <w:pStyle w:val="ListParagraph"/>
        <w:numPr>
          <w:ilvl w:val="0"/>
          <w:numId w:val="15"/>
        </w:numPr>
        <w:tabs>
          <w:tab w:pos="480" w:val="left" w:leader="none"/>
        </w:tabs>
        <w:spacing w:line="242" w:lineRule="auto" w:before="194" w:after="0"/>
        <w:ind w:left="480" w:right="655" w:hanging="360"/>
        <w:jc w:val="left"/>
        <w:rPr>
          <w:sz w:val="24"/>
        </w:rPr>
      </w:pPr>
      <w:r>
        <w:rPr>
          <w:sz w:val="24"/>
        </w:rPr>
        <w:t>Salary rate July 1 of the current year, including July 1 adjustment. If vacant, the minimum will be shown.  Salary type and range code are also</w:t>
      </w:r>
      <w:r>
        <w:rPr>
          <w:spacing w:val="-29"/>
          <w:sz w:val="24"/>
        </w:rPr>
        <w:t> </w:t>
      </w:r>
      <w:r>
        <w:rPr>
          <w:sz w:val="24"/>
        </w:rPr>
        <w:t>shown.</w:t>
      </w:r>
    </w:p>
    <w:p>
      <w:pPr>
        <w:pStyle w:val="ListParagraph"/>
        <w:numPr>
          <w:ilvl w:val="0"/>
          <w:numId w:val="15"/>
        </w:numPr>
        <w:tabs>
          <w:tab w:pos="480" w:val="left" w:leader="none"/>
        </w:tabs>
        <w:spacing w:line="240" w:lineRule="auto" w:before="196" w:after="0"/>
        <w:ind w:left="480" w:right="0" w:hanging="360"/>
        <w:jc w:val="left"/>
        <w:rPr>
          <w:sz w:val="24"/>
        </w:rPr>
      </w:pPr>
      <w:r>
        <w:rPr>
          <w:sz w:val="24"/>
        </w:rPr>
        <w:t>Minimum and maximum salary for the</w:t>
      </w:r>
      <w:r>
        <w:rPr>
          <w:spacing w:val="-17"/>
          <w:sz w:val="24"/>
        </w:rPr>
        <w:t> </w:t>
      </w:r>
      <w:r>
        <w:rPr>
          <w:sz w:val="24"/>
        </w:rPr>
        <w:t>class.</w:t>
      </w:r>
    </w:p>
    <w:p>
      <w:pPr>
        <w:pStyle w:val="ListParagraph"/>
        <w:numPr>
          <w:ilvl w:val="0"/>
          <w:numId w:val="15"/>
        </w:numPr>
        <w:tabs>
          <w:tab w:pos="480" w:val="left" w:leader="none"/>
        </w:tabs>
        <w:spacing w:line="240" w:lineRule="auto" w:before="198" w:after="0"/>
        <w:ind w:left="480" w:right="380" w:hanging="360"/>
        <w:jc w:val="left"/>
        <w:rPr>
          <w:sz w:val="24"/>
        </w:rPr>
      </w:pPr>
      <w:r>
        <w:rPr>
          <w:sz w:val="24"/>
        </w:rPr>
        <w:t>Anniversary date—month and year of next adjustment authorized or estimated (month is shown by a two-digit code and year by a two-digit code, XX/XX). Shown as 99/99 if employee is at maximum pay in their</w:t>
      </w:r>
      <w:r>
        <w:rPr>
          <w:spacing w:val="-24"/>
          <w:sz w:val="24"/>
        </w:rPr>
        <w:t> </w:t>
      </w:r>
      <w:r>
        <w:rPr>
          <w:sz w:val="24"/>
        </w:rPr>
        <w:t>class.</w:t>
      </w:r>
    </w:p>
    <w:p>
      <w:pPr>
        <w:pStyle w:val="BodyText"/>
        <w:spacing w:before="198"/>
        <w:ind w:left="480" w:right="135"/>
      </w:pPr>
      <w:r>
        <w:rPr/>
        <w:t>For positions paid on a monthly basis or which are vacant or for which the anniversary date is not known, the estimated anniversary date will be shown as 7 (July of the budget year) or 1 (January of the current year) for classes which have a merit or special in-grade salary adjustment, and an asterisk will appear to the right of the date.</w:t>
      </w:r>
    </w:p>
    <w:p>
      <w:pPr>
        <w:pStyle w:val="ListParagraph"/>
        <w:numPr>
          <w:ilvl w:val="0"/>
          <w:numId w:val="15"/>
        </w:numPr>
        <w:tabs>
          <w:tab w:pos="480" w:val="left" w:leader="none"/>
        </w:tabs>
        <w:spacing w:line="240" w:lineRule="auto" w:before="196" w:after="0"/>
        <w:ind w:left="480" w:right="205" w:hanging="360"/>
        <w:jc w:val="left"/>
        <w:rPr>
          <w:sz w:val="24"/>
        </w:rPr>
      </w:pPr>
      <w:r>
        <w:rPr>
          <w:sz w:val="24"/>
        </w:rPr>
        <w:t>Appointment fraction if not full time. A four-digit code of which the first two digits are the numerator and the last two the denominator of the fraction. (0102 = 1/2 time; 0104 = 1/4 time; 0304 = 3/4 time; 1112 = 11/12 time,</w:t>
      </w:r>
      <w:r>
        <w:rPr>
          <w:spacing w:val="-24"/>
          <w:sz w:val="24"/>
        </w:rPr>
        <w:t> </w:t>
      </w:r>
      <w:r>
        <w:rPr>
          <w:sz w:val="24"/>
        </w:rPr>
        <w:t>etc.)</w:t>
      </w:r>
    </w:p>
    <w:p>
      <w:pPr>
        <w:pStyle w:val="ListParagraph"/>
        <w:numPr>
          <w:ilvl w:val="0"/>
          <w:numId w:val="15"/>
        </w:numPr>
        <w:tabs>
          <w:tab w:pos="480" w:val="left" w:leader="none"/>
        </w:tabs>
        <w:spacing w:line="242" w:lineRule="auto" w:before="196" w:after="0"/>
        <w:ind w:left="480" w:right="565" w:hanging="360"/>
        <w:jc w:val="left"/>
        <w:rPr>
          <w:sz w:val="24"/>
        </w:rPr>
      </w:pPr>
      <w:r>
        <w:rPr>
          <w:sz w:val="24"/>
        </w:rPr>
        <w:t>Position termination date—stated as 06 30 10 for June 30, 2010 , or 12 31 10 for December 31,</w:t>
      </w:r>
      <w:r>
        <w:rPr>
          <w:spacing w:val="-9"/>
          <w:sz w:val="24"/>
        </w:rPr>
        <w:t> </w:t>
      </w:r>
      <w:r>
        <w:rPr>
          <w:sz w:val="24"/>
        </w:rPr>
        <w:t>2010.</w:t>
      </w:r>
    </w:p>
    <w:p>
      <w:pPr>
        <w:pStyle w:val="ListParagraph"/>
        <w:numPr>
          <w:ilvl w:val="0"/>
          <w:numId w:val="15"/>
        </w:numPr>
        <w:tabs>
          <w:tab w:pos="480" w:val="left" w:leader="none"/>
        </w:tabs>
        <w:spacing w:line="240" w:lineRule="auto" w:before="196" w:after="0"/>
        <w:ind w:left="480" w:right="190" w:hanging="360"/>
        <w:jc w:val="left"/>
        <w:rPr>
          <w:sz w:val="24"/>
        </w:rPr>
      </w:pPr>
      <w:r>
        <w:rPr>
          <w:sz w:val="24"/>
        </w:rPr>
        <w:t>Personnel years to the nearest tenth expended for the past year through July 1 of current year by class within each reporting unit (or budget function). Personnel-year expenditures by individual position are not available and will not be</w:t>
      </w:r>
      <w:r>
        <w:rPr>
          <w:spacing w:val="-45"/>
          <w:sz w:val="24"/>
        </w:rPr>
        <w:t> </w:t>
      </w:r>
      <w:r>
        <w:rPr>
          <w:sz w:val="24"/>
        </w:rPr>
        <w:t>required.</w:t>
      </w:r>
    </w:p>
    <w:p>
      <w:pPr>
        <w:pStyle w:val="BodyText"/>
        <w:spacing w:before="196"/>
        <w:ind w:left="120"/>
      </w:pPr>
      <w:r>
        <w:rPr/>
        <w:t>(Continued)</w:t>
      </w:r>
    </w:p>
    <w:p>
      <w:pPr>
        <w:spacing w:after="0"/>
        <w:sectPr>
          <w:pgSz w:w="12240" w:h="15840"/>
          <w:pgMar w:header="724" w:footer="792" w:top="980" w:bottom="980" w:left="1320" w:right="1320"/>
        </w:sectPr>
      </w:pPr>
    </w:p>
    <w:p>
      <w:pPr>
        <w:pStyle w:val="BodyText"/>
        <w:rPr>
          <w:sz w:val="20"/>
        </w:rPr>
      </w:pPr>
    </w:p>
    <w:p>
      <w:pPr>
        <w:pStyle w:val="BodyText"/>
        <w:spacing w:before="214"/>
        <w:ind w:left="119"/>
      </w:pPr>
      <w:r>
        <w:rPr/>
        <w:t>(Continued)</w:t>
      </w:r>
    </w:p>
    <w:p>
      <w:pPr>
        <w:pStyle w:val="Heading2"/>
        <w:tabs>
          <w:tab w:pos="7946" w:val="left" w:leader="none"/>
        </w:tabs>
        <w:ind w:left="119"/>
        <w:rPr>
          <w:b w:val="0"/>
        </w:rPr>
      </w:pPr>
      <w:r>
        <w:rPr/>
        <w:t>DESCRIPTION OF SCHEDULE</w:t>
      </w:r>
      <w:r>
        <w:rPr>
          <w:spacing w:val="-8"/>
        </w:rPr>
        <w:t> </w:t>
      </w:r>
      <w:r>
        <w:rPr/>
        <w:t>8</w:t>
      </w:r>
      <w:r>
        <w:rPr>
          <w:spacing w:val="-2"/>
        </w:rPr>
        <w:t> </w:t>
      </w:r>
      <w:r>
        <w:rPr/>
        <w:t>TABULATION</w:t>
        <w:tab/>
        <w:t>6427 </w:t>
      </w:r>
      <w:r>
        <w:rPr>
          <w:b w:val="0"/>
        </w:rPr>
        <w:t>(Cont.</w:t>
      </w:r>
      <w:r>
        <w:rPr>
          <w:b w:val="0"/>
          <w:spacing w:val="-6"/>
        </w:rPr>
        <w:t> </w:t>
      </w:r>
      <w:r>
        <w:rPr>
          <w:b w:val="0"/>
        </w:rPr>
        <w:t>1)</w:t>
      </w:r>
    </w:p>
    <w:p>
      <w:pPr>
        <w:pStyle w:val="BodyText"/>
        <w:ind w:left="120"/>
      </w:pPr>
      <w:r>
        <w:rPr/>
        <w:t>(Revised 9/2010)</w:t>
      </w:r>
    </w:p>
    <w:p>
      <w:pPr>
        <w:pStyle w:val="BodyText"/>
        <w:rPr>
          <w:sz w:val="26"/>
        </w:rPr>
      </w:pPr>
    </w:p>
    <w:p>
      <w:pPr>
        <w:pStyle w:val="ListParagraph"/>
        <w:numPr>
          <w:ilvl w:val="0"/>
          <w:numId w:val="15"/>
        </w:numPr>
        <w:tabs>
          <w:tab w:pos="480" w:val="left" w:leader="none"/>
        </w:tabs>
        <w:spacing w:line="240" w:lineRule="auto" w:before="178" w:after="0"/>
        <w:ind w:left="480" w:right="0" w:hanging="360"/>
        <w:jc w:val="left"/>
        <w:rPr>
          <w:sz w:val="24"/>
        </w:rPr>
      </w:pPr>
      <w:r>
        <w:rPr>
          <w:sz w:val="24"/>
        </w:rPr>
        <w:t>Personnel years authorized by position for the current year to the nearest</w:t>
      </w:r>
      <w:r>
        <w:rPr>
          <w:spacing w:val="-41"/>
          <w:sz w:val="24"/>
        </w:rPr>
        <w:t> </w:t>
      </w:r>
      <w:r>
        <w:rPr>
          <w:sz w:val="24"/>
        </w:rPr>
        <w:t>tenth.</w:t>
      </w:r>
    </w:p>
    <w:p>
      <w:pPr>
        <w:pStyle w:val="ListParagraph"/>
        <w:numPr>
          <w:ilvl w:val="0"/>
          <w:numId w:val="15"/>
        </w:numPr>
        <w:tabs>
          <w:tab w:pos="480" w:val="left" w:leader="none"/>
        </w:tabs>
        <w:spacing w:line="242" w:lineRule="auto" w:before="198" w:after="0"/>
        <w:ind w:left="480" w:right="394" w:hanging="360"/>
        <w:jc w:val="left"/>
        <w:rPr>
          <w:sz w:val="24"/>
        </w:rPr>
      </w:pPr>
      <w:r>
        <w:rPr>
          <w:sz w:val="24"/>
        </w:rPr>
        <w:t>Personnel years authorized by position for the budget year to the nearest tenth. (Fractional positions extended at same fraction as authorized for the current</w:t>
      </w:r>
      <w:r>
        <w:rPr>
          <w:spacing w:val="-43"/>
          <w:sz w:val="24"/>
        </w:rPr>
        <w:t> </w:t>
      </w:r>
      <w:r>
        <w:rPr>
          <w:sz w:val="24"/>
        </w:rPr>
        <w:t>year).</w:t>
      </w:r>
    </w:p>
    <w:p>
      <w:pPr>
        <w:pStyle w:val="ListParagraph"/>
        <w:numPr>
          <w:ilvl w:val="0"/>
          <w:numId w:val="15"/>
        </w:numPr>
        <w:tabs>
          <w:tab w:pos="480" w:val="left" w:leader="none"/>
        </w:tabs>
        <w:spacing w:line="240" w:lineRule="auto" w:before="196" w:after="0"/>
        <w:ind w:left="480" w:right="0" w:hanging="360"/>
        <w:jc w:val="left"/>
        <w:rPr>
          <w:sz w:val="24"/>
        </w:rPr>
      </w:pPr>
      <w:r>
        <w:rPr>
          <w:sz w:val="24"/>
        </w:rPr>
        <w:t>Amount expended by class for the past year through July 1 of current</w:t>
      </w:r>
      <w:r>
        <w:rPr>
          <w:spacing w:val="-34"/>
          <w:sz w:val="24"/>
        </w:rPr>
        <w:t> </w:t>
      </w:r>
      <w:r>
        <w:rPr>
          <w:sz w:val="24"/>
        </w:rPr>
        <w:t>year.</w:t>
      </w:r>
    </w:p>
    <w:p>
      <w:pPr>
        <w:pStyle w:val="ListParagraph"/>
        <w:numPr>
          <w:ilvl w:val="0"/>
          <w:numId w:val="15"/>
        </w:numPr>
        <w:tabs>
          <w:tab w:pos="480" w:val="left" w:leader="none"/>
        </w:tabs>
        <w:spacing w:line="240" w:lineRule="auto" w:before="199" w:after="0"/>
        <w:ind w:left="480" w:right="0" w:hanging="360"/>
        <w:jc w:val="left"/>
        <w:rPr>
          <w:sz w:val="24"/>
        </w:rPr>
      </w:pPr>
      <w:r>
        <w:rPr>
          <w:sz w:val="24"/>
        </w:rPr>
        <w:t>Estimated expenditures by position for current</w:t>
      </w:r>
      <w:r>
        <w:rPr>
          <w:spacing w:val="-26"/>
          <w:sz w:val="24"/>
        </w:rPr>
        <w:t> </w:t>
      </w:r>
      <w:r>
        <w:rPr>
          <w:sz w:val="24"/>
        </w:rPr>
        <w:t>year.</w:t>
      </w:r>
    </w:p>
    <w:p>
      <w:pPr>
        <w:pStyle w:val="ListParagraph"/>
        <w:numPr>
          <w:ilvl w:val="0"/>
          <w:numId w:val="15"/>
        </w:numPr>
        <w:tabs>
          <w:tab w:pos="480" w:val="left" w:leader="none"/>
        </w:tabs>
        <w:spacing w:line="240" w:lineRule="auto" w:before="201" w:after="0"/>
        <w:ind w:left="480" w:right="0" w:hanging="360"/>
        <w:jc w:val="left"/>
        <w:rPr>
          <w:sz w:val="24"/>
        </w:rPr>
      </w:pPr>
      <w:r>
        <w:rPr>
          <w:sz w:val="24"/>
        </w:rPr>
        <w:t>Estimated expenditures by position for budget</w:t>
      </w:r>
      <w:r>
        <w:rPr>
          <w:spacing w:val="-28"/>
          <w:sz w:val="24"/>
        </w:rPr>
        <w:t> </w:t>
      </w:r>
      <w:r>
        <w:rPr>
          <w:sz w:val="24"/>
        </w:rPr>
        <w:t>year.</w:t>
      </w:r>
    </w:p>
    <w:p>
      <w:pPr>
        <w:pStyle w:val="BodyText"/>
        <w:spacing w:before="196"/>
        <w:ind w:left="120" w:right="347"/>
      </w:pPr>
      <w:r>
        <w:rPr/>
        <w:t>The </w:t>
      </w:r>
      <w:hyperlink r:id="rId69">
        <w:r>
          <w:rPr>
            <w:color w:val="0000FF"/>
            <w:u w:val="single" w:color="0000FF"/>
          </w:rPr>
          <w:t>SCO </w:t>
        </w:r>
      </w:hyperlink>
      <w:r>
        <w:rPr/>
        <w:t>tabulation will also include totals of personnel-years and amounts expended by reporting unit (or budget function) within agency and a grand total for each agency code.</w:t>
      </w:r>
    </w:p>
    <w:p>
      <w:pPr>
        <w:spacing w:after="0"/>
        <w:sectPr>
          <w:pgSz w:w="12240" w:h="15840"/>
          <w:pgMar w:header="724" w:footer="792" w:top="980" w:bottom="980" w:left="1320" w:right="1320"/>
        </w:sectPr>
      </w:pPr>
    </w:p>
    <w:p>
      <w:pPr>
        <w:pStyle w:val="BodyText"/>
        <w:rPr>
          <w:sz w:val="20"/>
        </w:rPr>
      </w:pPr>
    </w:p>
    <w:p>
      <w:pPr>
        <w:pStyle w:val="Heading2"/>
        <w:tabs>
          <w:tab w:pos="8947" w:val="left" w:leader="none"/>
        </w:tabs>
        <w:spacing w:before="214"/>
        <w:ind w:left="119"/>
      </w:pPr>
      <w:r>
        <w:rPr/>
        <w:t>VERIFICATION </w:t>
      </w:r>
      <w:r>
        <w:rPr>
          <w:spacing w:val="-3"/>
        </w:rPr>
        <w:t>AND </w:t>
      </w:r>
      <w:r>
        <w:rPr/>
        <w:t>COMPLETION OF SCHEDULE</w:t>
      </w:r>
      <w:r>
        <w:rPr>
          <w:spacing w:val="-5"/>
        </w:rPr>
        <w:t> </w:t>
      </w:r>
      <w:r>
        <w:rPr/>
        <w:t>8</w:t>
      </w:r>
      <w:r>
        <w:rPr>
          <w:spacing w:val="-2"/>
        </w:rPr>
        <w:t> </w:t>
      </w:r>
      <w:r>
        <w:rPr/>
        <w:t>TABULATION</w:t>
        <w:tab/>
        <w:t>6429</w:t>
      </w:r>
    </w:p>
    <w:p>
      <w:pPr>
        <w:pStyle w:val="BodyText"/>
        <w:ind w:left="119"/>
      </w:pPr>
      <w:r>
        <w:rPr/>
        <w:t>(Revised 9/2010)</w:t>
      </w:r>
    </w:p>
    <w:p>
      <w:pPr>
        <w:pStyle w:val="BodyText"/>
      </w:pPr>
    </w:p>
    <w:p>
      <w:pPr>
        <w:pStyle w:val="BodyText"/>
        <w:ind w:left="119"/>
      </w:pPr>
      <w:r>
        <w:rPr/>
        <w:t>Each department will proceed as follows, with clear entries made on all copies:</w:t>
      </w:r>
    </w:p>
    <w:p>
      <w:pPr>
        <w:pStyle w:val="BodyText"/>
        <w:spacing w:before="11"/>
        <w:rPr>
          <w:sz w:val="23"/>
        </w:rPr>
      </w:pPr>
    </w:p>
    <w:p>
      <w:pPr>
        <w:pStyle w:val="ListParagraph"/>
        <w:numPr>
          <w:ilvl w:val="0"/>
          <w:numId w:val="16"/>
        </w:numPr>
        <w:tabs>
          <w:tab w:pos="480" w:val="left" w:leader="none"/>
        </w:tabs>
        <w:spacing w:line="240" w:lineRule="auto" w:before="0" w:after="0"/>
        <w:ind w:left="480" w:right="267" w:hanging="360"/>
        <w:jc w:val="left"/>
        <w:rPr>
          <w:sz w:val="24"/>
        </w:rPr>
      </w:pPr>
      <w:r>
        <w:rPr>
          <w:sz w:val="24"/>
        </w:rPr>
        <w:t>Compare with department payroll roster. Any differences on the Schedule 8 should be analyzed and corrected. A spot-check should be made of the anniversary dates and extensions. A list of </w:t>
      </w:r>
      <w:hyperlink r:id="rId69">
        <w:r>
          <w:rPr>
            <w:color w:val="0000FF"/>
            <w:sz w:val="24"/>
            <w:u w:val="single" w:color="0000FF"/>
          </w:rPr>
          <w:t>State Controller’s Office (SCO) </w:t>
        </w:r>
      </w:hyperlink>
      <w:r>
        <w:rPr>
          <w:sz w:val="24"/>
        </w:rPr>
        <w:t>discrepancies or errors should be prepared and attached to each copy of the schedule. For each item on the list, include a cross-reference to the specific document which was not properly recorded on SCO records, so that SCO may check original documents before making</w:t>
      </w:r>
      <w:r>
        <w:rPr>
          <w:spacing w:val="-7"/>
          <w:sz w:val="24"/>
        </w:rPr>
        <w:t> </w:t>
      </w:r>
      <w:r>
        <w:rPr>
          <w:sz w:val="24"/>
        </w:rPr>
        <w:t>corrections.</w:t>
      </w:r>
    </w:p>
    <w:p>
      <w:pPr>
        <w:pStyle w:val="BodyText"/>
        <w:spacing w:before="196"/>
        <w:ind w:left="479" w:right="109"/>
      </w:pPr>
      <w:r>
        <w:rPr/>
        <w:t>In the case of a full-time authorized position that is filled on a part-time basis, the SCO’s tabulation will carry the position as a part-time position and the amount will be that of a part-time position. This condition will be shown for both current and budget years. The department should make the changes necessary to provide for continuation on a full-time basis.</w:t>
      </w:r>
    </w:p>
    <w:p>
      <w:pPr>
        <w:pStyle w:val="BodyText"/>
        <w:spacing w:before="119"/>
        <w:ind w:left="479" w:right="163"/>
      </w:pPr>
      <w:r>
        <w:rPr/>
        <w:t>Differences other than SCO’s discrepancies or errors must be corrected through submission of payroll or position documents. The preparation and submission of such documents are a follow-up condition for certification procedures established in accordance with SAM Section </w:t>
      </w:r>
      <w:hyperlink r:id="rId54">
        <w:r>
          <w:rPr>
            <w:color w:val="0000FF"/>
            <w:u w:val="single" w:color="0000FF"/>
          </w:rPr>
          <w:t>6521</w:t>
        </w:r>
      </w:hyperlink>
      <w:r>
        <w:rPr/>
        <w:t>. The exceptions are those positions that can be re-established under specified criteria as listed in Government Code </w:t>
      </w:r>
      <w:hyperlink r:id="rId66">
        <w:r>
          <w:rPr>
            <w:color w:val="0000FF"/>
            <w:u w:val="single" w:color="0000FF"/>
          </w:rPr>
          <w:t>12439</w:t>
        </w:r>
      </w:hyperlink>
      <w:r>
        <w:rPr/>
        <w:t>.</w:t>
      </w:r>
    </w:p>
    <w:p>
      <w:pPr>
        <w:pStyle w:val="ListParagraph"/>
        <w:numPr>
          <w:ilvl w:val="0"/>
          <w:numId w:val="16"/>
        </w:numPr>
        <w:tabs>
          <w:tab w:pos="480" w:val="left" w:leader="none"/>
        </w:tabs>
        <w:spacing w:line="240" w:lineRule="auto" w:before="196" w:after="0"/>
        <w:ind w:left="480" w:right="0" w:hanging="360"/>
        <w:jc w:val="left"/>
        <w:rPr>
          <w:sz w:val="24"/>
        </w:rPr>
      </w:pPr>
      <w:r>
        <w:rPr>
          <w:sz w:val="24"/>
        </w:rPr>
        <w:t>Correct all of the totals to account for the above</w:t>
      </w:r>
      <w:r>
        <w:rPr>
          <w:spacing w:val="-25"/>
          <w:sz w:val="24"/>
        </w:rPr>
        <w:t> </w:t>
      </w:r>
      <w:r>
        <w:rPr>
          <w:sz w:val="24"/>
        </w:rPr>
        <w:t>changes.</w:t>
      </w:r>
    </w:p>
    <w:p>
      <w:pPr>
        <w:pStyle w:val="ListParagraph"/>
        <w:numPr>
          <w:ilvl w:val="0"/>
          <w:numId w:val="16"/>
        </w:numPr>
        <w:tabs>
          <w:tab w:pos="480" w:val="left" w:leader="none"/>
        </w:tabs>
        <w:spacing w:line="240" w:lineRule="auto" w:before="120" w:after="0"/>
        <w:ind w:left="480" w:right="443" w:hanging="360"/>
        <w:jc w:val="left"/>
        <w:rPr>
          <w:sz w:val="24"/>
        </w:rPr>
      </w:pPr>
      <w:r>
        <w:rPr>
          <w:sz w:val="24"/>
        </w:rPr>
        <w:t>For positions marked "vacant" in the tabulation, insert, after the word "vacant,” the date the position became vacant. Check the tabulation against the "Vacant Positions" reports (see SAM Section 6445) and make necessary</w:t>
      </w:r>
      <w:r>
        <w:rPr>
          <w:spacing w:val="-33"/>
          <w:sz w:val="24"/>
        </w:rPr>
        <w:t> </w:t>
      </w:r>
      <w:r>
        <w:rPr>
          <w:sz w:val="24"/>
        </w:rPr>
        <w:t>adjustments.</w:t>
      </w:r>
    </w:p>
    <w:p>
      <w:pPr>
        <w:spacing w:after="0" w:line="240" w:lineRule="auto"/>
        <w:jc w:val="left"/>
        <w:rPr>
          <w:sz w:val="24"/>
        </w:rPr>
        <w:sectPr>
          <w:pgSz w:w="12240" w:h="15840"/>
          <w:pgMar w:header="724" w:footer="792" w:top="980" w:bottom="980" w:left="1320" w:right="1320"/>
        </w:sectPr>
      </w:pPr>
    </w:p>
    <w:p>
      <w:pPr>
        <w:pStyle w:val="BodyText"/>
        <w:rPr>
          <w:sz w:val="20"/>
        </w:rPr>
      </w:pPr>
    </w:p>
    <w:p>
      <w:pPr>
        <w:pStyle w:val="Heading2"/>
        <w:tabs>
          <w:tab w:pos="8947" w:val="left" w:leader="none"/>
        </w:tabs>
        <w:spacing w:before="214"/>
        <w:ind w:left="119"/>
      </w:pPr>
      <w:r>
        <w:rPr/>
        <w:t>CONVERSION</w:t>
      </w:r>
      <w:r>
        <w:rPr>
          <w:spacing w:val="-2"/>
        </w:rPr>
        <w:t> </w:t>
      </w:r>
      <w:r>
        <w:rPr/>
        <w:t>CODE</w:t>
      </w:r>
      <w:r>
        <w:rPr>
          <w:spacing w:val="-4"/>
        </w:rPr>
        <w:t> </w:t>
      </w:r>
      <w:r>
        <w:rPr/>
        <w:t>LISTING</w:t>
        <w:tab/>
        <w:t>6430</w:t>
      </w:r>
    </w:p>
    <w:p>
      <w:pPr>
        <w:pStyle w:val="BodyText"/>
        <w:ind w:left="119"/>
      </w:pPr>
      <w:r>
        <w:rPr/>
        <w:t>(Revised 9/2010)</w:t>
      </w:r>
    </w:p>
    <w:p>
      <w:pPr>
        <w:pStyle w:val="BodyText"/>
        <w:spacing w:before="199"/>
        <w:ind w:left="119" w:right="244"/>
      </w:pPr>
      <w:r>
        <w:rPr/>
        <w:t>The Finance Conversion Code (FCC) listing provides detailed instructions to the State Controller’s Office (</w:t>
      </w:r>
      <w:hyperlink r:id="rId69">
        <w:r>
          <w:rPr>
            <w:color w:val="0000FF"/>
            <w:u w:val="single" w:color="0000FF"/>
          </w:rPr>
          <w:t>SCO</w:t>
        </w:r>
      </w:hyperlink>
      <w:r>
        <w:rPr/>
        <w:t>) so that information in the records of the Uniform State Payroll System can be arranged in the format of the Salaries and Wages Supplement by the computer. The listing includes budgetary descriptions, codes, and sequences used to verify the Schedule 7A spreadsheets.</w:t>
      </w:r>
    </w:p>
    <w:p>
      <w:pPr>
        <w:pStyle w:val="BodyText"/>
        <w:spacing w:before="201"/>
        <w:ind w:left="120" w:right="175"/>
      </w:pPr>
      <w:r>
        <w:rPr/>
        <w:t>The FCC listing must be amended if the format for the Salaries and Wages Supplement needs to be changed. This could be true if new reporting units have been added or deleted, or if a reorganization is to be reflected in the Salaries and Wages Supplement presentation.</w:t>
      </w:r>
    </w:p>
    <w:p>
      <w:pPr>
        <w:pStyle w:val="BodyText"/>
        <w:spacing w:before="11"/>
        <w:rPr>
          <w:sz w:val="23"/>
        </w:rPr>
      </w:pPr>
    </w:p>
    <w:p>
      <w:pPr>
        <w:pStyle w:val="BodyText"/>
        <w:ind w:left="119"/>
      </w:pPr>
      <w:r>
        <w:rPr/>
        <w:t>The FCC listing will consist of four columns: from left to right, the Finance Conversion Code, Agency Code, Department Reporting Unit Codes, and Budgetary Description.</w:t>
      </w:r>
    </w:p>
    <w:p>
      <w:pPr>
        <w:pStyle w:val="BodyText"/>
        <w:spacing w:before="199"/>
        <w:ind w:left="119" w:right="229"/>
      </w:pPr>
      <w:r>
        <w:rPr/>
        <w:t>The FCC is used as the key for the organizational structure which a department wishes to present in the Salaries and Wages Supplement. The code controls the order and indentation of the budgetary description. Also, it provides for the inclusion of reporting units under a budgetary description. In addition, it indicates where subtotals and totals of personnel years and dollar amounts will be taken. Totals will be provided at the end of the department’s section and limited to no more than two sub-departmental levels.</w:t>
      </w:r>
    </w:p>
    <w:p>
      <w:pPr>
        <w:pStyle w:val="BodyText"/>
        <w:spacing w:before="199"/>
        <w:ind w:left="119" w:right="229"/>
      </w:pPr>
      <w:r>
        <w:rPr/>
        <w:t>The Budget Description entry becomes the title of the organizational unit or program as it will appear in the Schedule 7A spreadsheets. The description will be limited to 35 characters for all sub-departmental levels.</w:t>
      </w:r>
    </w:p>
    <w:p>
      <w:pPr>
        <w:pStyle w:val="BodyText"/>
        <w:spacing w:before="11"/>
        <w:rPr>
          <w:sz w:val="23"/>
        </w:rPr>
      </w:pPr>
    </w:p>
    <w:p>
      <w:pPr>
        <w:pStyle w:val="BodyText"/>
        <w:ind w:left="119" w:right="336"/>
      </w:pPr>
      <w:r>
        <w:rPr/>
        <w:t>The Agency Code is to identify the department from which the salaries in the reporting unit are to be paid.</w:t>
      </w:r>
    </w:p>
    <w:p>
      <w:pPr>
        <w:pStyle w:val="BodyText"/>
        <w:spacing w:before="11"/>
        <w:rPr>
          <w:sz w:val="23"/>
        </w:rPr>
      </w:pPr>
    </w:p>
    <w:p>
      <w:pPr>
        <w:pStyle w:val="BodyText"/>
        <w:ind w:left="119" w:right="162"/>
      </w:pPr>
      <w:r>
        <w:rPr/>
        <w:t>The Reporting Unit Codes identify the reporting unit or units which are to be collated under the particular Budget Description entry. All positions in the reporting units listed under a particular Budget Description entry should be a part of the unit described by the title listed in the Conversion Code Listing.</w:t>
      </w:r>
    </w:p>
    <w:p>
      <w:pPr>
        <w:pStyle w:val="BodyText"/>
        <w:spacing w:before="199"/>
        <w:ind w:left="120" w:right="281"/>
      </w:pPr>
      <w:r>
        <w:rPr/>
        <w:t>The </w:t>
      </w:r>
      <w:hyperlink r:id="rId69">
        <w:r>
          <w:rPr>
            <w:color w:val="0000FF"/>
            <w:u w:val="single" w:color="0000FF"/>
          </w:rPr>
          <w:t>SCO </w:t>
        </w:r>
      </w:hyperlink>
      <w:r>
        <w:rPr/>
        <w:t>will print the FCC Listing used in preparing the Schedule 7A in the preceding year and send it in duplicate in May to each department for review and amendment.</w:t>
      </w:r>
    </w:p>
    <w:p>
      <w:pPr>
        <w:pStyle w:val="BodyText"/>
        <w:ind w:left="120" w:right="214"/>
      </w:pPr>
      <w:r>
        <w:rPr/>
        <w:t>The </w:t>
      </w:r>
      <w:hyperlink r:id="rId69">
        <w:r>
          <w:rPr>
            <w:color w:val="0000FF"/>
            <w:u w:val="single" w:color="0000FF"/>
          </w:rPr>
          <w:t>SCO </w:t>
        </w:r>
      </w:hyperlink>
      <w:r>
        <w:rPr/>
        <w:t>also publishes a Payroll Letter giving specific instructions for amending and processing the listing and setting a date for its return to the </w:t>
      </w:r>
      <w:hyperlink r:id="rId69">
        <w:r>
          <w:rPr>
            <w:color w:val="0000FF"/>
            <w:u w:val="single" w:color="0000FF"/>
          </w:rPr>
          <w:t>SCO</w:t>
        </w:r>
      </w:hyperlink>
      <w:r>
        <w:rPr/>
        <w:t>. The sole purpose of the FCC Listing is to control the array and detail in the Schedule 7A spreadsheets.</w:t>
      </w:r>
    </w:p>
    <w:p>
      <w:pPr>
        <w:pStyle w:val="BodyText"/>
        <w:rPr>
          <w:sz w:val="26"/>
        </w:rPr>
      </w:pPr>
    </w:p>
    <w:p>
      <w:pPr>
        <w:pStyle w:val="BodyText"/>
        <w:spacing w:before="4"/>
        <w:rPr>
          <w:sz w:val="22"/>
        </w:rPr>
      </w:pPr>
    </w:p>
    <w:p>
      <w:pPr>
        <w:pStyle w:val="BodyText"/>
        <w:spacing w:before="1"/>
        <w:ind w:left="120"/>
      </w:pPr>
      <w:r>
        <w:rPr/>
        <w:t>(Continued)</w:t>
      </w:r>
    </w:p>
    <w:p>
      <w:pPr>
        <w:spacing w:after="0"/>
        <w:sectPr>
          <w:pgSz w:w="12240" w:h="15840"/>
          <w:pgMar w:header="724" w:footer="792" w:top="980" w:bottom="980" w:left="1320" w:right="1320"/>
        </w:sectPr>
      </w:pPr>
    </w:p>
    <w:p>
      <w:pPr>
        <w:pStyle w:val="BodyText"/>
        <w:rPr>
          <w:sz w:val="20"/>
        </w:rPr>
      </w:pPr>
    </w:p>
    <w:p>
      <w:pPr>
        <w:pStyle w:val="BodyText"/>
        <w:spacing w:before="214"/>
        <w:ind w:left="119"/>
      </w:pPr>
      <w:r>
        <w:rPr/>
        <w:t>(Continued)</w:t>
      </w:r>
    </w:p>
    <w:p>
      <w:pPr>
        <w:tabs>
          <w:tab w:pos="7946" w:val="left" w:leader="none"/>
        </w:tabs>
        <w:spacing w:before="0"/>
        <w:ind w:left="119" w:right="0" w:firstLine="0"/>
        <w:jc w:val="left"/>
        <w:rPr>
          <w:sz w:val="24"/>
        </w:rPr>
      </w:pPr>
      <w:r>
        <w:rPr>
          <w:b/>
          <w:sz w:val="24"/>
        </w:rPr>
        <w:t>CONVERSION</w:t>
      </w:r>
      <w:r>
        <w:rPr>
          <w:b/>
          <w:spacing w:val="-2"/>
          <w:sz w:val="24"/>
        </w:rPr>
        <w:t> </w:t>
      </w:r>
      <w:r>
        <w:rPr>
          <w:b/>
          <w:sz w:val="24"/>
        </w:rPr>
        <w:t>CODE</w:t>
      </w:r>
      <w:r>
        <w:rPr>
          <w:b/>
          <w:spacing w:val="-4"/>
          <w:sz w:val="24"/>
        </w:rPr>
        <w:t> </w:t>
      </w:r>
      <w:r>
        <w:rPr>
          <w:b/>
          <w:sz w:val="24"/>
        </w:rPr>
        <w:t>LISTING</w:t>
        <w:tab/>
        <w:t>6430 </w:t>
      </w:r>
      <w:r>
        <w:rPr>
          <w:sz w:val="24"/>
        </w:rPr>
        <w:t>(Cont.</w:t>
      </w:r>
      <w:r>
        <w:rPr>
          <w:spacing w:val="-6"/>
          <w:sz w:val="24"/>
        </w:rPr>
        <w:t> </w:t>
      </w:r>
      <w:r>
        <w:rPr>
          <w:sz w:val="24"/>
        </w:rPr>
        <w:t>1)</w:t>
      </w:r>
    </w:p>
    <w:p>
      <w:pPr>
        <w:pStyle w:val="BodyText"/>
        <w:ind w:left="120"/>
      </w:pPr>
      <w:r>
        <w:rPr/>
        <w:t>(Revised 9/2010)</w:t>
      </w:r>
    </w:p>
    <w:p>
      <w:pPr>
        <w:pStyle w:val="BodyText"/>
      </w:pPr>
    </w:p>
    <w:p>
      <w:pPr>
        <w:pStyle w:val="BodyText"/>
        <w:ind w:left="120"/>
      </w:pPr>
      <w:r>
        <w:rPr/>
        <w:t>In the review of the FCC, Listing the following points should be checked:</w:t>
      </w:r>
    </w:p>
    <w:p>
      <w:pPr>
        <w:pStyle w:val="BodyText"/>
        <w:spacing w:before="2"/>
      </w:pPr>
    </w:p>
    <w:p>
      <w:pPr>
        <w:pStyle w:val="ListParagraph"/>
        <w:numPr>
          <w:ilvl w:val="0"/>
          <w:numId w:val="17"/>
        </w:numPr>
        <w:tabs>
          <w:tab w:pos="480" w:val="left" w:leader="none"/>
        </w:tabs>
        <w:spacing w:line="240" w:lineRule="auto" w:before="0" w:after="0"/>
        <w:ind w:left="480" w:right="0" w:hanging="360"/>
        <w:jc w:val="left"/>
        <w:rPr>
          <w:sz w:val="24"/>
        </w:rPr>
      </w:pPr>
      <w:r>
        <w:rPr>
          <w:sz w:val="24"/>
        </w:rPr>
        <w:t>Are the Budgetary Titles still</w:t>
      </w:r>
      <w:r>
        <w:rPr>
          <w:spacing w:val="-18"/>
          <w:sz w:val="24"/>
        </w:rPr>
        <w:t> </w:t>
      </w:r>
      <w:r>
        <w:rPr>
          <w:sz w:val="24"/>
        </w:rPr>
        <w:t>appropriate?</w:t>
      </w:r>
    </w:p>
    <w:p>
      <w:pPr>
        <w:pStyle w:val="ListParagraph"/>
        <w:numPr>
          <w:ilvl w:val="0"/>
          <w:numId w:val="17"/>
        </w:numPr>
        <w:tabs>
          <w:tab w:pos="480" w:val="left" w:leader="none"/>
        </w:tabs>
        <w:spacing w:line="242" w:lineRule="auto" w:before="196" w:after="0"/>
        <w:ind w:left="480" w:right="975" w:hanging="360"/>
        <w:jc w:val="left"/>
        <w:rPr>
          <w:sz w:val="24"/>
        </w:rPr>
      </w:pPr>
      <w:r>
        <w:rPr>
          <w:sz w:val="24"/>
        </w:rPr>
        <w:t>Have reorganizations been properly reflected in the Budgetary Titles to show authorized changes in organization or</w:t>
      </w:r>
      <w:r>
        <w:rPr>
          <w:spacing w:val="-27"/>
          <w:sz w:val="24"/>
        </w:rPr>
        <w:t> </w:t>
      </w:r>
      <w:r>
        <w:rPr>
          <w:sz w:val="24"/>
        </w:rPr>
        <w:t>program?</w:t>
      </w:r>
    </w:p>
    <w:p>
      <w:pPr>
        <w:pStyle w:val="ListParagraph"/>
        <w:numPr>
          <w:ilvl w:val="0"/>
          <w:numId w:val="17"/>
        </w:numPr>
        <w:tabs>
          <w:tab w:pos="480" w:val="left" w:leader="none"/>
        </w:tabs>
        <w:spacing w:line="240" w:lineRule="auto" w:before="198" w:after="0"/>
        <w:ind w:left="480" w:right="0" w:hanging="360"/>
        <w:jc w:val="left"/>
        <w:rPr>
          <w:sz w:val="24"/>
        </w:rPr>
      </w:pPr>
      <w:r>
        <w:rPr>
          <w:sz w:val="24"/>
        </w:rPr>
        <w:t>Will the Budgetary Titles appear with the proper indentation from the</w:t>
      </w:r>
      <w:r>
        <w:rPr>
          <w:spacing w:val="-36"/>
          <w:sz w:val="24"/>
        </w:rPr>
        <w:t> </w:t>
      </w:r>
      <w:r>
        <w:rPr>
          <w:sz w:val="24"/>
        </w:rPr>
        <w:t>margin?</w:t>
      </w:r>
    </w:p>
    <w:p>
      <w:pPr>
        <w:pStyle w:val="ListParagraph"/>
        <w:numPr>
          <w:ilvl w:val="0"/>
          <w:numId w:val="17"/>
        </w:numPr>
        <w:tabs>
          <w:tab w:pos="480" w:val="left" w:leader="none"/>
        </w:tabs>
        <w:spacing w:line="240" w:lineRule="auto" w:before="196" w:after="0"/>
        <w:ind w:left="480" w:right="377" w:hanging="360"/>
        <w:jc w:val="both"/>
        <w:rPr>
          <w:sz w:val="24"/>
        </w:rPr>
      </w:pPr>
      <w:r>
        <w:rPr>
          <w:sz w:val="24"/>
        </w:rPr>
        <w:t>Are all the reporting units listed under the proper budget descriptions? A reporting unit to be established effective July 1 should be added under the proper budgetary descriptions.</w:t>
      </w:r>
    </w:p>
    <w:p>
      <w:pPr>
        <w:pStyle w:val="ListParagraph"/>
        <w:numPr>
          <w:ilvl w:val="0"/>
          <w:numId w:val="17"/>
        </w:numPr>
        <w:tabs>
          <w:tab w:pos="480" w:val="left" w:leader="none"/>
        </w:tabs>
        <w:spacing w:line="240" w:lineRule="auto" w:before="196" w:after="0"/>
        <w:ind w:left="480" w:right="246" w:hanging="360"/>
        <w:jc w:val="left"/>
        <w:rPr>
          <w:sz w:val="24"/>
        </w:rPr>
      </w:pPr>
      <w:r>
        <w:rPr>
          <w:sz w:val="24"/>
        </w:rPr>
        <w:t>As the FCC Listing will be used during July to verify the Schedule 7A spreadsheet, check that the documents (Change in Established Positions, Payroll Roster Change form, </w:t>
      </w:r>
      <w:hyperlink r:id="rId67">
        <w:r>
          <w:rPr>
            <w:color w:val="0000FF"/>
            <w:sz w:val="24"/>
            <w:u w:val="single" w:color="0000FF"/>
          </w:rPr>
          <w:t>STD. 607</w:t>
        </w:r>
      </w:hyperlink>
      <w:r>
        <w:rPr>
          <w:sz w:val="24"/>
        </w:rPr>
        <w:t>) making approved reorganizations and establishing approved new positions are completed and sent to </w:t>
      </w:r>
      <w:hyperlink r:id="rId69">
        <w:r>
          <w:rPr>
            <w:color w:val="0000FF"/>
            <w:sz w:val="24"/>
            <w:u w:val="single" w:color="0000FF"/>
          </w:rPr>
          <w:t>SCO </w:t>
        </w:r>
      </w:hyperlink>
      <w:r>
        <w:rPr>
          <w:sz w:val="24"/>
        </w:rPr>
        <w:t>by June 14th to be included in the Schedule</w:t>
      </w:r>
      <w:r>
        <w:rPr>
          <w:spacing w:val="-5"/>
          <w:sz w:val="24"/>
        </w:rPr>
        <w:t> </w:t>
      </w:r>
      <w:r>
        <w:rPr>
          <w:sz w:val="24"/>
        </w:rPr>
        <w:t>7A.</w:t>
      </w:r>
    </w:p>
    <w:p>
      <w:pPr>
        <w:pStyle w:val="BodyText"/>
        <w:spacing w:before="196"/>
        <w:ind w:left="120" w:right="214"/>
      </w:pPr>
      <w:r>
        <w:rPr/>
        <w:t>As significant proposed organizational changes to the Salaries and Wages Supplement may have a major impact to a department’s operations/budget presentation, any substantive changes or changes in politically sensitive programs must be cleared with Finance before the listing is released to </w:t>
      </w:r>
      <w:hyperlink r:id="rId69">
        <w:r>
          <w:rPr>
            <w:color w:val="0000FF"/>
            <w:u w:val="single" w:color="0000FF"/>
          </w:rPr>
          <w:t>SCO</w:t>
        </w:r>
      </w:hyperlink>
      <w:r>
        <w:rPr/>
        <w:t>.</w:t>
      </w:r>
    </w:p>
    <w:p>
      <w:pPr>
        <w:pStyle w:val="BodyText"/>
        <w:rPr>
          <w:sz w:val="20"/>
        </w:rPr>
      </w:pPr>
    </w:p>
    <w:p>
      <w:pPr>
        <w:pStyle w:val="BodyText"/>
        <w:rPr>
          <w:sz w:val="17"/>
        </w:rPr>
      </w:pPr>
    </w:p>
    <w:p>
      <w:pPr>
        <w:pStyle w:val="Heading2"/>
        <w:tabs>
          <w:tab w:pos="8947" w:val="left" w:leader="none"/>
        </w:tabs>
        <w:spacing w:before="92"/>
        <w:ind w:left="120"/>
      </w:pPr>
      <w:r>
        <w:rPr/>
        <w:t>EXPIRING</w:t>
      </w:r>
      <w:r>
        <w:rPr>
          <w:spacing w:val="-2"/>
        </w:rPr>
        <w:t> </w:t>
      </w:r>
      <w:r>
        <w:rPr/>
        <w:t>FILLED</w:t>
      </w:r>
      <w:r>
        <w:rPr>
          <w:spacing w:val="-3"/>
        </w:rPr>
        <w:t> </w:t>
      </w:r>
      <w:r>
        <w:rPr/>
        <w:t>POSITIONS</w:t>
        <w:tab/>
        <w:t>6436</w:t>
      </w:r>
    </w:p>
    <w:p>
      <w:pPr>
        <w:pStyle w:val="BodyText"/>
        <w:ind w:left="120"/>
      </w:pPr>
      <w:r>
        <w:rPr/>
        <w:t>(Revised 9/2010)</w:t>
      </w:r>
    </w:p>
    <w:p>
      <w:pPr>
        <w:pStyle w:val="BodyText"/>
      </w:pPr>
    </w:p>
    <w:p>
      <w:pPr>
        <w:pStyle w:val="BodyText"/>
        <w:ind w:left="120" w:right="214"/>
      </w:pPr>
      <w:r>
        <w:rPr/>
        <w:t>The </w:t>
      </w:r>
      <w:hyperlink r:id="rId69">
        <w:r>
          <w:rPr>
            <w:color w:val="0000FF"/>
            <w:u w:val="single" w:color="0000FF"/>
          </w:rPr>
          <w:t>SCO </w:t>
        </w:r>
      </w:hyperlink>
      <w:r>
        <w:rPr/>
        <w:t>will prepare a separate listing titled Report for Schedule 8—Supplementary Tabulation. This listing reflects all authorized appointments that continue beyond June 30 of the past year, but do not have approved positions to continue beyond June 30.</w:t>
      </w:r>
    </w:p>
    <w:p>
      <w:pPr>
        <w:pStyle w:val="BodyText"/>
        <w:ind w:left="120" w:right="213"/>
      </w:pPr>
      <w:r>
        <w:rPr/>
        <w:t>The purpose of this listing is to remind the department that these employees should have been separated or placed in an authorized position, and to furnish the department current and budget year extensions using the present salary.</w:t>
      </w:r>
    </w:p>
    <w:p>
      <w:pPr>
        <w:pStyle w:val="BodyText"/>
        <w:rPr>
          <w:sz w:val="26"/>
        </w:rPr>
      </w:pPr>
    </w:p>
    <w:p>
      <w:pPr>
        <w:pStyle w:val="Heading2"/>
        <w:tabs>
          <w:tab w:pos="8947" w:val="left" w:leader="none"/>
        </w:tabs>
        <w:spacing w:line="275" w:lineRule="exact" w:before="220"/>
        <w:ind w:left="120"/>
      </w:pPr>
      <w:r>
        <w:rPr/>
        <w:t>BLANKET</w:t>
      </w:r>
      <w:r>
        <w:rPr>
          <w:spacing w:val="-3"/>
        </w:rPr>
        <w:t> </w:t>
      </w:r>
      <w:r>
        <w:rPr/>
        <w:t>POSITIONS</w:t>
        <w:tab/>
        <w:t>6439</w:t>
      </w:r>
    </w:p>
    <w:p>
      <w:pPr>
        <w:pStyle w:val="BodyText"/>
        <w:spacing w:line="275" w:lineRule="exact"/>
        <w:ind w:left="120"/>
      </w:pPr>
      <w:r>
        <w:rPr/>
        <w:t>(Revised 9/2010)</w:t>
      </w:r>
    </w:p>
    <w:p>
      <w:pPr>
        <w:pStyle w:val="BodyText"/>
      </w:pPr>
    </w:p>
    <w:p>
      <w:pPr>
        <w:pStyle w:val="BodyText"/>
        <w:ind w:left="120" w:right="362"/>
      </w:pPr>
      <w:r>
        <w:rPr/>
        <w:t>The </w:t>
      </w:r>
      <w:hyperlink r:id="rId69">
        <w:r>
          <w:rPr>
            <w:color w:val="0000FF"/>
            <w:u w:val="single" w:color="0000FF"/>
          </w:rPr>
          <w:t>State Controller’s office </w:t>
        </w:r>
      </w:hyperlink>
      <w:r>
        <w:rPr/>
        <w:t>will prepare a separate listing of actual expenditures from blanket positions (temporary, seasonal, and overtime) for the past year. This will include past year expenditures that were posted through July 1 of the current year.</w:t>
      </w:r>
    </w:p>
    <w:p>
      <w:pPr>
        <w:pStyle w:val="BodyText"/>
        <w:ind w:left="120"/>
      </w:pPr>
      <w:r>
        <w:rPr/>
        <w:t>These expenditures will need to be reflected in the Schedule 7A.</w:t>
      </w:r>
    </w:p>
    <w:p>
      <w:pPr>
        <w:spacing w:after="0"/>
        <w:sectPr>
          <w:pgSz w:w="12240" w:h="15840"/>
          <w:pgMar w:header="724" w:footer="792" w:top="980" w:bottom="980" w:left="1320" w:right="1320"/>
        </w:sectPr>
      </w:pPr>
    </w:p>
    <w:p>
      <w:pPr>
        <w:pStyle w:val="BodyText"/>
        <w:rPr>
          <w:sz w:val="20"/>
        </w:rPr>
      </w:pPr>
    </w:p>
    <w:p>
      <w:pPr>
        <w:pStyle w:val="Heading2"/>
        <w:tabs>
          <w:tab w:pos="8947" w:val="left" w:leader="none"/>
        </w:tabs>
        <w:spacing w:before="214"/>
        <w:ind w:left="119"/>
        <w:jc w:val="both"/>
      </w:pPr>
      <w:r>
        <w:rPr/>
        <w:t>VACANT</w:t>
      </w:r>
      <w:r>
        <w:rPr>
          <w:spacing w:val="-2"/>
        </w:rPr>
        <w:t> </w:t>
      </w:r>
      <w:r>
        <w:rPr/>
        <w:t>POSITIONS</w:t>
      </w:r>
      <w:r>
        <w:rPr>
          <w:spacing w:val="-4"/>
        </w:rPr>
        <w:t> </w:t>
      </w:r>
      <w:r>
        <w:rPr/>
        <w:t>REPORT</w:t>
        <w:tab/>
        <w:t>6445</w:t>
      </w:r>
    </w:p>
    <w:p>
      <w:pPr>
        <w:pStyle w:val="BodyText"/>
        <w:ind w:left="119"/>
        <w:jc w:val="both"/>
      </w:pPr>
      <w:r>
        <w:rPr/>
        <w:t>(Revised 9/2010)</w:t>
      </w:r>
    </w:p>
    <w:p>
      <w:pPr>
        <w:pStyle w:val="BodyText"/>
      </w:pPr>
    </w:p>
    <w:p>
      <w:pPr>
        <w:pStyle w:val="BodyText"/>
        <w:ind w:left="119" w:right="312"/>
        <w:jc w:val="both"/>
      </w:pPr>
      <w:r>
        <w:rPr/>
        <w:t>Chapter 1124, Statutes of 2002, as amended by Chapter 227, Statutes of 2004, made major changes to Government Code (GC) section </w:t>
      </w:r>
      <w:hyperlink r:id="rId66">
        <w:r>
          <w:rPr>
            <w:color w:val="0000FF"/>
            <w:u w:val="single" w:color="0000FF"/>
          </w:rPr>
          <w:t>12439 </w:t>
        </w:r>
      </w:hyperlink>
      <w:r>
        <w:rPr/>
        <w:t>relating to the abolishment of vacant positions.  The major changes include:</w:t>
      </w:r>
    </w:p>
    <w:p>
      <w:pPr>
        <w:pStyle w:val="BodyText"/>
      </w:pPr>
    </w:p>
    <w:p>
      <w:pPr>
        <w:pStyle w:val="BodyText"/>
        <w:ind w:left="1020" w:right="214" w:hanging="360"/>
      </w:pPr>
      <w:r>
        <w:rPr>
          <w:rFonts w:ascii="Symbol" w:hAnsi="Symbol"/>
          <w:strike/>
          <w:color w:val="2E97D3"/>
        </w:rPr>
        <w:t></w:t>
      </w:r>
      <w:r>
        <w:rPr>
          <w:strike w:val="0"/>
          <w:color w:val="2E97D3"/>
          <w:u w:val="single" w:color="2E97D3"/>
        </w:rPr>
        <w:t>a. </w:t>
      </w:r>
      <w:r>
        <w:rPr>
          <w:strike w:val="0"/>
        </w:rPr>
        <w:t>State Controller’s Office (SCO) is to identify and abolish vacant positions that are vacant for six consecutive monthly pay periods, during the fiscal year or between two consecutive fiscal years. The rolling six months began July 1, 2002.</w:t>
      </w:r>
    </w:p>
    <w:p>
      <w:pPr>
        <w:pStyle w:val="BodyText"/>
        <w:spacing w:line="274" w:lineRule="exact" w:before="22"/>
        <w:ind w:left="1020" w:hanging="360"/>
      </w:pPr>
      <w:r>
        <w:rPr>
          <w:rFonts w:ascii="Symbol" w:hAnsi="Symbol"/>
          <w:strike/>
          <w:color w:val="2E97D3"/>
        </w:rPr>
        <w:t></w:t>
      </w:r>
      <w:r>
        <w:rPr>
          <w:strike w:val="0"/>
          <w:color w:val="2E97D3"/>
          <w:u w:val="single" w:color="2E97D3"/>
        </w:rPr>
        <w:t>b.</w:t>
      </w:r>
      <w:r>
        <w:rPr>
          <w:strike w:val="0"/>
          <w:color w:val="2E97D3"/>
          <w:spacing w:val="-52"/>
          <w:u w:val="single" w:color="2E97D3"/>
        </w:rPr>
        <w:t> </w:t>
      </w:r>
      <w:r>
        <w:rPr>
          <w:strike w:val="0"/>
        </w:rPr>
        <w:t>A mechanism for departments to self-certify re-establishments by August 15 for positions that meet specified conditions during the vacancy period.</w:t>
      </w:r>
    </w:p>
    <w:p>
      <w:pPr>
        <w:pStyle w:val="BodyText"/>
        <w:spacing w:line="276" w:lineRule="exact" w:before="17"/>
        <w:ind w:left="1020" w:right="302" w:hanging="360"/>
      </w:pPr>
      <w:r>
        <w:rPr>
          <w:rFonts w:ascii="Symbol" w:hAnsi="Symbol"/>
          <w:strike/>
          <w:color w:val="2E97D3"/>
        </w:rPr>
        <w:t></w:t>
      </w:r>
      <w:r>
        <w:rPr>
          <w:strike w:val="0"/>
          <w:color w:val="2E97D3"/>
          <w:u w:val="single" w:color="2E97D3"/>
        </w:rPr>
        <w:t>c. </w:t>
      </w:r>
      <w:r>
        <w:rPr>
          <w:strike w:val="0"/>
        </w:rPr>
        <w:t>Prohibits departments from executing any personnel transactions for the purpose of circumventing the provisions of the Section, e.g., 120 transactions.</w:t>
      </w:r>
    </w:p>
    <w:p>
      <w:pPr>
        <w:pStyle w:val="BodyText"/>
        <w:spacing w:line="276" w:lineRule="exact" w:before="16"/>
        <w:ind w:left="1020" w:hanging="360"/>
      </w:pPr>
      <w:r>
        <w:rPr>
          <w:rFonts w:ascii="Symbol" w:hAnsi="Symbol"/>
          <w:strike/>
          <w:color w:val="2E97D3"/>
        </w:rPr>
        <w:t></w:t>
      </w:r>
      <w:r>
        <w:rPr>
          <w:strike w:val="0"/>
          <w:color w:val="2E97D3"/>
          <w:u w:val="single" w:color="2E97D3"/>
        </w:rPr>
        <w:t>d. </w:t>
      </w:r>
      <w:r>
        <w:rPr>
          <w:strike w:val="0"/>
        </w:rPr>
        <w:t>Each department is required to include a section discussing its compliance with this section when it prepares its report pursuant to GC section </w:t>
      </w:r>
      <w:hyperlink r:id="rId70">
        <w:r>
          <w:rPr>
            <w:strike w:val="0"/>
            <w:color w:val="0000FF"/>
            <w:u w:val="single" w:color="0000FF"/>
          </w:rPr>
          <w:t>13405</w:t>
        </w:r>
      </w:hyperlink>
      <w:r>
        <w:rPr>
          <w:strike w:val="0"/>
        </w:rPr>
        <w:t>.</w:t>
      </w:r>
    </w:p>
    <w:p>
      <w:pPr>
        <w:pStyle w:val="BodyText"/>
        <w:spacing w:before="6"/>
        <w:rPr>
          <w:sz w:val="15"/>
        </w:rPr>
      </w:pPr>
    </w:p>
    <w:p>
      <w:pPr>
        <w:pStyle w:val="BodyText"/>
        <w:spacing w:before="92"/>
        <w:ind w:left="120" w:right="202"/>
      </w:pPr>
      <w:r>
        <w:rPr/>
        <w:t>On July 1 of each year, the </w:t>
      </w:r>
      <w:hyperlink r:id="rId69">
        <w:r>
          <w:rPr>
            <w:color w:val="0000FF"/>
            <w:u w:val="single" w:color="0000FF"/>
          </w:rPr>
          <w:t>SCO </w:t>
        </w:r>
      </w:hyperlink>
      <w:r>
        <w:rPr/>
        <w:t>will abolish the continuously vacant position(s). These abolished positions will not appear on the Schedule 8 or 7A. The </w:t>
      </w:r>
      <w:hyperlink r:id="rId69">
        <w:r>
          <w:rPr>
            <w:color w:val="0000FF"/>
            <w:u w:val="single" w:color="0000FF"/>
          </w:rPr>
          <w:t>SCO </w:t>
        </w:r>
      </w:hyperlink>
      <w:r>
        <w:rPr/>
        <w:t>will generate an initial listing for departments by mid-July. The positions can be eliminated from the abolishment listing for any SCO technical errors, departmental self-certifications of positions to be exempted from the abolishment, or any Department of Finance (Finance) authorized reestablishments meeting specified</w:t>
      </w:r>
      <w:r>
        <w:rPr>
          <w:spacing w:val="-33"/>
        </w:rPr>
        <w:t> </w:t>
      </w:r>
      <w:r>
        <w:rPr/>
        <w:t>criteria.</w:t>
      </w:r>
    </w:p>
    <w:p>
      <w:pPr>
        <w:pStyle w:val="BodyText"/>
        <w:spacing w:before="11"/>
        <w:rPr>
          <w:sz w:val="23"/>
        </w:rPr>
      </w:pPr>
    </w:p>
    <w:p>
      <w:pPr>
        <w:pStyle w:val="BodyText"/>
        <w:ind w:left="119" w:right="214"/>
      </w:pPr>
      <w:r>
        <w:rPr>
          <w:b/>
        </w:rPr>
        <w:t>Technical Errors</w:t>
      </w:r>
      <w:r>
        <w:rPr/>
        <w:t>. Departments are responsible for reviewing the listing and resolving any discrepancies or errors, e.g., late document submittal by departments or late processing of personnel documents by the </w:t>
      </w:r>
      <w:hyperlink r:id="rId69">
        <w:r>
          <w:rPr>
            <w:color w:val="0000FF"/>
            <w:u w:val="single" w:color="0000FF"/>
          </w:rPr>
          <w:t>SCO</w:t>
        </w:r>
      </w:hyperlink>
      <w:r>
        <w:rPr/>
        <w:t>. Departments are to work directly with the </w:t>
      </w:r>
      <w:hyperlink r:id="rId69">
        <w:r>
          <w:rPr>
            <w:color w:val="0000FF"/>
            <w:u w:val="single" w:color="0000FF"/>
          </w:rPr>
          <w:t>SCO </w:t>
        </w:r>
      </w:hyperlink>
      <w:r>
        <w:rPr/>
        <w:t>to resolve the discrepancies, (Finance approval is not necessary) between July and August 15.  If the position(s) are not to be abolished, the departments must add the positions back on the Schedules 8 and 7A, and report the adjustments on the Schedule 8 Summary.  See SAM Section </w:t>
      </w:r>
      <w:hyperlink r:id="rId54">
        <w:r>
          <w:rPr>
            <w:color w:val="0000FF"/>
            <w:u w:val="single" w:color="0000FF"/>
          </w:rPr>
          <w:t>6448</w:t>
        </w:r>
      </w:hyperlink>
      <w:r>
        <w:rPr/>
        <w:t>.</w:t>
      </w:r>
    </w:p>
    <w:p>
      <w:pPr>
        <w:pStyle w:val="BodyText"/>
        <w:spacing w:before="11"/>
        <w:rPr>
          <w:sz w:val="15"/>
        </w:rPr>
      </w:pPr>
    </w:p>
    <w:p>
      <w:pPr>
        <w:pStyle w:val="BodyText"/>
        <w:spacing w:before="92"/>
        <w:ind w:left="120"/>
      </w:pPr>
      <w:r>
        <w:rPr/>
        <w:t>If departments miss the August 15 deadline, they may submit Change in Established Positions, </w:t>
      </w:r>
      <w:hyperlink r:id="rId67">
        <w:r>
          <w:rPr>
            <w:color w:val="0000FF"/>
            <w:u w:val="single" w:color="0000FF"/>
          </w:rPr>
          <w:t>STD 607 </w:t>
        </w:r>
      </w:hyperlink>
      <w:r>
        <w:rPr/>
        <w:t>forms, to Finance between August 15 and September 10 to obtain approval to reestablish technical correction positions. Requests must include complete justification for late technical changes. These STD 607s must include the letter “X” preceding the document number.</w:t>
      </w:r>
    </w:p>
    <w:p>
      <w:pPr>
        <w:pStyle w:val="BodyText"/>
        <w:rPr>
          <w:sz w:val="26"/>
        </w:rPr>
      </w:pPr>
    </w:p>
    <w:p>
      <w:pPr>
        <w:pStyle w:val="BodyText"/>
        <w:spacing w:before="4"/>
        <w:rPr>
          <w:sz w:val="22"/>
        </w:rPr>
      </w:pPr>
    </w:p>
    <w:p>
      <w:pPr>
        <w:pStyle w:val="BodyText"/>
        <w:ind w:left="120"/>
      </w:pPr>
      <w:r>
        <w:rPr/>
        <w:t>(Continued)</w:t>
      </w:r>
    </w:p>
    <w:p>
      <w:pPr>
        <w:spacing w:after="0"/>
        <w:sectPr>
          <w:pgSz w:w="12240" w:h="15840"/>
          <w:pgMar w:header="724" w:footer="792" w:top="980" w:bottom="980" w:left="1320" w:right="1320"/>
        </w:sectPr>
      </w:pPr>
    </w:p>
    <w:p>
      <w:pPr>
        <w:pStyle w:val="BodyText"/>
        <w:rPr>
          <w:sz w:val="20"/>
        </w:rPr>
      </w:pPr>
    </w:p>
    <w:p>
      <w:pPr>
        <w:pStyle w:val="BodyText"/>
        <w:spacing w:before="214"/>
        <w:ind w:left="119"/>
      </w:pPr>
      <w:r>
        <w:rPr/>
        <w:t>(Continued)</w:t>
      </w:r>
    </w:p>
    <w:p>
      <w:pPr>
        <w:tabs>
          <w:tab w:pos="7946" w:val="left" w:leader="none"/>
        </w:tabs>
        <w:spacing w:before="0"/>
        <w:ind w:left="119" w:right="0" w:firstLine="0"/>
        <w:jc w:val="left"/>
        <w:rPr>
          <w:sz w:val="24"/>
        </w:rPr>
      </w:pPr>
      <w:r>
        <w:rPr>
          <w:b/>
          <w:sz w:val="24"/>
        </w:rPr>
        <w:t>VACANT</w:t>
      </w:r>
      <w:r>
        <w:rPr>
          <w:b/>
          <w:spacing w:val="-2"/>
          <w:sz w:val="24"/>
        </w:rPr>
        <w:t> </w:t>
      </w:r>
      <w:r>
        <w:rPr>
          <w:b/>
          <w:sz w:val="24"/>
        </w:rPr>
        <w:t>POSITIONS</w:t>
      </w:r>
      <w:r>
        <w:rPr>
          <w:b/>
          <w:spacing w:val="-4"/>
          <w:sz w:val="24"/>
        </w:rPr>
        <w:t> </w:t>
      </w:r>
      <w:r>
        <w:rPr>
          <w:b/>
          <w:sz w:val="24"/>
        </w:rPr>
        <w:t>REPORT</w:t>
        <w:tab/>
        <w:t>6445 </w:t>
      </w:r>
      <w:r>
        <w:rPr>
          <w:sz w:val="24"/>
        </w:rPr>
        <w:t>(Cont.</w:t>
      </w:r>
      <w:r>
        <w:rPr>
          <w:spacing w:val="-6"/>
          <w:sz w:val="24"/>
        </w:rPr>
        <w:t> </w:t>
      </w:r>
      <w:r>
        <w:rPr>
          <w:sz w:val="24"/>
        </w:rPr>
        <w:t>1)</w:t>
      </w:r>
    </w:p>
    <w:p>
      <w:pPr>
        <w:pStyle w:val="BodyText"/>
        <w:ind w:left="120"/>
      </w:pPr>
      <w:r>
        <w:rPr/>
        <w:t>(Revised 9/2010)</w:t>
      </w:r>
    </w:p>
    <w:p>
      <w:pPr>
        <w:pStyle w:val="BodyText"/>
      </w:pPr>
    </w:p>
    <w:p>
      <w:pPr>
        <w:pStyle w:val="BodyText"/>
        <w:ind w:left="120" w:right="148"/>
      </w:pPr>
      <w:r>
        <w:rPr>
          <w:b/>
        </w:rPr>
        <w:t>Department’s Self Certification Criteria</w:t>
      </w:r>
      <w:r>
        <w:rPr/>
        <w:t>. The </w:t>
      </w:r>
      <w:hyperlink r:id="rId69">
        <w:r>
          <w:rPr>
            <w:color w:val="0000FF"/>
            <w:u w:val="single" w:color="0000FF"/>
          </w:rPr>
          <w:t>SCO </w:t>
        </w:r>
      </w:hyperlink>
      <w:r>
        <w:rPr/>
        <w:t>will reestablish positions when the Director of a department certifies by August 15, one or more of the following criteria existed during part or all of the six consecutive pay periods for the abolished position(s):</w:t>
      </w:r>
    </w:p>
    <w:p>
      <w:pPr>
        <w:pStyle w:val="BodyText"/>
      </w:pPr>
    </w:p>
    <w:p>
      <w:pPr>
        <w:pStyle w:val="ListParagraph"/>
        <w:numPr>
          <w:ilvl w:val="1"/>
          <w:numId w:val="17"/>
        </w:numPr>
        <w:tabs>
          <w:tab w:pos="1739" w:val="left" w:leader="none"/>
          <w:tab w:pos="1740" w:val="left" w:leader="none"/>
        </w:tabs>
        <w:spacing w:line="293" w:lineRule="exact" w:before="0" w:after="0"/>
        <w:ind w:left="1740" w:right="0" w:hanging="360"/>
        <w:jc w:val="left"/>
        <w:rPr>
          <w:sz w:val="24"/>
        </w:rPr>
      </w:pPr>
      <w:r>
        <w:rPr>
          <w:sz w:val="24"/>
        </w:rPr>
        <w:t>Directly provides 24-hour care in an institution operated by the</w:t>
      </w:r>
      <w:r>
        <w:rPr>
          <w:spacing w:val="-32"/>
          <w:sz w:val="24"/>
        </w:rPr>
        <w:t> </w:t>
      </w:r>
      <w:r>
        <w:rPr>
          <w:sz w:val="24"/>
        </w:rPr>
        <w:t>State.</w:t>
      </w:r>
    </w:p>
    <w:p>
      <w:pPr>
        <w:pStyle w:val="ListParagraph"/>
        <w:numPr>
          <w:ilvl w:val="1"/>
          <w:numId w:val="17"/>
        </w:numPr>
        <w:tabs>
          <w:tab w:pos="1739" w:val="left" w:leader="none"/>
          <w:tab w:pos="1740" w:val="left" w:leader="none"/>
        </w:tabs>
        <w:spacing w:line="274" w:lineRule="exact" w:before="21" w:after="0"/>
        <w:ind w:left="1740" w:right="155" w:hanging="360"/>
        <w:jc w:val="left"/>
        <w:rPr>
          <w:sz w:val="24"/>
        </w:rPr>
      </w:pPr>
      <w:r>
        <w:rPr>
          <w:sz w:val="24"/>
        </w:rPr>
        <w:t>Necessary for the State to satisfy any licensing requirements adopted by a local, State, or federal licensing or other regulatory</w:t>
      </w:r>
      <w:r>
        <w:rPr>
          <w:spacing w:val="-37"/>
          <w:sz w:val="24"/>
        </w:rPr>
        <w:t> </w:t>
      </w:r>
      <w:r>
        <w:rPr>
          <w:sz w:val="24"/>
        </w:rPr>
        <w:t>agency.</w:t>
      </w:r>
    </w:p>
    <w:p>
      <w:pPr>
        <w:pStyle w:val="ListParagraph"/>
        <w:numPr>
          <w:ilvl w:val="1"/>
          <w:numId w:val="17"/>
        </w:numPr>
        <w:tabs>
          <w:tab w:pos="1739" w:val="left" w:leader="none"/>
          <w:tab w:pos="1740" w:val="left" w:leader="none"/>
        </w:tabs>
        <w:spacing w:line="276" w:lineRule="exact" w:before="17" w:after="0"/>
        <w:ind w:left="1740" w:right="211" w:hanging="360"/>
        <w:jc w:val="left"/>
        <w:rPr>
          <w:sz w:val="24"/>
        </w:rPr>
      </w:pPr>
      <w:r>
        <w:rPr>
          <w:sz w:val="24"/>
        </w:rPr>
        <w:t>Directly involved in services for public health, public safety, or homeland security.</w:t>
      </w:r>
    </w:p>
    <w:p>
      <w:pPr>
        <w:pStyle w:val="ListParagraph"/>
        <w:numPr>
          <w:ilvl w:val="1"/>
          <w:numId w:val="17"/>
        </w:numPr>
        <w:tabs>
          <w:tab w:pos="1739" w:val="left" w:leader="none"/>
          <w:tab w:pos="1740" w:val="left" w:leader="none"/>
        </w:tabs>
        <w:spacing w:line="276" w:lineRule="exact" w:before="16" w:after="0"/>
        <w:ind w:left="1740" w:right="157" w:hanging="360"/>
        <w:jc w:val="left"/>
        <w:rPr>
          <w:sz w:val="24"/>
        </w:rPr>
      </w:pPr>
      <w:r>
        <w:rPr>
          <w:sz w:val="24"/>
        </w:rPr>
        <w:t>Held vacant because the previous incumbent is eligible to exercise mandatory right of return from a leave of absence as may be required by any provision of law including, but not limited to, leaves for industrial disability, non-industrial disability, military service, pregnancy, childbirth, or care of a newborn</w:t>
      </w:r>
      <w:r>
        <w:rPr>
          <w:spacing w:val="-10"/>
          <w:sz w:val="24"/>
        </w:rPr>
        <w:t> </w:t>
      </w:r>
      <w:r>
        <w:rPr>
          <w:sz w:val="24"/>
        </w:rPr>
        <w:t>infant.</w:t>
      </w:r>
    </w:p>
    <w:p>
      <w:pPr>
        <w:pStyle w:val="ListParagraph"/>
        <w:numPr>
          <w:ilvl w:val="1"/>
          <w:numId w:val="17"/>
        </w:numPr>
        <w:tabs>
          <w:tab w:pos="1739" w:val="left" w:leader="none"/>
          <w:tab w:pos="1740" w:val="left" w:leader="none"/>
        </w:tabs>
        <w:spacing w:line="240" w:lineRule="auto" w:before="0" w:after="0"/>
        <w:ind w:left="1740" w:right="223" w:hanging="360"/>
        <w:jc w:val="left"/>
        <w:rPr>
          <w:sz w:val="24"/>
        </w:rPr>
      </w:pPr>
      <w:r>
        <w:rPr>
          <w:sz w:val="24"/>
        </w:rPr>
        <w:t>Held vacant because a department granted the previous incumbent a permissive leave of absence as may be authorized by any provision of law including, but not limited to leaves for adoption of a child, education, civilian military work, or to assume a temporary assignment in another agency.</w:t>
      </w:r>
    </w:p>
    <w:p>
      <w:pPr>
        <w:pStyle w:val="ListParagraph"/>
        <w:numPr>
          <w:ilvl w:val="1"/>
          <w:numId w:val="17"/>
        </w:numPr>
        <w:tabs>
          <w:tab w:pos="1739" w:val="left" w:leader="none"/>
          <w:tab w:pos="1740" w:val="left" w:leader="none"/>
        </w:tabs>
        <w:spacing w:line="240" w:lineRule="auto" w:before="4" w:after="0"/>
        <w:ind w:left="1740" w:right="223" w:hanging="360"/>
        <w:jc w:val="left"/>
        <w:rPr>
          <w:sz w:val="24"/>
        </w:rPr>
      </w:pPr>
      <w:r>
        <w:rPr>
          <w:sz w:val="24"/>
        </w:rPr>
        <w:t>Directly reduces State revenues or other income by more than would be saved by the elimination of the</w:t>
      </w:r>
      <w:r>
        <w:rPr>
          <w:spacing w:val="-18"/>
          <w:sz w:val="24"/>
        </w:rPr>
        <w:t> </w:t>
      </w:r>
      <w:r>
        <w:rPr>
          <w:sz w:val="24"/>
        </w:rPr>
        <w:t>position.</w:t>
      </w:r>
    </w:p>
    <w:p>
      <w:pPr>
        <w:pStyle w:val="ListParagraph"/>
        <w:numPr>
          <w:ilvl w:val="1"/>
          <w:numId w:val="17"/>
        </w:numPr>
        <w:tabs>
          <w:tab w:pos="1739" w:val="left" w:leader="none"/>
          <w:tab w:pos="1740" w:val="left" w:leader="none"/>
        </w:tabs>
        <w:spacing w:line="240" w:lineRule="auto" w:before="0" w:after="0"/>
        <w:ind w:left="1740" w:right="195" w:hanging="360"/>
        <w:jc w:val="left"/>
        <w:rPr>
          <w:sz w:val="24"/>
        </w:rPr>
      </w:pPr>
      <w:r>
        <w:rPr>
          <w:sz w:val="24"/>
        </w:rPr>
        <w:t>Positions established and funded from moneys appropriated pursuant to </w:t>
      </w:r>
      <w:hyperlink r:id="rId71">
        <w:r>
          <w:rPr>
            <w:color w:val="0000FF"/>
            <w:sz w:val="24"/>
            <w:u w:val="single" w:color="0000FF"/>
          </w:rPr>
          <w:t>Sections 221 and 221.1 </w:t>
        </w:r>
      </w:hyperlink>
      <w:r>
        <w:rPr>
          <w:sz w:val="24"/>
        </w:rPr>
        <w:t>of the Food and Agriculture Code which directly respond to unforeseen agricultural circumstances requiring the relative expertise that the position</w:t>
      </w:r>
      <w:r>
        <w:rPr>
          <w:spacing w:val="-17"/>
          <w:sz w:val="24"/>
        </w:rPr>
        <w:t> </w:t>
      </w:r>
      <w:r>
        <w:rPr>
          <w:sz w:val="24"/>
        </w:rPr>
        <w:t>provides.</w:t>
      </w:r>
    </w:p>
    <w:p>
      <w:pPr>
        <w:pStyle w:val="BodyText"/>
      </w:pPr>
    </w:p>
    <w:p>
      <w:pPr>
        <w:pStyle w:val="BodyText"/>
        <w:ind w:left="120" w:right="268"/>
      </w:pPr>
      <w:r>
        <w:rPr/>
        <w:t>Departments must prepare a Change in Established Positions, </w:t>
      </w:r>
      <w:hyperlink r:id="rId67">
        <w:r>
          <w:rPr>
            <w:color w:val="0000FF"/>
            <w:u w:val="single" w:color="0000FF"/>
          </w:rPr>
          <w:t>STD 607 </w:t>
        </w:r>
      </w:hyperlink>
      <w:r>
        <w:rPr/>
        <w:t>form, for each position to be reestablished for one or more of the above criteria. The </w:t>
      </w:r>
      <w:hyperlink r:id="rId69">
        <w:r>
          <w:rPr>
            <w:color w:val="0000FF"/>
            <w:u w:val="single" w:color="0000FF"/>
          </w:rPr>
          <w:t>SCO </w:t>
        </w:r>
      </w:hyperlink>
      <w:r>
        <w:rPr/>
        <w:t>must receive the STD 607 form no later than 5:00 p.m. on August 15. STD 607 forms received after August 15 will be returned to the department instructing them to obtain approval to reestablish the position(s) from Finance. These documents must be received by Finance no later than September 10.</w:t>
      </w:r>
    </w:p>
    <w:p>
      <w:pPr>
        <w:pStyle w:val="BodyText"/>
        <w:spacing w:before="11"/>
        <w:rPr>
          <w:sz w:val="23"/>
        </w:rPr>
      </w:pPr>
    </w:p>
    <w:p>
      <w:pPr>
        <w:pStyle w:val="BodyText"/>
        <w:ind w:left="120" w:right="214"/>
      </w:pPr>
      <w:r>
        <w:rPr/>
        <w:t>STD 607 documents submitted from July 1 through August 15 to reestablish self- certified positions must include the alpha letter “Z” preceding the document number.</w:t>
      </w:r>
    </w:p>
    <w:p>
      <w:pPr>
        <w:pStyle w:val="BodyText"/>
        <w:spacing w:before="11"/>
        <w:rPr>
          <w:sz w:val="23"/>
        </w:rPr>
      </w:pPr>
    </w:p>
    <w:p>
      <w:pPr>
        <w:pStyle w:val="BodyText"/>
        <w:ind w:left="120" w:right="123"/>
      </w:pPr>
      <w:r>
        <w:rPr/>
        <w:t>Departments must add the approved position(s) back on the Schedule 8 and 7A that are self-certified positions that are reestablished by </w:t>
      </w:r>
      <w:hyperlink r:id="rId69">
        <w:r>
          <w:rPr>
            <w:color w:val="0000FF"/>
            <w:u w:val="single" w:color="0000FF"/>
          </w:rPr>
          <w:t>SCO </w:t>
        </w:r>
      </w:hyperlink>
      <w:r>
        <w:rPr/>
        <w:t>or subsequently approved by Finance.</w:t>
      </w:r>
    </w:p>
    <w:p>
      <w:pPr>
        <w:spacing w:after="0"/>
        <w:sectPr>
          <w:pgSz w:w="12240" w:h="15840"/>
          <w:pgMar w:header="724" w:footer="792" w:top="980" w:bottom="980" w:left="1320" w:right="1320"/>
        </w:sectPr>
      </w:pPr>
    </w:p>
    <w:p>
      <w:pPr>
        <w:pStyle w:val="BodyText"/>
        <w:rPr>
          <w:sz w:val="20"/>
        </w:rPr>
      </w:pPr>
    </w:p>
    <w:p>
      <w:pPr>
        <w:pStyle w:val="BodyText"/>
        <w:spacing w:before="214"/>
        <w:ind w:left="119" w:right="95"/>
      </w:pPr>
      <w:r>
        <w:rPr/>
        <w:t>In addition, each department shall maintain for future independent audit, all records on which the department relied in determining that any position or positions satisfied one or more of the criteria specified above.</w:t>
      </w:r>
    </w:p>
    <w:p>
      <w:pPr>
        <w:pStyle w:val="BodyText"/>
      </w:pPr>
    </w:p>
    <w:p>
      <w:pPr>
        <w:pStyle w:val="BodyText"/>
        <w:ind w:left="119"/>
      </w:pPr>
      <w:r>
        <w:rPr/>
        <w:t>(Continued)</w:t>
      </w:r>
    </w:p>
    <w:p>
      <w:pPr>
        <w:spacing w:after="0"/>
        <w:sectPr>
          <w:pgSz w:w="12240" w:h="15840"/>
          <w:pgMar w:header="724" w:footer="792" w:top="980" w:bottom="980" w:left="1320" w:right="1360"/>
        </w:sectPr>
      </w:pPr>
    </w:p>
    <w:p>
      <w:pPr>
        <w:pStyle w:val="BodyText"/>
        <w:rPr>
          <w:sz w:val="20"/>
        </w:rPr>
      </w:pPr>
    </w:p>
    <w:p>
      <w:pPr>
        <w:pStyle w:val="BodyText"/>
        <w:spacing w:before="214"/>
        <w:ind w:left="119"/>
      </w:pPr>
      <w:r>
        <w:rPr/>
        <w:t>(Continued)</w:t>
      </w:r>
    </w:p>
    <w:p>
      <w:pPr>
        <w:tabs>
          <w:tab w:pos="7946" w:val="left" w:leader="none"/>
        </w:tabs>
        <w:spacing w:before="0"/>
        <w:ind w:left="119" w:right="0" w:firstLine="0"/>
        <w:jc w:val="left"/>
        <w:rPr>
          <w:sz w:val="24"/>
        </w:rPr>
      </w:pPr>
      <w:r>
        <w:rPr>
          <w:b/>
          <w:sz w:val="24"/>
        </w:rPr>
        <w:t>VACANT</w:t>
      </w:r>
      <w:r>
        <w:rPr>
          <w:b/>
          <w:spacing w:val="-2"/>
          <w:sz w:val="24"/>
        </w:rPr>
        <w:t> </w:t>
      </w:r>
      <w:r>
        <w:rPr>
          <w:b/>
          <w:sz w:val="24"/>
        </w:rPr>
        <w:t>POSITIONS</w:t>
      </w:r>
      <w:r>
        <w:rPr>
          <w:b/>
          <w:spacing w:val="-4"/>
          <w:sz w:val="24"/>
        </w:rPr>
        <w:t> </w:t>
      </w:r>
      <w:r>
        <w:rPr>
          <w:b/>
          <w:sz w:val="24"/>
        </w:rPr>
        <w:t>REPORT</w:t>
        <w:tab/>
        <w:t>6445 </w:t>
      </w:r>
      <w:r>
        <w:rPr>
          <w:sz w:val="24"/>
        </w:rPr>
        <w:t>(Cont.</w:t>
      </w:r>
      <w:r>
        <w:rPr>
          <w:spacing w:val="-6"/>
          <w:sz w:val="24"/>
        </w:rPr>
        <w:t> </w:t>
      </w:r>
      <w:r>
        <w:rPr>
          <w:sz w:val="24"/>
        </w:rPr>
        <w:t>2)</w:t>
      </w:r>
    </w:p>
    <w:p>
      <w:pPr>
        <w:pStyle w:val="BodyText"/>
        <w:ind w:left="120"/>
      </w:pPr>
      <w:r>
        <w:rPr/>
        <w:t>(Revised 9/2010)</w:t>
      </w:r>
    </w:p>
    <w:p>
      <w:pPr>
        <w:pStyle w:val="BodyText"/>
      </w:pPr>
    </w:p>
    <w:p>
      <w:pPr>
        <w:pStyle w:val="BodyText"/>
        <w:ind w:left="120" w:right="135"/>
      </w:pPr>
      <w:r>
        <w:rPr/>
        <w:t>After August 15, the </w:t>
      </w:r>
      <w:hyperlink r:id="rId69">
        <w:r>
          <w:rPr>
            <w:color w:val="0000FF"/>
            <w:u w:val="single" w:color="0000FF"/>
          </w:rPr>
          <w:t>SCO </w:t>
        </w:r>
      </w:hyperlink>
      <w:r>
        <w:rPr/>
        <w:t>will update its position control system and prepare and submit a preliminary Abolished Vacant Position Report to Finance by September 10.</w:t>
      </w:r>
    </w:p>
    <w:p>
      <w:pPr>
        <w:pStyle w:val="BodyText"/>
      </w:pPr>
    </w:p>
    <w:p>
      <w:pPr>
        <w:spacing w:before="0"/>
        <w:ind w:left="120" w:right="0" w:firstLine="0"/>
        <w:jc w:val="left"/>
        <w:rPr>
          <w:sz w:val="24"/>
        </w:rPr>
      </w:pPr>
      <w:r>
        <w:rPr>
          <w:b/>
          <w:sz w:val="24"/>
        </w:rPr>
        <w:t>Additional reestablishment circumstances</w:t>
      </w:r>
      <w:r>
        <w:rPr>
          <w:sz w:val="24"/>
        </w:rPr>
        <w:t>. Upon written request by departments, Finance may also approve the reestablishment of positions in the following circumstances:</w:t>
      </w:r>
    </w:p>
    <w:p>
      <w:pPr>
        <w:pStyle w:val="BodyText"/>
      </w:pPr>
    </w:p>
    <w:p>
      <w:pPr>
        <w:pStyle w:val="BodyText"/>
        <w:spacing w:line="293" w:lineRule="exact"/>
        <w:ind w:left="480"/>
      </w:pPr>
      <w:r>
        <w:rPr>
          <w:rFonts w:ascii="Symbol" w:hAnsi="Symbol"/>
          <w:strike/>
          <w:color w:val="2E97D3"/>
        </w:rPr>
        <w:t></w:t>
      </w:r>
      <w:r>
        <w:rPr>
          <w:strike w:val="0"/>
          <w:color w:val="2E97D3"/>
          <w:u w:val="single" w:color="2E97D3"/>
        </w:rPr>
        <w:t>1. </w:t>
      </w:r>
      <w:r>
        <w:rPr>
          <w:strike w:val="0"/>
        </w:rPr>
        <w:t>A hiring freeze was in effect during part or all of the six consecutive pay periods.</w:t>
      </w:r>
    </w:p>
    <w:p>
      <w:pPr>
        <w:pStyle w:val="BodyText"/>
        <w:spacing w:line="274" w:lineRule="exact" w:before="21"/>
        <w:ind w:left="840" w:hanging="360"/>
      </w:pPr>
      <w:r>
        <w:rPr>
          <w:rFonts w:ascii="Symbol" w:hAnsi="Symbol"/>
          <w:strike/>
          <w:color w:val="2E97D3"/>
        </w:rPr>
        <w:t></w:t>
      </w:r>
      <w:r>
        <w:rPr>
          <w:strike w:val="0"/>
          <w:color w:val="2E97D3"/>
          <w:u w:val="single" w:color="2E97D3"/>
        </w:rPr>
        <w:t>2. </w:t>
      </w:r>
      <w:r>
        <w:rPr>
          <w:strike w:val="0"/>
        </w:rPr>
        <w:t>The department has diligently attempted to fill the position, but was unable to fill within six months.</w:t>
      </w:r>
    </w:p>
    <w:p>
      <w:pPr>
        <w:pStyle w:val="BodyText"/>
        <w:spacing w:line="276" w:lineRule="exact" w:before="17"/>
        <w:ind w:left="840" w:right="361" w:hanging="360"/>
      </w:pPr>
      <w:r>
        <w:rPr>
          <w:rFonts w:ascii="Symbol" w:hAnsi="Symbol"/>
          <w:strike/>
          <w:color w:val="2E97D3"/>
        </w:rPr>
        <w:t></w:t>
      </w:r>
      <w:r>
        <w:rPr>
          <w:strike w:val="0"/>
          <w:color w:val="2E97D3"/>
          <w:u w:val="single" w:color="2E97D3"/>
        </w:rPr>
        <w:t>3. </w:t>
      </w:r>
      <w:r>
        <w:rPr>
          <w:strike w:val="0"/>
        </w:rPr>
        <w:t>The position is designated as a management position and was held vacant pending the appointment of the director, or other chief executive officer, as part of the transition from one Governor to the succeeding Governor.</w:t>
      </w:r>
    </w:p>
    <w:p>
      <w:pPr>
        <w:pStyle w:val="BodyText"/>
        <w:spacing w:line="290" w:lineRule="exact"/>
        <w:ind w:left="480"/>
      </w:pPr>
      <w:r>
        <w:rPr>
          <w:rFonts w:ascii="Symbol" w:hAnsi="Symbol"/>
          <w:strike/>
          <w:color w:val="2E97D3"/>
        </w:rPr>
        <w:t></w:t>
      </w:r>
      <w:r>
        <w:rPr>
          <w:strike w:val="0"/>
          <w:color w:val="2E97D3"/>
          <w:u w:val="single" w:color="2E97D3"/>
        </w:rPr>
        <w:t>4. </w:t>
      </w:r>
      <w:r>
        <w:rPr>
          <w:strike w:val="0"/>
        </w:rPr>
        <w:t>The classification of the position is determined to be hard-to-fill.</w:t>
      </w:r>
    </w:p>
    <w:p>
      <w:pPr>
        <w:pStyle w:val="BodyText"/>
        <w:spacing w:line="293" w:lineRule="exact"/>
        <w:ind w:left="480"/>
      </w:pPr>
      <w:r>
        <w:rPr>
          <w:rFonts w:ascii="Symbol" w:hAnsi="Symbol"/>
          <w:strike/>
          <w:color w:val="2E97D3"/>
        </w:rPr>
        <w:t></w:t>
      </w:r>
      <w:r>
        <w:rPr>
          <w:strike w:val="0"/>
          <w:color w:val="2E97D3"/>
          <w:u w:val="single" w:color="2E97D3"/>
        </w:rPr>
        <w:t>5. </w:t>
      </w:r>
      <w:r>
        <w:rPr>
          <w:strike w:val="0"/>
        </w:rPr>
        <w:t>Late budget enactment contributed to the delay in filling of the positions.</w:t>
      </w:r>
    </w:p>
    <w:p>
      <w:pPr>
        <w:pStyle w:val="BodyText"/>
        <w:spacing w:before="6"/>
        <w:rPr>
          <w:sz w:val="15"/>
        </w:rPr>
      </w:pPr>
    </w:p>
    <w:p>
      <w:pPr>
        <w:pStyle w:val="BodyText"/>
        <w:spacing w:before="93"/>
        <w:ind w:left="120" w:right="148"/>
      </w:pPr>
      <w:r>
        <w:rPr/>
        <w:t>Departments may submit a </w:t>
      </w:r>
      <w:hyperlink r:id="rId67">
        <w:r>
          <w:rPr>
            <w:color w:val="0000FF"/>
            <w:u w:val="single" w:color="0000FF"/>
          </w:rPr>
          <w:t>STD 607 </w:t>
        </w:r>
      </w:hyperlink>
      <w:r>
        <w:rPr/>
        <w:t>at any time during the year to their Finance budget analyst requesting reestablishment of a position under one or more of the above. The request must include complete justification regarding the specifics of the circumstances surrounding the abolishment of the position and rationale/need for reestablishment.</w:t>
      </w:r>
    </w:p>
    <w:p>
      <w:pPr>
        <w:pStyle w:val="BodyText"/>
        <w:ind w:left="120" w:right="1108"/>
      </w:pPr>
      <w:r>
        <w:rPr/>
        <w:t>When Finance approval is required, departments must not send any request to reestablish positions directly to the SCO.</w:t>
      </w:r>
    </w:p>
    <w:p>
      <w:pPr>
        <w:pStyle w:val="BodyText"/>
        <w:spacing w:before="11"/>
        <w:rPr>
          <w:sz w:val="23"/>
        </w:rPr>
      </w:pPr>
    </w:p>
    <w:p>
      <w:pPr>
        <w:pStyle w:val="BodyText"/>
        <w:ind w:left="120" w:right="699"/>
        <w:jc w:val="both"/>
      </w:pPr>
      <w:r>
        <w:rPr/>
        <w:t>All STD 607 forms must be processed by Finance to SCO prior to September 30 in order for the SCO to include the corrections in the Final Abolished Vacant Position Report that is submitted to the Legislature and Finance by October 15.</w:t>
      </w:r>
    </w:p>
    <w:p>
      <w:pPr>
        <w:pStyle w:val="BodyText"/>
        <w:spacing w:before="11"/>
        <w:rPr>
          <w:sz w:val="23"/>
        </w:rPr>
      </w:pPr>
    </w:p>
    <w:p>
      <w:pPr>
        <w:pStyle w:val="BodyText"/>
        <w:ind w:left="120" w:right="283"/>
      </w:pPr>
      <w:r>
        <w:rPr/>
        <w:t>Positions abolished by the SCO, under the provisions of GC section </w:t>
      </w:r>
      <w:hyperlink r:id="rId66">
        <w:r>
          <w:rPr>
            <w:color w:val="0000FF"/>
            <w:u w:val="single" w:color="0000FF"/>
          </w:rPr>
          <w:t>12439</w:t>
        </w:r>
      </w:hyperlink>
      <w:r>
        <w:rPr/>
        <w:t>, are not authorized and are not to appear on the Schedule 8 and 7A, unless specifically approved by Finance. Departments are to display the abolished positions at the end of the Schedule 7A after the Totals, Authorized Positions line. Positions are to be arranged in the same order they would have appeared in the Schedule 7A and under the appropriate organizational headings. The title to be used is Continuously Vacant Positions Abolished by SCO per Government Code Section </w:t>
      </w:r>
      <w:hyperlink r:id="rId66">
        <w:r>
          <w:rPr>
            <w:color w:val="0000FF"/>
            <w:u w:val="single" w:color="0000FF"/>
          </w:rPr>
          <w:t>12439</w:t>
        </w:r>
      </w:hyperlink>
      <w:r>
        <w:rPr/>
        <w:t>.</w:t>
      </w:r>
    </w:p>
    <w:p>
      <w:pPr>
        <w:spacing w:after="0"/>
        <w:sectPr>
          <w:pgSz w:w="12240" w:h="15840"/>
          <w:pgMar w:header="724" w:footer="792" w:top="980" w:bottom="980" w:left="1320" w:right="1320"/>
        </w:sectPr>
      </w:pPr>
    </w:p>
    <w:p>
      <w:pPr>
        <w:pStyle w:val="BodyText"/>
        <w:rPr>
          <w:sz w:val="20"/>
        </w:rPr>
      </w:pPr>
    </w:p>
    <w:p>
      <w:pPr>
        <w:pStyle w:val="Heading2"/>
        <w:tabs>
          <w:tab w:pos="8947" w:val="left" w:leader="none"/>
        </w:tabs>
        <w:spacing w:before="214"/>
        <w:ind w:left="119"/>
      </w:pPr>
      <w:r>
        <w:rPr/>
        <w:t>PREPARATION OF SCHEDULE</w:t>
      </w:r>
      <w:r>
        <w:rPr>
          <w:spacing w:val="-8"/>
        </w:rPr>
        <w:t> </w:t>
      </w:r>
      <w:r>
        <w:rPr/>
        <w:t>8</w:t>
      </w:r>
      <w:r>
        <w:rPr>
          <w:spacing w:val="-2"/>
        </w:rPr>
        <w:t> </w:t>
      </w:r>
      <w:r>
        <w:rPr/>
        <w:t>SUMMARY</w:t>
        <w:tab/>
        <w:t>6448</w:t>
      </w:r>
    </w:p>
    <w:p>
      <w:pPr>
        <w:pStyle w:val="BodyText"/>
        <w:ind w:left="119"/>
      </w:pPr>
      <w:r>
        <w:rPr/>
        <w:t>(Revised 9/2010)</w:t>
      </w:r>
    </w:p>
    <w:p>
      <w:pPr>
        <w:pStyle w:val="BodyText"/>
      </w:pPr>
    </w:p>
    <w:p>
      <w:pPr>
        <w:pStyle w:val="BodyText"/>
        <w:ind w:left="119" w:right="335"/>
      </w:pPr>
      <w:r>
        <w:rPr/>
        <w:t>The Schedule 8 consists of two parts, the summary and detailed tabulation. The instructions for the detailed listing are found in SAM sections </w:t>
      </w:r>
      <w:hyperlink r:id="rId54">
        <w:r>
          <w:rPr>
            <w:color w:val="0000FF"/>
            <w:u w:val="single" w:color="0000FF"/>
          </w:rPr>
          <w:t>6424, 6427, and 6429</w:t>
        </w:r>
      </w:hyperlink>
      <w:r>
        <w:rPr/>
        <w:t>, while the instructions for preparing the summary are provided below. The Schedule 8 acts as a payroll authorization for the current year, and an encumbrance document for posting to salaries and wages allotments as well as a source of information for Schedule 7A.  See SAM section </w:t>
      </w:r>
      <w:hyperlink r:id="rId54">
        <w:r>
          <w:rPr>
            <w:color w:val="0000FF"/>
            <w:u w:val="single" w:color="0000FF"/>
          </w:rPr>
          <w:t>6521</w:t>
        </w:r>
      </w:hyperlink>
      <w:r>
        <w:rPr/>
        <w:t>.</w:t>
      </w:r>
    </w:p>
    <w:p>
      <w:pPr>
        <w:pStyle w:val="BodyText"/>
        <w:spacing w:before="11"/>
        <w:rPr>
          <w:sz w:val="15"/>
        </w:rPr>
      </w:pPr>
    </w:p>
    <w:p>
      <w:pPr>
        <w:pStyle w:val="BodyText"/>
        <w:spacing w:before="92"/>
        <w:ind w:left="120" w:right="241"/>
      </w:pPr>
      <w:r>
        <w:rPr/>
        <w:t>The Schedule 8 Summary will be prepared on the Supplementary Schedule of Salaries and Wages form, </w:t>
      </w:r>
      <w:hyperlink r:id="rId72">
        <w:r>
          <w:rPr>
            <w:color w:val="0000FF"/>
            <w:u w:val="single" w:color="0000FF"/>
          </w:rPr>
          <w:t>STD. 33</w:t>
        </w:r>
      </w:hyperlink>
      <w:r>
        <w:rPr/>
        <w:t>, as follows:</w:t>
      </w:r>
    </w:p>
    <w:p>
      <w:pPr>
        <w:pStyle w:val="BodyText"/>
        <w:spacing w:before="10"/>
        <w:rPr>
          <w:sz w:val="15"/>
        </w:rPr>
      </w:pPr>
    </w:p>
    <w:p>
      <w:pPr>
        <w:pStyle w:val="ListParagraph"/>
        <w:numPr>
          <w:ilvl w:val="0"/>
          <w:numId w:val="18"/>
        </w:numPr>
        <w:tabs>
          <w:tab w:pos="480" w:val="left" w:leader="none"/>
        </w:tabs>
        <w:spacing w:line="240" w:lineRule="auto" w:before="93" w:after="0"/>
        <w:ind w:left="480" w:right="351" w:hanging="360"/>
        <w:jc w:val="left"/>
        <w:rPr>
          <w:sz w:val="24"/>
        </w:rPr>
      </w:pPr>
      <w:r>
        <w:rPr>
          <w:sz w:val="24"/>
        </w:rPr>
        <w:t>Using the total of each budget function from the Schedule 8 tabulation, enter the total number of personnel years for each of the three years (columns 8, 9, and 10), the total estimated expenditures for the current year for established positions in column 11, and total proposed expenditures for the budget year in column</w:t>
      </w:r>
      <w:r>
        <w:rPr>
          <w:spacing w:val="-42"/>
          <w:sz w:val="24"/>
        </w:rPr>
        <w:t> </w:t>
      </w:r>
      <w:r>
        <w:rPr>
          <w:sz w:val="24"/>
        </w:rPr>
        <w:t>13.</w:t>
      </w:r>
    </w:p>
    <w:p>
      <w:pPr>
        <w:pStyle w:val="ListParagraph"/>
        <w:numPr>
          <w:ilvl w:val="0"/>
          <w:numId w:val="18"/>
        </w:numPr>
        <w:tabs>
          <w:tab w:pos="480" w:val="left" w:leader="none"/>
        </w:tabs>
        <w:spacing w:line="242" w:lineRule="auto" w:before="196" w:after="0"/>
        <w:ind w:left="480" w:right="788" w:hanging="360"/>
        <w:jc w:val="left"/>
        <w:rPr>
          <w:sz w:val="24"/>
        </w:rPr>
      </w:pPr>
      <w:r>
        <w:rPr>
          <w:sz w:val="24"/>
        </w:rPr>
        <w:t>The total of column 11 should be used to encumber current year allotments for salaries and</w:t>
      </w:r>
      <w:r>
        <w:rPr>
          <w:spacing w:val="-10"/>
          <w:sz w:val="24"/>
        </w:rPr>
        <w:t> </w:t>
      </w:r>
      <w:r>
        <w:rPr>
          <w:sz w:val="24"/>
        </w:rPr>
        <w:t>wages.</w:t>
      </w:r>
    </w:p>
    <w:p>
      <w:pPr>
        <w:pStyle w:val="ListParagraph"/>
        <w:numPr>
          <w:ilvl w:val="0"/>
          <w:numId w:val="18"/>
        </w:numPr>
        <w:tabs>
          <w:tab w:pos="480" w:val="left" w:leader="none"/>
        </w:tabs>
        <w:spacing w:line="240" w:lineRule="auto" w:before="193" w:after="0"/>
        <w:ind w:left="480" w:right="200" w:hanging="360"/>
        <w:jc w:val="left"/>
        <w:rPr>
          <w:sz w:val="24"/>
        </w:rPr>
      </w:pPr>
      <w:r>
        <w:rPr>
          <w:sz w:val="24"/>
        </w:rPr>
        <w:t>Following each function total, an individual and newly authorized position in the Governor's Budget for the current year but not yet established is to be listed with the estimated expenditures for the current year inserted in column 12 and the proposed expenditures for the budget year in column 13. If a position has been authorized for over a year and is still unestablished, it is in effect a vacant position under the terms of Government Code section </w:t>
      </w:r>
      <w:hyperlink r:id="rId66">
        <w:r>
          <w:rPr>
            <w:color w:val="0000FF"/>
            <w:sz w:val="24"/>
            <w:u w:val="single" w:color="0000FF"/>
          </w:rPr>
          <w:t>12439 </w:t>
        </w:r>
      </w:hyperlink>
      <w:r>
        <w:rPr>
          <w:sz w:val="24"/>
        </w:rPr>
        <w:t>and may </w:t>
      </w:r>
      <w:r>
        <w:rPr>
          <w:b/>
          <w:sz w:val="24"/>
        </w:rPr>
        <w:t>not be added to </w:t>
      </w:r>
      <w:r>
        <w:rPr>
          <w:sz w:val="24"/>
        </w:rPr>
        <w:t>the Schedule 8 tabulation and the Schedule 7A as a plus adjustment to increase the total of authorized positions and so continued as an authorization. Such positions may not be established, but are to be listed as part of the reconciliation in step 5 below. The exceptions are those positions that can be re-established under specified criteria as listed in Government Code</w:t>
      </w:r>
      <w:r>
        <w:rPr>
          <w:spacing w:val="-14"/>
          <w:sz w:val="24"/>
        </w:rPr>
        <w:t> </w:t>
      </w:r>
      <w:hyperlink r:id="rId66">
        <w:r>
          <w:rPr>
            <w:color w:val="0000FF"/>
            <w:sz w:val="24"/>
            <w:u w:val="single" w:color="0000FF"/>
          </w:rPr>
          <w:t>12439</w:t>
        </w:r>
      </w:hyperlink>
      <w:r>
        <w:rPr>
          <w:sz w:val="24"/>
        </w:rPr>
        <w:t>.</w:t>
      </w:r>
    </w:p>
    <w:p>
      <w:pPr>
        <w:pStyle w:val="ListParagraph"/>
        <w:numPr>
          <w:ilvl w:val="0"/>
          <w:numId w:val="18"/>
        </w:numPr>
        <w:tabs>
          <w:tab w:pos="480" w:val="left" w:leader="none"/>
        </w:tabs>
        <w:spacing w:line="240" w:lineRule="auto" w:before="199" w:after="0"/>
        <w:ind w:left="480" w:right="214" w:hanging="360"/>
        <w:jc w:val="left"/>
        <w:rPr>
          <w:sz w:val="24"/>
        </w:rPr>
      </w:pPr>
      <w:r>
        <w:rPr>
          <w:sz w:val="24"/>
        </w:rPr>
        <w:t>Following function totals, insert information regarding blanket position expenditures for the past year (columns 6 and 7), and estimated expenditures for the current year (column 12), and the budget year (column 13).  This is not the normal use of columns 6 and</w:t>
      </w:r>
      <w:r>
        <w:rPr>
          <w:spacing w:val="-5"/>
          <w:sz w:val="24"/>
        </w:rPr>
        <w:t> </w:t>
      </w:r>
      <w:r>
        <w:rPr>
          <w:sz w:val="24"/>
        </w:rPr>
        <w:t>7.</w:t>
      </w:r>
    </w:p>
    <w:p>
      <w:pPr>
        <w:pStyle w:val="BodyText"/>
        <w:spacing w:before="197"/>
        <w:ind w:left="120"/>
      </w:pPr>
      <w:r>
        <w:rPr/>
        <w:t>(Continued)</w:t>
      </w:r>
    </w:p>
    <w:p>
      <w:pPr>
        <w:spacing w:after="0"/>
        <w:sectPr>
          <w:pgSz w:w="12240" w:h="15840"/>
          <w:pgMar w:header="724" w:footer="792" w:top="980" w:bottom="980" w:left="1320" w:right="1320"/>
        </w:sectPr>
      </w:pPr>
    </w:p>
    <w:p>
      <w:pPr>
        <w:pStyle w:val="BodyText"/>
        <w:rPr>
          <w:sz w:val="20"/>
        </w:rPr>
      </w:pPr>
      <w:r>
        <w:rPr/>
        <w:pict>
          <v:line style="position:absolute;mso-position-horizontal-relative:page;mso-position-vertical-relative:page;z-index:9664" from="36.360001pt,742.200012pt" to="36.360001pt,756.000012pt" stroked="true" strokeweight=".72pt" strokecolor="#000000">
            <v:stroke dashstyle="solid"/>
            <w10:wrap type="none"/>
          </v:line>
        </w:pict>
      </w:r>
    </w:p>
    <w:p>
      <w:pPr>
        <w:pStyle w:val="BodyText"/>
        <w:spacing w:before="214"/>
        <w:ind w:left="820"/>
      </w:pPr>
      <w:r>
        <w:rPr/>
        <w:t>(Continued)</w:t>
      </w:r>
    </w:p>
    <w:p>
      <w:pPr>
        <w:pStyle w:val="Heading2"/>
        <w:tabs>
          <w:tab w:pos="8646" w:val="left" w:leader="none"/>
        </w:tabs>
        <w:ind w:left="819"/>
        <w:rPr>
          <w:b w:val="0"/>
        </w:rPr>
      </w:pPr>
      <w:r>
        <w:rPr/>
        <w:t>PREPARATION OF SCHEDULE</w:t>
      </w:r>
      <w:r>
        <w:rPr>
          <w:spacing w:val="-8"/>
        </w:rPr>
        <w:t> </w:t>
      </w:r>
      <w:r>
        <w:rPr/>
        <w:t>8</w:t>
      </w:r>
      <w:r>
        <w:rPr>
          <w:spacing w:val="-2"/>
        </w:rPr>
        <w:t> </w:t>
      </w:r>
      <w:r>
        <w:rPr/>
        <w:t>SUMMARY</w:t>
        <w:tab/>
        <w:t>6448 </w:t>
      </w:r>
      <w:r>
        <w:rPr>
          <w:b w:val="0"/>
        </w:rPr>
        <w:t>(Cont.</w:t>
      </w:r>
      <w:r>
        <w:rPr>
          <w:b w:val="0"/>
          <w:spacing w:val="-6"/>
        </w:rPr>
        <w:t> </w:t>
      </w:r>
      <w:r>
        <w:rPr>
          <w:b w:val="0"/>
        </w:rPr>
        <w:t>1)</w:t>
      </w:r>
    </w:p>
    <w:p>
      <w:pPr>
        <w:pStyle w:val="BodyText"/>
        <w:ind w:left="820"/>
      </w:pPr>
      <w:r>
        <w:rPr/>
        <w:t>(Revised 9/2010)</w:t>
      </w:r>
    </w:p>
    <w:p>
      <w:pPr>
        <w:pStyle w:val="BodyText"/>
      </w:pPr>
    </w:p>
    <w:p>
      <w:pPr>
        <w:pStyle w:val="ListParagraph"/>
        <w:numPr>
          <w:ilvl w:val="0"/>
          <w:numId w:val="18"/>
        </w:numPr>
        <w:tabs>
          <w:tab w:pos="1180" w:val="left" w:leader="none"/>
        </w:tabs>
        <w:spacing w:line="240" w:lineRule="auto" w:before="0" w:after="0"/>
        <w:ind w:left="1180" w:right="121" w:hanging="360"/>
        <w:jc w:val="left"/>
        <w:rPr>
          <w:sz w:val="24"/>
        </w:rPr>
      </w:pPr>
      <w:r>
        <w:rPr>
          <w:sz w:val="24"/>
        </w:rPr>
        <w:t>At the end of the Schedule 8 Summary, set forth a reconciliation of the total positions shown in column 9, to the current year printed budget as amended by the list of Legislative changes (Final Change Book). Differences in the number of positions in any function or program should be explained with reference to the supporting </w:t>
      </w:r>
      <w:hyperlink r:id="rId67">
        <w:r>
          <w:rPr>
            <w:color w:val="0000FF"/>
            <w:sz w:val="24"/>
            <w:u w:val="single" w:color="0000FF"/>
          </w:rPr>
          <w:t>STD. </w:t>
        </w:r>
      </w:hyperlink>
      <w:hyperlink r:id="rId67">
        <w:r>
          <w:rPr>
            <w:color w:val="0000FF"/>
            <w:sz w:val="24"/>
            <w:u w:val="single" w:color="0000FF"/>
          </w:rPr>
          <w:t>607</w:t>
        </w:r>
      </w:hyperlink>
      <w:r>
        <w:rPr>
          <w:sz w:val="24"/>
        </w:rPr>
        <w:t>, or as vacant positions abolished by the State Controller’s Office (SCO), unestablished positions abolished as vacant (see paragraph 3 above), limited-term positions expired, or proposed new positions not yet</w:t>
      </w:r>
      <w:r>
        <w:rPr>
          <w:spacing w:val="-32"/>
          <w:sz w:val="24"/>
        </w:rPr>
        <w:t> </w:t>
      </w:r>
      <w:r>
        <w:rPr>
          <w:sz w:val="24"/>
        </w:rPr>
        <w:t>established.</w:t>
      </w:r>
    </w:p>
    <w:p>
      <w:pPr>
        <w:pStyle w:val="ListParagraph"/>
        <w:numPr>
          <w:ilvl w:val="0"/>
          <w:numId w:val="18"/>
        </w:numPr>
        <w:tabs>
          <w:tab w:pos="1180" w:val="left" w:leader="none"/>
        </w:tabs>
        <w:spacing w:line="240" w:lineRule="auto" w:before="197" w:after="0"/>
        <w:ind w:left="1180" w:right="322" w:hanging="360"/>
        <w:jc w:val="left"/>
        <w:rPr>
          <w:sz w:val="24"/>
        </w:rPr>
      </w:pPr>
      <w:r>
        <w:rPr>
          <w:sz w:val="24"/>
        </w:rPr>
        <w:t>Upon completion of the above, send the original and one copy of the Schedule 8 prepared by the SCO, the List of Errors, and STD. 33, to Finance as part of the agency budget request.  The remaining copies may be retained by the</w:t>
      </w:r>
      <w:r>
        <w:rPr>
          <w:spacing w:val="-37"/>
          <w:sz w:val="24"/>
        </w:rPr>
        <w:t> </w:t>
      </w:r>
      <w:r>
        <w:rPr>
          <w:sz w:val="24"/>
        </w:rPr>
        <w:t>department.</w:t>
      </w:r>
    </w:p>
    <w:p>
      <w:pPr>
        <w:pStyle w:val="BodyText"/>
        <w:rPr>
          <w:sz w:val="26"/>
        </w:rPr>
      </w:pPr>
    </w:p>
    <w:p>
      <w:pPr>
        <w:pStyle w:val="BodyText"/>
        <w:spacing w:before="2"/>
        <w:rPr>
          <w:sz w:val="36"/>
        </w:rPr>
      </w:pPr>
    </w:p>
    <w:p>
      <w:pPr>
        <w:pStyle w:val="Heading2"/>
        <w:tabs>
          <w:tab w:pos="9647" w:val="left" w:leader="none"/>
        </w:tabs>
        <w:ind w:left="820"/>
      </w:pPr>
      <w:r>
        <w:rPr/>
        <w:pict>
          <v:line style="position:absolute;mso-position-horizontal-relative:page;mso-position-vertical-relative:paragraph;z-index:-463072" from="315.359985pt,8.435873pt" to="318.719985pt,8.435873pt" stroked="true" strokeweight=".6pt" strokecolor="#2e97d3">
            <v:stroke dashstyle="solid"/>
            <w10:wrap type="none"/>
          </v:line>
        </w:pict>
      </w:r>
      <w:r>
        <w:rPr/>
        <w:pict>
          <v:line style="position:absolute;mso-position-horizontal-relative:page;mso-position-vertical-relative:paragraph;z-index:9616" from="36.360001pt,.215873pt" to="36.360001pt,27.815873pt" stroked="true" strokeweight=".72pt" strokecolor="#000000">
            <v:stroke dashstyle="solid"/>
            <w10:wrap type="none"/>
          </v:line>
        </w:pict>
      </w:r>
      <w:r>
        <w:rPr/>
        <w:t>OPERATING EXPENSES</w:t>
      </w:r>
      <w:r>
        <w:rPr>
          <w:spacing w:val="-1"/>
        </w:rPr>
        <w:t> </w:t>
      </w:r>
      <w:r>
        <w:rPr>
          <w:spacing w:val="-3"/>
        </w:rPr>
        <w:t>AND </w:t>
      </w:r>
      <w:r>
        <w:rPr/>
        <w:t>EQUIPMENT</w:t>
        <w:tab/>
        <w:t>6451</w:t>
      </w:r>
    </w:p>
    <w:p>
      <w:pPr>
        <w:pStyle w:val="BodyText"/>
        <w:ind w:left="820"/>
      </w:pPr>
      <w:r>
        <w:rPr/>
        <w:t>(Revised </w:t>
      </w:r>
      <w:r>
        <w:rPr>
          <w:strike/>
          <w:color w:val="2E97D3"/>
        </w:rPr>
        <w:t>9/2010</w:t>
      </w:r>
      <w:r>
        <w:rPr>
          <w:strike w:val="0"/>
          <w:color w:val="2E97D3"/>
          <w:u w:val="single" w:color="2E97D3"/>
        </w:rPr>
        <w:t>10/2017</w:t>
      </w:r>
      <w:r>
        <w:rPr>
          <w:strike w:val="0"/>
        </w:rPr>
        <w:t>)</w:t>
      </w:r>
    </w:p>
    <w:p>
      <w:pPr>
        <w:pStyle w:val="BodyText"/>
        <w:spacing w:before="6"/>
        <w:rPr>
          <w:sz w:val="18"/>
        </w:rPr>
      </w:pPr>
    </w:p>
    <w:p>
      <w:pPr>
        <w:pStyle w:val="BodyText"/>
        <w:spacing w:before="92"/>
        <w:ind w:left="820" w:right="402"/>
        <w:jc w:val="both"/>
      </w:pPr>
      <w:r>
        <w:rPr/>
        <w:pict>
          <v:line style="position:absolute;mso-position-horizontal-relative:page;mso-position-vertical-relative:paragraph;z-index:9640" from="36.360001pt,4.815846pt" to="36.360001pt,209.415846pt" stroked="true" strokeweight=".72pt" strokecolor="#000000">
            <v:stroke dashstyle="solid"/>
            <w10:wrap type="none"/>
          </v:line>
        </w:pict>
      </w:r>
      <w:r>
        <w:rPr/>
        <w:t>Each department must prepare </w:t>
      </w:r>
      <w:r>
        <w:rPr>
          <w:strike/>
          <w:color w:val="2E97D3"/>
        </w:rPr>
        <w:t>departmental </w:t>
      </w:r>
      <w:r>
        <w:rPr>
          <w:strike w:val="0"/>
        </w:rPr>
        <w:t>supplementary schedules of the various items of operating </w:t>
      </w:r>
      <w:r>
        <w:rPr>
          <w:strike/>
          <w:color w:val="2E97D3"/>
        </w:rPr>
        <w:t>expenses</w:t>
      </w:r>
      <w:r>
        <w:rPr>
          <w:strike w:val="0"/>
          <w:color w:val="2E97D3"/>
          <w:u w:val="single" w:color="2E97D3"/>
        </w:rPr>
        <w:t>expense </w:t>
      </w:r>
      <w:r>
        <w:rPr>
          <w:strike w:val="0"/>
        </w:rPr>
        <w:t>and equipment needed to support the </w:t>
      </w:r>
      <w:r>
        <w:rPr>
          <w:strike/>
          <w:color w:val="2E97D3"/>
        </w:rPr>
        <w:t>proposed program</w:t>
      </w:r>
      <w:r>
        <w:rPr>
          <w:strike w:val="0"/>
          <w:color w:val="2E97D3"/>
          <w:u w:val="single" w:color="2E97D3"/>
        </w:rPr>
        <w:t>programs </w:t>
      </w:r>
      <w:r>
        <w:rPr>
          <w:strike w:val="0"/>
        </w:rPr>
        <w:t>of the department.</w:t>
      </w:r>
    </w:p>
    <w:p>
      <w:pPr>
        <w:pStyle w:val="BodyText"/>
        <w:spacing w:before="11"/>
        <w:rPr>
          <w:sz w:val="15"/>
        </w:rPr>
      </w:pPr>
    </w:p>
    <w:p>
      <w:pPr>
        <w:pStyle w:val="BodyText"/>
        <w:spacing w:before="92"/>
        <w:ind w:left="820" w:right="113"/>
      </w:pPr>
      <w:r>
        <w:rPr>
          <w:strike/>
          <w:color w:val="2E97D3"/>
        </w:rPr>
        <w:t>Although supplemental information is not printed in the budget, schedules </w:t>
      </w:r>
      <w:r>
        <w:rPr>
          <w:strike w:val="0"/>
          <w:color w:val="2E97D3"/>
          <w:u w:val="single" w:color="2E97D3"/>
        </w:rPr>
        <w:t>Schedules </w:t>
      </w:r>
      <w:r>
        <w:rPr>
          <w:strike w:val="0"/>
        </w:rPr>
        <w:t>must be prepared and </w:t>
      </w:r>
      <w:r>
        <w:rPr>
          <w:strike/>
          <w:color w:val="2E97D3"/>
        </w:rPr>
        <w:t>sent</w:t>
      </w:r>
      <w:r>
        <w:rPr>
          <w:strike w:val="0"/>
          <w:color w:val="2E97D3"/>
          <w:u w:val="single" w:color="2E97D3"/>
        </w:rPr>
        <w:t>furnished </w:t>
      </w:r>
      <w:r>
        <w:rPr>
          <w:strike w:val="0"/>
        </w:rPr>
        <w:t>to Finance per instructions issued in </w:t>
      </w:r>
      <w:r>
        <w:rPr>
          <w:strike w:val="0"/>
          <w:color w:val="2E97D3"/>
          <w:u w:val="single" w:color="2E97D3"/>
        </w:rPr>
        <w:t>a </w:t>
      </w:r>
      <w:r>
        <w:rPr>
          <w:strike w:val="0"/>
        </w:rPr>
        <w:t>Budget </w:t>
      </w:r>
      <w:r>
        <w:rPr>
          <w:strike/>
          <w:color w:val="2E97D3"/>
        </w:rPr>
        <w:t>Letters. Legible reproductions of working papers or automated tabulations may be used to complete the schedules. Departments should refer to the state’s Uniform Codes Manual (UCM) for the standard objects of expenditures. </w:t>
      </w:r>
      <w:r>
        <w:rPr>
          <w:strike w:val="0"/>
          <w:color w:val="2E97D3"/>
          <w:u w:val="single" w:color="2E97D3"/>
        </w:rPr>
        <w:t>Letter. </w:t>
      </w:r>
      <w:r>
        <w:rPr>
          <w:strike w:val="0"/>
        </w:rPr>
        <w:t>The Supplementary Schedule of Operating Expenses and Equipment (</w:t>
      </w:r>
      <w:r>
        <w:rPr>
          <w:strike/>
          <w:color w:val="2E97D3"/>
          <w:u w:val="single" w:color="2E97D3"/>
        </w:rPr>
        <w:t>DF 300</w:t>
      </w:r>
      <w:hyperlink r:id="rId74">
        <w:r>
          <w:rPr>
            <w:strike w:val="0"/>
            <w:color w:val="2E97D3"/>
            <w:u w:val="single" w:color="2E97D3"/>
          </w:rPr>
          <w:t>DF 300</w:t>
        </w:r>
      </w:hyperlink>
      <w:r>
        <w:rPr>
          <w:strike w:val="0"/>
        </w:rPr>
        <w:t>), and the Supplementary Schedule of Equipment, (</w:t>
      </w:r>
      <w:r>
        <w:rPr>
          <w:strike/>
          <w:color w:val="2E97D3"/>
          <w:u w:val="single" w:color="2E97D3"/>
        </w:rPr>
        <w:t>DF 302</w:t>
      </w:r>
      <w:hyperlink r:id="rId74">
        <w:r>
          <w:rPr>
            <w:strike w:val="0"/>
            <w:color w:val="2E97D3"/>
            <w:u w:val="single" w:color="2E97D3"/>
          </w:rPr>
          <w:t>DF 302</w:t>
        </w:r>
      </w:hyperlink>
      <w:r>
        <w:rPr>
          <w:strike w:val="0"/>
        </w:rPr>
        <w:t>), are required from each department.</w:t>
      </w:r>
    </w:p>
    <w:p>
      <w:pPr>
        <w:spacing w:line="276" w:lineRule="auto" w:before="1"/>
        <w:ind w:left="820" w:right="631" w:firstLine="0"/>
        <w:jc w:val="left"/>
        <w:rPr>
          <w:sz w:val="22"/>
        </w:rPr>
      </w:pPr>
      <w:r>
        <w:rPr>
          <w:color w:val="2E97D3"/>
          <w:w w:val="100"/>
          <w:sz w:val="22"/>
          <w:u w:val="single" w:color="2E97D3"/>
        </w:rPr>
        <w:t> </w:t>
      </w:r>
      <w:r>
        <w:rPr>
          <w:color w:val="2E97D3"/>
          <w:sz w:val="22"/>
          <w:u w:val="single" w:color="2E97D3"/>
        </w:rPr>
        <w:t>The DF-300 report is available in FI$Cal (Hyperion) to assist departments in preparing this schedule.</w:t>
      </w:r>
    </w:p>
    <w:p>
      <w:pPr>
        <w:spacing w:after="0" w:line="276" w:lineRule="auto"/>
        <w:jc w:val="left"/>
        <w:rPr>
          <w:sz w:val="22"/>
        </w:rPr>
        <w:sectPr>
          <w:footerReference w:type="default" r:id="rId73"/>
          <w:pgSz w:w="12240" w:h="15840"/>
          <w:pgMar w:footer="792" w:header="724" w:top="980" w:bottom="980" w:left="620" w:right="1320"/>
        </w:sectPr>
      </w:pPr>
    </w:p>
    <w:p>
      <w:pPr>
        <w:pStyle w:val="BodyText"/>
        <w:rPr>
          <w:sz w:val="20"/>
        </w:rPr>
      </w:pPr>
    </w:p>
    <w:p>
      <w:pPr>
        <w:tabs>
          <w:tab w:pos="9647" w:val="left" w:leader="none"/>
        </w:tabs>
        <w:spacing w:before="214"/>
        <w:ind w:left="819" w:right="0" w:firstLine="0"/>
        <w:jc w:val="left"/>
        <w:rPr>
          <w:b/>
          <w:sz w:val="24"/>
        </w:rPr>
      </w:pPr>
      <w:r>
        <w:rPr>
          <w:b/>
          <w:sz w:val="24"/>
        </w:rPr>
        <w:t>SPACE ACTION REQUESTS CRUISE</w:t>
      </w:r>
      <w:r>
        <w:rPr>
          <w:b/>
          <w:spacing w:val="-5"/>
          <w:sz w:val="24"/>
        </w:rPr>
        <w:t> </w:t>
      </w:r>
      <w:r>
        <w:rPr>
          <w:b/>
          <w:sz w:val="24"/>
        </w:rPr>
        <w:t>(Form</w:t>
      </w:r>
      <w:r>
        <w:rPr>
          <w:b/>
          <w:spacing w:val="61"/>
          <w:sz w:val="24"/>
        </w:rPr>
        <w:t> </w:t>
      </w:r>
      <w:r>
        <w:rPr>
          <w:b/>
          <w:sz w:val="24"/>
        </w:rPr>
        <w:t>9)</w:t>
        <w:tab/>
        <w:t>6453</w:t>
      </w:r>
    </w:p>
    <w:p>
      <w:pPr>
        <w:pStyle w:val="BodyText"/>
        <w:ind w:left="819"/>
      </w:pPr>
      <w:r>
        <w:rPr/>
        <w:t>(Revised 6/2014)</w:t>
      </w:r>
    </w:p>
    <w:p>
      <w:pPr>
        <w:pStyle w:val="BodyText"/>
      </w:pPr>
    </w:p>
    <w:p>
      <w:pPr>
        <w:pStyle w:val="BodyText"/>
        <w:ind w:left="820" w:right="200"/>
      </w:pPr>
      <w:r>
        <w:rPr>
          <w:spacing w:val="-9"/>
        </w:rPr>
        <w:t>DGS’s </w:t>
      </w:r>
      <w:r>
        <w:rPr>
          <w:spacing w:val="-8"/>
        </w:rPr>
        <w:t>Real </w:t>
      </w:r>
      <w:r>
        <w:rPr>
          <w:spacing w:val="-9"/>
        </w:rPr>
        <w:t>Estate Leasing </w:t>
      </w:r>
      <w:r>
        <w:rPr>
          <w:spacing w:val="-7"/>
        </w:rPr>
        <w:t>and </w:t>
      </w:r>
      <w:r>
        <w:rPr>
          <w:spacing w:val="-9"/>
        </w:rPr>
        <w:t>Planning </w:t>
      </w:r>
      <w:r>
        <w:rPr>
          <w:spacing w:val="-10"/>
        </w:rPr>
        <w:t>Section </w:t>
      </w:r>
      <w:r>
        <w:rPr>
          <w:spacing w:val="-7"/>
        </w:rPr>
        <w:t>uses </w:t>
      </w:r>
      <w:r>
        <w:rPr/>
        <w:t>the Space Action Request (CRUISE Form 9), as part of the Form 10 package when required to obtain </w:t>
      </w:r>
      <w:hyperlink r:id="rId35">
        <w:r>
          <w:rPr>
            <w:color w:val="0000FF"/>
            <w:u w:val="single" w:color="0000FF"/>
          </w:rPr>
          <w:t>Department of</w:t>
        </w:r>
      </w:hyperlink>
      <w:r>
        <w:rPr>
          <w:color w:val="0000FF"/>
          <w:u w:val="single" w:color="0000FF"/>
        </w:rPr>
        <w:t> </w:t>
      </w:r>
      <w:hyperlink r:id="rId35">
        <w:r>
          <w:rPr>
            <w:color w:val="0000FF"/>
            <w:u w:val="single" w:color="0000FF"/>
          </w:rPr>
          <w:t>Finance (DOF) </w:t>
        </w:r>
      </w:hyperlink>
      <w:r>
        <w:rPr/>
        <w:t>approval.</w:t>
      </w:r>
    </w:p>
    <w:p>
      <w:pPr>
        <w:pStyle w:val="BodyText"/>
        <w:rPr>
          <w:sz w:val="21"/>
        </w:rPr>
      </w:pPr>
    </w:p>
    <w:p>
      <w:pPr>
        <w:pStyle w:val="BodyText"/>
        <w:spacing w:before="1"/>
        <w:ind w:left="820" w:right="113"/>
      </w:pPr>
      <w:r>
        <w:rPr/>
        <w:t>NOTE: Departments initially request RESD services via Global CRUISE, which is RESD’s online project initiation system. The Global CRUISE system should be used to request services such as:</w:t>
      </w:r>
    </w:p>
    <w:p>
      <w:pPr>
        <w:pStyle w:val="BodyText"/>
        <w:spacing w:before="230"/>
        <w:ind w:left="1540" w:right="319"/>
      </w:pPr>
      <w:r>
        <w:rPr/>
        <w:t>New or additional space (including swing space), lease extensions, or renewals desired by an agency in </w:t>
      </w:r>
      <w:r>
        <w:rPr>
          <w:b/>
        </w:rPr>
        <w:t>non-institutional </w:t>
      </w:r>
      <w:r>
        <w:rPr/>
        <w:t>buildings—whether state-owned or state-leased, relocatable buildings, and trailers.</w:t>
      </w:r>
    </w:p>
    <w:p>
      <w:pPr>
        <w:pStyle w:val="BodyText"/>
        <w:spacing w:before="6"/>
      </w:pPr>
    </w:p>
    <w:p>
      <w:pPr>
        <w:pStyle w:val="BodyText"/>
        <w:ind w:left="820" w:right="122"/>
      </w:pPr>
      <w:r>
        <w:rPr/>
        <w:t>If DOF approval is needed prior to proceeding with a new project, the requesting department with the assistance of the Real Estate Officer, prepares the CRUISE Form 9 and supporting documents for the Form10 package based on the data contained in the Global CRUISE summary.</w:t>
      </w:r>
    </w:p>
    <w:p>
      <w:pPr>
        <w:pStyle w:val="BodyText"/>
        <w:spacing w:before="198"/>
        <w:ind w:left="820" w:right="215"/>
      </w:pPr>
      <w:r>
        <w:rPr/>
        <w:t>DOF’s Review Requirements. A request is submitted to RESD via the Global CRUISE system.  DGS forwards a copy of the CRUISE Form 9 as part of the Form 10 package to the DOF Capital Outlay Unit for approval if any one of the following conditions exists:</w:t>
      </w:r>
    </w:p>
    <w:p>
      <w:pPr>
        <w:pStyle w:val="ListParagraph"/>
        <w:numPr>
          <w:ilvl w:val="0"/>
          <w:numId w:val="19"/>
        </w:numPr>
        <w:tabs>
          <w:tab w:pos="1180" w:val="left" w:leader="none"/>
        </w:tabs>
        <w:spacing w:line="240" w:lineRule="auto" w:before="119" w:after="0"/>
        <w:ind w:left="1180" w:right="605" w:hanging="360"/>
        <w:jc w:val="left"/>
        <w:rPr>
          <w:sz w:val="24"/>
        </w:rPr>
      </w:pPr>
      <w:r>
        <w:rPr>
          <w:sz w:val="24"/>
        </w:rPr>
        <w:t>Rental costs (excluding one-time costs) as determined by DGS are estimated to exceed $300,000 in any year of the firm term of a lease. Lease </w:t>
      </w:r>
      <w:r>
        <w:rPr>
          <w:b/>
          <w:sz w:val="24"/>
        </w:rPr>
        <w:t>renewals </w:t>
      </w:r>
      <w:r>
        <w:rPr>
          <w:sz w:val="24"/>
        </w:rPr>
        <w:t>are exempt from this requirement</w:t>
      </w:r>
      <w:r>
        <w:rPr>
          <w:spacing w:val="-37"/>
          <w:sz w:val="24"/>
        </w:rPr>
        <w:t> </w:t>
      </w:r>
      <w:r>
        <w:rPr>
          <w:sz w:val="24"/>
        </w:rPr>
        <w:t>unless:</w:t>
      </w:r>
    </w:p>
    <w:p>
      <w:pPr>
        <w:pStyle w:val="ListParagraph"/>
        <w:numPr>
          <w:ilvl w:val="1"/>
          <w:numId w:val="19"/>
        </w:numPr>
        <w:tabs>
          <w:tab w:pos="1640" w:val="left" w:leader="none"/>
          <w:tab w:pos="1641" w:val="left" w:leader="none"/>
        </w:tabs>
        <w:spacing w:line="240" w:lineRule="auto" w:before="119" w:after="0"/>
        <w:ind w:left="1640" w:right="0" w:hanging="460"/>
        <w:jc w:val="left"/>
        <w:rPr>
          <w:sz w:val="24"/>
        </w:rPr>
      </w:pPr>
      <w:r>
        <w:rPr>
          <w:sz w:val="24"/>
        </w:rPr>
        <w:t>A</w:t>
      </w:r>
      <w:r>
        <w:rPr>
          <w:spacing w:val="-3"/>
          <w:sz w:val="24"/>
        </w:rPr>
        <w:t> </w:t>
      </w:r>
      <w:r>
        <w:rPr>
          <w:sz w:val="24"/>
        </w:rPr>
        <w:t>ten</w:t>
      </w:r>
      <w:r>
        <w:rPr>
          <w:spacing w:val="-2"/>
          <w:sz w:val="24"/>
        </w:rPr>
        <w:t> </w:t>
      </w:r>
      <w:r>
        <w:rPr>
          <w:sz w:val="24"/>
        </w:rPr>
        <w:t>percent</w:t>
      </w:r>
      <w:r>
        <w:rPr>
          <w:spacing w:val="-8"/>
          <w:sz w:val="24"/>
        </w:rPr>
        <w:t> </w:t>
      </w:r>
      <w:r>
        <w:rPr>
          <w:sz w:val="24"/>
        </w:rPr>
        <w:t>or</w:t>
      </w:r>
      <w:r>
        <w:rPr>
          <w:spacing w:val="-2"/>
          <w:sz w:val="24"/>
        </w:rPr>
        <w:t> </w:t>
      </w:r>
      <w:r>
        <w:rPr>
          <w:sz w:val="24"/>
        </w:rPr>
        <w:t>greater</w:t>
      </w:r>
      <w:r>
        <w:rPr>
          <w:spacing w:val="-6"/>
          <w:sz w:val="24"/>
        </w:rPr>
        <w:t> </w:t>
      </w:r>
      <w:r>
        <w:rPr>
          <w:sz w:val="24"/>
        </w:rPr>
        <w:t>increase</w:t>
      </w:r>
      <w:r>
        <w:rPr>
          <w:spacing w:val="-7"/>
          <w:sz w:val="24"/>
        </w:rPr>
        <w:t> </w:t>
      </w:r>
      <w:r>
        <w:rPr>
          <w:sz w:val="24"/>
        </w:rPr>
        <w:t>in</w:t>
      </w:r>
      <w:r>
        <w:rPr>
          <w:spacing w:val="-5"/>
          <w:sz w:val="24"/>
        </w:rPr>
        <w:t> </w:t>
      </w:r>
      <w:r>
        <w:rPr>
          <w:sz w:val="24"/>
        </w:rPr>
        <w:t>space</w:t>
      </w:r>
      <w:r>
        <w:rPr>
          <w:spacing w:val="-5"/>
          <w:sz w:val="24"/>
        </w:rPr>
        <w:t> </w:t>
      </w:r>
      <w:r>
        <w:rPr>
          <w:sz w:val="24"/>
        </w:rPr>
        <w:t>is</w:t>
      </w:r>
      <w:r>
        <w:rPr>
          <w:spacing w:val="-3"/>
          <w:sz w:val="24"/>
        </w:rPr>
        <w:t> </w:t>
      </w:r>
      <w:r>
        <w:rPr>
          <w:sz w:val="24"/>
        </w:rPr>
        <w:t>requested;</w:t>
      </w:r>
      <w:r>
        <w:rPr>
          <w:spacing w:val="-10"/>
          <w:sz w:val="24"/>
        </w:rPr>
        <w:t> </w:t>
      </w:r>
      <w:r>
        <w:rPr>
          <w:sz w:val="24"/>
        </w:rPr>
        <w:t>or</w:t>
      </w:r>
    </w:p>
    <w:p>
      <w:pPr>
        <w:pStyle w:val="ListParagraph"/>
        <w:numPr>
          <w:ilvl w:val="1"/>
          <w:numId w:val="19"/>
        </w:numPr>
        <w:tabs>
          <w:tab w:pos="1640" w:val="left" w:leader="none"/>
          <w:tab w:pos="1641" w:val="left" w:leader="none"/>
        </w:tabs>
        <w:spacing w:line="240" w:lineRule="auto" w:before="119" w:after="0"/>
        <w:ind w:left="1640" w:right="0" w:hanging="460"/>
        <w:jc w:val="left"/>
        <w:rPr>
          <w:sz w:val="24"/>
        </w:rPr>
      </w:pPr>
      <w:r>
        <w:rPr>
          <w:sz w:val="24"/>
        </w:rPr>
        <w:t>The</w:t>
      </w:r>
      <w:r>
        <w:rPr>
          <w:spacing w:val="-4"/>
          <w:sz w:val="24"/>
        </w:rPr>
        <w:t> </w:t>
      </w:r>
      <w:r>
        <w:rPr>
          <w:sz w:val="24"/>
        </w:rPr>
        <w:t>department</w:t>
      </w:r>
      <w:r>
        <w:rPr>
          <w:spacing w:val="-12"/>
          <w:sz w:val="24"/>
        </w:rPr>
        <w:t> </w:t>
      </w:r>
      <w:r>
        <w:rPr>
          <w:sz w:val="24"/>
        </w:rPr>
        <w:t>will</w:t>
      </w:r>
      <w:r>
        <w:rPr>
          <w:spacing w:val="-6"/>
          <w:sz w:val="24"/>
        </w:rPr>
        <w:t> </w:t>
      </w:r>
      <w:r>
        <w:rPr>
          <w:sz w:val="24"/>
        </w:rPr>
        <w:t>propose</w:t>
      </w:r>
      <w:r>
        <w:rPr>
          <w:spacing w:val="-7"/>
          <w:sz w:val="24"/>
        </w:rPr>
        <w:t> </w:t>
      </w:r>
      <w:r>
        <w:rPr>
          <w:sz w:val="24"/>
        </w:rPr>
        <w:t>a</w:t>
      </w:r>
      <w:r>
        <w:rPr>
          <w:spacing w:val="-7"/>
          <w:sz w:val="24"/>
        </w:rPr>
        <w:t> </w:t>
      </w:r>
      <w:r>
        <w:rPr>
          <w:sz w:val="24"/>
        </w:rPr>
        <w:t>budget</w:t>
      </w:r>
      <w:r>
        <w:rPr>
          <w:spacing w:val="-10"/>
          <w:sz w:val="24"/>
        </w:rPr>
        <w:t> </w:t>
      </w:r>
      <w:r>
        <w:rPr>
          <w:sz w:val="24"/>
        </w:rPr>
        <w:t>augmentation</w:t>
      </w:r>
      <w:r>
        <w:rPr>
          <w:spacing w:val="-14"/>
          <w:sz w:val="24"/>
        </w:rPr>
        <w:t> </w:t>
      </w:r>
      <w:r>
        <w:rPr>
          <w:sz w:val="24"/>
        </w:rPr>
        <w:t>to</w:t>
      </w:r>
      <w:r>
        <w:rPr>
          <w:spacing w:val="-2"/>
          <w:sz w:val="24"/>
        </w:rPr>
        <w:t> </w:t>
      </w:r>
      <w:r>
        <w:rPr>
          <w:sz w:val="24"/>
        </w:rPr>
        <w:t>meet</w:t>
      </w:r>
      <w:r>
        <w:rPr>
          <w:spacing w:val="-7"/>
          <w:sz w:val="24"/>
        </w:rPr>
        <w:t> </w:t>
      </w:r>
      <w:r>
        <w:rPr>
          <w:sz w:val="24"/>
        </w:rPr>
        <w:t>rent</w:t>
      </w:r>
      <w:r>
        <w:rPr>
          <w:spacing w:val="-7"/>
          <w:sz w:val="24"/>
        </w:rPr>
        <w:t> </w:t>
      </w:r>
      <w:r>
        <w:rPr>
          <w:sz w:val="24"/>
        </w:rPr>
        <w:t>increases.</w:t>
      </w:r>
    </w:p>
    <w:p>
      <w:pPr>
        <w:pStyle w:val="ListParagraph"/>
        <w:numPr>
          <w:ilvl w:val="0"/>
          <w:numId w:val="19"/>
        </w:numPr>
        <w:tabs>
          <w:tab w:pos="1180" w:val="left" w:leader="none"/>
        </w:tabs>
        <w:spacing w:line="240" w:lineRule="auto" w:before="119" w:after="0"/>
        <w:ind w:left="1180" w:right="459" w:hanging="360"/>
        <w:jc w:val="left"/>
        <w:rPr>
          <w:sz w:val="24"/>
        </w:rPr>
      </w:pPr>
      <w:r>
        <w:rPr>
          <w:sz w:val="24"/>
        </w:rPr>
        <w:t>The department will require a budget augmentation for any year within the firm term of the proposed lease. In this respect, one-time costs, including moving, equipment, furniture, telephones, and data processing related costs, etc. must be considered.</w:t>
      </w:r>
    </w:p>
    <w:p>
      <w:pPr>
        <w:pStyle w:val="ListParagraph"/>
        <w:numPr>
          <w:ilvl w:val="0"/>
          <w:numId w:val="19"/>
        </w:numPr>
        <w:tabs>
          <w:tab w:pos="1180" w:val="left" w:leader="none"/>
        </w:tabs>
        <w:spacing w:line="240" w:lineRule="auto" w:before="119" w:after="0"/>
        <w:ind w:left="1180" w:right="0" w:hanging="360"/>
        <w:jc w:val="left"/>
        <w:rPr>
          <w:sz w:val="24"/>
        </w:rPr>
      </w:pPr>
      <w:r>
        <w:rPr>
          <w:sz w:val="24"/>
        </w:rPr>
        <w:t>The department (or DGS)</w:t>
      </w:r>
      <w:r>
        <w:rPr>
          <w:spacing w:val="-27"/>
          <w:sz w:val="24"/>
        </w:rPr>
        <w:t> </w:t>
      </w:r>
      <w:r>
        <w:rPr>
          <w:sz w:val="24"/>
        </w:rPr>
        <w:t>proposes:</w:t>
      </w:r>
    </w:p>
    <w:p>
      <w:pPr>
        <w:pStyle w:val="BodyText"/>
        <w:spacing w:before="120"/>
        <w:ind w:left="2260" w:hanging="360"/>
      </w:pPr>
      <w:r>
        <w:rPr>
          <w:strike/>
          <w:color w:val="2E97D3"/>
        </w:rPr>
        <w:t>a.</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A lease with a purchase option pursuant to Government Code Section </w:t>
      </w:r>
      <w:hyperlink r:id="rId76">
        <w:r>
          <w:rPr>
            <w:strike w:val="0"/>
            <w:color w:val="0000FF"/>
            <w:u w:val="single" w:color="0000FF"/>
          </w:rPr>
          <w:t>14669 (b);</w:t>
        </w:r>
      </w:hyperlink>
    </w:p>
    <w:p>
      <w:pPr>
        <w:pStyle w:val="BodyText"/>
        <w:spacing w:line="237" w:lineRule="auto" w:before="3"/>
        <w:ind w:left="2260" w:hanging="360"/>
      </w:pPr>
      <w:r>
        <w:rPr>
          <w:strike/>
          <w:color w:val="2E97D3"/>
        </w:rPr>
        <w:t>b.</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A lease-purchase (installment purchase) arrangement; note that a lease with a “bargain” purchase option is defined, for the purpose of this section, as a lease-purchase;</w:t>
      </w:r>
    </w:p>
    <w:p>
      <w:pPr>
        <w:pStyle w:val="BodyText"/>
        <w:spacing w:before="1"/>
        <w:ind w:left="2260" w:right="113" w:hanging="360"/>
      </w:pPr>
      <w:r>
        <w:rPr>
          <w:strike/>
          <w:color w:val="2E97D3"/>
        </w:rPr>
        <w:t>c.</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A lease which in any other fashion meets the definition of a capitalized lease per the Capital Outlay Section in SAM </w:t>
      </w:r>
      <w:hyperlink r:id="rId77">
        <w:r>
          <w:rPr>
            <w:strike w:val="0"/>
            <w:color w:val="0000FF"/>
            <w:u w:val="single" w:color="0000FF"/>
          </w:rPr>
          <w:t>8363</w:t>
        </w:r>
      </w:hyperlink>
      <w:r>
        <w:rPr>
          <w:strike w:val="0"/>
        </w:rPr>
        <w:t>.</w:t>
      </w:r>
    </w:p>
    <w:p>
      <w:pPr>
        <w:pStyle w:val="BodyText"/>
        <w:ind w:left="2260" w:hanging="360"/>
      </w:pPr>
      <w:r>
        <w:rPr>
          <w:strike/>
          <w:color w:val="2E97D3"/>
        </w:rPr>
        <w:t>d.</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A lease which must be noticed to the Legislature pursuant to Government Code Section </w:t>
      </w:r>
      <w:hyperlink r:id="rId78">
        <w:r>
          <w:rPr>
            <w:strike w:val="0"/>
            <w:color w:val="0000FF"/>
            <w:u w:val="single" w:color="0000FF"/>
          </w:rPr>
          <w:t>13332.10</w:t>
        </w:r>
      </w:hyperlink>
      <w:r>
        <w:rPr>
          <w:strike w:val="0"/>
        </w:rPr>
        <w:t>.</w:t>
      </w:r>
    </w:p>
    <w:p>
      <w:pPr>
        <w:pStyle w:val="BodyText"/>
        <w:spacing w:before="11"/>
        <w:rPr>
          <w:sz w:val="15"/>
        </w:rPr>
      </w:pPr>
    </w:p>
    <w:p>
      <w:pPr>
        <w:pStyle w:val="BodyText"/>
        <w:spacing w:before="92"/>
        <w:ind w:left="1180"/>
      </w:pPr>
      <w:r>
        <w:rPr/>
        <w:pict>
          <v:line style="position:absolute;mso-position-horizontal-relative:page;mso-position-vertical-relative:paragraph;z-index:9688" from="36.360001pt,4.815862pt" to="36.360001pt,18.615862pt" stroked="true" strokeweight=".72pt" strokecolor="#000000">
            <v:stroke dashstyle="solid"/>
            <w10:wrap type="none"/>
          </v:line>
        </w:pict>
      </w:r>
      <w:r>
        <w:rPr/>
        <w:t>(Continued)</w:t>
      </w:r>
    </w:p>
    <w:p>
      <w:pPr>
        <w:spacing w:after="0"/>
        <w:sectPr>
          <w:footerReference w:type="default" r:id="rId75"/>
          <w:pgSz w:w="12240" w:h="15840"/>
          <w:pgMar w:footer="792" w:header="724" w:top="980" w:bottom="980" w:left="620" w:right="1320"/>
        </w:sectPr>
      </w:pPr>
    </w:p>
    <w:p>
      <w:pPr>
        <w:pStyle w:val="BodyText"/>
        <w:rPr>
          <w:sz w:val="20"/>
        </w:rPr>
      </w:pPr>
    </w:p>
    <w:p>
      <w:pPr>
        <w:pStyle w:val="BodyText"/>
        <w:spacing w:before="214"/>
        <w:ind w:left="119"/>
      </w:pPr>
      <w:r>
        <w:rPr/>
        <w:t>(Continued)</w:t>
      </w:r>
    </w:p>
    <w:p>
      <w:pPr>
        <w:pStyle w:val="Heading2"/>
        <w:tabs>
          <w:tab w:pos="7946" w:val="left" w:leader="none"/>
        </w:tabs>
        <w:ind w:left="119"/>
        <w:rPr>
          <w:b w:val="0"/>
        </w:rPr>
      </w:pPr>
      <w:r>
        <w:rPr/>
        <w:t>SPACE ACTION REQUESTS CRUISE</w:t>
      </w:r>
      <w:r>
        <w:rPr>
          <w:spacing w:val="-6"/>
        </w:rPr>
        <w:t> </w:t>
      </w:r>
      <w:r>
        <w:rPr/>
        <w:t>(Form</w:t>
      </w:r>
      <w:r>
        <w:rPr>
          <w:spacing w:val="-4"/>
        </w:rPr>
        <w:t> </w:t>
      </w:r>
      <w:r>
        <w:rPr/>
        <w:t>9)</w:t>
        <w:tab/>
        <w:t>6453 </w:t>
      </w:r>
      <w:r>
        <w:rPr>
          <w:b w:val="0"/>
        </w:rPr>
        <w:t>(Cont.</w:t>
      </w:r>
      <w:r>
        <w:rPr>
          <w:b w:val="0"/>
          <w:spacing w:val="-6"/>
        </w:rPr>
        <w:t> </w:t>
      </w:r>
      <w:r>
        <w:rPr>
          <w:b w:val="0"/>
        </w:rPr>
        <w:t>1)</w:t>
      </w:r>
    </w:p>
    <w:p>
      <w:pPr>
        <w:pStyle w:val="BodyText"/>
        <w:ind w:left="120"/>
      </w:pPr>
      <w:r>
        <w:rPr/>
        <w:t>(Revised 6/2014)</w:t>
      </w:r>
    </w:p>
    <w:p>
      <w:pPr>
        <w:pStyle w:val="BodyText"/>
        <w:spacing w:before="2"/>
      </w:pPr>
    </w:p>
    <w:p>
      <w:pPr>
        <w:pStyle w:val="ListParagraph"/>
        <w:numPr>
          <w:ilvl w:val="0"/>
          <w:numId w:val="19"/>
        </w:numPr>
        <w:tabs>
          <w:tab w:pos="480" w:val="left" w:leader="none"/>
        </w:tabs>
        <w:spacing w:line="240" w:lineRule="auto" w:before="0" w:after="0"/>
        <w:ind w:left="120" w:right="291" w:firstLine="0"/>
        <w:jc w:val="left"/>
        <w:rPr>
          <w:sz w:val="24"/>
        </w:rPr>
      </w:pPr>
      <w:r>
        <w:rPr>
          <w:sz w:val="24"/>
        </w:rPr>
        <w:t>The DOF re-reviews any </w:t>
      </w:r>
      <w:r>
        <w:rPr>
          <w:spacing w:val="-3"/>
          <w:sz w:val="24"/>
        </w:rPr>
        <w:t>CRUISE </w:t>
      </w:r>
      <w:r>
        <w:rPr>
          <w:sz w:val="24"/>
        </w:rPr>
        <w:t>Form 9 or which costs significantly exceed the level originally indicated by DGS  and concurred with by DOF.  Thresholds for </w:t>
      </w:r>
      <w:r>
        <w:rPr>
          <w:spacing w:val="2"/>
          <w:sz w:val="24"/>
        </w:rPr>
        <w:t>re- </w:t>
      </w:r>
      <w:r>
        <w:rPr>
          <w:sz w:val="24"/>
        </w:rPr>
        <w:t>review are established by memorandum of understanding between DGS and</w:t>
      </w:r>
      <w:r>
        <w:rPr>
          <w:spacing w:val="-5"/>
          <w:sz w:val="24"/>
        </w:rPr>
        <w:t> </w:t>
      </w:r>
      <w:r>
        <w:rPr>
          <w:sz w:val="24"/>
        </w:rPr>
        <w:t>DOF.</w:t>
      </w:r>
    </w:p>
    <w:p>
      <w:pPr>
        <w:pStyle w:val="BodyText"/>
        <w:spacing w:before="196"/>
        <w:ind w:left="120" w:right="214"/>
      </w:pPr>
      <w:r>
        <w:rPr/>
        <w:t>Whenever a CRUISE Form 9 is submitted to DOF, it must be accompanied with an Estimate of Occupancy Costs form, STD. 10, prepared by DGS and reflecting DGS’ recommended space strategy. The STD. 10 provides a clear synopsis of the reasons  for the recommended move or other action; how the action is consistent with approved asset management plans; a schedule of estimated costs for each year of the expected term of the lease and a detailed breakdown of the estimated one-time costs and/or savings associated with the action; and </w:t>
      </w:r>
      <w:r>
        <w:rPr>
          <w:spacing w:val="2"/>
        </w:rPr>
        <w:t>any </w:t>
      </w:r>
      <w:r>
        <w:rPr/>
        <w:t>rent overlaps expected. In addition, an OREDS 4083 </w:t>
      </w:r>
      <w:r>
        <w:rPr>
          <w:spacing w:val="5"/>
        </w:rPr>
        <w:t>Space </w:t>
      </w:r>
      <w:r>
        <w:rPr>
          <w:spacing w:val="6"/>
        </w:rPr>
        <w:t>Planning </w:t>
      </w:r>
      <w:r>
        <w:rPr>
          <w:spacing w:val="4"/>
        </w:rPr>
        <w:t>Data Form </w:t>
      </w:r>
      <w:r>
        <w:rPr/>
        <w:t>must be submitted which provides information on employee classifications for the tenant department, type of space, and specifics on specialized space</w:t>
      </w:r>
      <w:r>
        <w:rPr>
          <w:spacing w:val="-17"/>
        </w:rPr>
        <w:t> </w:t>
      </w:r>
      <w:r>
        <w:rPr/>
        <w:t>needs.</w:t>
      </w:r>
    </w:p>
    <w:p>
      <w:pPr>
        <w:pStyle w:val="BodyText"/>
        <w:spacing w:before="232"/>
        <w:ind w:left="120" w:right="547"/>
      </w:pPr>
      <w:r>
        <w:rPr/>
        <w:t>For certain requests, DGS also prepares a separate economic analysis for DOF verifying that the selected method of procuring space (lease, lease-purchase, lease with purchase option) is the most cost effective, including a comparison with state construction.  The conditions of this analysis (i.e., for which projects, and the   content) are set by memorandum of understanding between DGS and </w:t>
      </w:r>
      <w:r>
        <w:rPr>
          <w:spacing w:val="20"/>
        </w:rPr>
        <w:t> </w:t>
      </w:r>
      <w:r>
        <w:rPr/>
        <w:t>DOF.</w:t>
      </w:r>
    </w:p>
    <w:p>
      <w:pPr>
        <w:pStyle w:val="BodyText"/>
        <w:spacing w:before="7"/>
        <w:rPr>
          <w:sz w:val="20"/>
        </w:rPr>
      </w:pPr>
    </w:p>
    <w:p>
      <w:pPr>
        <w:pStyle w:val="BodyText"/>
        <w:ind w:left="120"/>
      </w:pPr>
      <w:r>
        <w:rPr/>
        <w:t>The DOF’s review of CRUISE Form 9s consists of two parts:</w:t>
      </w:r>
    </w:p>
    <w:p>
      <w:pPr>
        <w:pStyle w:val="BodyText"/>
        <w:spacing w:before="9"/>
        <w:rPr>
          <w:sz w:val="20"/>
        </w:rPr>
      </w:pPr>
    </w:p>
    <w:p>
      <w:pPr>
        <w:pStyle w:val="ListParagraph"/>
        <w:numPr>
          <w:ilvl w:val="0"/>
          <w:numId w:val="20"/>
        </w:numPr>
        <w:tabs>
          <w:tab w:pos="480" w:val="left" w:leader="none"/>
        </w:tabs>
        <w:spacing w:line="242" w:lineRule="auto" w:before="1" w:after="0"/>
        <w:ind w:left="480" w:right="747" w:hanging="360"/>
        <w:jc w:val="left"/>
        <w:rPr>
          <w:sz w:val="24"/>
        </w:rPr>
      </w:pPr>
      <w:r>
        <w:rPr>
          <w:sz w:val="24"/>
        </w:rPr>
        <w:t>The Capital Outlay analyst reviews DGS’ analysis justifying the method of procuring </w:t>
      </w:r>
      <w:r>
        <w:rPr>
          <w:spacing w:val="2"/>
          <w:sz w:val="24"/>
        </w:rPr>
        <w:t>space </w:t>
      </w:r>
      <w:r>
        <w:rPr>
          <w:sz w:val="24"/>
        </w:rPr>
        <w:t>and the consistency with approved asset management</w:t>
      </w:r>
      <w:r>
        <w:rPr>
          <w:spacing w:val="47"/>
          <w:sz w:val="24"/>
        </w:rPr>
        <w:t> </w:t>
      </w:r>
      <w:r>
        <w:rPr>
          <w:sz w:val="24"/>
        </w:rPr>
        <w:t>plans.</w:t>
      </w:r>
    </w:p>
    <w:p>
      <w:pPr>
        <w:pStyle w:val="ListParagraph"/>
        <w:numPr>
          <w:ilvl w:val="0"/>
          <w:numId w:val="20"/>
        </w:numPr>
        <w:tabs>
          <w:tab w:pos="480" w:val="left" w:leader="none"/>
        </w:tabs>
        <w:spacing w:line="242" w:lineRule="auto" w:before="194" w:after="0"/>
        <w:ind w:left="480" w:right="337" w:hanging="360"/>
        <w:jc w:val="left"/>
        <w:rPr>
          <w:sz w:val="24"/>
        </w:rPr>
      </w:pPr>
      <w:r>
        <w:rPr>
          <w:sz w:val="24"/>
        </w:rPr>
        <w:t>The appropriate DOF support analyst determines whether the program assumptions for the space request are valid, including any possible future growth requirements.</w:t>
      </w:r>
    </w:p>
    <w:p>
      <w:pPr>
        <w:pStyle w:val="BodyText"/>
        <w:spacing w:before="194"/>
        <w:ind w:left="120" w:right="361"/>
      </w:pPr>
      <w:r>
        <w:rPr/>
        <w:t>The DOF Capital Outlay unit coordinates this review. The normal time frame for DOF review is </w:t>
      </w:r>
      <w:r>
        <w:rPr>
          <w:u w:val="single"/>
        </w:rPr>
        <w:t>less than </w:t>
      </w:r>
      <w:r>
        <w:rPr/>
        <w:t>30 days. Questions on the status of any space action request which has been forwarded to DOF should be directed to this unit.</w:t>
      </w:r>
    </w:p>
    <w:p>
      <w:pPr>
        <w:pStyle w:val="BodyText"/>
        <w:spacing w:before="5"/>
        <w:rPr>
          <w:sz w:val="21"/>
        </w:rPr>
      </w:pPr>
    </w:p>
    <w:p>
      <w:pPr>
        <w:tabs>
          <w:tab w:pos="4519" w:val="left" w:leader="none"/>
        </w:tabs>
        <w:spacing w:line="237" w:lineRule="auto" w:before="0"/>
        <w:ind w:left="119" w:right="361" w:firstLine="0"/>
        <w:jc w:val="left"/>
        <w:rPr>
          <w:sz w:val="24"/>
        </w:rPr>
      </w:pPr>
      <w:r>
        <w:rPr>
          <w:b/>
          <w:sz w:val="24"/>
        </w:rPr>
        <w:t>The DOF’s approval of </w:t>
      </w:r>
      <w:r>
        <w:rPr>
          <w:b/>
          <w:spacing w:val="12"/>
          <w:sz w:val="24"/>
        </w:rPr>
        <w:t>the </w:t>
      </w:r>
      <w:r>
        <w:rPr>
          <w:b/>
          <w:sz w:val="24"/>
        </w:rPr>
        <w:t>CRUISE Form 9 does not constitute approval of additional funding for any future rental increase or other costs related to the </w:t>
      </w:r>
      <w:r>
        <w:rPr>
          <w:b/>
          <w:spacing w:val="3"/>
          <w:sz w:val="24"/>
        </w:rPr>
        <w:t>CRUISE </w:t>
      </w:r>
      <w:r>
        <w:rPr>
          <w:b/>
          <w:sz w:val="24"/>
        </w:rPr>
        <w:t>Form </w:t>
      </w:r>
      <w:r>
        <w:rPr>
          <w:b/>
          <w:spacing w:val="4"/>
          <w:sz w:val="24"/>
        </w:rPr>
        <w:t>9</w:t>
      </w:r>
      <w:r>
        <w:rPr>
          <w:i/>
          <w:spacing w:val="4"/>
          <w:sz w:val="24"/>
        </w:rPr>
        <w:t>. </w:t>
      </w:r>
      <w:r>
        <w:rPr>
          <w:spacing w:val="8"/>
          <w:sz w:val="24"/>
        </w:rPr>
        <w:t>The </w:t>
      </w:r>
      <w:r>
        <w:rPr>
          <w:sz w:val="24"/>
        </w:rPr>
        <w:t>department may wish to coordinate the timing of space action requests with the budget process to avoid making commitments to new space prior to budgetary approval. Requests for a budget adjustment must be submitted as part of the normal budget</w:t>
      </w:r>
      <w:r>
        <w:rPr>
          <w:spacing w:val="-18"/>
          <w:sz w:val="24"/>
        </w:rPr>
        <w:t> </w:t>
      </w:r>
      <w:r>
        <w:rPr>
          <w:sz w:val="24"/>
        </w:rPr>
        <w:t>preparation</w:t>
      </w:r>
      <w:r>
        <w:rPr>
          <w:spacing w:val="-11"/>
          <w:sz w:val="24"/>
        </w:rPr>
        <w:t> </w:t>
      </w:r>
      <w:r>
        <w:rPr>
          <w:sz w:val="24"/>
        </w:rPr>
        <w:t>process.</w:t>
        <w:tab/>
        <w:t>Requirements are reviewed</w:t>
      </w:r>
      <w:r>
        <w:rPr>
          <w:spacing w:val="-33"/>
          <w:sz w:val="24"/>
        </w:rPr>
        <w:t> </w:t>
      </w:r>
      <w:r>
        <w:rPr>
          <w:sz w:val="24"/>
        </w:rPr>
        <w:t>below.</w:t>
      </w:r>
    </w:p>
    <w:p>
      <w:pPr>
        <w:pStyle w:val="BodyText"/>
        <w:spacing w:before="11"/>
        <w:rPr>
          <w:sz w:val="23"/>
        </w:rPr>
      </w:pPr>
    </w:p>
    <w:p>
      <w:pPr>
        <w:pStyle w:val="BodyText"/>
        <w:ind w:left="120"/>
      </w:pPr>
      <w:r>
        <w:rPr/>
        <w:t>(Continued)</w:t>
      </w:r>
    </w:p>
    <w:p>
      <w:pPr>
        <w:spacing w:after="0"/>
        <w:sectPr>
          <w:pgSz w:w="12240" w:h="15840"/>
          <w:pgMar w:header="724" w:footer="792" w:top="980" w:bottom="980" w:left="1320" w:right="1320"/>
        </w:sectPr>
      </w:pPr>
    </w:p>
    <w:p>
      <w:pPr>
        <w:pStyle w:val="BodyText"/>
        <w:rPr>
          <w:sz w:val="20"/>
        </w:rPr>
      </w:pPr>
    </w:p>
    <w:p>
      <w:pPr>
        <w:pStyle w:val="BodyText"/>
        <w:spacing w:before="214"/>
        <w:ind w:left="119"/>
      </w:pPr>
      <w:r>
        <w:rPr/>
        <w:t>(Continued)</w:t>
      </w:r>
    </w:p>
    <w:p>
      <w:pPr>
        <w:pStyle w:val="Heading2"/>
        <w:tabs>
          <w:tab w:pos="7946" w:val="left" w:leader="none"/>
        </w:tabs>
        <w:ind w:left="119"/>
        <w:rPr>
          <w:b w:val="0"/>
        </w:rPr>
      </w:pPr>
      <w:r>
        <w:rPr/>
        <w:t>SPACE ACTION REQUESTS CRUISE</w:t>
      </w:r>
      <w:r>
        <w:rPr>
          <w:spacing w:val="-6"/>
        </w:rPr>
        <w:t> </w:t>
      </w:r>
      <w:r>
        <w:rPr/>
        <w:t>(Form</w:t>
      </w:r>
      <w:r>
        <w:rPr>
          <w:spacing w:val="-4"/>
        </w:rPr>
        <w:t> </w:t>
      </w:r>
      <w:r>
        <w:rPr/>
        <w:t>9)</w:t>
        <w:tab/>
        <w:t>6453 </w:t>
      </w:r>
      <w:r>
        <w:rPr>
          <w:b w:val="0"/>
        </w:rPr>
        <w:t>(Cont.</w:t>
      </w:r>
      <w:r>
        <w:rPr>
          <w:b w:val="0"/>
          <w:spacing w:val="-6"/>
        </w:rPr>
        <w:t> </w:t>
      </w:r>
      <w:r>
        <w:rPr>
          <w:b w:val="0"/>
        </w:rPr>
        <w:t>2)</w:t>
      </w:r>
    </w:p>
    <w:p>
      <w:pPr>
        <w:pStyle w:val="BodyText"/>
        <w:ind w:left="119"/>
      </w:pPr>
      <w:r>
        <w:rPr/>
        <w:t>(Revised 6/2014)</w:t>
      </w:r>
    </w:p>
    <w:p>
      <w:pPr>
        <w:pStyle w:val="BodyText"/>
      </w:pPr>
    </w:p>
    <w:p>
      <w:pPr>
        <w:pStyle w:val="BodyText"/>
        <w:ind w:left="119" w:right="214"/>
      </w:pPr>
      <w:r>
        <w:rPr/>
        <w:t>Coordination of CRUISE Form 9s with Support Budget Change Proposals (BCPs). The BCPs are required for any request to increase support budget funding for new or additional space, rent increases on an existing lease, furniture (such as modular), or costs associated with moving. The BCP must be submitted with a copy of the Form 10 package previously approved by DOF. If a final version of this package is not available because the leasing transaction is still under development, DOF will base its review of the BCP on the department’s initial estimate on draft version of the package. However, the department is still required to complete the Form 10 package approval process by having DGS submit a final set of forms: CRUISE Form 9 and Estimate of Occupancy Cost Form 10 and OREDS 4083, with complete data, for approval to DOF. As appropriate, DOF may adjust any prior budget decisions to conform with the final CRUISE Form 9.</w:t>
      </w:r>
    </w:p>
    <w:p>
      <w:pPr>
        <w:pStyle w:val="BodyText"/>
      </w:pPr>
    </w:p>
    <w:p>
      <w:pPr>
        <w:pStyle w:val="BodyText"/>
        <w:ind w:left="119" w:right="162"/>
      </w:pPr>
      <w:r>
        <w:rPr/>
        <w:t>It is not necessary to coordinate the BCP process with the CRUISE Form 9 process if the BCP is requesting facility funding as a per - position complement. For example, the department may request five new positions for a program, with a per -position facility component. However, such complements are usually adequate only for marginal adjustments of staff. Therefore, departments are cautioned against using per-position complements if large numbers of staff are being added or specialized space is required. Additional facility funding may not be provided later to correct budget shortfalls.</w:t>
      </w:r>
    </w:p>
    <w:p>
      <w:pPr>
        <w:pStyle w:val="BodyText"/>
      </w:pPr>
    </w:p>
    <w:p>
      <w:pPr>
        <w:pStyle w:val="BodyText"/>
        <w:ind w:left="119" w:right="283"/>
      </w:pPr>
      <w:r>
        <w:rPr/>
        <w:t>Coordination of CRUISE Form 9 with Capital Outlay Budget Change Proposals (COBCPs). Informational COBCPs are required for proposals to enter in the budget year into a lease-purchase agreement, lease with purchase option, or any other lease which meets the definition of a capital lease, as described in the ”capitalized Assets” Chapter (Capital Outlay Section) of SAM. The opportunity to enter into such a lease may arise, on an unplanned basis, off-cycle with the budget process. The DOF may waive the formal COBCP requirement in this situation, but the client department and DGS must nonetheless provide the same information as well as the economic analysis referred to above as part of Form 10 approval package.</w:t>
      </w:r>
    </w:p>
    <w:p>
      <w:pPr>
        <w:spacing w:after="0"/>
        <w:sectPr>
          <w:pgSz w:w="12240" w:h="15840"/>
          <w:pgMar w:header="724" w:footer="792" w:top="980" w:bottom="980" w:left="1320" w:right="1320"/>
        </w:sectPr>
      </w:pPr>
    </w:p>
    <w:p>
      <w:pPr>
        <w:pStyle w:val="BodyText"/>
        <w:rPr>
          <w:sz w:val="20"/>
        </w:rPr>
      </w:pPr>
    </w:p>
    <w:p>
      <w:pPr>
        <w:tabs>
          <w:tab w:pos="9594" w:val="left" w:leader="none"/>
          <w:tab w:pos="10179" w:val="left" w:leader="none"/>
        </w:tabs>
        <w:spacing w:before="214"/>
        <w:ind w:left="820" w:right="118" w:firstLine="0"/>
        <w:jc w:val="left"/>
        <w:rPr>
          <w:b/>
          <w:sz w:val="24"/>
        </w:rPr>
      </w:pPr>
      <w:r>
        <w:rPr/>
        <w:pict>
          <v:line style="position:absolute;mso-position-horizontal-relative:page;mso-position-vertical-relative:paragraph;z-index:9784" from="36.360001pt,10.915881pt" to="36.360001pt,52.315881pt" stroked="true" strokeweight=".72pt" strokecolor="#000000">
            <v:stroke dashstyle="solid"/>
            <w10:wrap type="none"/>
          </v:line>
        </w:pict>
      </w:r>
      <w:r>
        <w:rPr>
          <w:b/>
          <w:sz w:val="24"/>
        </w:rPr>
        <w:t>PREPARATION OF SUPPLEMENTARY</w:t>
      </w:r>
      <w:r>
        <w:rPr>
          <w:b/>
          <w:spacing w:val="-11"/>
          <w:sz w:val="24"/>
        </w:rPr>
        <w:t> </w:t>
      </w:r>
      <w:r>
        <w:rPr>
          <w:b/>
          <w:sz w:val="24"/>
        </w:rPr>
        <w:t>SCHEDULE</w:t>
      </w:r>
      <w:r>
        <w:rPr>
          <w:b/>
          <w:spacing w:val="-2"/>
          <w:sz w:val="24"/>
        </w:rPr>
        <w:t> </w:t>
      </w:r>
      <w:r>
        <w:rPr>
          <w:b/>
          <w:sz w:val="24"/>
        </w:rPr>
        <w:t>OF</w:t>
      </w:r>
      <w:r>
        <w:rPr>
          <w:b/>
          <w:color w:val="2E97D3"/>
          <w:sz w:val="24"/>
          <w:u w:val="thick" w:color="2E97D3"/>
        </w:rPr>
        <w:t> </w:t>
        <w:tab/>
        <w:t>6454 </w:t>
      </w:r>
      <w:r>
        <w:rPr>
          <w:b/>
          <w:sz w:val="24"/>
        </w:rPr>
        <w:t>OPERATING EXPENSES </w:t>
      </w:r>
      <w:r>
        <w:rPr>
          <w:b/>
          <w:spacing w:val="-3"/>
          <w:sz w:val="24"/>
        </w:rPr>
        <w:t>AND </w:t>
      </w:r>
      <w:r>
        <w:rPr>
          <w:b/>
          <w:sz w:val="24"/>
        </w:rPr>
        <w:t>EQUIPMENT </w:t>
      </w:r>
      <w:r>
        <w:rPr>
          <w:b/>
          <w:spacing w:val="30"/>
          <w:sz w:val="24"/>
        </w:rPr>
        <w:t> </w:t>
      </w:r>
      <w:r>
        <w:rPr>
          <w:b/>
          <w:strike/>
          <w:color w:val="2E97D3"/>
          <w:sz w:val="24"/>
        </w:rPr>
        <w:t>6454</w:t>
      </w:r>
      <w:r>
        <w:rPr>
          <w:b/>
          <w:strike w:val="0"/>
          <w:color w:val="2E97D3"/>
          <w:w w:val="100"/>
          <w:sz w:val="24"/>
          <w:u w:val="thick" w:color="2E97D3"/>
        </w:rPr>
        <w:t> </w:t>
      </w:r>
      <w:r>
        <w:rPr>
          <w:b/>
          <w:strike w:val="0"/>
          <w:color w:val="2E97D3"/>
          <w:sz w:val="24"/>
          <w:u w:val="thick" w:color="2E97D3"/>
        </w:rPr>
        <w:tab/>
        <w:tab/>
      </w:r>
    </w:p>
    <w:p>
      <w:pPr>
        <w:pStyle w:val="BodyText"/>
        <w:ind w:left="820"/>
      </w:pPr>
      <w:r>
        <w:rPr/>
        <w:t>(Revised </w:t>
      </w:r>
      <w:r>
        <w:rPr>
          <w:strike/>
          <w:color w:val="2E97D3"/>
        </w:rPr>
        <w:t>9/2010</w:t>
      </w:r>
      <w:r>
        <w:rPr>
          <w:strike w:val="0"/>
          <w:color w:val="2E97D3"/>
          <w:u w:val="single" w:color="2E97D3"/>
        </w:rPr>
        <w:t>10/2017</w:t>
      </w:r>
      <w:r>
        <w:rPr>
          <w:strike w:val="0"/>
        </w:rPr>
        <w:t>)</w:t>
      </w:r>
    </w:p>
    <w:p>
      <w:pPr>
        <w:pStyle w:val="BodyText"/>
        <w:spacing w:before="11"/>
        <w:rPr>
          <w:sz w:val="15"/>
        </w:rPr>
      </w:pPr>
    </w:p>
    <w:p>
      <w:pPr>
        <w:spacing w:before="92"/>
        <w:ind w:left="820" w:right="291" w:firstLine="0"/>
        <w:jc w:val="both"/>
        <w:rPr>
          <w:sz w:val="24"/>
        </w:rPr>
      </w:pPr>
      <w:r>
        <w:rPr/>
        <w:pict>
          <v:line style="position:absolute;mso-position-horizontal-relative:page;mso-position-vertical-relative:paragraph;z-index:-462952" from="375.959991pt,92.23587pt" to="377.999991pt,92.23587pt" stroked="true" strokeweight=".36pt" strokecolor="#2e97d3">
            <v:stroke dashstyle="solid"/>
            <w10:wrap type="none"/>
          </v:line>
        </w:pict>
      </w:r>
      <w:r>
        <w:rPr/>
        <w:pict>
          <v:line style="position:absolute;mso-position-horizontal-relative:page;mso-position-vertical-relative:paragraph;z-index:9808" from="36.360001pt,4.815869pt" to="36.360001pt,110.655869pt" stroked="true" strokeweight=".72pt" strokecolor="#000000">
            <v:stroke dashstyle="solid"/>
            <w10:wrap type="none"/>
          </v:line>
        </w:pict>
      </w:r>
      <w:r>
        <w:rPr>
          <w:sz w:val="24"/>
        </w:rPr>
        <w:t>This supplementary schedule (form </w:t>
      </w:r>
      <w:r>
        <w:rPr>
          <w:rFonts w:ascii="Times New Roman" w:hAnsi="Times New Roman"/>
          <w:b/>
          <w:strike/>
          <w:color w:val="2E97D3"/>
          <w:sz w:val="16"/>
          <w:u w:val="single" w:color="2E97D3"/>
        </w:rPr>
        <w:t>DF 300</w:t>
      </w:r>
      <w:hyperlink r:id="rId33">
        <w:r>
          <w:rPr>
            <w:strike w:val="0"/>
            <w:color w:val="2E97D3"/>
            <w:sz w:val="24"/>
            <w:u w:val="single" w:color="2E97D3"/>
          </w:rPr>
          <w:t>DF 300</w:t>
        </w:r>
      </w:hyperlink>
      <w:r>
        <w:rPr>
          <w:strike w:val="0"/>
          <w:sz w:val="24"/>
        </w:rPr>
        <w:t>) is designed for summarizing the operating</w:t>
      </w:r>
      <w:r>
        <w:rPr>
          <w:strike w:val="0"/>
          <w:spacing w:val="-15"/>
          <w:sz w:val="24"/>
        </w:rPr>
        <w:t> </w:t>
      </w:r>
      <w:r>
        <w:rPr>
          <w:strike w:val="0"/>
          <w:sz w:val="24"/>
        </w:rPr>
        <w:t>expenses</w:t>
      </w:r>
      <w:r>
        <w:rPr>
          <w:strike w:val="0"/>
          <w:spacing w:val="-16"/>
          <w:sz w:val="24"/>
        </w:rPr>
        <w:t> </w:t>
      </w:r>
      <w:r>
        <w:rPr>
          <w:strike w:val="0"/>
          <w:sz w:val="24"/>
        </w:rPr>
        <w:t>and</w:t>
      </w:r>
      <w:r>
        <w:rPr>
          <w:strike w:val="0"/>
          <w:spacing w:val="-13"/>
          <w:sz w:val="24"/>
        </w:rPr>
        <w:t> </w:t>
      </w:r>
      <w:r>
        <w:rPr>
          <w:strike w:val="0"/>
          <w:sz w:val="24"/>
        </w:rPr>
        <w:t>equipment</w:t>
      </w:r>
      <w:r>
        <w:rPr>
          <w:strike w:val="0"/>
          <w:spacing w:val="-13"/>
          <w:sz w:val="24"/>
        </w:rPr>
        <w:t> </w:t>
      </w:r>
      <w:r>
        <w:rPr>
          <w:strike w:val="0"/>
          <w:sz w:val="24"/>
        </w:rPr>
        <w:t>requirements</w:t>
      </w:r>
      <w:r>
        <w:rPr>
          <w:strike w:val="0"/>
          <w:spacing w:val="-14"/>
          <w:sz w:val="24"/>
        </w:rPr>
        <w:t> </w:t>
      </w:r>
      <w:r>
        <w:rPr>
          <w:strike w:val="0"/>
          <w:sz w:val="24"/>
        </w:rPr>
        <w:t>of</w:t>
      </w:r>
      <w:r>
        <w:rPr>
          <w:strike w:val="0"/>
          <w:spacing w:val="-13"/>
          <w:sz w:val="24"/>
        </w:rPr>
        <w:t> </w:t>
      </w:r>
      <w:r>
        <w:rPr>
          <w:strike w:val="0"/>
          <w:sz w:val="24"/>
        </w:rPr>
        <w:t>the</w:t>
      </w:r>
      <w:r>
        <w:rPr>
          <w:strike w:val="0"/>
          <w:spacing w:val="-15"/>
          <w:sz w:val="24"/>
        </w:rPr>
        <w:t> </w:t>
      </w:r>
      <w:r>
        <w:rPr>
          <w:strike w:val="0"/>
          <w:sz w:val="24"/>
        </w:rPr>
        <w:t>department.</w:t>
      </w:r>
      <w:r>
        <w:rPr>
          <w:strike w:val="0"/>
          <w:spacing w:val="16"/>
          <w:sz w:val="24"/>
        </w:rPr>
        <w:t> </w:t>
      </w:r>
      <w:r>
        <w:rPr>
          <w:rFonts w:ascii="Times New Roman" w:hAnsi="Times New Roman"/>
          <w:b/>
          <w:strike/>
          <w:color w:val="2E97D3"/>
          <w:sz w:val="16"/>
        </w:rPr>
        <w:t>If</w:t>
      </w:r>
      <w:r>
        <w:rPr>
          <w:rFonts w:ascii="Times New Roman" w:hAnsi="Times New Roman"/>
          <w:b/>
          <w:strike/>
          <w:color w:val="2E97D3"/>
          <w:spacing w:val="-8"/>
          <w:sz w:val="16"/>
        </w:rPr>
        <w:t> </w:t>
      </w:r>
      <w:r>
        <w:rPr>
          <w:rFonts w:ascii="Times New Roman" w:hAnsi="Times New Roman"/>
          <w:b/>
          <w:strike/>
          <w:color w:val="2E97D3"/>
          <w:sz w:val="16"/>
        </w:rPr>
        <w:t>reporting</w:t>
      </w:r>
      <w:r>
        <w:rPr>
          <w:rFonts w:ascii="Times New Roman" w:hAnsi="Times New Roman"/>
          <w:b/>
          <w:strike/>
          <w:color w:val="2E97D3"/>
          <w:spacing w:val="-11"/>
          <w:sz w:val="16"/>
        </w:rPr>
        <w:t> </w:t>
      </w:r>
      <w:r>
        <w:rPr>
          <w:rFonts w:ascii="Times New Roman" w:hAnsi="Times New Roman"/>
          <w:b/>
          <w:strike/>
          <w:color w:val="2E97D3"/>
          <w:sz w:val="16"/>
        </w:rPr>
        <w:t>items</w:t>
      </w:r>
      <w:r>
        <w:rPr>
          <w:rFonts w:ascii="Times New Roman" w:hAnsi="Times New Roman"/>
          <w:b/>
          <w:strike/>
          <w:color w:val="2E97D3"/>
          <w:spacing w:val="-10"/>
          <w:sz w:val="16"/>
        </w:rPr>
        <w:t> </w:t>
      </w:r>
      <w:r>
        <w:rPr>
          <w:rFonts w:ascii="Times New Roman" w:hAnsi="Times New Roman"/>
          <w:b/>
          <w:strike/>
          <w:color w:val="2E97D3"/>
          <w:sz w:val="16"/>
        </w:rPr>
        <w:t>of</w:t>
      </w:r>
      <w:r>
        <w:rPr>
          <w:rFonts w:ascii="Times New Roman" w:hAnsi="Times New Roman"/>
          <w:b/>
          <w:strike/>
          <w:color w:val="2E97D3"/>
          <w:spacing w:val="-8"/>
          <w:sz w:val="16"/>
        </w:rPr>
        <w:t> </w:t>
      </w:r>
      <w:r>
        <w:rPr>
          <w:rFonts w:ascii="Times New Roman" w:hAnsi="Times New Roman"/>
          <w:b/>
          <w:strike/>
          <w:color w:val="2E97D3"/>
          <w:sz w:val="16"/>
        </w:rPr>
        <w:t>expense which vary with changes in population, enrollment, price, or program change, a line labeled “other” may be used with an explanation attached. Submit the </w:t>
      </w:r>
      <w:r>
        <w:rPr>
          <w:strike w:val="0"/>
          <w:color w:val="2E97D3"/>
          <w:sz w:val="24"/>
          <w:u w:val="single" w:color="2E97D3"/>
        </w:rPr>
        <w:t>The DF 300 </w:t>
      </w:r>
      <w:r>
        <w:rPr>
          <w:strike w:val="0"/>
          <w:sz w:val="24"/>
        </w:rPr>
        <w:t>schedule </w:t>
      </w:r>
      <w:r>
        <w:rPr>
          <w:rFonts w:ascii="Times New Roman" w:hAnsi="Times New Roman"/>
          <w:b/>
          <w:strike/>
          <w:color w:val="2E97D3"/>
          <w:sz w:val="16"/>
        </w:rPr>
        <w:t>with your departmental</w:t>
      </w:r>
      <w:r>
        <w:rPr>
          <w:strike w:val="0"/>
          <w:color w:val="2E97D3"/>
          <w:sz w:val="24"/>
          <w:u w:val="single" w:color="2E97D3"/>
        </w:rPr>
        <w:t>can be generated from the FI$Cal/Hyperion </w:t>
      </w:r>
      <w:r>
        <w:rPr>
          <w:strike w:val="0"/>
          <w:sz w:val="24"/>
        </w:rPr>
        <w:t>budget </w:t>
      </w:r>
      <w:r>
        <w:rPr>
          <w:strike w:val="0"/>
          <w:color w:val="2E97D3"/>
          <w:sz w:val="24"/>
          <w:u w:val="single" w:color="2E97D3"/>
        </w:rPr>
        <w:t>system by running the DF 300 report. Submit the report as generated with other supplementary schedules and approved budget change proposals</w:t>
      </w:r>
      <w:r>
        <w:rPr>
          <w:strike w:val="0"/>
          <w:sz w:val="24"/>
        </w:rPr>
        <w:t>, per the timeframe specified in Budget Letters. </w:t>
      </w:r>
      <w:r>
        <w:rPr>
          <w:strike w:val="0"/>
          <w:color w:val="2E97D3"/>
          <w:sz w:val="24"/>
          <w:u w:val="single" w:color="2E97D3"/>
        </w:rPr>
        <w:t>Departments may modify the DF 300 schedule per agreement with your Finance budget</w:t>
      </w:r>
      <w:r>
        <w:rPr>
          <w:strike w:val="0"/>
          <w:color w:val="2E97D3"/>
          <w:spacing w:val="-35"/>
          <w:sz w:val="24"/>
          <w:u w:val="single" w:color="2E97D3"/>
        </w:rPr>
        <w:t> </w:t>
      </w:r>
      <w:r>
        <w:rPr>
          <w:strike w:val="0"/>
          <w:color w:val="2E97D3"/>
          <w:sz w:val="24"/>
          <w:u w:val="single" w:color="2E97D3"/>
        </w:rPr>
        <w:t>analyst.</w:t>
      </w:r>
    </w:p>
    <w:p>
      <w:pPr>
        <w:spacing w:before="182"/>
        <w:ind w:left="820" w:right="314" w:firstLine="0"/>
        <w:jc w:val="both"/>
        <w:rPr>
          <w:sz w:val="24"/>
        </w:rPr>
      </w:pPr>
      <w:r>
        <w:rPr/>
        <w:pict>
          <v:line style="position:absolute;mso-position-horizontal-relative:page;mso-position-vertical-relative:paragraph;z-index:-462928" from="271.320007pt,35.895348pt" to="274.680007pt,35.895348pt" stroked="true" strokeweight=".841pt" strokecolor="#2e97d3">
            <v:stroke dashstyle="solid"/>
            <w10:wrap type="none"/>
          </v:line>
        </w:pict>
      </w:r>
      <w:r>
        <w:rPr/>
        <w:pict>
          <v:line style="position:absolute;mso-position-horizontal-relative:page;mso-position-vertical-relative:paragraph;z-index:9832" from="36.360001pt,9.315847pt" to="36.360001pt,139.755847pt" stroked="true" strokeweight=".72pt" strokecolor="#000000">
            <v:stroke dashstyle="solid"/>
            <w10:wrap type="none"/>
          </v:line>
        </w:pict>
      </w:r>
      <w:r>
        <w:rPr>
          <w:sz w:val="24"/>
        </w:rPr>
        <w:t>The </w:t>
      </w:r>
      <w:r>
        <w:rPr>
          <w:rFonts w:ascii="Times New Roman"/>
          <w:b/>
          <w:strike/>
          <w:color w:val="2E97D3"/>
          <w:sz w:val="16"/>
        </w:rPr>
        <w:t>schedule should list</w:t>
      </w:r>
      <w:r>
        <w:rPr>
          <w:strike w:val="0"/>
          <w:color w:val="2E97D3"/>
          <w:sz w:val="24"/>
          <w:u w:val="single" w:color="2E97D3"/>
        </w:rPr>
        <w:t>DF 300 lists </w:t>
      </w:r>
      <w:r>
        <w:rPr>
          <w:strike w:val="0"/>
          <w:sz w:val="24"/>
        </w:rPr>
        <w:t>the items of operating expenses in </w:t>
      </w:r>
      <w:r>
        <w:rPr>
          <w:rFonts w:ascii="Times New Roman"/>
          <w:b/>
          <w:strike/>
          <w:color w:val="2E97D3"/>
          <w:sz w:val="16"/>
        </w:rPr>
        <w:t>the </w:t>
      </w:r>
      <w:r>
        <w:rPr>
          <w:strike w:val="0"/>
          <w:color w:val="2E97D3"/>
          <w:sz w:val="24"/>
          <w:u w:val="single" w:color="2E97D3"/>
        </w:rPr>
        <w:t>account category code</w:t>
      </w:r>
      <w:r>
        <w:rPr>
          <w:strike w:val="0"/>
          <w:color w:val="2E97D3"/>
          <w:spacing w:val="-7"/>
          <w:sz w:val="24"/>
          <w:u w:val="single" w:color="2E97D3"/>
        </w:rPr>
        <w:t> </w:t>
      </w:r>
      <w:r>
        <w:rPr>
          <w:strike w:val="0"/>
          <w:sz w:val="24"/>
        </w:rPr>
        <w:t>order</w:t>
      </w:r>
      <w:r>
        <w:rPr>
          <w:strike w:val="0"/>
          <w:spacing w:val="-30"/>
          <w:sz w:val="24"/>
        </w:rPr>
        <w:t> </w:t>
      </w:r>
      <w:r>
        <w:rPr>
          <w:rFonts w:ascii="Times New Roman"/>
          <w:b/>
          <w:strike/>
          <w:color w:val="2E97D3"/>
          <w:sz w:val="16"/>
        </w:rPr>
        <w:t>of</w:t>
      </w:r>
      <w:r>
        <w:rPr>
          <w:rFonts w:ascii="Times New Roman"/>
          <w:b/>
          <w:strike/>
          <w:color w:val="2E97D3"/>
          <w:spacing w:val="-2"/>
          <w:sz w:val="16"/>
        </w:rPr>
        <w:t> </w:t>
      </w:r>
      <w:r>
        <w:rPr>
          <w:rFonts w:ascii="Times New Roman"/>
          <w:b/>
          <w:strike/>
          <w:color w:val="2E97D3"/>
          <w:sz w:val="16"/>
        </w:rPr>
        <w:t>Uniform</w:t>
      </w:r>
      <w:r>
        <w:rPr>
          <w:rFonts w:ascii="Times New Roman"/>
          <w:b/>
          <w:strike/>
          <w:color w:val="2E97D3"/>
          <w:spacing w:val="-7"/>
          <w:sz w:val="16"/>
        </w:rPr>
        <w:t> </w:t>
      </w:r>
      <w:r>
        <w:rPr>
          <w:rFonts w:ascii="Times New Roman"/>
          <w:b/>
          <w:strike/>
          <w:color w:val="2E97D3"/>
          <w:sz w:val="16"/>
        </w:rPr>
        <w:t>Codes</w:t>
      </w:r>
      <w:r>
        <w:rPr>
          <w:rFonts w:ascii="Times New Roman"/>
          <w:b/>
          <w:strike/>
          <w:color w:val="2E97D3"/>
          <w:spacing w:val="-7"/>
          <w:sz w:val="16"/>
        </w:rPr>
        <w:t> </w:t>
      </w:r>
      <w:r>
        <w:rPr>
          <w:rFonts w:ascii="Times New Roman"/>
          <w:b/>
          <w:strike/>
          <w:color w:val="2E97D3"/>
          <w:sz w:val="16"/>
        </w:rPr>
        <w:t>Manual</w:t>
      </w:r>
      <w:r>
        <w:rPr>
          <w:rFonts w:ascii="Times New Roman"/>
          <w:b/>
          <w:strike/>
          <w:color w:val="2E97D3"/>
          <w:spacing w:val="-3"/>
          <w:sz w:val="16"/>
        </w:rPr>
        <w:t> </w:t>
      </w:r>
      <w:r>
        <w:rPr>
          <w:rFonts w:ascii="Times New Roman"/>
          <w:b/>
          <w:strike/>
          <w:color w:val="2E97D3"/>
          <w:sz w:val="16"/>
        </w:rPr>
        <w:t>(UCM)</w:t>
      </w:r>
      <w:r>
        <w:rPr>
          <w:rFonts w:ascii="Times New Roman"/>
          <w:b/>
          <w:strike/>
          <w:color w:val="2E97D3"/>
          <w:spacing w:val="-5"/>
          <w:sz w:val="16"/>
        </w:rPr>
        <w:t> </w:t>
      </w:r>
      <w:r>
        <w:rPr>
          <w:rFonts w:ascii="Times New Roman"/>
          <w:b/>
          <w:strike/>
          <w:color w:val="2E97D3"/>
          <w:sz w:val="16"/>
        </w:rPr>
        <w:t>coding</w:t>
      </w:r>
      <w:r>
        <w:rPr>
          <w:strike w:val="0"/>
          <w:color w:val="2E97D3"/>
          <w:sz w:val="24"/>
        </w:rPr>
        <w:t>,</w:t>
      </w:r>
      <w:r>
        <w:rPr>
          <w:strike w:val="0"/>
          <w:color w:val="2E97D3"/>
          <w:spacing w:val="-6"/>
          <w:sz w:val="24"/>
        </w:rPr>
        <w:t> </w:t>
      </w:r>
      <w:r>
        <w:rPr>
          <w:strike w:val="0"/>
          <w:sz w:val="24"/>
        </w:rPr>
        <w:t>and</w:t>
      </w:r>
      <w:r>
        <w:rPr>
          <w:strike w:val="0"/>
          <w:spacing w:val="-8"/>
          <w:sz w:val="24"/>
        </w:rPr>
        <w:t> </w:t>
      </w:r>
      <w:r>
        <w:rPr>
          <w:rFonts w:ascii="Times New Roman"/>
          <w:b/>
          <w:strike/>
          <w:color w:val="2E97D3"/>
          <w:sz w:val="16"/>
        </w:rPr>
        <w:t>a</w:t>
      </w:r>
      <w:r>
        <w:rPr>
          <w:rFonts w:ascii="Times New Roman"/>
          <w:b/>
          <w:strike/>
          <w:color w:val="2E97D3"/>
          <w:spacing w:val="-3"/>
          <w:sz w:val="16"/>
        </w:rPr>
        <w:t> </w:t>
      </w:r>
      <w:r>
        <w:rPr>
          <w:rFonts w:ascii="Times New Roman"/>
          <w:b/>
          <w:strike/>
          <w:color w:val="2E97D3"/>
          <w:sz w:val="16"/>
        </w:rPr>
        <w:t>total</w:t>
      </w:r>
      <w:r>
        <w:rPr>
          <w:rFonts w:ascii="Times New Roman"/>
          <w:b/>
          <w:strike/>
          <w:color w:val="2E97D3"/>
          <w:spacing w:val="-6"/>
          <w:sz w:val="16"/>
        </w:rPr>
        <w:t> </w:t>
      </w:r>
      <w:r>
        <w:rPr>
          <w:rFonts w:ascii="Times New Roman"/>
          <w:b/>
          <w:strike/>
          <w:color w:val="2E97D3"/>
          <w:sz w:val="16"/>
        </w:rPr>
        <w:t>amount</w:t>
      </w:r>
      <w:r>
        <w:rPr>
          <w:rFonts w:ascii="Times New Roman"/>
          <w:b/>
          <w:strike/>
          <w:color w:val="2E97D3"/>
          <w:spacing w:val="-5"/>
          <w:sz w:val="16"/>
        </w:rPr>
        <w:t> </w:t>
      </w:r>
      <w:r>
        <w:rPr>
          <w:rFonts w:ascii="Times New Roman"/>
          <w:b/>
          <w:strike/>
          <w:color w:val="2E97D3"/>
          <w:sz w:val="16"/>
        </w:rPr>
        <w:t>of</w:t>
      </w:r>
      <w:r>
        <w:rPr>
          <w:rFonts w:ascii="Times New Roman"/>
          <w:b/>
          <w:strike/>
          <w:color w:val="2E97D3"/>
          <w:spacing w:val="-16"/>
          <w:sz w:val="16"/>
        </w:rPr>
        <w:t> </w:t>
      </w:r>
      <w:r>
        <w:rPr>
          <w:strike w:val="0"/>
          <w:color w:val="2E97D3"/>
          <w:sz w:val="24"/>
          <w:u w:val="single" w:color="2E97D3"/>
        </w:rPr>
        <w:t>includes</w:t>
      </w:r>
      <w:r>
        <w:rPr>
          <w:strike w:val="0"/>
          <w:color w:val="2E97D3"/>
          <w:spacing w:val="-7"/>
          <w:sz w:val="24"/>
          <w:u w:val="single" w:color="2E97D3"/>
        </w:rPr>
        <w:t> </w:t>
      </w:r>
      <w:r>
        <w:rPr>
          <w:strike w:val="0"/>
          <w:color w:val="2E97D3"/>
          <w:sz w:val="24"/>
          <w:u w:val="single" w:color="2E97D3"/>
        </w:rPr>
        <w:t>operating</w:t>
      </w:r>
      <w:r>
        <w:rPr>
          <w:strike w:val="0"/>
          <w:color w:val="2E97D3"/>
          <w:spacing w:val="-6"/>
          <w:sz w:val="24"/>
          <w:u w:val="single" w:color="2E97D3"/>
        </w:rPr>
        <w:t> </w:t>
      </w:r>
      <w:r>
        <w:rPr>
          <w:strike w:val="0"/>
          <w:color w:val="2E97D3"/>
          <w:sz w:val="24"/>
          <w:u w:val="single" w:color="2E97D3"/>
        </w:rPr>
        <w:t>expenses</w:t>
      </w:r>
      <w:r>
        <w:rPr>
          <w:strike w:val="0"/>
          <w:color w:val="2E97D3"/>
          <w:spacing w:val="-9"/>
          <w:sz w:val="24"/>
          <w:u w:val="single" w:color="2E97D3"/>
        </w:rPr>
        <w:t> </w:t>
      </w:r>
      <w:r>
        <w:rPr>
          <w:strike w:val="0"/>
          <w:color w:val="2E97D3"/>
          <w:sz w:val="24"/>
          <w:u w:val="single" w:color="2E97D3"/>
        </w:rPr>
        <w:t>for </w:t>
      </w:r>
      <w:r>
        <w:rPr>
          <w:strike w:val="0"/>
          <w:sz w:val="24"/>
        </w:rPr>
        <w:t>equipment </w:t>
      </w:r>
      <w:r>
        <w:rPr>
          <w:rFonts w:ascii="Times New Roman"/>
          <w:b/>
          <w:strike/>
          <w:color w:val="2E97D3"/>
          <w:sz w:val="16"/>
        </w:rPr>
        <w:t>(which must</w:t>
      </w:r>
      <w:r>
        <w:rPr>
          <w:strike w:val="0"/>
          <w:color w:val="2E97D3"/>
          <w:sz w:val="24"/>
          <w:u w:val="single" w:color="2E97D3"/>
        </w:rPr>
        <w:t>. The amounts in the Supplementary Schedule of Equipment (</w:t>
      </w:r>
      <w:hyperlink r:id="rId33">
        <w:r>
          <w:rPr>
            <w:strike w:val="0"/>
            <w:color w:val="2E97D3"/>
            <w:sz w:val="24"/>
            <w:u w:val="single" w:color="2E97D3"/>
          </w:rPr>
          <w:t>DF</w:t>
        </w:r>
      </w:hyperlink>
      <w:r>
        <w:rPr>
          <w:strike w:val="0"/>
          <w:color w:val="2E97D3"/>
          <w:sz w:val="24"/>
          <w:u w:val="single" w:color="2E97D3"/>
        </w:rPr>
        <w:t> </w:t>
      </w:r>
      <w:hyperlink r:id="rId33">
        <w:r>
          <w:rPr>
            <w:strike w:val="0"/>
            <w:color w:val="2E97D3"/>
            <w:sz w:val="24"/>
            <w:u w:val="single" w:color="2E97D3"/>
          </w:rPr>
          <w:t>302</w:t>
        </w:r>
      </w:hyperlink>
      <w:r>
        <w:rPr>
          <w:strike w:val="0"/>
          <w:color w:val="2E97D3"/>
          <w:sz w:val="24"/>
          <w:u w:val="single" w:color="2E97D3"/>
        </w:rPr>
        <w:t>)</w:t>
      </w:r>
      <w:r>
        <w:rPr>
          <w:strike w:val="0"/>
          <w:color w:val="2E97D3"/>
          <w:spacing w:val="-15"/>
          <w:sz w:val="24"/>
          <w:u w:val="single" w:color="2E97D3"/>
        </w:rPr>
        <w:t> </w:t>
      </w:r>
      <w:r>
        <w:rPr>
          <w:strike w:val="0"/>
          <w:color w:val="2E97D3"/>
          <w:sz w:val="24"/>
          <w:u w:val="single" w:color="2E97D3"/>
        </w:rPr>
        <w:t>will</w:t>
      </w:r>
      <w:r>
        <w:rPr>
          <w:strike w:val="0"/>
          <w:color w:val="2E97D3"/>
          <w:spacing w:val="-12"/>
          <w:sz w:val="24"/>
          <w:u w:val="single" w:color="2E97D3"/>
        </w:rPr>
        <w:t> </w:t>
      </w:r>
      <w:r>
        <w:rPr>
          <w:strike w:val="0"/>
          <w:color w:val="2E97D3"/>
          <w:sz w:val="24"/>
          <w:u w:val="single" w:color="2E97D3"/>
        </w:rPr>
        <w:t>not</w:t>
      </w:r>
      <w:r>
        <w:rPr>
          <w:strike w:val="0"/>
          <w:color w:val="2E97D3"/>
          <w:spacing w:val="-13"/>
          <w:sz w:val="24"/>
          <w:u w:val="single" w:color="2E97D3"/>
        </w:rPr>
        <w:t> </w:t>
      </w:r>
      <w:r>
        <w:rPr>
          <w:strike w:val="0"/>
          <w:sz w:val="24"/>
        </w:rPr>
        <w:t>tie</w:t>
      </w:r>
      <w:r>
        <w:rPr>
          <w:strike w:val="0"/>
          <w:spacing w:val="-13"/>
          <w:sz w:val="24"/>
        </w:rPr>
        <w:t> </w:t>
      </w:r>
      <w:r>
        <w:rPr>
          <w:strike w:val="0"/>
          <w:sz w:val="24"/>
        </w:rPr>
        <w:t>to</w:t>
      </w:r>
      <w:r>
        <w:rPr>
          <w:strike w:val="0"/>
          <w:spacing w:val="-13"/>
          <w:sz w:val="24"/>
        </w:rPr>
        <w:t> </w:t>
      </w:r>
      <w:r>
        <w:rPr>
          <w:rFonts w:ascii="Times New Roman"/>
          <w:b/>
          <w:strike/>
          <w:color w:val="2E97D3"/>
          <w:sz w:val="16"/>
          <w:u w:val="single" w:color="2E97D3"/>
        </w:rPr>
        <w:t>DF</w:t>
      </w:r>
      <w:r>
        <w:rPr>
          <w:rFonts w:ascii="Times New Roman"/>
          <w:b/>
          <w:strike/>
          <w:color w:val="2E97D3"/>
          <w:spacing w:val="-8"/>
          <w:sz w:val="16"/>
          <w:u w:val="single" w:color="2E97D3"/>
        </w:rPr>
        <w:t> </w:t>
      </w:r>
      <w:r>
        <w:rPr>
          <w:rFonts w:ascii="Times New Roman"/>
          <w:b/>
          <w:strike/>
          <w:color w:val="2E97D3"/>
          <w:sz w:val="16"/>
          <w:u w:val="single" w:color="2E97D3"/>
        </w:rPr>
        <w:t>302</w:t>
      </w:r>
      <w:r>
        <w:rPr>
          <w:rFonts w:ascii="Times New Roman"/>
          <w:b/>
          <w:strike/>
          <w:color w:val="2E97D3"/>
          <w:sz w:val="16"/>
        </w:rPr>
        <w:t>).</w:t>
      </w:r>
      <w:r>
        <w:rPr>
          <w:rFonts w:ascii="Times New Roman"/>
          <w:b/>
          <w:strike/>
          <w:color w:val="2E97D3"/>
          <w:spacing w:val="25"/>
          <w:sz w:val="16"/>
        </w:rPr>
        <w:t> </w:t>
      </w:r>
      <w:r>
        <w:rPr>
          <w:strike w:val="0"/>
          <w:color w:val="2E97D3"/>
          <w:sz w:val="24"/>
          <w:u w:val="single" w:color="2E97D3"/>
        </w:rPr>
        <w:t>a</w:t>
      </w:r>
      <w:r>
        <w:rPr>
          <w:strike w:val="0"/>
          <w:color w:val="2E97D3"/>
          <w:spacing w:val="-13"/>
          <w:sz w:val="24"/>
          <w:u w:val="single" w:color="2E97D3"/>
        </w:rPr>
        <w:t> </w:t>
      </w:r>
      <w:r>
        <w:rPr>
          <w:strike w:val="0"/>
          <w:color w:val="2E97D3"/>
          <w:sz w:val="24"/>
          <w:u w:val="single" w:color="2E97D3"/>
        </w:rPr>
        <w:t>particular</w:t>
      </w:r>
      <w:r>
        <w:rPr>
          <w:strike w:val="0"/>
          <w:color w:val="2E97D3"/>
          <w:spacing w:val="-15"/>
          <w:sz w:val="24"/>
          <w:u w:val="single" w:color="2E97D3"/>
        </w:rPr>
        <w:t> </w:t>
      </w:r>
      <w:r>
        <w:rPr>
          <w:strike w:val="0"/>
          <w:color w:val="2E97D3"/>
          <w:sz w:val="24"/>
          <w:u w:val="single" w:color="2E97D3"/>
        </w:rPr>
        <w:t>line</w:t>
      </w:r>
      <w:r>
        <w:rPr>
          <w:strike w:val="0"/>
          <w:color w:val="2E97D3"/>
          <w:spacing w:val="-13"/>
          <w:sz w:val="24"/>
          <w:u w:val="single" w:color="2E97D3"/>
        </w:rPr>
        <w:t> </w:t>
      </w:r>
      <w:r>
        <w:rPr>
          <w:strike w:val="0"/>
          <w:color w:val="2E97D3"/>
          <w:sz w:val="24"/>
          <w:u w:val="single" w:color="2E97D3"/>
        </w:rPr>
        <w:t>on</w:t>
      </w:r>
      <w:r>
        <w:rPr>
          <w:strike w:val="0"/>
          <w:color w:val="2E97D3"/>
          <w:spacing w:val="-13"/>
          <w:sz w:val="24"/>
          <w:u w:val="single" w:color="2E97D3"/>
        </w:rPr>
        <w:t> </w:t>
      </w:r>
      <w:r>
        <w:rPr>
          <w:strike w:val="0"/>
          <w:color w:val="2E97D3"/>
          <w:sz w:val="24"/>
          <w:u w:val="single" w:color="2E97D3"/>
        </w:rPr>
        <w:t>the</w:t>
      </w:r>
      <w:r>
        <w:rPr>
          <w:strike w:val="0"/>
          <w:color w:val="2E97D3"/>
          <w:spacing w:val="-15"/>
          <w:sz w:val="24"/>
          <w:u w:val="single" w:color="2E97D3"/>
        </w:rPr>
        <w:t> </w:t>
      </w:r>
      <w:r>
        <w:rPr>
          <w:strike w:val="0"/>
          <w:color w:val="2E97D3"/>
          <w:sz w:val="24"/>
          <w:u w:val="single" w:color="2E97D3"/>
        </w:rPr>
        <w:t>DF</w:t>
      </w:r>
      <w:r>
        <w:rPr>
          <w:strike w:val="0"/>
          <w:color w:val="2E97D3"/>
          <w:spacing w:val="-14"/>
          <w:sz w:val="24"/>
          <w:u w:val="single" w:color="2E97D3"/>
        </w:rPr>
        <w:t> </w:t>
      </w:r>
      <w:r>
        <w:rPr>
          <w:strike w:val="0"/>
          <w:color w:val="2E97D3"/>
          <w:sz w:val="24"/>
          <w:u w:val="single" w:color="2E97D3"/>
        </w:rPr>
        <w:t>300</w:t>
      </w:r>
      <w:r>
        <w:rPr>
          <w:strike w:val="0"/>
          <w:color w:val="2E97D3"/>
          <w:spacing w:val="-13"/>
          <w:sz w:val="24"/>
          <w:u w:val="single" w:color="2E97D3"/>
        </w:rPr>
        <w:t> </w:t>
      </w:r>
      <w:r>
        <w:rPr>
          <w:strike w:val="0"/>
          <w:color w:val="2E97D3"/>
          <w:sz w:val="24"/>
          <w:u w:val="single" w:color="2E97D3"/>
        </w:rPr>
        <w:t>because</w:t>
      </w:r>
      <w:r>
        <w:rPr>
          <w:strike w:val="0"/>
          <w:color w:val="2E97D3"/>
          <w:spacing w:val="-13"/>
          <w:sz w:val="24"/>
          <w:u w:val="single" w:color="2E97D3"/>
        </w:rPr>
        <w:t> </w:t>
      </w:r>
      <w:r>
        <w:rPr>
          <w:strike w:val="0"/>
          <w:color w:val="2E97D3"/>
          <w:sz w:val="24"/>
          <w:u w:val="single" w:color="2E97D3"/>
        </w:rPr>
        <w:t>of</w:t>
      </w:r>
      <w:r>
        <w:rPr>
          <w:strike w:val="0"/>
          <w:color w:val="2E97D3"/>
          <w:spacing w:val="-11"/>
          <w:sz w:val="24"/>
          <w:u w:val="single" w:color="2E97D3"/>
        </w:rPr>
        <w:t> </w:t>
      </w:r>
      <w:r>
        <w:rPr>
          <w:strike w:val="0"/>
          <w:color w:val="2E97D3"/>
          <w:sz w:val="24"/>
          <w:u w:val="single" w:color="2E97D3"/>
        </w:rPr>
        <w:t>the</w:t>
      </w:r>
      <w:r>
        <w:rPr>
          <w:strike w:val="0"/>
          <w:color w:val="2E97D3"/>
          <w:spacing w:val="-15"/>
          <w:sz w:val="24"/>
          <w:u w:val="single" w:color="2E97D3"/>
        </w:rPr>
        <w:t> </w:t>
      </w:r>
      <w:r>
        <w:rPr>
          <w:strike w:val="0"/>
          <w:color w:val="2E97D3"/>
          <w:sz w:val="24"/>
          <w:u w:val="single" w:color="2E97D3"/>
        </w:rPr>
        <w:t>account</w:t>
      </w:r>
      <w:r>
        <w:rPr>
          <w:strike w:val="0"/>
          <w:color w:val="2E97D3"/>
          <w:spacing w:val="-13"/>
          <w:sz w:val="24"/>
          <w:u w:val="single" w:color="2E97D3"/>
        </w:rPr>
        <w:t> </w:t>
      </w:r>
      <w:r>
        <w:rPr>
          <w:strike w:val="0"/>
          <w:color w:val="2E97D3"/>
          <w:sz w:val="24"/>
          <w:u w:val="single" w:color="2E97D3"/>
        </w:rPr>
        <w:t>category code</w:t>
      </w:r>
      <w:r>
        <w:rPr>
          <w:strike w:val="0"/>
          <w:color w:val="2E97D3"/>
          <w:spacing w:val="-7"/>
          <w:sz w:val="24"/>
          <w:u w:val="single" w:color="2E97D3"/>
        </w:rPr>
        <w:t> </w:t>
      </w:r>
      <w:r>
        <w:rPr>
          <w:strike w:val="0"/>
          <w:color w:val="2E97D3"/>
          <w:sz w:val="24"/>
          <w:u w:val="single" w:color="2E97D3"/>
        </w:rPr>
        <w:t>structure.</w:t>
      </w:r>
    </w:p>
    <w:p>
      <w:pPr>
        <w:pStyle w:val="BodyText"/>
        <w:spacing w:before="2"/>
        <w:rPr>
          <w:sz w:val="16"/>
        </w:rPr>
      </w:pPr>
    </w:p>
    <w:p>
      <w:pPr>
        <w:pStyle w:val="BodyText"/>
        <w:spacing w:line="276" w:lineRule="auto" w:before="92"/>
        <w:ind w:left="820" w:right="281"/>
      </w:pPr>
      <w:r>
        <w:rPr/>
        <w:t>Expenditures for the past, current, and budget years are </w:t>
      </w:r>
      <w:r>
        <w:rPr>
          <w:strike/>
          <w:color w:val="2E97D3"/>
        </w:rPr>
        <w:t>to be </w:t>
      </w:r>
      <w:r>
        <w:rPr>
          <w:strike w:val="0"/>
        </w:rPr>
        <w:t>shown in three separate columns with totals</w:t>
      </w:r>
      <w:r>
        <w:rPr>
          <w:strike/>
          <w:color w:val="2E97D3"/>
        </w:rPr>
        <w:t>. The </w:t>
      </w:r>
      <w:r>
        <w:rPr>
          <w:strike w:val="0"/>
          <w:color w:val="2E97D3"/>
          <w:u w:val="single" w:color="2E97D3"/>
        </w:rPr>
        <w:t>in the DF 300. These </w:t>
      </w:r>
      <w:r>
        <w:rPr>
          <w:strike w:val="0"/>
        </w:rPr>
        <w:t>totals must be </w:t>
      </w:r>
      <w:r>
        <w:rPr>
          <w:strike/>
          <w:color w:val="2E97D3"/>
        </w:rPr>
        <w:t>carried forward to</w:t>
      </w:r>
      <w:r>
        <w:rPr>
          <w:strike w:val="0"/>
          <w:color w:val="2E97D3"/>
          <w:u w:val="single" w:color="2E97D3"/>
        </w:rPr>
        <w:t>consistent with </w:t>
      </w:r>
      <w:r>
        <w:rPr>
          <w:strike w:val="0"/>
        </w:rPr>
        <w:t>the Expenditures by Category in the departmental budget presentation.</w:t>
      </w:r>
    </w:p>
    <w:p>
      <w:pPr>
        <w:pStyle w:val="BodyText"/>
        <w:spacing w:before="3"/>
        <w:rPr>
          <w:sz w:val="27"/>
        </w:rPr>
      </w:pPr>
    </w:p>
    <w:p>
      <w:pPr>
        <w:pStyle w:val="Heading2"/>
        <w:tabs>
          <w:tab w:pos="9647" w:val="left" w:leader="none"/>
        </w:tabs>
        <w:spacing w:before="1"/>
        <w:ind w:left="820"/>
      </w:pPr>
      <w:r>
        <w:rPr/>
        <w:pict>
          <v:line style="position:absolute;mso-position-horizontal-relative:page;mso-position-vertical-relative:paragraph;z-index:9856" from="36.360001pt,14.064852pt" to="36.360001pt,27.865852pt" stroked="true" strokeweight=".72pt" strokecolor="#000000">
            <v:stroke dashstyle="solid"/>
            <w10:wrap type="none"/>
          </v:line>
        </w:pict>
      </w:r>
      <w:r>
        <w:rPr/>
        <w:t>BUDGET</w:t>
      </w:r>
      <w:r>
        <w:rPr>
          <w:spacing w:val="-3"/>
        </w:rPr>
        <w:t> </w:t>
      </w:r>
      <w:r>
        <w:rPr/>
        <w:t>FOR</w:t>
      </w:r>
      <w:r>
        <w:rPr>
          <w:spacing w:val="-3"/>
        </w:rPr>
        <w:t> </w:t>
      </w:r>
      <w:r>
        <w:rPr/>
        <w:t>EQUIPMENT</w:t>
        <w:tab/>
        <w:t>6457</w:t>
      </w:r>
    </w:p>
    <w:p>
      <w:pPr>
        <w:pStyle w:val="BodyText"/>
        <w:ind w:left="820"/>
      </w:pPr>
      <w:r>
        <w:rPr/>
        <w:t>(Revised </w:t>
      </w:r>
      <w:r>
        <w:rPr>
          <w:strike/>
          <w:color w:val="2E97D3"/>
        </w:rPr>
        <w:t>9/2010</w:t>
      </w:r>
      <w:r>
        <w:rPr>
          <w:strike w:val="0"/>
          <w:color w:val="2E97D3"/>
          <w:u w:val="single" w:color="2E97D3"/>
        </w:rPr>
        <w:t>09/2017</w:t>
      </w:r>
      <w:r>
        <w:rPr>
          <w:strike w:val="0"/>
        </w:rPr>
        <w:t>)</w:t>
      </w:r>
    </w:p>
    <w:p>
      <w:pPr>
        <w:pStyle w:val="BodyText"/>
        <w:spacing w:before="5"/>
        <w:rPr>
          <w:sz w:val="18"/>
        </w:rPr>
      </w:pPr>
    </w:p>
    <w:p>
      <w:pPr>
        <w:pStyle w:val="BodyText"/>
        <w:spacing w:before="92"/>
        <w:ind w:left="820" w:right="291"/>
        <w:jc w:val="both"/>
      </w:pPr>
      <w:r>
        <w:rPr/>
        <w:pict>
          <v:line style="position:absolute;mso-position-horizontal-relative:page;mso-position-vertical-relative:paragraph;z-index:9880" from="36.360001pt,4.815856pt" to="36.360001pt,18.615856pt" stroked="true" strokeweight=".72pt" strokecolor="#000000">
            <v:stroke dashstyle="solid"/>
            <w10:wrap type="none"/>
          </v:line>
        </w:pict>
      </w:r>
      <w:r>
        <w:rPr/>
        <w:t>Each</w:t>
      </w:r>
      <w:r>
        <w:rPr>
          <w:spacing w:val="-14"/>
        </w:rPr>
        <w:t> </w:t>
      </w:r>
      <w:r>
        <w:rPr/>
        <w:t>department</w:t>
      </w:r>
      <w:r>
        <w:rPr>
          <w:spacing w:val="-14"/>
        </w:rPr>
        <w:t> </w:t>
      </w:r>
      <w:r>
        <w:rPr/>
        <w:t>must</w:t>
      </w:r>
      <w:r>
        <w:rPr>
          <w:spacing w:val="-14"/>
        </w:rPr>
        <w:t> </w:t>
      </w:r>
      <w:r>
        <w:rPr/>
        <w:t>prepare</w:t>
      </w:r>
      <w:r>
        <w:rPr>
          <w:spacing w:val="-14"/>
        </w:rPr>
        <w:t> </w:t>
      </w:r>
      <w:r>
        <w:rPr/>
        <w:t>a</w:t>
      </w:r>
      <w:r>
        <w:rPr>
          <w:spacing w:val="-14"/>
        </w:rPr>
        <w:t> </w:t>
      </w:r>
      <w:r>
        <w:rPr/>
        <w:t>Supplementary</w:t>
      </w:r>
      <w:r>
        <w:rPr>
          <w:spacing w:val="-15"/>
        </w:rPr>
        <w:t> </w:t>
      </w:r>
      <w:r>
        <w:rPr/>
        <w:t>Schedule</w:t>
      </w:r>
      <w:r>
        <w:rPr>
          <w:spacing w:val="-14"/>
        </w:rPr>
        <w:t> </w:t>
      </w:r>
      <w:r>
        <w:rPr/>
        <w:t>of</w:t>
      </w:r>
      <w:r>
        <w:rPr>
          <w:spacing w:val="-13"/>
        </w:rPr>
        <w:t> </w:t>
      </w:r>
      <w:r>
        <w:rPr/>
        <w:t>Equipment,</w:t>
      </w:r>
      <w:r>
        <w:rPr>
          <w:spacing w:val="-13"/>
        </w:rPr>
        <w:t> </w:t>
      </w:r>
      <w:r>
        <w:rPr>
          <w:rFonts w:ascii="Times New Roman"/>
          <w:b/>
          <w:strike/>
          <w:color w:val="2E97D3"/>
          <w:sz w:val="16"/>
          <w:u w:val="single" w:color="2E97D3"/>
        </w:rPr>
        <w:t>DF</w:t>
      </w:r>
      <w:r>
        <w:rPr>
          <w:rFonts w:ascii="Times New Roman"/>
          <w:b/>
          <w:strike/>
          <w:color w:val="2E97D3"/>
          <w:spacing w:val="-9"/>
          <w:sz w:val="16"/>
          <w:u w:val="single" w:color="2E97D3"/>
        </w:rPr>
        <w:t> </w:t>
      </w:r>
      <w:r>
        <w:rPr>
          <w:rFonts w:ascii="Times New Roman"/>
          <w:b/>
          <w:strike/>
          <w:color w:val="2E97D3"/>
          <w:sz w:val="16"/>
          <w:u w:val="single" w:color="2E97D3"/>
        </w:rPr>
        <w:t>302</w:t>
      </w:r>
      <w:r>
        <w:rPr>
          <w:rFonts w:ascii="Times New Roman"/>
          <w:b/>
          <w:strike/>
          <w:color w:val="2E97D3"/>
          <w:sz w:val="16"/>
        </w:rPr>
        <w:t>.</w:t>
      </w:r>
      <w:r>
        <w:rPr>
          <w:rFonts w:ascii="Times New Roman"/>
          <w:b/>
          <w:strike/>
          <w:color w:val="2E97D3"/>
          <w:spacing w:val="-20"/>
          <w:sz w:val="16"/>
        </w:rPr>
        <w:t> </w:t>
      </w:r>
      <w:hyperlink r:id="rId33">
        <w:r>
          <w:rPr>
            <w:strike w:val="0"/>
            <w:color w:val="2E97D3"/>
            <w:u w:val="single" w:color="2E97D3"/>
          </w:rPr>
          <w:t>DF</w:t>
        </w:r>
        <w:r>
          <w:rPr>
            <w:strike w:val="0"/>
            <w:color w:val="2E97D3"/>
            <w:spacing w:val="-14"/>
            <w:u w:val="single" w:color="2E97D3"/>
          </w:rPr>
          <w:t> </w:t>
        </w:r>
        <w:r>
          <w:rPr>
            <w:strike w:val="0"/>
            <w:color w:val="2E97D3"/>
            <w:u w:val="single" w:color="2E97D3"/>
          </w:rPr>
          <w:t>302</w:t>
        </w:r>
      </w:hyperlink>
      <w:r>
        <w:rPr>
          <w:strike w:val="0"/>
          <w:color w:val="2E97D3"/>
          <w:u w:val="single" w:color="2E97D3"/>
        </w:rPr>
        <w:t>. </w:t>
      </w:r>
      <w:r>
        <w:rPr>
          <w:strike w:val="0"/>
        </w:rPr>
        <w:t>The schedule should be forwarded with the budget package, per the timeframe and guidelines set forth in the Budget</w:t>
      </w:r>
      <w:r>
        <w:rPr>
          <w:strike w:val="0"/>
          <w:spacing w:val="-20"/>
        </w:rPr>
        <w:t> </w:t>
      </w:r>
      <w:r>
        <w:rPr>
          <w:strike w:val="0"/>
        </w:rPr>
        <w:t>Letters.</w:t>
      </w:r>
    </w:p>
    <w:p>
      <w:pPr>
        <w:pStyle w:val="BodyText"/>
        <w:spacing w:before="184"/>
        <w:ind w:left="820" w:right="293"/>
        <w:jc w:val="both"/>
      </w:pPr>
      <w:r>
        <w:rPr/>
        <w:pict>
          <v:line style="position:absolute;mso-position-horizontal-relative:page;mso-position-vertical-relative:paragraph;z-index:-462904" from="289.920013pt,46.195873pt" to="293.281013pt,46.195873pt" stroked="true" strokeweight=".36pt" strokecolor="#2e97d3">
            <v:stroke dashstyle="solid"/>
            <w10:wrap type="none"/>
          </v:line>
        </w:pict>
      </w:r>
      <w:r>
        <w:rPr/>
        <w:pict>
          <v:line style="position:absolute;mso-position-horizontal-relative:page;mso-position-vertical-relative:paragraph;z-index:9904" from="36.360001pt,23.215872pt" to="36.360001pt,50.815872pt" stroked="true" strokeweight=".72pt" strokecolor="#000000">
            <v:stroke dashstyle="solid"/>
            <w10:wrap type="none"/>
          </v:line>
        </w:pict>
      </w:r>
      <w:r>
        <w:rPr/>
        <w:t>For uniformity in budgeting, accounting, and purchasing, the definition of equipment in SAM Section </w:t>
      </w:r>
      <w:r>
        <w:rPr>
          <w:rFonts w:ascii="Times New Roman"/>
          <w:b/>
          <w:strike/>
          <w:color w:val="2E97D3"/>
          <w:sz w:val="16"/>
          <w:u w:val="single" w:color="2E97D3"/>
        </w:rPr>
        <w:t>8602 </w:t>
      </w:r>
      <w:hyperlink r:id="rId80">
        <w:r>
          <w:rPr>
            <w:strike w:val="0"/>
            <w:color w:val="2E97D3"/>
            <w:u w:val="single" w:color="2E97D3"/>
          </w:rPr>
          <w:t>8602</w:t>
        </w:r>
      </w:hyperlink>
      <w:r>
        <w:rPr>
          <w:strike w:val="0"/>
          <w:color w:val="2E97D3"/>
          <w:u w:val="single" w:color="2E97D3"/>
        </w:rPr>
        <w:t> </w:t>
      </w:r>
      <w:r>
        <w:rPr>
          <w:strike w:val="0"/>
        </w:rPr>
        <w:t>governs whether equipment/personal property will be budgeted and reported as equipment on DF 302. Some expenditures for equipment may be budgeted as capital outlay if purchased as an initial complement of equipment for the capital outlay project.</w:t>
      </w:r>
    </w:p>
    <w:p>
      <w:pPr>
        <w:pStyle w:val="BodyText"/>
        <w:spacing w:before="182"/>
        <w:ind w:left="820" w:right="385"/>
        <w:jc w:val="both"/>
      </w:pPr>
      <w:r>
        <w:rPr/>
        <w:pict>
          <v:line style="position:absolute;mso-position-horizontal-relative:page;mso-position-vertical-relative:paragraph;z-index:9928" from="36.360001pt,23.115862pt" to="36.360001pt,42.915862pt" stroked="true" strokeweight=".72pt" strokecolor="#000000">
            <v:stroke dashstyle="solid"/>
            <w10:wrap type="none"/>
          </v:line>
        </w:pict>
      </w:r>
      <w:r>
        <w:rPr/>
        <w:t>Departments</w:t>
      </w:r>
      <w:r>
        <w:rPr>
          <w:spacing w:val="-13"/>
        </w:rPr>
        <w:t> </w:t>
      </w:r>
      <w:r>
        <w:rPr/>
        <w:t>should</w:t>
      </w:r>
      <w:r>
        <w:rPr>
          <w:spacing w:val="-13"/>
        </w:rPr>
        <w:t> </w:t>
      </w:r>
      <w:r>
        <w:rPr/>
        <w:t>work</w:t>
      </w:r>
      <w:r>
        <w:rPr>
          <w:spacing w:val="-11"/>
        </w:rPr>
        <w:t> </w:t>
      </w:r>
      <w:r>
        <w:rPr/>
        <w:t>with</w:t>
      </w:r>
      <w:r>
        <w:rPr>
          <w:spacing w:val="-10"/>
        </w:rPr>
        <w:t> </w:t>
      </w:r>
      <w:r>
        <w:rPr/>
        <w:t>their</w:t>
      </w:r>
      <w:r>
        <w:rPr>
          <w:spacing w:val="-12"/>
        </w:rPr>
        <w:t> </w:t>
      </w:r>
      <w:r>
        <w:rPr/>
        <w:t>Finance</w:t>
      </w:r>
      <w:r>
        <w:rPr>
          <w:spacing w:val="-13"/>
        </w:rPr>
        <w:t> </w:t>
      </w:r>
      <w:r>
        <w:rPr/>
        <w:t>budget</w:t>
      </w:r>
      <w:r>
        <w:rPr>
          <w:spacing w:val="-13"/>
        </w:rPr>
        <w:t> </w:t>
      </w:r>
      <w:r>
        <w:rPr/>
        <w:t>analyst</w:t>
      </w:r>
      <w:r>
        <w:rPr>
          <w:spacing w:val="-11"/>
        </w:rPr>
        <w:t> </w:t>
      </w:r>
      <w:r>
        <w:rPr/>
        <w:t>if</w:t>
      </w:r>
      <w:r>
        <w:rPr>
          <w:spacing w:val="-8"/>
        </w:rPr>
        <w:t> </w:t>
      </w:r>
      <w:r>
        <w:rPr/>
        <w:t>they</w:t>
      </w:r>
      <w:r>
        <w:rPr>
          <w:spacing w:val="-13"/>
        </w:rPr>
        <w:t> </w:t>
      </w:r>
      <w:r>
        <w:rPr/>
        <w:t>wish</w:t>
      </w:r>
      <w:r>
        <w:rPr>
          <w:spacing w:val="-10"/>
        </w:rPr>
        <w:t> </w:t>
      </w:r>
      <w:r>
        <w:rPr/>
        <w:t>to</w:t>
      </w:r>
      <w:r>
        <w:rPr>
          <w:spacing w:val="-13"/>
        </w:rPr>
        <w:t> </w:t>
      </w:r>
      <w:r>
        <w:rPr/>
        <w:t>develop</w:t>
      </w:r>
      <w:r>
        <w:rPr>
          <w:spacing w:val="-10"/>
        </w:rPr>
        <w:t> </w:t>
      </w:r>
      <w:r>
        <w:rPr/>
        <w:t>and use internal equipment request forms in preparing the supplemental</w:t>
      </w:r>
      <w:r>
        <w:rPr>
          <w:spacing w:val="-39"/>
        </w:rPr>
        <w:t> </w:t>
      </w:r>
      <w:r>
        <w:rPr/>
        <w:t>schedule.</w:t>
      </w:r>
    </w:p>
    <w:p>
      <w:pPr>
        <w:spacing w:after="0"/>
        <w:jc w:val="both"/>
        <w:sectPr>
          <w:footerReference w:type="default" r:id="rId79"/>
          <w:pgSz w:w="12240" w:h="15840"/>
          <w:pgMar w:footer="792" w:header="724" w:top="980" w:bottom="980" w:left="620" w:right="1320"/>
        </w:sectPr>
      </w:pPr>
    </w:p>
    <w:p>
      <w:pPr>
        <w:pStyle w:val="BodyText"/>
        <w:rPr>
          <w:rFonts w:ascii="Times New Roman"/>
          <w:sz w:val="20"/>
        </w:rPr>
      </w:pPr>
    </w:p>
    <w:p>
      <w:pPr>
        <w:pStyle w:val="BodyText"/>
        <w:spacing w:before="3" w:after="1"/>
        <w:rPr>
          <w:rFonts w:ascii="Times New Roman"/>
          <w:sz w:val="18"/>
        </w:rPr>
      </w:pPr>
    </w:p>
    <w:p>
      <w:pPr>
        <w:pStyle w:val="BodyText"/>
        <w:ind w:left="99"/>
        <w:rPr>
          <w:rFonts w:ascii="Times New Roman"/>
          <w:sz w:val="20"/>
        </w:rPr>
      </w:pPr>
      <w:r>
        <w:rPr>
          <w:rFonts w:ascii="Times New Roman"/>
          <w:sz w:val="20"/>
        </w:rPr>
        <w:pict>
          <v:group style="width:.75pt;height:20.55pt;mso-position-horizontal-relative:char;mso-position-vertical-relative:line" coordorigin="0,0" coordsize="15,411">
            <v:line style="position:absolute" from="8,8" to="8,403" stroked="true" strokeweight=".72pt" strokecolor="#000000">
              <v:stroke dashstyle="solid"/>
            </v:line>
          </v:group>
        </w:pict>
      </w:r>
      <w:r>
        <w:rPr>
          <w:rFonts w:ascii="Times New Roman"/>
          <w:sz w:val="20"/>
        </w:rPr>
      </w:r>
    </w:p>
    <w:p>
      <w:pPr>
        <w:spacing w:after="0"/>
        <w:rPr>
          <w:rFonts w:ascii="Times New Roman"/>
          <w:sz w:val="20"/>
        </w:rPr>
        <w:sectPr>
          <w:footerReference w:type="default" r:id="rId81"/>
          <w:pgSz w:w="12240" w:h="15840"/>
          <w:pgMar w:footer="792" w:header="724" w:top="980" w:bottom="980" w:left="620" w:right="1720"/>
        </w:sectPr>
      </w:pPr>
    </w:p>
    <w:p>
      <w:pPr>
        <w:pStyle w:val="BodyText"/>
        <w:rPr>
          <w:rFonts w:ascii="Times New Roman"/>
          <w:sz w:val="20"/>
        </w:rPr>
      </w:pPr>
    </w:p>
    <w:p>
      <w:pPr>
        <w:tabs>
          <w:tab w:pos="9647" w:val="left" w:leader="none"/>
        </w:tabs>
        <w:spacing w:before="214"/>
        <w:ind w:left="820" w:right="0" w:firstLine="0"/>
        <w:jc w:val="left"/>
        <w:rPr>
          <w:b/>
          <w:sz w:val="24"/>
        </w:rPr>
      </w:pPr>
      <w:r>
        <w:rPr/>
        <w:pict>
          <v:line style="position:absolute;mso-position-horizontal-relative:page;mso-position-vertical-relative:paragraph;z-index:-462688" from="373.320007pt,19.135881pt" to="376.680007pt,19.135881pt" stroked="true" strokeweight=".6pt" strokecolor="#2e97d3">
            <v:stroke dashstyle="solid"/>
            <w10:wrap type="none"/>
          </v:line>
        </w:pict>
      </w:r>
      <w:r>
        <w:rPr/>
        <w:pict>
          <v:line style="position:absolute;mso-position-horizontal-relative:page;mso-position-vertical-relative:paragraph;z-index:10192" from="36.360001pt,10.915881pt" to="36.360001pt,38.515881pt" stroked="true" strokeweight=".72pt" strokecolor="#000000">
            <v:stroke dashstyle="solid"/>
            <w10:wrap type="none"/>
          </v:line>
        </w:pict>
      </w:r>
      <w:r>
        <w:rPr>
          <w:b/>
          <w:sz w:val="24"/>
        </w:rPr>
        <w:t>SUPPLEMENTARY SCHEDULE OF</w:t>
      </w:r>
      <w:r>
        <w:rPr>
          <w:b/>
          <w:spacing w:val="-13"/>
          <w:sz w:val="24"/>
        </w:rPr>
        <w:t> </w:t>
      </w:r>
      <w:r>
        <w:rPr>
          <w:b/>
          <w:sz w:val="24"/>
        </w:rPr>
        <w:t>FEDERAL</w:t>
      </w:r>
      <w:r>
        <w:rPr>
          <w:b/>
          <w:spacing w:val="-2"/>
          <w:sz w:val="24"/>
        </w:rPr>
        <w:t> </w:t>
      </w:r>
      <w:r>
        <w:rPr>
          <w:b/>
          <w:sz w:val="24"/>
        </w:rPr>
        <w:t>FUNDS</w:t>
        <w:tab/>
        <w:t>6460</w:t>
      </w:r>
    </w:p>
    <w:p>
      <w:pPr>
        <w:pStyle w:val="BodyText"/>
        <w:ind w:left="820"/>
      </w:pPr>
      <w:r>
        <w:rPr/>
        <w:t>(Revised </w:t>
      </w:r>
      <w:r>
        <w:rPr>
          <w:strike/>
          <w:color w:val="2E97D3"/>
        </w:rPr>
        <w:t>9/2010</w:t>
      </w:r>
      <w:r>
        <w:rPr>
          <w:strike w:val="0"/>
          <w:color w:val="2E97D3"/>
          <w:u w:val="single" w:color="2E97D3"/>
        </w:rPr>
        <w:t>10/2017</w:t>
      </w:r>
      <w:r>
        <w:rPr>
          <w:strike w:val="0"/>
        </w:rPr>
        <w:t>)</w:t>
      </w:r>
    </w:p>
    <w:p>
      <w:pPr>
        <w:pStyle w:val="BodyText"/>
        <w:spacing w:before="5"/>
        <w:rPr>
          <w:sz w:val="18"/>
        </w:rPr>
      </w:pPr>
    </w:p>
    <w:p>
      <w:pPr>
        <w:pStyle w:val="BodyText"/>
        <w:spacing w:before="93"/>
        <w:ind w:left="820" w:right="113"/>
      </w:pPr>
      <w:r>
        <w:rPr/>
        <w:pict>
          <v:line style="position:absolute;mso-position-horizontal-relative:page;mso-position-vertical-relative:paragraph;z-index:-462664" from="108.839996pt,26.885855pt" to="112.079996pt,26.885855pt" stroked="true" strokeweight=".6pt" strokecolor="#2e97d3">
            <v:stroke dashstyle="solid"/>
            <w10:wrap type="none"/>
          </v:line>
        </w:pict>
      </w:r>
      <w:r>
        <w:rPr/>
        <w:pict>
          <v:line style="position:absolute;mso-position-horizontal-relative:page;mso-position-vertical-relative:paragraph;z-index:-462640" from="303.119995pt,54.485855pt" to="306.479995pt,54.485855pt" stroked="true" strokeweight=".6pt" strokecolor="#2e97d3">
            <v:stroke dashstyle="solid"/>
            <w10:wrap type="none"/>
          </v:line>
        </w:pict>
      </w:r>
      <w:r>
        <w:rPr/>
        <w:pict>
          <v:line style="position:absolute;mso-position-horizontal-relative:page;mso-position-vertical-relative:paragraph;z-index:10216" from="36.360001pt,18.664854pt" to="36.360001pt,32.465854pt" stroked="true" strokeweight=".72pt" strokecolor="#000000">
            <v:stroke dashstyle="solid"/>
            <w10:wrap type="none"/>
          </v:line>
        </w:pict>
      </w:r>
      <w:r>
        <w:rPr/>
        <w:pict>
          <v:line style="position:absolute;mso-position-horizontal-relative:page;mso-position-vertical-relative:paragraph;z-index:10240" from="36.360001pt,46.265854pt" to="36.360001pt,73.865854pt" stroked="true" strokeweight=".72pt" strokecolor="#000000">
            <v:stroke dashstyle="solid"/>
            <w10:wrap type="none"/>
          </v:line>
        </w:pict>
      </w:r>
      <w:r>
        <w:rPr/>
        <w:t>Budget submissions are required to include a Supplementary Schedule of Federal Funds. The total amount on the Supplementary Schedule of Federal Funds must correspond to the amount shown as federal funds in the “Detail of Appropriations and Adjustments” in each department's budget. Federal funds are all monies received </w:t>
      </w:r>
      <w:r>
        <w:rPr>
          <w:strike/>
          <w:color w:val="2E97D3"/>
        </w:rPr>
        <w:t>by a department </w:t>
      </w:r>
      <w:r>
        <w:rPr>
          <w:strike w:val="0"/>
        </w:rPr>
        <w:t>directly from an agency of the federal government.</w:t>
      </w:r>
    </w:p>
    <w:p>
      <w:pPr>
        <w:pStyle w:val="BodyText"/>
        <w:spacing w:before="11"/>
        <w:rPr>
          <w:sz w:val="14"/>
        </w:rPr>
      </w:pPr>
    </w:p>
    <w:p>
      <w:pPr>
        <w:pStyle w:val="BodyText"/>
        <w:spacing w:before="92"/>
        <w:ind w:left="820" w:right="509"/>
      </w:pPr>
      <w:r>
        <w:rPr/>
        <w:pict>
          <v:line style="position:absolute;mso-position-horizontal-relative:page;mso-position-vertical-relative:paragraph;z-index:-462616" from="156.839996pt,41.595840pt" to="158.759996pt,41.595840pt" stroked="true" strokeweight=".36pt" strokecolor="#2e97d3">
            <v:stroke dashstyle="solid"/>
            <w10:wrap type="none"/>
          </v:line>
        </w:pict>
      </w:r>
      <w:r>
        <w:rPr/>
        <w:pict>
          <v:line style="position:absolute;mso-position-horizontal-relative:page;mso-position-vertical-relative:paragraph;z-index:-462592" from="120.120003pt,55.395844pt" to="122.159003pt,55.395844pt" stroked="true" strokeweight=".36pt" strokecolor="#2e97d3">
            <v:stroke dashstyle="solid"/>
            <w10:wrap type="none"/>
          </v:line>
        </w:pict>
      </w:r>
      <w:r>
        <w:rPr/>
        <w:pict>
          <v:line style="position:absolute;mso-position-horizontal-relative:page;mso-position-vertical-relative:paragraph;z-index:10264" from="36.360001pt,18.615843pt" to="36.360001pt,60.015843pt" stroked="true" strokeweight=".72pt" strokecolor="#000000">
            <v:stroke dashstyle="solid"/>
            <w10:wrap type="none"/>
          </v:line>
        </w:pict>
      </w:r>
      <w:r>
        <w:rPr/>
        <w:t>The information will be prepared on Supplementary Schedule of Federal Funds/Reimbursements, </w:t>
      </w:r>
      <w:r>
        <w:rPr>
          <w:rFonts w:ascii="Times New Roman"/>
          <w:b/>
          <w:strike/>
          <w:color w:val="2E97D3"/>
          <w:sz w:val="16"/>
          <w:u w:val="single" w:color="2E97D3"/>
        </w:rPr>
        <w:t>DF 301</w:t>
      </w:r>
      <w:hyperlink r:id="rId33">
        <w:r>
          <w:rPr>
            <w:strike w:val="0"/>
            <w:color w:val="2E97D3"/>
            <w:u w:val="single" w:color="2E97D3"/>
          </w:rPr>
          <w:t>DF 301</w:t>
        </w:r>
      </w:hyperlink>
      <w:r>
        <w:rPr>
          <w:strike w:val="0"/>
        </w:rPr>
        <w:t>, or such other format approved by the Finance budget analyst. Each grant (project) must be listed separately by departmental program. Separate listings will be prepared for each character of expenditure.</w:t>
      </w:r>
    </w:p>
    <w:p>
      <w:pPr>
        <w:pStyle w:val="BodyText"/>
        <w:spacing w:before="182"/>
        <w:ind w:left="820" w:right="108"/>
      </w:pPr>
      <w:r>
        <w:rPr/>
        <w:pict>
          <v:group style="position:absolute;margin-left:313.959991pt;margin-top:45.895836pt;width:5.95pt;height:4.25pt;mso-position-horizontal-relative:page;mso-position-vertical-relative:paragraph;z-index:-462568" coordorigin="6279,918" coordsize="119,85">
            <v:line style="position:absolute" from="6322,994" to="6389,994" stroked="true" strokeweight=".84pt" strokecolor="#2e97d3">
              <v:stroke dashstyle="solid"/>
            </v:line>
            <v:line style="position:absolute" from="6283,922" to="6322,922" stroked="true" strokeweight=".36pt" strokecolor="#2e97d3">
              <v:stroke dashstyle="solid"/>
            </v:line>
            <w10:wrap type="none"/>
          </v:group>
        </w:pict>
      </w:r>
      <w:r>
        <w:rPr/>
        <w:pict>
          <v:line style="position:absolute;mso-position-horizontal-relative:page;mso-position-vertical-relative:paragraph;z-index:-462544" from="162.839996pt,59.895836pt" to="164.760996pt,59.895836pt" stroked="true" strokeweight=".36pt" strokecolor="#2e97d3">
            <v:stroke dashstyle="solid"/>
            <w10:wrap type="none"/>
          </v:line>
        </w:pict>
      </w:r>
      <w:r>
        <w:rPr/>
        <w:pict>
          <v:line style="position:absolute;mso-position-horizontal-relative:page;mso-position-vertical-relative:paragraph;z-index:10288" from="36.360001pt,36.915836pt" to="36.360001pt,78.315836pt" stroked="true" strokeweight=".72pt" strokecolor="#000000">
            <v:stroke dashstyle="solid"/>
            <w10:wrap type="none"/>
          </v:line>
        </w:pict>
      </w:r>
      <w:r>
        <w:rPr/>
        <w:t>For each grant, include the following: (1) the title or popular descriptive name as listed in the Catalog of Federal Domestic Assistance; (2) the federal catalog number; and (3) the dollars for the past, current, and budget years </w:t>
      </w:r>
      <w:r>
        <w:rPr>
          <w:color w:val="2E97D3"/>
        </w:rPr>
        <w:t>. </w:t>
      </w:r>
      <w:r>
        <w:rPr/>
        <w:t>Each page should be numbered for ready reference. Instructions for preparation of </w:t>
      </w:r>
      <w:r>
        <w:rPr>
          <w:rFonts w:ascii="Times New Roman"/>
          <w:b/>
          <w:strike/>
          <w:color w:val="2E97D3"/>
          <w:sz w:val="16"/>
          <w:u w:val="single" w:color="2E97D3"/>
        </w:rPr>
        <w:t>DF 301 </w:t>
      </w:r>
      <w:hyperlink r:id="rId33">
        <w:r>
          <w:rPr>
            <w:strike w:val="0"/>
            <w:color w:val="2E97D3"/>
            <w:u w:val="single" w:color="2E97D3"/>
          </w:rPr>
          <w:t>DF 301</w:t>
        </w:r>
      </w:hyperlink>
      <w:r>
        <w:rPr>
          <w:strike w:val="0"/>
          <w:color w:val="2E97D3"/>
          <w:u w:val="single" w:color="2E97D3"/>
        </w:rPr>
        <w:t> </w:t>
      </w:r>
      <w:r>
        <w:rPr>
          <w:strike w:val="0"/>
        </w:rPr>
        <w:t>are included on the second page of the form.</w:t>
      </w:r>
    </w:p>
    <w:p>
      <w:pPr>
        <w:pStyle w:val="BodyText"/>
        <w:spacing w:before="1"/>
        <w:rPr>
          <w:sz w:val="23"/>
        </w:rPr>
      </w:pPr>
    </w:p>
    <w:p>
      <w:pPr>
        <w:pStyle w:val="BodyText"/>
        <w:ind w:left="820" w:right="195"/>
      </w:pPr>
      <w:r>
        <w:rPr/>
        <w:t>If changes have been made during the budget preparation process before submittal of the Governor's Budget to the Legislature which affects this schedule, a final submission of the affected schedule must be made by the originating department to agree with the printed budget and returned to Finance by the timeframe specified in Budget Letters.</w:t>
      </w:r>
    </w:p>
    <w:p>
      <w:pPr>
        <w:pStyle w:val="BodyText"/>
        <w:rPr>
          <w:sz w:val="26"/>
        </w:rPr>
      </w:pPr>
    </w:p>
    <w:p>
      <w:pPr>
        <w:pStyle w:val="Heading2"/>
        <w:tabs>
          <w:tab w:pos="9647" w:val="left" w:leader="none"/>
        </w:tabs>
        <w:spacing w:before="216"/>
        <w:ind w:left="819"/>
      </w:pPr>
      <w:r>
        <w:rPr/>
        <w:pict>
          <v:line style="position:absolute;mso-position-horizontal-relative:page;mso-position-vertical-relative:paragraph;z-index:10312" from="36.360001pt,24.815859pt" to="36.360001pt,38.615859pt" stroked="true" strokeweight=".72pt" strokecolor="#000000">
            <v:stroke dashstyle="solid"/>
            <w10:wrap type="none"/>
          </v:line>
        </w:pict>
      </w:r>
      <w:r>
        <w:rPr/>
        <w:t>REIMBURSEMENTS</w:t>
        <w:tab/>
        <w:t>6463</w:t>
      </w:r>
    </w:p>
    <w:p>
      <w:pPr>
        <w:pStyle w:val="BodyText"/>
        <w:ind w:left="820"/>
      </w:pPr>
      <w:r>
        <w:rPr/>
        <w:t>(Revised </w:t>
      </w:r>
      <w:r>
        <w:rPr>
          <w:strike/>
          <w:color w:val="2E97D3"/>
        </w:rPr>
        <w:t>9/2010</w:t>
      </w:r>
      <w:r>
        <w:rPr>
          <w:strike w:val="0"/>
          <w:color w:val="2E97D3"/>
          <w:u w:val="single" w:color="2E97D3"/>
        </w:rPr>
        <w:t>09/2017</w:t>
      </w:r>
      <w:r>
        <w:rPr>
          <w:strike w:val="0"/>
        </w:rPr>
        <w:t>)</w:t>
      </w:r>
    </w:p>
    <w:p>
      <w:pPr>
        <w:pStyle w:val="BodyText"/>
        <w:spacing w:before="6"/>
        <w:rPr>
          <w:sz w:val="18"/>
        </w:rPr>
      </w:pPr>
    </w:p>
    <w:p>
      <w:pPr>
        <w:pStyle w:val="BodyText"/>
        <w:spacing w:before="92"/>
        <w:ind w:left="820" w:right="152"/>
      </w:pPr>
      <w:r>
        <w:rPr/>
        <w:pict>
          <v:line style="position:absolute;mso-position-horizontal-relative:page;mso-position-vertical-relative:paragraph;z-index:-462520" from="179.520004pt,54.436363pt" to="182.760004pt,54.436363pt" stroked="true" strokeweight=".599pt" strokecolor="#2e97d3">
            <v:stroke dashstyle="solid"/>
            <w10:wrap type="none"/>
          </v:line>
        </w:pict>
      </w:r>
      <w:r>
        <w:rPr/>
        <w:pict>
          <v:line style="position:absolute;mso-position-horizontal-relative:page;mso-position-vertical-relative:paragraph;z-index:-462496" from="286.920013pt,82.035858pt" to="290.280013pt,82.035858pt" stroked="true" strokeweight=".6pt" strokecolor="#2e97d3">
            <v:stroke dashstyle="solid"/>
            <w10:wrap type="none"/>
          </v:line>
        </w:pict>
      </w:r>
      <w:r>
        <w:rPr/>
        <w:pict>
          <v:line style="position:absolute;mso-position-horizontal-relative:page;mso-position-vertical-relative:paragraph;z-index:10336" from="36.360001pt,46.215862pt" to="36.360001pt,60.015862pt" stroked="true" strokeweight=".72pt" strokecolor="#000000">
            <v:stroke dashstyle="solid"/>
            <w10:wrap type="none"/>
          </v:line>
        </w:pict>
      </w:r>
      <w:r>
        <w:rPr/>
        <w:pict>
          <v:line style="position:absolute;mso-position-horizontal-relative:page;mso-position-vertical-relative:paragraph;z-index:10360" from="36.360001pt,73.815865pt" to="36.360001pt,156.615865pt" stroked="true" strokeweight=".72pt" strokecolor="#000000">
            <v:stroke dashstyle="solid"/>
            <w10:wrap type="none"/>
          </v:line>
        </w:pict>
      </w:r>
      <w:r>
        <w:rPr/>
        <w:t>A reimbursement is cash or other assets received as repayment for the cost of work or services performed, or for other expenditures made for or on behalf and for the convenience of another governmental unit, fund, or department, or for an individual, firm, or corporation. There should be a </w:t>
      </w:r>
      <w:r>
        <w:rPr>
          <w:strike/>
          <w:color w:val="2E97D3"/>
        </w:rPr>
        <w:t>very </w:t>
      </w:r>
      <w:r>
        <w:rPr>
          <w:strike w:val="0"/>
        </w:rPr>
        <w:t>positive, direct relationship of the charge to the cost of the particular services performed for an individual or entity before one should consider a receipt to be reimbursement. Reimbursements represent the recovery of </w:t>
      </w:r>
      <w:r>
        <w:rPr>
          <w:strike/>
          <w:color w:val="2E97D3"/>
        </w:rPr>
        <w:t>an </w:t>
      </w:r>
      <w:r>
        <w:rPr>
          <w:strike w:val="0"/>
        </w:rPr>
        <w:t>expenditure and are shown in the </w:t>
      </w:r>
      <w:r>
        <w:rPr>
          <w:strike/>
          <w:color w:val="2E97D3"/>
        </w:rPr>
        <w:t>budget act</w:t>
      </w:r>
      <w:r>
        <w:rPr>
          <w:strike w:val="0"/>
          <w:color w:val="2E97D3"/>
          <w:u w:val="single" w:color="2E97D3"/>
        </w:rPr>
        <w:t>Budget Act </w:t>
      </w:r>
      <w:r>
        <w:rPr>
          <w:strike w:val="0"/>
        </w:rPr>
        <w:t>as a reduction of the expenditures of an item of appropriation</w:t>
      </w:r>
      <w:r>
        <w:rPr>
          <w:strike w:val="0"/>
          <w:color w:val="2E97D3"/>
          <w:u w:val="single" w:color="2E97D3"/>
        </w:rPr>
        <w:t>.  In FI$Cal (Hyperion), budget galleys, </w:t>
      </w:r>
      <w:r>
        <w:rPr>
          <w:strike w:val="0"/>
        </w:rPr>
        <w:t>and </w:t>
      </w:r>
      <w:r>
        <w:rPr>
          <w:strike w:val="0"/>
          <w:color w:val="2E97D3"/>
          <w:u w:val="single" w:color="2E97D3"/>
        </w:rPr>
        <w:t>most other budget documents and reports, expenditure authority and expenditures </w:t>
      </w:r>
      <w:r>
        <w:rPr>
          <w:strike w:val="0"/>
        </w:rPr>
        <w:t>are </w:t>
      </w:r>
      <w:r>
        <w:rPr>
          <w:strike/>
          <w:color w:val="2E97D3"/>
        </w:rPr>
        <w:t>indicated by</w:t>
      </w:r>
      <w:r>
        <w:rPr>
          <w:strike w:val="0"/>
          <w:color w:val="2E97D3"/>
          <w:u w:val="single" w:color="2E97D3"/>
        </w:rPr>
        <w:t>displayed using </w:t>
      </w:r>
      <w:r>
        <w:rPr>
          <w:strike w:val="0"/>
        </w:rPr>
        <w:t>a </w:t>
      </w:r>
      <w:r>
        <w:rPr>
          <w:strike/>
          <w:color w:val="2E97D3"/>
        </w:rPr>
        <w:t>minus (-) sign immediately before the dollar amounts</w:t>
      </w:r>
      <w:r>
        <w:rPr>
          <w:strike w:val="0"/>
          <w:color w:val="2E97D3"/>
          <w:u w:val="single" w:color="2E97D3"/>
        </w:rPr>
        <w:t>positive amount in Fund</w:t>
      </w:r>
      <w:r>
        <w:rPr>
          <w:strike w:val="0"/>
          <w:color w:val="2E97D3"/>
          <w:spacing w:val="-17"/>
          <w:u w:val="single" w:color="2E97D3"/>
        </w:rPr>
        <w:t> </w:t>
      </w:r>
      <w:r>
        <w:rPr>
          <w:strike w:val="0"/>
          <w:color w:val="2E97D3"/>
          <w:u w:val="single" w:color="2E97D3"/>
        </w:rPr>
        <w:t>0995</w:t>
      </w:r>
      <w:r>
        <w:rPr>
          <w:strike w:val="0"/>
        </w:rPr>
        <w:t>.</w:t>
      </w:r>
    </w:p>
    <w:p>
      <w:pPr>
        <w:pStyle w:val="BodyText"/>
        <w:spacing w:before="10"/>
        <w:rPr>
          <w:sz w:val="14"/>
        </w:rPr>
      </w:pPr>
    </w:p>
    <w:p>
      <w:pPr>
        <w:pStyle w:val="BodyText"/>
        <w:spacing w:before="93"/>
        <w:ind w:left="820"/>
      </w:pPr>
      <w:r>
        <w:rPr/>
        <w:pict>
          <v:line style="position:absolute;mso-position-horizontal-relative:page;mso-position-vertical-relative:paragraph;z-index:10384" from="36.360001pt,4.865862pt" to="36.360001pt,101.465862pt" stroked="true" strokeweight=".72pt" strokecolor="#000000">
            <v:stroke dashstyle="solid"/>
            <w10:wrap type="none"/>
          </v:line>
        </w:pict>
      </w:r>
      <w:r>
        <w:rPr>
          <w:strike/>
          <w:color w:val="2E97D3"/>
        </w:rPr>
        <w:t>All federal</w:t>
      </w:r>
      <w:r>
        <w:rPr>
          <w:strike w:val="0"/>
          <w:color w:val="2E97D3"/>
          <w:u w:val="single" w:color="2E97D3"/>
        </w:rPr>
        <w:t>Federal </w:t>
      </w:r>
      <w:r>
        <w:rPr>
          <w:strike w:val="0"/>
        </w:rPr>
        <w:t>funds received directly </w:t>
      </w:r>
      <w:r>
        <w:rPr>
          <w:strike w:val="0"/>
          <w:color w:val="2E97D3"/>
          <w:u w:val="single" w:color="2E97D3"/>
        </w:rPr>
        <w:t>from the federal government </w:t>
      </w:r>
      <w:r>
        <w:rPr>
          <w:strike w:val="0"/>
        </w:rPr>
        <w:t>by a </w:t>
      </w:r>
      <w:r>
        <w:rPr>
          <w:strike/>
          <w:color w:val="2E97D3"/>
        </w:rPr>
        <w:t>department and not via another </w:t>
      </w:r>
      <w:r>
        <w:rPr>
          <w:strike w:val="0"/>
        </w:rPr>
        <w:t>state department </w:t>
      </w:r>
      <w:r>
        <w:rPr>
          <w:strike/>
          <w:color w:val="2E97D3"/>
        </w:rPr>
        <w:t>will be</w:t>
      </w:r>
      <w:r>
        <w:rPr>
          <w:strike w:val="0"/>
          <w:color w:val="2E97D3"/>
          <w:u w:val="single" w:color="2E97D3"/>
        </w:rPr>
        <w:t>are federal receipts. The spending of those receipts by the receiving department is </w:t>
      </w:r>
      <w:r>
        <w:rPr>
          <w:strike w:val="0"/>
        </w:rPr>
        <w:t>reported as federal fund expenditures. </w:t>
      </w:r>
      <w:r>
        <w:rPr>
          <w:strike/>
          <w:color w:val="2E97D3"/>
        </w:rPr>
        <w:t>Federal funds received from another agency</w:t>
      </w:r>
      <w:r>
        <w:rPr>
          <w:strike w:val="0"/>
          <w:color w:val="2E97D3"/>
          <w:u w:val="single" w:color="2E97D3"/>
        </w:rPr>
        <w:t>When these federal funds are used to pay another department for goods or services, the funds received by the second department are treated as reimbursements </w:t>
      </w:r>
      <w:r>
        <w:rPr>
          <w:strike w:val="0"/>
        </w:rPr>
        <w:t>for the cost of work or services performed </w:t>
      </w:r>
      <w:r>
        <w:rPr>
          <w:strike/>
          <w:color w:val="2E97D3"/>
        </w:rPr>
        <w:t>will be treated as reimbursements</w:t>
      </w:r>
      <w:r>
        <w:rPr>
          <w:strike w:val="0"/>
        </w:rPr>
        <w:t>.</w:t>
      </w:r>
    </w:p>
    <w:p>
      <w:pPr>
        <w:spacing w:after="0"/>
        <w:sectPr>
          <w:pgSz w:w="12240" w:h="15840"/>
          <w:pgMar w:header="724" w:footer="792" w:top="980" w:bottom="980" w:left="620" w:right="1320"/>
        </w:sectPr>
      </w:pPr>
    </w:p>
    <w:p>
      <w:pPr>
        <w:pStyle w:val="BodyText"/>
        <w:spacing w:before="4"/>
        <w:rPr>
          <w:rFonts w:ascii="Times New Roman"/>
          <w:sz w:val="17"/>
        </w:rPr>
      </w:pPr>
    </w:p>
    <w:p>
      <w:pPr>
        <w:spacing w:after="0"/>
        <w:rPr>
          <w:rFonts w:ascii="Times New Roman"/>
          <w:sz w:val="17"/>
        </w:rPr>
        <w:sectPr>
          <w:pgSz w:w="12240" w:h="15840"/>
          <w:pgMar w:header="724" w:footer="792" w:top="980" w:bottom="980" w:left="1720" w:right="1720"/>
        </w:sectPr>
      </w:pPr>
    </w:p>
    <w:p>
      <w:pPr>
        <w:pStyle w:val="BodyText"/>
        <w:rPr>
          <w:rFonts w:ascii="Times New Roman"/>
          <w:sz w:val="20"/>
        </w:rPr>
      </w:pPr>
    </w:p>
    <w:p>
      <w:pPr>
        <w:pStyle w:val="Heading2"/>
        <w:tabs>
          <w:tab w:pos="9647" w:val="left" w:leader="none"/>
        </w:tabs>
        <w:spacing w:before="214"/>
        <w:ind w:left="819"/>
      </w:pPr>
      <w:r>
        <w:rPr/>
        <w:pict>
          <v:line style="position:absolute;mso-position-horizontal-relative:page;mso-position-vertical-relative:paragraph;z-index:10480" from="36.360001pt,24.714882pt" to="36.360001pt,38.515882pt" stroked="true" strokeweight=".72pt" strokecolor="#000000">
            <v:stroke dashstyle="solid"/>
            <w10:wrap type="none"/>
          </v:line>
        </w:pict>
      </w:r>
      <w:r>
        <w:rPr/>
        <w:t>SUPPLEMENTARY SCHEDULE</w:t>
      </w:r>
      <w:r>
        <w:rPr>
          <w:spacing w:val="-9"/>
        </w:rPr>
        <w:t> </w:t>
      </w:r>
      <w:r>
        <w:rPr/>
        <w:t>OF</w:t>
      </w:r>
      <w:r>
        <w:rPr>
          <w:spacing w:val="-4"/>
        </w:rPr>
        <w:t> </w:t>
      </w:r>
      <w:r>
        <w:rPr/>
        <w:t>REIMBURSEMENTS</w:t>
        <w:tab/>
        <w:t>6466</w:t>
      </w:r>
    </w:p>
    <w:p>
      <w:pPr>
        <w:pStyle w:val="BodyText"/>
        <w:ind w:left="820"/>
      </w:pPr>
      <w:r>
        <w:rPr/>
        <w:t>(Revised </w:t>
      </w:r>
      <w:r>
        <w:rPr>
          <w:strike/>
          <w:color w:val="2E97D3"/>
        </w:rPr>
        <w:t>9/2010</w:t>
      </w:r>
      <w:r>
        <w:rPr>
          <w:strike w:val="0"/>
          <w:color w:val="2E97D3"/>
          <w:u w:val="single" w:color="2E97D3"/>
        </w:rPr>
        <w:t>09/2017</w:t>
      </w:r>
      <w:r>
        <w:rPr>
          <w:strike w:val="0"/>
        </w:rPr>
        <w:t>)</w:t>
      </w:r>
    </w:p>
    <w:p>
      <w:pPr>
        <w:pStyle w:val="BodyText"/>
        <w:spacing w:before="11"/>
        <w:rPr>
          <w:sz w:val="15"/>
        </w:rPr>
      </w:pPr>
    </w:p>
    <w:p>
      <w:pPr>
        <w:pStyle w:val="BodyText"/>
        <w:spacing w:before="92"/>
        <w:ind w:left="820" w:right="379"/>
      </w:pPr>
      <w:r>
        <w:rPr/>
        <w:pict>
          <v:line style="position:absolute;mso-position-horizontal-relative:page;mso-position-vertical-relative:paragraph;z-index:-462256" from="199.440002pt,55.395859pt" to="201.480002pt,55.395859pt" stroked="true" strokeweight=".36pt" strokecolor="#2e97d3">
            <v:stroke dashstyle="solid"/>
            <w10:wrap type="none"/>
          </v:line>
        </w:pict>
      </w:r>
      <w:r>
        <w:rPr/>
        <w:pict>
          <v:line style="position:absolute;mso-position-horizontal-relative:page;mso-position-vertical-relative:paragraph;z-index:10504" from="36.360001pt,18.614857pt" to="36.360001pt,115.215857pt" stroked="true" strokeweight=".72pt" strokecolor="#000000">
            <v:stroke dashstyle="solid"/>
            <w10:wrap type="none"/>
          </v:line>
        </w:pict>
      </w:r>
      <w:r>
        <w:rPr/>
        <w:t>Budget submissions are required to include a Supplementary Schedule of Reimbursements. The information </w:t>
      </w:r>
      <w:r>
        <w:rPr>
          <w:rFonts w:ascii="Times New Roman" w:hAnsi="Times New Roman"/>
          <w:b/>
          <w:strike/>
          <w:color w:val="2E97D3"/>
          <w:sz w:val="16"/>
        </w:rPr>
        <w:t>will be</w:t>
      </w:r>
      <w:r>
        <w:rPr>
          <w:strike w:val="0"/>
          <w:color w:val="2E97D3"/>
          <w:u w:val="single" w:color="2E97D3"/>
        </w:rPr>
        <w:t>is </w:t>
      </w:r>
      <w:r>
        <w:rPr>
          <w:strike w:val="0"/>
        </w:rPr>
        <w:t>prepared on </w:t>
      </w:r>
      <w:r>
        <w:rPr>
          <w:strike w:val="0"/>
          <w:color w:val="2E97D3"/>
          <w:u w:val="single" w:color="2E97D3"/>
        </w:rPr>
        <w:t>the </w:t>
      </w:r>
      <w:r>
        <w:rPr>
          <w:strike w:val="0"/>
        </w:rPr>
        <w:t>Supplementary Schedule of Federal Funds/Reimbursement, </w:t>
      </w:r>
      <w:r>
        <w:rPr>
          <w:rFonts w:ascii="Times New Roman" w:hAnsi="Times New Roman"/>
          <w:b/>
          <w:strike/>
          <w:color w:val="2E97D3"/>
          <w:sz w:val="16"/>
          <w:u w:val="single" w:color="2E97D3"/>
        </w:rPr>
        <w:t>DF 301 </w:t>
      </w:r>
      <w:hyperlink r:id="rId33">
        <w:r>
          <w:rPr>
            <w:strike w:val="0"/>
            <w:color w:val="2E97D3"/>
            <w:u w:val="single" w:color="2E97D3"/>
          </w:rPr>
          <w:t>DF 301</w:t>
        </w:r>
      </w:hyperlink>
      <w:r>
        <w:rPr>
          <w:strike w:val="0"/>
          <w:color w:val="2E97D3"/>
          <w:u w:val="single" w:color="2E97D3"/>
        </w:rPr>
        <w:t> </w:t>
      </w:r>
      <w:r>
        <w:rPr>
          <w:strike w:val="0"/>
        </w:rPr>
        <w:t>or such other format approved by the Finance budget analyst. For a definition of "reimbursement,” see SAM Section </w:t>
      </w:r>
      <w:r>
        <w:rPr>
          <w:rFonts w:ascii="Times New Roman" w:hAnsi="Times New Roman"/>
          <w:b/>
          <w:strike/>
          <w:color w:val="2E97D3"/>
          <w:sz w:val="16"/>
          <w:u w:val="single" w:color="2E97D3"/>
        </w:rPr>
        <w:t>6463</w:t>
      </w:r>
      <w:hyperlink r:id="rId54">
        <w:r>
          <w:rPr>
            <w:strike w:val="0"/>
            <w:color w:val="2E97D3"/>
            <w:u w:val="single" w:color="2E97D3"/>
          </w:rPr>
          <w:t>6463</w:t>
        </w:r>
      </w:hyperlink>
      <w:r>
        <w:rPr>
          <w:strike w:val="0"/>
        </w:rPr>
        <w:t>.  </w:t>
      </w:r>
      <w:r>
        <w:rPr>
          <w:rFonts w:ascii="Times New Roman" w:hAnsi="Times New Roman"/>
          <w:b/>
          <w:strike/>
          <w:color w:val="2E97D3"/>
          <w:sz w:val="16"/>
        </w:rPr>
        <w:t>Any</w:t>
      </w:r>
      <w:r>
        <w:rPr>
          <w:strike w:val="0"/>
          <w:color w:val="2E97D3"/>
          <w:u w:val="single" w:color="2E97D3"/>
        </w:rPr>
        <w:t>All </w:t>
      </w:r>
      <w:r>
        <w:rPr>
          <w:strike w:val="0"/>
        </w:rPr>
        <w:t>changes </w:t>
      </w:r>
      <w:r>
        <w:rPr>
          <w:strike w:val="0"/>
          <w:color w:val="2E97D3"/>
          <w:u w:val="single" w:color="2E97D3"/>
        </w:rPr>
        <w:t>to reimbursements </w:t>
      </w:r>
      <w:r>
        <w:rPr>
          <w:strike w:val="0"/>
        </w:rPr>
        <w:t>are subject to the provisions of Section</w:t>
      </w:r>
    </w:p>
    <w:p>
      <w:pPr>
        <w:pStyle w:val="BodyText"/>
        <w:ind w:left="819" w:right="454"/>
      </w:pPr>
      <w:r>
        <w:rPr/>
        <w:pict>
          <v:line style="position:absolute;mso-position-horizontal-relative:page;mso-position-vertical-relative:paragraph;z-index:-462232" from="102.120003pt,9.395857pt" to="104.159003pt,9.395857pt" stroked="true" strokeweight=".36pt" strokecolor="#2e97d3">
            <v:stroke dashstyle="solid"/>
            <w10:wrap type="none"/>
          </v:line>
        </w:pict>
      </w:r>
      <w:r>
        <w:rPr/>
        <w:pict>
          <v:line style="position:absolute;mso-position-horizontal-relative:page;mso-position-vertical-relative:paragraph;z-index:10528" from="36.360001pt,55.415855pt" to="36.360001pt,89.015855pt" stroked="true" strokeweight=".72pt" strokecolor="#000000">
            <v:stroke dashstyle="solid"/>
            <w10:wrap type="none"/>
          </v:line>
        </w:pict>
      </w:r>
      <w:r>
        <w:rPr/>
        <w:t>28.00 </w:t>
      </w:r>
      <w:r>
        <w:rPr>
          <w:color w:val="2E97D3"/>
          <w:u w:val="single" w:color="2E97D3"/>
        </w:rPr>
        <w:t>, Section 28.50, </w:t>
      </w:r>
      <w:r>
        <w:rPr/>
        <w:t>or Section </w:t>
      </w:r>
      <w:r>
        <w:rPr>
          <w:rFonts w:ascii="Times New Roman"/>
          <w:b/>
          <w:strike/>
          <w:color w:val="2E97D3"/>
          <w:sz w:val="16"/>
        </w:rPr>
        <w:t>28</w:t>
      </w:r>
      <w:r>
        <w:rPr>
          <w:strike w:val="0"/>
          <w:color w:val="2E97D3"/>
          <w:u w:val="single" w:color="2E97D3"/>
        </w:rPr>
        <w:t>1</w:t>
      </w:r>
      <w:r>
        <w:rPr>
          <w:strike w:val="0"/>
        </w:rPr>
        <w:t>.50, as appropriate, of the Budget Act. The Schedule </w:t>
      </w:r>
      <w:r>
        <w:rPr>
          <w:rFonts w:ascii="Times New Roman"/>
          <w:b/>
          <w:strike/>
          <w:color w:val="2E97D3"/>
          <w:sz w:val="16"/>
        </w:rPr>
        <w:t>will</w:t>
      </w:r>
      <w:r>
        <w:rPr>
          <w:strike w:val="0"/>
          <w:color w:val="2E97D3"/>
          <w:u w:val="single" w:color="2E97D3"/>
        </w:rPr>
        <w:t>must </w:t>
      </w:r>
      <w:r>
        <w:rPr>
          <w:strike w:val="0"/>
        </w:rPr>
        <w:t>include the following: (1) descriptive title; (2) source of funds (indicate the organization code of the paying state department</w:t>
      </w:r>
      <w:r>
        <w:rPr>
          <w:strike w:val="0"/>
          <w:color w:val="2E97D3"/>
          <w:u w:val="single" w:color="2E97D3"/>
        </w:rPr>
        <w:t>, if applicable</w:t>
      </w:r>
      <w:r>
        <w:rPr>
          <w:strike w:val="0"/>
        </w:rPr>
        <w:t>); and (3) the past, current, and budget year expenditures. Each page should be numbered for ready reference. Instructions for preparation of </w:t>
      </w:r>
      <w:r>
        <w:rPr>
          <w:rFonts w:ascii="Times New Roman"/>
          <w:b/>
          <w:strike/>
          <w:color w:val="2E97D3"/>
          <w:sz w:val="16"/>
          <w:u w:val="single" w:color="2E97D3"/>
        </w:rPr>
        <w:t>DF 301 </w:t>
      </w:r>
      <w:hyperlink r:id="rId33">
        <w:r>
          <w:rPr>
            <w:strike w:val="0"/>
            <w:color w:val="2E97D3"/>
            <w:u w:val="single" w:color="2E97D3"/>
          </w:rPr>
          <w:t>DF 301 </w:t>
        </w:r>
      </w:hyperlink>
      <w:r>
        <w:rPr>
          <w:strike w:val="0"/>
        </w:rPr>
        <w:t>are included on the second page of the form.</w:t>
      </w:r>
    </w:p>
    <w:p>
      <w:pPr>
        <w:pStyle w:val="BodyText"/>
        <w:spacing w:before="7"/>
        <w:rPr>
          <w:sz w:val="33"/>
        </w:rPr>
      </w:pPr>
    </w:p>
    <w:p>
      <w:pPr>
        <w:pStyle w:val="BodyText"/>
        <w:spacing w:line="276" w:lineRule="auto"/>
        <w:ind w:left="820" w:right="129"/>
      </w:pPr>
      <w:r>
        <w:rPr/>
        <w:pict>
          <v:line style="position:absolute;mso-position-horizontal-relative:page;mso-position-vertical-relative:paragraph;z-index:-462208" from="287.279999pt,28.835861pt" to="290.639999pt,28.835861pt" stroked="true" strokeweight=".84pt" strokecolor="#2e97d3">
            <v:stroke dashstyle="solid"/>
            <w10:wrap type="none"/>
          </v:line>
        </w:pict>
      </w:r>
      <w:r>
        <w:rPr/>
        <w:pict>
          <v:line style="position:absolute;mso-position-horizontal-relative:page;mso-position-vertical-relative:paragraph;z-index:10552" from="36.360001pt,15.935862pt" to="36.360001pt,31.895862pt" stroked="true" strokeweight=".72pt" strokecolor="#000000">
            <v:stroke dashstyle="solid"/>
            <w10:wrap type="none"/>
          </v:line>
        </w:pict>
      </w:r>
      <w:r>
        <w:rPr/>
        <w:t>If changes have been made during the budget preparation process before submittal of the Governor's Budget to the Legislature</w:t>
      </w:r>
      <w:r>
        <w:rPr>
          <w:color w:val="2E97D3"/>
        </w:rPr>
        <w:t>, </w:t>
      </w:r>
      <w:r>
        <w:rPr/>
        <w:t>which affects this schedule, a final submission of the affected schedule must be made by the originating department to agree with the printed budget and returned to Finance by the timeframe specified in Budget Letters.</w:t>
      </w:r>
    </w:p>
    <w:p>
      <w:pPr>
        <w:pStyle w:val="BodyText"/>
        <w:rPr>
          <w:sz w:val="26"/>
        </w:rPr>
      </w:pPr>
    </w:p>
    <w:p>
      <w:pPr>
        <w:pStyle w:val="Heading2"/>
        <w:tabs>
          <w:tab w:pos="9647" w:val="left" w:leader="none"/>
        </w:tabs>
        <w:spacing w:before="217"/>
        <w:ind w:left="820"/>
      </w:pPr>
      <w:r>
        <w:rPr/>
        <w:pict>
          <v:line style="position:absolute;mso-position-horizontal-relative:page;mso-position-vertical-relative:paragraph;z-index:10576" from="36.360001pt,24.865864pt" to="36.360001pt,38.665864pt" stroked="true" strokeweight=".72pt" strokecolor="#000000">
            <v:stroke dashstyle="solid"/>
            <w10:wrap type="none"/>
          </v:line>
        </w:pict>
      </w:r>
      <w:r>
        <w:rPr/>
        <w:t>SPECIAL ITEMS</w:t>
      </w:r>
      <w:r>
        <w:rPr>
          <w:spacing w:val="-4"/>
        </w:rPr>
        <w:t> </w:t>
      </w:r>
      <w:r>
        <w:rPr/>
        <w:t>OF</w:t>
      </w:r>
      <w:r>
        <w:rPr>
          <w:spacing w:val="-3"/>
        </w:rPr>
        <w:t> </w:t>
      </w:r>
      <w:r>
        <w:rPr/>
        <w:t>EXPENSE</w:t>
        <w:tab/>
        <w:t>6469</w:t>
      </w:r>
    </w:p>
    <w:p>
      <w:pPr>
        <w:pStyle w:val="BodyText"/>
        <w:ind w:left="820"/>
      </w:pPr>
      <w:r>
        <w:rPr/>
        <w:t>(Revised </w:t>
      </w:r>
      <w:r>
        <w:rPr>
          <w:strike/>
          <w:color w:val="2E97D3"/>
        </w:rPr>
        <w:t>9/2010</w:t>
      </w:r>
      <w:r>
        <w:rPr>
          <w:strike w:val="0"/>
          <w:color w:val="2E97D3"/>
          <w:u w:val="single" w:color="2E97D3"/>
        </w:rPr>
        <w:t>09/2017</w:t>
      </w:r>
      <w:r>
        <w:rPr>
          <w:strike w:val="0"/>
        </w:rPr>
        <w:t>)</w:t>
      </w:r>
    </w:p>
    <w:p>
      <w:pPr>
        <w:pStyle w:val="BodyText"/>
        <w:spacing w:before="199"/>
        <w:ind w:left="820" w:right="274"/>
        <w:jc w:val="both"/>
      </w:pPr>
      <w:r>
        <w:rPr/>
        <w:pict>
          <v:line style="position:absolute;mso-position-horizontal-relative:page;mso-position-vertical-relative:paragraph;z-index:10600" from="36.360001pt,37.765865pt" to="36.360001pt,152.605865pt" stroked="true" strokeweight=".72pt" strokecolor="#000000">
            <v:stroke dashstyle="solid"/>
            <w10:wrap type="none"/>
          </v:line>
        </w:pict>
      </w:r>
      <w:r>
        <w:rPr/>
        <w:t>Special</w:t>
      </w:r>
      <w:r>
        <w:rPr>
          <w:spacing w:val="-13"/>
        </w:rPr>
        <w:t> </w:t>
      </w:r>
      <w:r>
        <w:rPr/>
        <w:t>items</w:t>
      </w:r>
      <w:r>
        <w:rPr>
          <w:spacing w:val="-13"/>
        </w:rPr>
        <w:t> </w:t>
      </w:r>
      <w:r>
        <w:rPr/>
        <w:t>of</w:t>
      </w:r>
      <w:r>
        <w:rPr>
          <w:spacing w:val="-12"/>
        </w:rPr>
        <w:t> </w:t>
      </w:r>
      <w:r>
        <w:rPr/>
        <w:t>expense</w:t>
      </w:r>
      <w:r>
        <w:rPr>
          <w:spacing w:val="-12"/>
        </w:rPr>
        <w:t> </w:t>
      </w:r>
      <w:r>
        <w:rPr/>
        <w:t>are</w:t>
      </w:r>
      <w:r>
        <w:rPr>
          <w:spacing w:val="-12"/>
        </w:rPr>
        <w:t> </w:t>
      </w:r>
      <w:r>
        <w:rPr/>
        <w:t>those</w:t>
      </w:r>
      <w:r>
        <w:rPr>
          <w:spacing w:val="-12"/>
        </w:rPr>
        <w:t> </w:t>
      </w:r>
      <w:r>
        <w:rPr/>
        <w:t>non-recurring</w:t>
      </w:r>
      <w:r>
        <w:rPr>
          <w:spacing w:val="-14"/>
        </w:rPr>
        <w:t> </w:t>
      </w:r>
      <w:r>
        <w:rPr/>
        <w:t>large</w:t>
      </w:r>
      <w:r>
        <w:rPr>
          <w:spacing w:val="-12"/>
        </w:rPr>
        <w:t> </w:t>
      </w:r>
      <w:r>
        <w:rPr/>
        <w:t>expenditures</w:t>
      </w:r>
      <w:r>
        <w:rPr>
          <w:spacing w:val="-15"/>
        </w:rPr>
        <w:t> </w:t>
      </w:r>
      <w:r>
        <w:rPr/>
        <w:t>or</w:t>
      </w:r>
      <w:r>
        <w:rPr>
          <w:spacing w:val="-13"/>
        </w:rPr>
        <w:t> </w:t>
      </w:r>
      <w:r>
        <w:rPr/>
        <w:t>special</w:t>
      </w:r>
      <w:r>
        <w:rPr>
          <w:spacing w:val="-13"/>
        </w:rPr>
        <w:t> </w:t>
      </w:r>
      <w:r>
        <w:rPr/>
        <w:t>purpose expenditures that normally require a separate appropriation or schedule to present a clearer fiscal</w:t>
      </w:r>
      <w:r>
        <w:rPr>
          <w:spacing w:val="-9"/>
        </w:rPr>
        <w:t> </w:t>
      </w:r>
      <w:r>
        <w:rPr/>
        <w:t>picture.</w:t>
      </w:r>
    </w:p>
    <w:p>
      <w:pPr>
        <w:pStyle w:val="BodyText"/>
        <w:spacing w:before="199"/>
        <w:ind w:left="820"/>
      </w:pPr>
      <w:r>
        <w:rPr/>
        <w:t>This class of expenditure appears in the “Expenditures by Category</w:t>
      </w:r>
      <w:r>
        <w:rPr>
          <w:strike/>
          <w:color w:val="2E97D3"/>
        </w:rPr>
        <w:t>”.</w:t>
      </w:r>
    </w:p>
    <w:p>
      <w:pPr>
        <w:pStyle w:val="BodyText"/>
        <w:spacing w:before="201"/>
        <w:ind w:left="820" w:right="962"/>
      </w:pPr>
      <w:r>
        <w:rPr>
          <w:strike/>
          <w:color w:val="2E97D3"/>
        </w:rPr>
        <w:t>The explanatory title will indicate</w:t>
      </w:r>
      <w:r>
        <w:rPr>
          <w:strike w:val="0"/>
          <w:color w:val="2E97D3"/>
          <w:u w:val="single" w:color="2E97D3"/>
        </w:rPr>
        <w:t>” display (SAM Section 6475) in </w:t>
      </w:r>
      <w:r>
        <w:rPr>
          <w:strike w:val="0"/>
        </w:rPr>
        <w:t>the </w:t>
      </w:r>
      <w:r>
        <w:rPr>
          <w:strike/>
          <w:color w:val="2E97D3"/>
        </w:rPr>
        <w:t>purpose for which</w:t>
      </w:r>
      <w:r>
        <w:rPr>
          <w:strike w:val="0"/>
          <w:color w:val="2E97D3"/>
          <w:u w:val="single" w:color="2E97D3"/>
        </w:rPr>
        <w:t>Governor’s Budget and </w:t>
      </w:r>
      <w:r>
        <w:rPr>
          <w:strike w:val="0"/>
        </w:rPr>
        <w:t>the </w:t>
      </w:r>
      <w:r>
        <w:rPr>
          <w:strike/>
          <w:color w:val="2E97D3"/>
        </w:rPr>
        <w:t>expenditure is made.</w:t>
      </w:r>
    </w:p>
    <w:p>
      <w:pPr>
        <w:spacing w:after="0"/>
        <w:sectPr>
          <w:pgSz w:w="12240" w:h="15840"/>
          <w:pgMar w:header="724" w:footer="792" w:top="980" w:bottom="980" w:left="620" w:right="1320"/>
        </w:sectPr>
      </w:pPr>
    </w:p>
    <w:p>
      <w:pPr>
        <w:pStyle w:val="BodyText"/>
        <w:rPr>
          <w:sz w:val="20"/>
        </w:rPr>
      </w:pPr>
      <w:r>
        <w:rPr/>
        <w:pict>
          <v:line style="position:absolute;mso-position-horizontal-relative:page;mso-position-vertical-relative:page;z-index:10648" from="36.360001pt,742.200012pt" to="36.360001pt,756.000012pt" stroked="true" strokeweight=".72pt" strokecolor="#000000">
            <v:stroke dashstyle="solid"/>
            <w10:wrap type="none"/>
          </v:line>
        </w:pict>
      </w:r>
    </w:p>
    <w:p>
      <w:pPr>
        <w:pStyle w:val="BodyText"/>
        <w:spacing w:before="214"/>
        <w:ind w:left="820"/>
      </w:pPr>
      <w:r>
        <w:rPr/>
        <w:pict>
          <v:line style="position:absolute;mso-position-horizontal-relative:page;mso-position-vertical-relative:paragraph;z-index:10624" from="36.360001pt,10.915881pt" to="36.360001pt,78.235881pt" stroked="true" strokeweight=".72pt" strokecolor="#000000">
            <v:stroke dashstyle="solid"/>
            <w10:wrap type="none"/>
          </v:line>
        </w:pict>
      </w:r>
      <w:r>
        <w:rPr>
          <w:color w:val="2E97D3"/>
          <w:u w:val="single" w:color="2E97D3"/>
        </w:rPr>
        <w:t>Enacted Budget and are reported as a single line entry following Operating Expenses and Equipment.</w:t>
      </w:r>
    </w:p>
    <w:p>
      <w:pPr>
        <w:spacing w:after="0"/>
        <w:sectPr>
          <w:footerReference w:type="default" r:id="rId82"/>
          <w:pgSz w:w="12240" w:h="15840"/>
          <w:pgMar w:footer="792" w:header="724" w:top="980" w:bottom="980" w:left="620" w:right="1480"/>
        </w:sectPr>
      </w:pPr>
    </w:p>
    <w:p>
      <w:pPr>
        <w:pStyle w:val="BodyText"/>
        <w:rPr>
          <w:sz w:val="20"/>
        </w:rPr>
      </w:pPr>
    </w:p>
    <w:p>
      <w:pPr>
        <w:tabs>
          <w:tab w:pos="8947" w:val="left" w:leader="none"/>
        </w:tabs>
        <w:spacing w:before="214"/>
        <w:ind w:left="119" w:right="0" w:firstLine="0"/>
        <w:jc w:val="left"/>
        <w:rPr>
          <w:b/>
          <w:sz w:val="24"/>
        </w:rPr>
      </w:pPr>
      <w:r>
        <w:rPr>
          <w:b/>
          <w:sz w:val="24"/>
        </w:rPr>
        <w:t>CLAIMS AND TORT LIABILITY</w:t>
      </w:r>
      <w:r>
        <w:rPr>
          <w:b/>
          <w:spacing w:val="-11"/>
          <w:sz w:val="24"/>
        </w:rPr>
        <w:t> </w:t>
      </w:r>
      <w:r>
        <w:rPr>
          <w:b/>
          <w:sz w:val="24"/>
        </w:rPr>
        <w:t>BUDGET</w:t>
      </w:r>
      <w:r>
        <w:rPr>
          <w:b/>
          <w:spacing w:val="-3"/>
          <w:sz w:val="24"/>
        </w:rPr>
        <w:t> </w:t>
      </w:r>
      <w:r>
        <w:rPr>
          <w:b/>
          <w:sz w:val="24"/>
        </w:rPr>
        <w:t>PROCEDURE</w:t>
        <w:tab/>
        <w:t>6472</w:t>
      </w:r>
    </w:p>
    <w:p>
      <w:pPr>
        <w:spacing w:before="4"/>
        <w:ind w:left="120" w:right="0" w:firstLine="0"/>
        <w:jc w:val="left"/>
        <w:rPr>
          <w:rFonts w:ascii="Calibri"/>
          <w:sz w:val="28"/>
        </w:rPr>
      </w:pPr>
      <w:r>
        <w:rPr>
          <w:rFonts w:ascii="Calibri"/>
          <w:sz w:val="28"/>
        </w:rPr>
        <w:t>(Revised 06/2016)</w:t>
      </w:r>
    </w:p>
    <w:p>
      <w:pPr>
        <w:pStyle w:val="BodyText"/>
        <w:spacing w:before="1"/>
        <w:rPr>
          <w:rFonts w:ascii="Calibri"/>
          <w:sz w:val="26"/>
        </w:rPr>
      </w:pPr>
    </w:p>
    <w:p>
      <w:pPr>
        <w:pStyle w:val="BodyText"/>
        <w:ind w:left="120"/>
      </w:pPr>
      <w:r>
        <w:rPr/>
        <w:t>Each year, one or more pieces of legislation is pursued which authorizes payment of:</w:t>
      </w:r>
    </w:p>
    <w:p>
      <w:pPr>
        <w:pStyle w:val="ListParagraph"/>
        <w:numPr>
          <w:ilvl w:val="0"/>
          <w:numId w:val="21"/>
        </w:numPr>
        <w:tabs>
          <w:tab w:pos="401" w:val="left" w:leader="none"/>
        </w:tabs>
        <w:spacing w:line="240" w:lineRule="auto" w:before="0" w:after="0"/>
        <w:ind w:left="120" w:right="387" w:firstLine="0"/>
        <w:jc w:val="left"/>
        <w:rPr>
          <w:sz w:val="24"/>
        </w:rPr>
      </w:pPr>
      <w:r>
        <w:rPr>
          <w:sz w:val="24"/>
        </w:rPr>
        <w:t>government claims</w:t>
      </w:r>
      <w:r>
        <w:rPr>
          <w:spacing w:val="-3"/>
          <w:sz w:val="24"/>
        </w:rPr>
        <w:t> </w:t>
      </w:r>
      <w:r>
        <w:rPr>
          <w:sz w:val="24"/>
        </w:rPr>
        <w:t>approved</w:t>
      </w:r>
      <w:r>
        <w:rPr>
          <w:spacing w:val="-2"/>
          <w:sz w:val="24"/>
        </w:rPr>
        <w:t> </w:t>
      </w:r>
      <w:r>
        <w:rPr>
          <w:sz w:val="24"/>
        </w:rPr>
        <w:t>by</w:t>
      </w:r>
      <w:r>
        <w:rPr>
          <w:spacing w:val="-3"/>
          <w:sz w:val="24"/>
        </w:rPr>
        <w:t> </w:t>
      </w:r>
      <w:r>
        <w:rPr>
          <w:sz w:val="24"/>
        </w:rPr>
        <w:t>the </w:t>
      </w:r>
      <w:r>
        <w:rPr>
          <w:spacing w:val="-13"/>
          <w:sz w:val="24"/>
        </w:rPr>
        <w:t>Department</w:t>
      </w:r>
      <w:r>
        <w:rPr>
          <w:spacing w:val="-29"/>
          <w:sz w:val="24"/>
        </w:rPr>
        <w:t> </w:t>
      </w:r>
      <w:r>
        <w:rPr>
          <w:spacing w:val="-7"/>
          <w:sz w:val="24"/>
        </w:rPr>
        <w:t>of</w:t>
      </w:r>
      <w:r>
        <w:rPr>
          <w:spacing w:val="-27"/>
          <w:sz w:val="24"/>
        </w:rPr>
        <w:t> </w:t>
      </w:r>
      <w:r>
        <w:rPr>
          <w:spacing w:val="-12"/>
          <w:sz w:val="24"/>
        </w:rPr>
        <w:t>General</w:t>
      </w:r>
      <w:r>
        <w:rPr>
          <w:spacing w:val="-28"/>
          <w:sz w:val="24"/>
        </w:rPr>
        <w:t> </w:t>
      </w:r>
      <w:r>
        <w:rPr>
          <w:spacing w:val="-12"/>
          <w:sz w:val="24"/>
        </w:rPr>
        <w:t>Services</w:t>
      </w:r>
      <w:r>
        <w:rPr>
          <w:spacing w:val="-27"/>
          <w:sz w:val="24"/>
        </w:rPr>
        <w:t> </w:t>
      </w:r>
      <w:r>
        <w:rPr>
          <w:spacing w:val="-11"/>
          <w:sz w:val="24"/>
        </w:rPr>
        <w:t>(DGS)</w:t>
      </w:r>
      <w:r>
        <w:rPr>
          <w:spacing w:val="-26"/>
          <w:sz w:val="24"/>
        </w:rPr>
        <w:t> </w:t>
      </w:r>
      <w:r>
        <w:rPr>
          <w:sz w:val="24"/>
        </w:rPr>
        <w:t>when</w:t>
      </w:r>
      <w:r>
        <w:rPr>
          <w:spacing w:val="-12"/>
          <w:sz w:val="24"/>
        </w:rPr>
        <w:t> </w:t>
      </w:r>
      <w:r>
        <w:rPr>
          <w:sz w:val="24"/>
        </w:rPr>
        <w:t>there is no other statutory authority for payment, and 2) judgments and settlements by Department</w:t>
      </w:r>
      <w:r>
        <w:rPr>
          <w:spacing w:val="-7"/>
          <w:sz w:val="24"/>
        </w:rPr>
        <w:t> </w:t>
      </w:r>
      <w:r>
        <w:rPr>
          <w:sz w:val="24"/>
        </w:rPr>
        <w:t>of</w:t>
      </w:r>
      <w:r>
        <w:rPr>
          <w:spacing w:val="-18"/>
          <w:sz w:val="24"/>
        </w:rPr>
        <w:t> </w:t>
      </w:r>
      <w:r>
        <w:rPr>
          <w:sz w:val="24"/>
        </w:rPr>
        <w:t>Justice</w:t>
      </w:r>
      <w:r>
        <w:rPr>
          <w:spacing w:val="-6"/>
          <w:sz w:val="24"/>
        </w:rPr>
        <w:t> </w:t>
      </w:r>
      <w:r>
        <w:rPr>
          <w:sz w:val="24"/>
        </w:rPr>
        <w:t>(DOJ)</w:t>
      </w:r>
      <w:r>
        <w:rPr>
          <w:spacing w:val="-3"/>
          <w:sz w:val="24"/>
        </w:rPr>
        <w:t> </w:t>
      </w:r>
      <w:r>
        <w:rPr>
          <w:sz w:val="24"/>
        </w:rPr>
        <w:t>when</w:t>
      </w:r>
      <w:r>
        <w:rPr>
          <w:spacing w:val="-4"/>
          <w:sz w:val="24"/>
        </w:rPr>
        <w:t> </w:t>
      </w:r>
      <w:r>
        <w:rPr>
          <w:sz w:val="24"/>
        </w:rPr>
        <w:t>there</w:t>
      </w:r>
      <w:r>
        <w:rPr>
          <w:spacing w:val="-4"/>
          <w:sz w:val="24"/>
        </w:rPr>
        <w:t> </w:t>
      </w:r>
      <w:r>
        <w:rPr>
          <w:sz w:val="24"/>
        </w:rPr>
        <w:t>is</w:t>
      </w:r>
      <w:r>
        <w:rPr>
          <w:spacing w:val="-5"/>
          <w:sz w:val="24"/>
        </w:rPr>
        <w:t> </w:t>
      </w:r>
      <w:r>
        <w:rPr>
          <w:sz w:val="24"/>
        </w:rPr>
        <w:t>insufficient</w:t>
      </w:r>
      <w:r>
        <w:rPr>
          <w:spacing w:val="-7"/>
          <w:sz w:val="24"/>
        </w:rPr>
        <w:t> </w:t>
      </w:r>
      <w:r>
        <w:rPr>
          <w:sz w:val="24"/>
        </w:rPr>
        <w:t>expenditure</w:t>
      </w:r>
      <w:r>
        <w:rPr>
          <w:spacing w:val="-25"/>
          <w:sz w:val="24"/>
        </w:rPr>
        <w:t> </w:t>
      </w:r>
      <w:r>
        <w:rPr>
          <w:sz w:val="24"/>
        </w:rPr>
        <w:t>authority.</w:t>
      </w:r>
    </w:p>
    <w:p>
      <w:pPr>
        <w:pStyle w:val="BodyText"/>
      </w:pPr>
    </w:p>
    <w:p>
      <w:pPr>
        <w:pStyle w:val="Heading2"/>
        <w:ind w:left="120"/>
      </w:pPr>
      <w:bookmarkStart w:name="DGS Approved Claims" w:id="33"/>
      <w:bookmarkEnd w:id="33"/>
      <w:r>
        <w:rPr>
          <w:b w:val="0"/>
        </w:rPr>
      </w:r>
      <w:r>
        <w:rPr/>
        <w:t>DGS Approved Claims</w:t>
      </w:r>
    </w:p>
    <w:p>
      <w:pPr>
        <w:pStyle w:val="BodyText"/>
        <w:spacing w:before="8"/>
        <w:rPr>
          <w:b/>
          <w:sz w:val="23"/>
        </w:rPr>
      </w:pPr>
    </w:p>
    <w:p>
      <w:pPr>
        <w:pStyle w:val="BodyText"/>
        <w:ind w:left="119" w:right="163"/>
      </w:pPr>
      <w:r>
        <w:rPr/>
        <w:t>In this situation, DGS has approved a claim and, with input from the affected department, determined that there is no statutory authority for its payment. Generally, twice a year, DGS sends a list of claims with no statutory authority for payment to the Department of Finance (Finance). Finance analysts work with the affected departments to identify the appropriation to be charged and to certify that the necessary funds are available. These claims are then included in a claims bill and the chaptered bill reduces individual Budget Act items and transfers the authority for payment of claims to DGS.</w:t>
      </w:r>
    </w:p>
    <w:p>
      <w:pPr>
        <w:pStyle w:val="BodyText"/>
        <w:spacing w:before="10"/>
        <w:rPr>
          <w:sz w:val="23"/>
        </w:rPr>
      </w:pPr>
    </w:p>
    <w:p>
      <w:pPr>
        <w:pStyle w:val="BodyText"/>
        <w:spacing w:before="1"/>
        <w:ind w:left="119" w:right="214"/>
      </w:pPr>
      <w:r>
        <w:rPr/>
        <w:t>When statutory authority for payment already exists, legislation is not required and the department may pay DGS approved claims directly without obtaining approval from Finance. The most common reason why a claim may lack statutory authority for payment is because it arose from a stale-dated warrant and the department no longer has expenditure authority for the fiscal year in which the warrant was issued.</w:t>
      </w:r>
    </w:p>
    <w:p>
      <w:pPr>
        <w:pStyle w:val="BodyText"/>
      </w:pPr>
    </w:p>
    <w:p>
      <w:pPr>
        <w:pStyle w:val="BodyText"/>
        <w:ind w:left="120" w:right="361"/>
      </w:pPr>
      <w:r>
        <w:rPr/>
        <w:t>Government Code section </w:t>
      </w:r>
      <w:hyperlink r:id="rId84">
        <w:r>
          <w:rPr>
            <w:color w:val="0000FF"/>
            <w:u w:val="single" w:color="0000FF"/>
          </w:rPr>
          <w:t>905.2(f)</w:t>
        </w:r>
      </w:hyperlink>
      <w:r>
        <w:rPr>
          <w:color w:val="0000FF"/>
          <w:u w:val="single" w:color="0000FF"/>
        </w:rPr>
        <w:t> </w:t>
      </w:r>
      <w:r>
        <w:rPr/>
        <w:t>authorizes DGS to assess a surcharge in an amount not to exceed 15 percent of the total approved claim. These surcharges are treated as expenditures to the Budget Act items listed in the legislation.</w:t>
      </w:r>
    </w:p>
    <w:p>
      <w:pPr>
        <w:pStyle w:val="BodyText"/>
        <w:spacing w:before="11"/>
        <w:rPr>
          <w:sz w:val="23"/>
        </w:rPr>
      </w:pPr>
    </w:p>
    <w:p>
      <w:pPr>
        <w:pStyle w:val="Heading2"/>
        <w:ind w:left="120"/>
      </w:pPr>
      <w:bookmarkStart w:name="Judgments and Settlements" w:id="34"/>
      <w:bookmarkEnd w:id="34"/>
      <w:r>
        <w:rPr>
          <w:b w:val="0"/>
        </w:rPr>
      </w:r>
      <w:r>
        <w:rPr/>
        <w:t>Judgments and Settlements</w:t>
      </w:r>
    </w:p>
    <w:p>
      <w:pPr>
        <w:pStyle w:val="BodyText"/>
        <w:spacing w:before="11"/>
        <w:rPr>
          <w:b/>
          <w:sz w:val="23"/>
        </w:rPr>
      </w:pPr>
    </w:p>
    <w:p>
      <w:pPr>
        <w:pStyle w:val="BodyText"/>
        <w:ind w:left="120" w:right="296"/>
      </w:pPr>
      <w:r>
        <w:rPr/>
        <w:t>In this situation, a chaptered claims bill authorizes DOJ to pay settlements or judgments directly from specified fund balances because there are insufficient funds available</w:t>
      </w:r>
      <w:r>
        <w:rPr>
          <w:spacing w:val="-3"/>
        </w:rPr>
        <w:t> </w:t>
      </w:r>
      <w:r>
        <w:rPr/>
        <w:t>in</w:t>
      </w:r>
      <w:r>
        <w:rPr>
          <w:spacing w:val="-35"/>
        </w:rPr>
        <w:t> </w:t>
      </w:r>
      <w:r>
        <w:rPr/>
        <w:t>an</w:t>
      </w:r>
      <w:r>
        <w:rPr>
          <w:spacing w:val="-5"/>
        </w:rPr>
        <w:t> </w:t>
      </w:r>
      <w:r>
        <w:rPr/>
        <w:t>individual</w:t>
      </w:r>
      <w:r>
        <w:rPr>
          <w:spacing w:val="-4"/>
        </w:rPr>
        <w:t> </w:t>
      </w:r>
      <w:r>
        <w:rPr/>
        <w:t>appropriation.</w:t>
      </w:r>
      <w:r>
        <w:rPr>
          <w:spacing w:val="-6"/>
        </w:rPr>
        <w:t> </w:t>
      </w:r>
      <w:r>
        <w:rPr/>
        <w:t>To</w:t>
      </w:r>
      <w:r>
        <w:rPr>
          <w:spacing w:val="-5"/>
        </w:rPr>
        <w:t> </w:t>
      </w:r>
      <w:r>
        <w:rPr/>
        <w:t>initiate</w:t>
      </w:r>
      <w:r>
        <w:rPr>
          <w:spacing w:val="-3"/>
        </w:rPr>
        <w:t> </w:t>
      </w:r>
      <w:r>
        <w:rPr/>
        <w:t>inclusion</w:t>
      </w:r>
      <w:r>
        <w:rPr>
          <w:spacing w:val="-3"/>
        </w:rPr>
        <w:t> </w:t>
      </w:r>
      <w:r>
        <w:rPr/>
        <w:t>of</w:t>
      </w:r>
      <w:r>
        <w:rPr>
          <w:spacing w:val="-3"/>
        </w:rPr>
        <w:t> </w:t>
      </w:r>
      <w:r>
        <w:rPr/>
        <w:t>a</w:t>
      </w:r>
      <w:r>
        <w:rPr>
          <w:spacing w:val="-3"/>
        </w:rPr>
        <w:t> </w:t>
      </w:r>
      <w:r>
        <w:rPr/>
        <w:t>judgment</w:t>
      </w:r>
      <w:r>
        <w:rPr>
          <w:spacing w:val="-3"/>
        </w:rPr>
        <w:t> </w:t>
      </w:r>
      <w:r>
        <w:rPr/>
        <w:t>or</w:t>
      </w:r>
      <w:r>
        <w:rPr>
          <w:spacing w:val="-5"/>
        </w:rPr>
        <w:t> </w:t>
      </w:r>
      <w:r>
        <w:rPr/>
        <w:t>settlement in a DOJ claims bill, Finance is required to send a letter to DOJ approving the settlement or judgment claim and certifying that the affected department’s appropriation cannot absorb the cost of</w:t>
      </w:r>
      <w:r>
        <w:rPr>
          <w:spacing w:val="-27"/>
        </w:rPr>
        <w:t> </w:t>
      </w:r>
      <w:r>
        <w:rPr/>
        <w:t>claim.</w:t>
      </w:r>
    </w:p>
    <w:p>
      <w:pPr>
        <w:pStyle w:val="BodyText"/>
        <w:spacing w:before="11"/>
        <w:rPr>
          <w:sz w:val="23"/>
        </w:rPr>
      </w:pPr>
    </w:p>
    <w:p>
      <w:pPr>
        <w:pStyle w:val="BodyText"/>
        <w:ind w:left="120" w:right="402"/>
      </w:pPr>
      <w:r>
        <w:rPr/>
        <w:t>If the department has sufficient expenditure authority for payment of the claim, legislation is not required and it may pay the claim directly after obtaining approval from Finance. In accordance with SAM section </w:t>
      </w:r>
      <w:hyperlink r:id="rId85">
        <w:r>
          <w:rPr>
            <w:color w:val="0000FF"/>
            <w:u w:val="single" w:color="0000FF"/>
          </w:rPr>
          <w:t>8712</w:t>
        </w:r>
      </w:hyperlink>
      <w:r>
        <w:rPr/>
        <w:t>, Finance approval is required for all claims in excess of $35,000.</w:t>
      </w:r>
    </w:p>
    <w:p>
      <w:pPr>
        <w:pStyle w:val="BodyText"/>
        <w:spacing w:before="11"/>
        <w:rPr>
          <w:sz w:val="23"/>
        </w:rPr>
      </w:pPr>
    </w:p>
    <w:p>
      <w:pPr>
        <w:pStyle w:val="BodyText"/>
        <w:ind w:left="120"/>
      </w:pPr>
      <w:r>
        <w:rPr/>
        <w:t>(Continued)</w:t>
      </w:r>
    </w:p>
    <w:p>
      <w:pPr>
        <w:spacing w:after="0"/>
        <w:sectPr>
          <w:footerReference w:type="default" r:id="rId83"/>
          <w:pgSz w:w="12240" w:h="15840"/>
          <w:pgMar w:footer="792" w:header="724" w:top="980" w:bottom="980" w:left="1320" w:right="1320"/>
        </w:sectPr>
      </w:pPr>
    </w:p>
    <w:p>
      <w:pPr>
        <w:pStyle w:val="BodyText"/>
        <w:rPr>
          <w:sz w:val="20"/>
        </w:rPr>
      </w:pPr>
      <w:r>
        <w:rPr/>
        <w:pict>
          <v:line style="position:absolute;mso-position-horizontal-relative:page;mso-position-vertical-relative:page;z-index:10840" from="36.360001pt,742.200012pt" to="36.360001pt,756.000012pt" stroked="true" strokeweight=".72pt" strokecolor="#000000">
            <v:stroke dashstyle="solid"/>
            <w10:wrap type="none"/>
          </v:line>
        </w:pict>
      </w:r>
    </w:p>
    <w:p>
      <w:pPr>
        <w:pStyle w:val="BodyText"/>
        <w:spacing w:before="214"/>
        <w:ind w:left="820"/>
      </w:pPr>
      <w:r>
        <w:rPr/>
        <w:t>(Continued)</w:t>
      </w:r>
    </w:p>
    <w:p>
      <w:pPr>
        <w:pStyle w:val="Heading2"/>
        <w:tabs>
          <w:tab w:pos="8646" w:val="left" w:leader="none"/>
        </w:tabs>
        <w:ind w:left="819"/>
        <w:rPr>
          <w:b w:val="0"/>
        </w:rPr>
      </w:pPr>
      <w:r>
        <w:rPr/>
        <w:t>CLAIMS AND TORT LIABILITY</w:t>
      </w:r>
      <w:r>
        <w:rPr>
          <w:spacing w:val="-11"/>
        </w:rPr>
        <w:t> </w:t>
      </w:r>
      <w:r>
        <w:rPr/>
        <w:t>BUDGET</w:t>
      </w:r>
      <w:r>
        <w:rPr>
          <w:spacing w:val="-3"/>
        </w:rPr>
        <w:t> </w:t>
      </w:r>
      <w:r>
        <w:rPr/>
        <w:t>PROCEDURE</w:t>
        <w:tab/>
        <w:t>6472 </w:t>
      </w:r>
      <w:r>
        <w:rPr>
          <w:b w:val="0"/>
        </w:rPr>
        <w:t>(Cont.</w:t>
      </w:r>
      <w:r>
        <w:rPr>
          <w:b w:val="0"/>
          <w:spacing w:val="-6"/>
        </w:rPr>
        <w:t> </w:t>
      </w:r>
      <w:r>
        <w:rPr>
          <w:b w:val="0"/>
        </w:rPr>
        <w:t>1)</w:t>
      </w:r>
    </w:p>
    <w:p>
      <w:pPr>
        <w:pStyle w:val="BodyText"/>
        <w:ind w:left="820"/>
      </w:pPr>
      <w:r>
        <w:rPr/>
        <w:t>(Revised 06/2016)</w:t>
      </w:r>
    </w:p>
    <w:p>
      <w:pPr>
        <w:pStyle w:val="BodyText"/>
      </w:pPr>
    </w:p>
    <w:p>
      <w:pPr>
        <w:pStyle w:val="BodyText"/>
        <w:ind w:left="819" w:right="215"/>
      </w:pPr>
      <w:r>
        <w:rPr/>
        <w:t>Upon request of Finance, DOJ, the Department of Transportation, and DGS shall submit reports to Finance providing actual cost data for the prior fiscal year. Such data is to include the following:</w:t>
      </w:r>
    </w:p>
    <w:p>
      <w:pPr>
        <w:pStyle w:val="BodyText"/>
      </w:pPr>
    </w:p>
    <w:p>
      <w:pPr>
        <w:pStyle w:val="ListParagraph"/>
        <w:numPr>
          <w:ilvl w:val="1"/>
          <w:numId w:val="21"/>
        </w:numPr>
        <w:tabs>
          <w:tab w:pos="1272" w:val="left" w:leader="none"/>
        </w:tabs>
        <w:spacing w:line="240" w:lineRule="auto" w:before="0" w:after="0"/>
        <w:ind w:left="1271" w:right="0" w:hanging="451"/>
        <w:jc w:val="left"/>
        <w:rPr>
          <w:sz w:val="24"/>
        </w:rPr>
      </w:pPr>
      <w:r>
        <w:rPr>
          <w:strike w:val="0"/>
          <w:sz w:val="24"/>
        </w:rPr>
        <w:t>Claim payment expenditures by</w:t>
      </w:r>
      <w:r>
        <w:rPr>
          <w:strike w:val="0"/>
          <w:spacing w:val="-25"/>
          <w:sz w:val="24"/>
        </w:rPr>
        <w:t> </w:t>
      </w:r>
      <w:r>
        <w:rPr>
          <w:strike w:val="0"/>
          <w:sz w:val="24"/>
        </w:rPr>
        <w:t>fund.</w:t>
      </w:r>
    </w:p>
    <w:p>
      <w:pPr>
        <w:pStyle w:val="ListParagraph"/>
        <w:numPr>
          <w:ilvl w:val="1"/>
          <w:numId w:val="22"/>
        </w:numPr>
        <w:tabs>
          <w:tab w:pos="1272" w:val="left" w:leader="none"/>
        </w:tabs>
        <w:spacing w:line="240" w:lineRule="auto" w:before="120" w:after="0"/>
        <w:ind w:left="1271" w:right="0" w:hanging="451"/>
        <w:jc w:val="left"/>
        <w:rPr>
          <w:sz w:val="24"/>
        </w:rPr>
      </w:pPr>
      <w:r>
        <w:rPr>
          <w:strike w:val="0"/>
          <w:sz w:val="24"/>
        </w:rPr>
        <w:t>Staff services expenditures by</w:t>
      </w:r>
      <w:r>
        <w:rPr>
          <w:strike w:val="0"/>
          <w:spacing w:val="-21"/>
          <w:sz w:val="24"/>
        </w:rPr>
        <w:t> </w:t>
      </w:r>
      <w:r>
        <w:rPr>
          <w:strike w:val="0"/>
          <w:sz w:val="24"/>
        </w:rPr>
        <w:t>fund.</w:t>
      </w:r>
    </w:p>
    <w:p>
      <w:pPr>
        <w:pStyle w:val="BodyText"/>
        <w:spacing w:before="10"/>
        <w:rPr>
          <w:sz w:val="20"/>
        </w:rPr>
      </w:pPr>
    </w:p>
    <w:p>
      <w:pPr>
        <w:pStyle w:val="Heading2"/>
        <w:ind w:left="819" w:right="113"/>
      </w:pPr>
      <w:bookmarkStart w:name="Although the state no longer carries gen" w:id="35"/>
      <w:bookmarkEnd w:id="35"/>
      <w:r>
        <w:rPr>
          <w:b w:val="0"/>
        </w:rPr>
      </w:r>
      <w:r>
        <w:rPr/>
        <w:t>Although the state no longer carries general tort liability insurance, several departments and agencies carry specialized insurance policies for specific purposes, e.g., Cal Expo and water project bond programs. The Department of General Services Insurance Office shall maintain, and submit to Finance upon request, for all departments and agencies, actual prior year, estimated current year, and anticipated budget year expenditures for tort liability insurance premiums.</w:t>
      </w:r>
    </w:p>
    <w:p>
      <w:pPr>
        <w:pStyle w:val="BodyText"/>
        <w:rPr>
          <w:b/>
          <w:sz w:val="26"/>
        </w:rPr>
      </w:pPr>
    </w:p>
    <w:p>
      <w:pPr>
        <w:tabs>
          <w:tab w:pos="9647" w:val="left" w:leader="none"/>
        </w:tabs>
        <w:spacing w:before="217"/>
        <w:ind w:left="819" w:right="0" w:firstLine="0"/>
        <w:jc w:val="left"/>
        <w:rPr>
          <w:b/>
          <w:sz w:val="24"/>
        </w:rPr>
      </w:pPr>
      <w:r>
        <w:rPr/>
        <w:pict>
          <v:line style="position:absolute;mso-position-horizontal-relative:page;mso-position-vertical-relative:paragraph;z-index:10720" from="36.360001pt,24.865856pt" to="36.360001pt,38.665856pt" stroked="true" strokeweight=".72pt" strokecolor="#000000">
            <v:stroke dashstyle="solid"/>
            <w10:wrap type="none"/>
          </v:line>
        </w:pict>
      </w:r>
      <w:r>
        <w:rPr>
          <w:b/>
          <w:sz w:val="24"/>
        </w:rPr>
        <w:t>EXPENDITURES</w:t>
      </w:r>
      <w:r>
        <w:rPr>
          <w:b/>
          <w:spacing w:val="-2"/>
          <w:sz w:val="24"/>
        </w:rPr>
        <w:t> </w:t>
      </w:r>
      <w:r>
        <w:rPr>
          <w:b/>
          <w:sz w:val="24"/>
        </w:rPr>
        <w:t>BY</w:t>
      </w:r>
      <w:r>
        <w:rPr>
          <w:b/>
          <w:spacing w:val="-7"/>
          <w:sz w:val="24"/>
        </w:rPr>
        <w:t> </w:t>
      </w:r>
      <w:r>
        <w:rPr>
          <w:b/>
          <w:sz w:val="24"/>
        </w:rPr>
        <w:t>CATEGORY</w:t>
        <w:tab/>
        <w:t>6475</w:t>
      </w:r>
    </w:p>
    <w:p>
      <w:pPr>
        <w:pStyle w:val="BodyText"/>
        <w:ind w:left="820"/>
      </w:pPr>
      <w:r>
        <w:rPr/>
        <w:t>(Revised </w:t>
      </w:r>
      <w:r>
        <w:rPr>
          <w:strike/>
          <w:color w:val="2E97D3"/>
        </w:rPr>
        <w:t>9/2010</w:t>
      </w:r>
      <w:r>
        <w:rPr>
          <w:strike w:val="0"/>
          <w:color w:val="2E97D3"/>
          <w:u w:val="single" w:color="2E97D3"/>
        </w:rPr>
        <w:t>09/2017</w:t>
      </w:r>
      <w:r>
        <w:rPr>
          <w:strike w:val="0"/>
        </w:rPr>
        <w:t>)</w:t>
      </w:r>
    </w:p>
    <w:p>
      <w:pPr>
        <w:pStyle w:val="BodyText"/>
        <w:spacing w:before="11"/>
        <w:rPr>
          <w:sz w:val="15"/>
        </w:rPr>
      </w:pPr>
    </w:p>
    <w:p>
      <w:pPr>
        <w:spacing w:before="92"/>
        <w:ind w:left="820" w:right="221" w:firstLine="0"/>
        <w:jc w:val="both"/>
        <w:rPr>
          <w:rFonts w:ascii="Times New Roman" w:hAnsi="Times New Roman"/>
          <w:b/>
          <w:sz w:val="16"/>
        </w:rPr>
      </w:pPr>
      <w:r>
        <w:rPr/>
        <w:pict>
          <v:line style="position:absolute;mso-position-horizontal-relative:page;mso-position-vertical-relative:paragraph;z-index:10744" from="36.360001pt,4.814863pt" to="36.360001pt,83.055863pt" stroked="true" strokeweight=".72pt" strokecolor="#000000">
            <v:stroke dashstyle="solid"/>
            <w10:wrap type="none"/>
          </v:line>
        </w:pict>
      </w:r>
      <w:r>
        <w:rPr>
          <w:sz w:val="24"/>
        </w:rPr>
        <w:t>The Expenditures by Category </w:t>
      </w:r>
      <w:r>
        <w:rPr>
          <w:color w:val="2E97D3"/>
          <w:sz w:val="24"/>
          <w:u w:val="single" w:color="2E97D3"/>
        </w:rPr>
        <w:t>statement </w:t>
      </w:r>
      <w:r>
        <w:rPr>
          <w:sz w:val="24"/>
        </w:rPr>
        <w:t>is prepared </w:t>
      </w:r>
      <w:r>
        <w:rPr>
          <w:rFonts w:ascii="Times New Roman" w:hAnsi="Times New Roman"/>
          <w:b/>
          <w:strike/>
          <w:color w:val="2E97D3"/>
          <w:sz w:val="16"/>
        </w:rPr>
        <w:t>at</w:t>
      </w:r>
      <w:r>
        <w:rPr>
          <w:strike w:val="0"/>
          <w:color w:val="2E97D3"/>
          <w:sz w:val="24"/>
          <w:u w:val="single" w:color="2E97D3"/>
        </w:rPr>
        <w:t>for </w:t>
      </w:r>
      <w:r>
        <w:rPr>
          <w:strike w:val="0"/>
          <w:sz w:val="24"/>
        </w:rPr>
        <w:t>the </w:t>
      </w:r>
      <w:r>
        <w:rPr>
          <w:rFonts w:ascii="Times New Roman" w:hAnsi="Times New Roman"/>
          <w:b/>
          <w:strike/>
          <w:color w:val="2E97D3"/>
          <w:sz w:val="16"/>
        </w:rPr>
        <w:t>end of </w:t>
      </w:r>
      <w:r>
        <w:rPr>
          <w:strike w:val="0"/>
          <w:color w:val="2E97D3"/>
          <w:sz w:val="24"/>
          <w:u w:val="single" w:color="2E97D3"/>
        </w:rPr>
        <w:t>Governor’s Budget and</w:t>
      </w:r>
      <w:r>
        <w:rPr>
          <w:strike w:val="0"/>
          <w:color w:val="2E97D3"/>
          <w:spacing w:val="-17"/>
          <w:sz w:val="24"/>
          <w:u w:val="single" w:color="2E97D3"/>
        </w:rPr>
        <w:t> </w:t>
      </w:r>
      <w:r>
        <w:rPr>
          <w:strike w:val="0"/>
          <w:sz w:val="24"/>
        </w:rPr>
        <w:t>the</w:t>
      </w:r>
      <w:r>
        <w:rPr>
          <w:strike w:val="0"/>
          <w:spacing w:val="-16"/>
          <w:sz w:val="24"/>
        </w:rPr>
        <w:t> </w:t>
      </w:r>
      <w:r>
        <w:rPr>
          <w:rFonts w:ascii="Times New Roman" w:hAnsi="Times New Roman"/>
          <w:b/>
          <w:strike/>
          <w:color w:val="2E97D3"/>
          <w:sz w:val="16"/>
        </w:rPr>
        <w:t>program</w:t>
      </w:r>
      <w:r>
        <w:rPr>
          <w:rFonts w:ascii="Times New Roman" w:hAnsi="Times New Roman"/>
          <w:b/>
          <w:strike/>
          <w:color w:val="2E97D3"/>
          <w:spacing w:val="-13"/>
          <w:sz w:val="16"/>
        </w:rPr>
        <w:t> </w:t>
      </w:r>
      <w:r>
        <w:rPr>
          <w:rFonts w:ascii="Times New Roman" w:hAnsi="Times New Roman"/>
          <w:b/>
          <w:strike/>
          <w:color w:val="2E97D3"/>
          <w:sz w:val="16"/>
        </w:rPr>
        <w:t>presentation.</w:t>
      </w:r>
      <w:r>
        <w:rPr>
          <w:rFonts w:ascii="Times New Roman" w:hAnsi="Times New Roman"/>
          <w:b/>
          <w:strike/>
          <w:color w:val="2E97D3"/>
          <w:spacing w:val="19"/>
          <w:sz w:val="16"/>
        </w:rPr>
        <w:t> </w:t>
      </w:r>
      <w:r>
        <w:rPr>
          <w:rFonts w:ascii="Times New Roman" w:hAnsi="Times New Roman"/>
          <w:b/>
          <w:strike/>
          <w:color w:val="2E97D3"/>
          <w:sz w:val="16"/>
        </w:rPr>
        <w:t>Separate</w:t>
      </w:r>
      <w:r>
        <w:rPr>
          <w:strike w:val="0"/>
          <w:color w:val="2E97D3"/>
          <w:sz w:val="24"/>
          <w:u w:val="single" w:color="2E97D3"/>
        </w:rPr>
        <w:t>Enacted</w:t>
      </w:r>
      <w:r>
        <w:rPr>
          <w:strike w:val="0"/>
          <w:color w:val="2E97D3"/>
          <w:spacing w:val="-16"/>
          <w:sz w:val="24"/>
          <w:u w:val="single" w:color="2E97D3"/>
        </w:rPr>
        <w:t> </w:t>
      </w:r>
      <w:r>
        <w:rPr>
          <w:strike w:val="0"/>
          <w:color w:val="2E97D3"/>
          <w:sz w:val="24"/>
          <w:u w:val="single" w:color="2E97D3"/>
        </w:rPr>
        <w:t>Budget,</w:t>
      </w:r>
      <w:r>
        <w:rPr>
          <w:strike w:val="0"/>
          <w:color w:val="2E97D3"/>
          <w:spacing w:val="-19"/>
          <w:sz w:val="24"/>
          <w:u w:val="single" w:color="2E97D3"/>
        </w:rPr>
        <w:t> </w:t>
      </w:r>
      <w:r>
        <w:rPr>
          <w:strike w:val="0"/>
          <w:color w:val="2E97D3"/>
          <w:sz w:val="24"/>
          <w:u w:val="single" w:color="2E97D3"/>
        </w:rPr>
        <w:t>and</w:t>
      </w:r>
      <w:r>
        <w:rPr>
          <w:strike w:val="0"/>
          <w:color w:val="2E97D3"/>
          <w:spacing w:val="-16"/>
          <w:sz w:val="24"/>
          <w:u w:val="single" w:color="2E97D3"/>
        </w:rPr>
        <w:t> </w:t>
      </w:r>
      <w:r>
        <w:rPr>
          <w:strike w:val="0"/>
          <w:color w:val="2E97D3"/>
          <w:sz w:val="24"/>
          <w:u w:val="single" w:color="2E97D3"/>
        </w:rPr>
        <w:t>summarizes</w:t>
      </w:r>
      <w:r>
        <w:rPr>
          <w:strike w:val="0"/>
          <w:color w:val="2E97D3"/>
          <w:spacing w:val="-17"/>
          <w:sz w:val="24"/>
          <w:u w:val="single" w:color="2E97D3"/>
        </w:rPr>
        <w:t> </w:t>
      </w:r>
      <w:r>
        <w:rPr>
          <w:strike w:val="0"/>
          <w:color w:val="2E97D3"/>
          <w:sz w:val="24"/>
          <w:u w:val="single" w:color="2E97D3"/>
        </w:rPr>
        <w:t>salaries</w:t>
      </w:r>
      <w:r>
        <w:rPr>
          <w:strike w:val="0"/>
          <w:color w:val="2E97D3"/>
          <w:spacing w:val="-17"/>
          <w:sz w:val="24"/>
          <w:u w:val="single" w:color="2E97D3"/>
        </w:rPr>
        <w:t> </w:t>
      </w:r>
      <w:r>
        <w:rPr>
          <w:strike w:val="0"/>
          <w:color w:val="2E97D3"/>
          <w:sz w:val="24"/>
          <w:u w:val="single" w:color="2E97D3"/>
        </w:rPr>
        <w:t>and</w:t>
      </w:r>
      <w:r>
        <w:rPr>
          <w:strike w:val="0"/>
          <w:color w:val="2E97D3"/>
          <w:spacing w:val="-16"/>
          <w:sz w:val="24"/>
          <w:u w:val="single" w:color="2E97D3"/>
        </w:rPr>
        <w:t> </w:t>
      </w:r>
      <w:r>
        <w:rPr>
          <w:strike w:val="0"/>
          <w:color w:val="2E97D3"/>
          <w:sz w:val="24"/>
          <w:u w:val="single" w:color="2E97D3"/>
        </w:rPr>
        <w:t>wages,</w:t>
      </w:r>
      <w:r>
        <w:rPr>
          <w:strike w:val="0"/>
          <w:color w:val="2E97D3"/>
          <w:spacing w:val="-17"/>
          <w:sz w:val="24"/>
          <w:u w:val="single" w:color="2E97D3"/>
        </w:rPr>
        <w:t> </w:t>
      </w:r>
      <w:r>
        <w:rPr>
          <w:strike w:val="0"/>
          <w:color w:val="2E97D3"/>
          <w:sz w:val="24"/>
          <w:u w:val="single" w:color="2E97D3"/>
        </w:rPr>
        <w:t>staff benefits, and operating expenses and equipment. </w:t>
      </w:r>
      <w:r>
        <w:rPr>
          <w:strike w:val="0"/>
          <w:sz w:val="24"/>
        </w:rPr>
        <w:t>Expenditures by Category presentations </w:t>
      </w:r>
      <w:r>
        <w:rPr>
          <w:rFonts w:ascii="Times New Roman" w:hAnsi="Times New Roman"/>
          <w:b/>
          <w:strike/>
          <w:color w:val="2E97D3"/>
          <w:sz w:val="16"/>
        </w:rPr>
        <w:t>are required for State Operations and Local Assistance</w:t>
      </w:r>
      <w:r>
        <w:rPr>
          <w:strike w:val="0"/>
          <w:color w:val="2E97D3"/>
          <w:sz w:val="24"/>
          <w:u w:val="single" w:color="2E97D3"/>
        </w:rPr>
        <w:t>include state operations and local assistance </w:t>
      </w:r>
      <w:r>
        <w:rPr>
          <w:strike w:val="0"/>
          <w:sz w:val="24"/>
        </w:rPr>
        <w:t>expenditures. </w:t>
      </w:r>
      <w:r>
        <w:rPr>
          <w:rFonts w:ascii="Times New Roman" w:hAnsi="Times New Roman"/>
          <w:b/>
          <w:strike/>
          <w:color w:val="2E97D3"/>
          <w:sz w:val="16"/>
        </w:rPr>
        <w:t>The personnel-years (PY) count and the amount of expenditures are shown under the headings Authorized</w:t>
      </w:r>
      <w:r>
        <w:rPr>
          <w:rFonts w:ascii="Times New Roman" w:hAnsi="Times New Roman"/>
          <w:b/>
          <w:strike/>
          <w:color w:val="2E97D3"/>
          <w:spacing w:val="-4"/>
          <w:sz w:val="16"/>
        </w:rPr>
        <w:t> </w:t>
      </w:r>
      <w:r>
        <w:rPr>
          <w:rFonts w:ascii="Times New Roman" w:hAnsi="Times New Roman"/>
          <w:b/>
          <w:strike/>
          <w:color w:val="2E97D3"/>
          <w:sz w:val="16"/>
        </w:rPr>
        <w:t>Positions,</w:t>
      </w:r>
      <w:r>
        <w:rPr>
          <w:rFonts w:ascii="Times New Roman" w:hAnsi="Times New Roman"/>
          <w:b/>
          <w:strike/>
          <w:color w:val="2E97D3"/>
          <w:spacing w:val="-5"/>
          <w:sz w:val="16"/>
        </w:rPr>
        <w:t> </w:t>
      </w:r>
      <w:r>
        <w:rPr>
          <w:rFonts w:ascii="Times New Roman" w:hAnsi="Times New Roman"/>
          <w:b/>
          <w:strike/>
          <w:color w:val="2E97D3"/>
          <w:sz w:val="16"/>
        </w:rPr>
        <w:t>Total</w:t>
      </w:r>
      <w:r>
        <w:rPr>
          <w:rFonts w:ascii="Times New Roman" w:hAnsi="Times New Roman"/>
          <w:b/>
          <w:strike/>
          <w:color w:val="2E97D3"/>
          <w:spacing w:val="-5"/>
          <w:sz w:val="16"/>
        </w:rPr>
        <w:t> </w:t>
      </w:r>
      <w:r>
        <w:rPr>
          <w:rFonts w:ascii="Times New Roman" w:hAnsi="Times New Roman"/>
          <w:b/>
          <w:strike/>
          <w:color w:val="2E97D3"/>
          <w:sz w:val="16"/>
        </w:rPr>
        <w:t>Adjustments,</w:t>
      </w:r>
      <w:r>
        <w:rPr>
          <w:rFonts w:ascii="Times New Roman" w:hAnsi="Times New Roman"/>
          <w:b/>
          <w:strike/>
          <w:color w:val="2E97D3"/>
          <w:spacing w:val="-3"/>
          <w:sz w:val="16"/>
        </w:rPr>
        <w:t> </w:t>
      </w:r>
      <w:r>
        <w:rPr>
          <w:rFonts w:ascii="Times New Roman" w:hAnsi="Times New Roman"/>
          <w:b/>
          <w:strike/>
          <w:color w:val="2E97D3"/>
          <w:sz w:val="16"/>
        </w:rPr>
        <w:t>Estimated</w:t>
      </w:r>
      <w:r>
        <w:rPr>
          <w:rFonts w:ascii="Times New Roman" w:hAnsi="Times New Roman"/>
          <w:b/>
          <w:strike/>
          <w:color w:val="2E97D3"/>
          <w:spacing w:val="-4"/>
          <w:sz w:val="16"/>
        </w:rPr>
        <w:t> </w:t>
      </w:r>
      <w:r>
        <w:rPr>
          <w:rFonts w:ascii="Times New Roman" w:hAnsi="Times New Roman"/>
          <w:b/>
          <w:strike/>
          <w:color w:val="2E97D3"/>
          <w:sz w:val="16"/>
        </w:rPr>
        <w:t>Salary</w:t>
      </w:r>
      <w:r>
        <w:rPr>
          <w:rFonts w:ascii="Times New Roman" w:hAnsi="Times New Roman"/>
          <w:b/>
          <w:strike/>
          <w:color w:val="2E97D3"/>
          <w:spacing w:val="-2"/>
          <w:sz w:val="16"/>
        </w:rPr>
        <w:t> </w:t>
      </w:r>
      <w:r>
        <w:rPr>
          <w:rFonts w:ascii="Times New Roman" w:hAnsi="Times New Roman"/>
          <w:b/>
          <w:strike/>
          <w:color w:val="2E97D3"/>
          <w:sz w:val="16"/>
        </w:rPr>
        <w:t>Savings,</w:t>
      </w:r>
      <w:r>
        <w:rPr>
          <w:rFonts w:ascii="Times New Roman" w:hAnsi="Times New Roman"/>
          <w:b/>
          <w:strike/>
          <w:color w:val="2E97D3"/>
          <w:spacing w:val="-3"/>
          <w:sz w:val="16"/>
        </w:rPr>
        <w:t> </w:t>
      </w:r>
      <w:r>
        <w:rPr>
          <w:rFonts w:ascii="Times New Roman" w:hAnsi="Times New Roman"/>
          <w:b/>
          <w:strike/>
          <w:color w:val="2E97D3"/>
          <w:sz w:val="16"/>
        </w:rPr>
        <w:t>Net</w:t>
      </w:r>
      <w:r>
        <w:rPr>
          <w:rFonts w:ascii="Times New Roman" w:hAnsi="Times New Roman"/>
          <w:b/>
          <w:strike/>
          <w:color w:val="2E97D3"/>
          <w:spacing w:val="-4"/>
          <w:sz w:val="16"/>
        </w:rPr>
        <w:t> </w:t>
      </w:r>
      <w:r>
        <w:rPr>
          <w:rFonts w:ascii="Times New Roman" w:hAnsi="Times New Roman"/>
          <w:b/>
          <w:strike/>
          <w:color w:val="2E97D3"/>
          <w:sz w:val="16"/>
        </w:rPr>
        <w:t>Totals,</w:t>
      </w:r>
      <w:r>
        <w:rPr>
          <w:rFonts w:ascii="Times New Roman" w:hAnsi="Times New Roman"/>
          <w:b/>
          <w:strike/>
          <w:color w:val="2E97D3"/>
          <w:spacing w:val="-3"/>
          <w:sz w:val="16"/>
        </w:rPr>
        <w:t> </w:t>
      </w:r>
      <w:r>
        <w:rPr>
          <w:rFonts w:ascii="Times New Roman" w:hAnsi="Times New Roman"/>
          <w:b/>
          <w:strike/>
          <w:color w:val="2E97D3"/>
          <w:sz w:val="16"/>
        </w:rPr>
        <w:t>Salaries</w:t>
      </w:r>
      <w:r>
        <w:rPr>
          <w:rFonts w:ascii="Times New Roman" w:hAnsi="Times New Roman"/>
          <w:b/>
          <w:strike/>
          <w:color w:val="2E97D3"/>
          <w:spacing w:val="-6"/>
          <w:sz w:val="16"/>
        </w:rPr>
        <w:t> </w:t>
      </w:r>
      <w:r>
        <w:rPr>
          <w:rFonts w:ascii="Times New Roman" w:hAnsi="Times New Roman"/>
          <w:b/>
          <w:strike/>
          <w:color w:val="2E97D3"/>
          <w:sz w:val="16"/>
        </w:rPr>
        <w:t>and</w:t>
      </w:r>
      <w:r>
        <w:rPr>
          <w:rFonts w:ascii="Times New Roman" w:hAnsi="Times New Roman"/>
          <w:b/>
          <w:strike/>
          <w:color w:val="2E97D3"/>
          <w:spacing w:val="-6"/>
          <w:sz w:val="16"/>
        </w:rPr>
        <w:t> </w:t>
      </w:r>
      <w:r>
        <w:rPr>
          <w:rFonts w:ascii="Times New Roman" w:hAnsi="Times New Roman"/>
          <w:b/>
          <w:strike/>
          <w:color w:val="2E97D3"/>
          <w:sz w:val="16"/>
        </w:rPr>
        <w:t>Wages,</w:t>
      </w:r>
      <w:r>
        <w:rPr>
          <w:rFonts w:ascii="Times New Roman" w:hAnsi="Times New Roman"/>
          <w:b/>
          <w:strike/>
          <w:color w:val="2E97D3"/>
          <w:spacing w:val="-5"/>
          <w:sz w:val="16"/>
        </w:rPr>
        <w:t> </w:t>
      </w:r>
      <w:r>
        <w:rPr>
          <w:rFonts w:ascii="Times New Roman" w:hAnsi="Times New Roman"/>
          <w:b/>
          <w:strike/>
          <w:color w:val="2E97D3"/>
          <w:sz w:val="16"/>
        </w:rPr>
        <w:t>and</w:t>
      </w:r>
      <w:r>
        <w:rPr>
          <w:rFonts w:ascii="Times New Roman" w:hAnsi="Times New Roman"/>
          <w:b/>
          <w:strike/>
          <w:color w:val="2E97D3"/>
          <w:spacing w:val="-6"/>
          <w:sz w:val="16"/>
        </w:rPr>
        <w:t> </w:t>
      </w:r>
      <w:r>
        <w:rPr>
          <w:rFonts w:ascii="Times New Roman" w:hAnsi="Times New Roman"/>
          <w:b/>
          <w:strike/>
          <w:color w:val="2E97D3"/>
          <w:sz w:val="16"/>
        </w:rPr>
        <w:t>Totals,</w:t>
      </w:r>
      <w:r>
        <w:rPr>
          <w:rFonts w:ascii="Times New Roman" w:hAnsi="Times New Roman"/>
          <w:b/>
          <w:strike/>
          <w:color w:val="2E97D3"/>
          <w:spacing w:val="-3"/>
          <w:sz w:val="16"/>
        </w:rPr>
        <w:t> </w:t>
      </w:r>
      <w:r>
        <w:rPr>
          <w:rFonts w:ascii="Times New Roman" w:hAnsi="Times New Roman"/>
          <w:b/>
          <w:strike/>
          <w:color w:val="2E97D3"/>
          <w:sz w:val="16"/>
        </w:rPr>
        <w:t>Personal</w:t>
      </w:r>
      <w:r>
        <w:rPr>
          <w:rFonts w:ascii="Times New Roman" w:hAnsi="Times New Roman"/>
          <w:b/>
          <w:strike/>
          <w:color w:val="2E97D3"/>
          <w:spacing w:val="-3"/>
          <w:sz w:val="16"/>
        </w:rPr>
        <w:t> </w:t>
      </w:r>
      <w:r>
        <w:rPr>
          <w:rFonts w:ascii="Times New Roman" w:hAnsi="Times New Roman"/>
          <w:b/>
          <w:strike/>
          <w:color w:val="2E97D3"/>
          <w:sz w:val="16"/>
        </w:rPr>
        <w:t>Services.</w:t>
      </w:r>
    </w:p>
    <w:p>
      <w:pPr>
        <w:pStyle w:val="BodyText"/>
        <w:spacing w:before="11"/>
        <w:rPr>
          <w:rFonts w:ascii="Times New Roman"/>
          <w:b/>
          <w:sz w:val="15"/>
        </w:rPr>
      </w:pPr>
    </w:p>
    <w:p>
      <w:pPr>
        <w:pStyle w:val="BodyText"/>
        <w:ind w:left="820"/>
      </w:pPr>
      <w:r>
        <w:rPr/>
        <w:pict>
          <v:line style="position:absolute;mso-position-horizontal-relative:page;mso-position-vertical-relative:paragraph;z-index:-461968" from="337.559998pt,23.195852pt" to="339.598998pt,23.195852pt" stroked="true" strokeweight=".36pt" strokecolor="#2e97d3">
            <v:stroke dashstyle="solid"/>
            <w10:wrap type="none"/>
          </v:line>
        </w:pict>
      </w:r>
      <w:r>
        <w:rPr/>
        <w:pict>
          <v:line style="position:absolute;mso-position-horizontal-relative:page;mso-position-vertical-relative:paragraph;z-index:10768" from="36.360001pt,.215852pt" to="36.360001pt,27.815852pt" stroked="true" strokeweight=".72pt" strokecolor="#000000">
            <v:stroke dashstyle="solid"/>
            <w10:wrap type="none"/>
          </v:line>
        </w:pict>
      </w:r>
      <w:r>
        <w:rPr/>
        <w:t>Operating </w:t>
      </w:r>
      <w:r>
        <w:rPr>
          <w:rFonts w:ascii="Times New Roman"/>
          <w:b/>
          <w:strike/>
          <w:color w:val="2E97D3"/>
          <w:sz w:val="16"/>
        </w:rPr>
        <w:t>Expenses</w:t>
      </w:r>
      <w:r>
        <w:rPr>
          <w:strike w:val="0"/>
          <w:color w:val="2E97D3"/>
          <w:u w:val="single" w:color="2E97D3"/>
        </w:rPr>
        <w:t>expenses </w:t>
      </w:r>
      <w:r>
        <w:rPr>
          <w:strike w:val="0"/>
        </w:rPr>
        <w:t>and </w:t>
      </w:r>
      <w:r>
        <w:rPr>
          <w:rFonts w:ascii="Times New Roman"/>
          <w:b/>
          <w:strike/>
          <w:color w:val="2E97D3"/>
          <w:sz w:val="16"/>
        </w:rPr>
        <w:t>Equipment</w:t>
      </w:r>
      <w:r>
        <w:rPr>
          <w:strike w:val="0"/>
          <w:color w:val="2E97D3"/>
          <w:u w:val="single" w:color="2E97D3"/>
        </w:rPr>
        <w:t>equipment </w:t>
      </w:r>
      <w:r>
        <w:rPr>
          <w:strike w:val="0"/>
        </w:rPr>
        <w:t>are reported as a single line entry. Details are provided in supplementary schedules. See SAM Section </w:t>
      </w:r>
      <w:r>
        <w:rPr>
          <w:rFonts w:ascii="Times New Roman"/>
          <w:b/>
          <w:strike/>
          <w:color w:val="2E97D3"/>
          <w:sz w:val="16"/>
          <w:u w:val="single" w:color="2E97D3"/>
        </w:rPr>
        <w:t>6451</w:t>
      </w:r>
      <w:hyperlink r:id="rId54">
        <w:r>
          <w:rPr>
            <w:strike w:val="0"/>
            <w:color w:val="2E97D3"/>
            <w:u w:val="single" w:color="2E97D3"/>
          </w:rPr>
          <w:t>6451</w:t>
        </w:r>
      </w:hyperlink>
      <w:r>
        <w:rPr>
          <w:strike w:val="0"/>
        </w:rPr>
        <w:t>.</w:t>
      </w:r>
    </w:p>
    <w:p>
      <w:pPr>
        <w:pStyle w:val="BodyText"/>
        <w:spacing w:before="11"/>
        <w:rPr>
          <w:sz w:val="15"/>
        </w:rPr>
      </w:pPr>
    </w:p>
    <w:p>
      <w:pPr>
        <w:spacing w:before="92"/>
        <w:ind w:left="820" w:right="283" w:firstLine="0"/>
        <w:jc w:val="left"/>
        <w:rPr>
          <w:sz w:val="24"/>
        </w:rPr>
      </w:pPr>
      <w:r>
        <w:rPr/>
        <w:pict>
          <v:line style="position:absolute;mso-position-horizontal-relative:page;mso-position-vertical-relative:paragraph;z-index:10792" from="36.360001pt,.135858pt" to="36.360001pt,46.215858pt" stroked="true" strokeweight=".72pt" strokecolor="#000000">
            <v:stroke dashstyle="solid"/>
            <w10:wrap type="none"/>
          </v:line>
        </w:pict>
      </w:r>
      <w:r>
        <w:rPr>
          <w:rFonts w:ascii="Times New Roman"/>
          <w:b/>
          <w:strike/>
          <w:color w:val="2E97D3"/>
          <w:sz w:val="16"/>
        </w:rPr>
        <w:t>If there are </w:t>
      </w:r>
      <w:r>
        <w:rPr>
          <w:strike w:val="0"/>
          <w:sz w:val="24"/>
        </w:rPr>
        <w:t>Special Items of Expense </w:t>
      </w:r>
      <w:r>
        <w:rPr>
          <w:rFonts w:ascii="Times New Roman"/>
          <w:b/>
          <w:strike/>
          <w:color w:val="2E97D3"/>
          <w:sz w:val="16"/>
        </w:rPr>
        <w:t>which cannot be included in Operating Expenses and Equipment (SAM Sections </w:t>
      </w:r>
      <w:r>
        <w:rPr>
          <w:rFonts w:ascii="Times New Roman"/>
          <w:b/>
          <w:strike/>
          <w:color w:val="2E97D3"/>
          <w:sz w:val="16"/>
          <w:u w:val="single" w:color="2E97D3"/>
        </w:rPr>
        <w:t>6451 </w:t>
      </w:r>
      <w:r>
        <w:rPr>
          <w:rFonts w:ascii="Times New Roman"/>
          <w:b/>
          <w:strike/>
          <w:color w:val="2E97D3"/>
          <w:sz w:val="16"/>
        </w:rPr>
        <w:t>and </w:t>
      </w:r>
      <w:r>
        <w:rPr>
          <w:rFonts w:ascii="Times New Roman"/>
          <w:b/>
          <w:strike/>
          <w:color w:val="2E97D3"/>
          <w:sz w:val="16"/>
          <w:u w:val="single" w:color="2E97D3"/>
        </w:rPr>
        <w:t>6457</w:t>
      </w:r>
      <w:r>
        <w:rPr>
          <w:rFonts w:ascii="Times New Roman"/>
          <w:b/>
          <w:strike/>
          <w:color w:val="2E97D3"/>
          <w:sz w:val="16"/>
        </w:rPr>
        <w:t>), they are</w:t>
      </w:r>
      <w:r>
        <w:rPr>
          <w:strike w:val="0"/>
          <w:color w:val="2E97D3"/>
          <w:sz w:val="24"/>
          <w:u w:val="single" w:color="2E97D3"/>
        </w:rPr>
        <w:t>are also </w:t>
      </w:r>
      <w:r>
        <w:rPr>
          <w:strike w:val="0"/>
          <w:sz w:val="24"/>
        </w:rPr>
        <w:t>reported as a single line entry following </w:t>
      </w:r>
      <w:r>
        <w:rPr>
          <w:rFonts w:ascii="Times New Roman"/>
          <w:b/>
          <w:strike/>
          <w:color w:val="2E97D3"/>
          <w:sz w:val="16"/>
        </w:rPr>
        <w:t>Operating Expenses</w:t>
      </w:r>
      <w:r>
        <w:rPr>
          <w:strike w:val="0"/>
          <w:color w:val="2E97D3"/>
          <w:sz w:val="24"/>
          <w:u w:val="single" w:color="2E97D3"/>
        </w:rPr>
        <w:t>operating</w:t>
      </w:r>
    </w:p>
    <w:p>
      <w:pPr>
        <w:pStyle w:val="BodyText"/>
        <w:ind w:left="820"/>
      </w:pPr>
      <w:r>
        <w:rPr>
          <w:color w:val="2E97D3"/>
          <w:u w:val="single" w:color="2E97D3"/>
        </w:rPr>
        <w:t>expenses </w:t>
      </w:r>
      <w:r>
        <w:rPr/>
        <w:t>and </w:t>
      </w:r>
      <w:r>
        <w:rPr>
          <w:rFonts w:ascii="Times New Roman"/>
          <w:b/>
          <w:strike/>
          <w:color w:val="2E97D3"/>
          <w:sz w:val="16"/>
        </w:rPr>
        <w:t>Equipment. </w:t>
      </w:r>
      <w:r>
        <w:rPr>
          <w:strike w:val="0"/>
          <w:color w:val="2E97D3"/>
          <w:u w:val="single" w:color="2E97D3"/>
        </w:rPr>
        <w:t>equipment. See SAM Section </w:t>
      </w:r>
      <w:hyperlink r:id="rId54">
        <w:r>
          <w:rPr>
            <w:strike w:val="0"/>
            <w:color w:val="2E97D3"/>
            <w:u w:val="single" w:color="2E97D3"/>
          </w:rPr>
          <w:t>6469</w:t>
        </w:r>
      </w:hyperlink>
      <w:r>
        <w:rPr>
          <w:strike w:val="0"/>
          <w:color w:val="2E97D3"/>
          <w:u w:val="single" w:color="2E97D3"/>
        </w:rPr>
        <w:t>.</w:t>
      </w:r>
    </w:p>
    <w:p>
      <w:pPr>
        <w:pStyle w:val="BodyText"/>
        <w:spacing w:before="185"/>
        <w:ind w:left="820"/>
      </w:pPr>
      <w:r>
        <w:rPr/>
        <w:pict>
          <v:line style="position:absolute;mso-position-horizontal-relative:page;mso-position-vertical-relative:paragraph;z-index:10816" from="36.360001pt,9.465858pt" to="36.360001pt,37.065858pt" stroked="true" strokeweight=".72pt" strokecolor="#000000">
            <v:stroke dashstyle="solid"/>
            <w10:wrap type="none"/>
          </v:line>
        </w:pict>
      </w:r>
      <w:r>
        <w:rPr/>
        <w:t>Totals, Expenditures </w:t>
      </w:r>
      <w:r>
        <w:rPr>
          <w:rFonts w:ascii="Times New Roman"/>
          <w:b/>
          <w:strike/>
          <w:color w:val="2E97D3"/>
          <w:sz w:val="16"/>
        </w:rPr>
        <w:t>represent</w:t>
      </w:r>
      <w:r>
        <w:rPr>
          <w:strike w:val="0"/>
          <w:color w:val="2E97D3"/>
          <w:u w:val="single" w:color="2E97D3"/>
        </w:rPr>
        <w:t>, All Funds bottom-line represents </w:t>
      </w:r>
      <w:r>
        <w:rPr>
          <w:strike w:val="0"/>
        </w:rPr>
        <w:t>the sum of all </w:t>
      </w:r>
      <w:r>
        <w:rPr>
          <w:strike w:val="0"/>
          <w:color w:val="2E97D3"/>
          <w:u w:val="single" w:color="2E97D3"/>
        </w:rPr>
        <w:t>budgetary </w:t>
      </w:r>
      <w:r>
        <w:rPr>
          <w:strike w:val="0"/>
        </w:rPr>
        <w:t>expenditures </w:t>
      </w:r>
      <w:r>
        <w:rPr>
          <w:strike w:val="0"/>
          <w:color w:val="2E97D3"/>
          <w:u w:val="single" w:color="2E97D3"/>
        </w:rPr>
        <w:t>separated by state operations and local assistance</w:t>
      </w:r>
      <w:r>
        <w:rPr>
          <w:strike w:val="0"/>
        </w:rPr>
        <w:t>.</w:t>
      </w:r>
    </w:p>
    <w:p>
      <w:pPr>
        <w:pStyle w:val="BodyText"/>
        <w:spacing w:before="3"/>
        <w:rPr>
          <w:sz w:val="20"/>
        </w:rPr>
      </w:pPr>
      <w:r>
        <w:rPr/>
        <w:pict>
          <v:line style="position:absolute;mso-position-horizontal-relative:page;mso-position-vertical-relative:paragraph;z-index:10672;mso-wrap-distance-left:0;mso-wrap-distance-right:0" from="36.360001pt,14.014387pt" to="36.360001pt,27.814387pt" stroked="true" strokeweight=".72pt" strokecolor="#000000">
            <v:stroke dashstyle="solid"/>
            <w10:wrap type="topAndBottom"/>
          </v:line>
        </w:pict>
      </w:r>
    </w:p>
    <w:p>
      <w:pPr>
        <w:spacing w:after="0"/>
        <w:rPr>
          <w:sz w:val="20"/>
        </w:rPr>
        <w:sectPr>
          <w:footerReference w:type="default" r:id="rId86"/>
          <w:pgSz w:w="12240" w:h="15840"/>
          <w:pgMar w:footer="792" w:header="724" w:top="980" w:bottom="980" w:left="620" w:right="1320"/>
        </w:sectPr>
      </w:pPr>
    </w:p>
    <w:p>
      <w:pPr>
        <w:pStyle w:val="BodyText"/>
        <w:rPr>
          <w:sz w:val="20"/>
        </w:rPr>
      </w:pPr>
    </w:p>
    <w:p>
      <w:pPr>
        <w:tabs>
          <w:tab w:pos="9647" w:val="left" w:leader="none"/>
        </w:tabs>
        <w:spacing w:before="214"/>
        <w:ind w:left="819" w:right="0" w:firstLine="0"/>
        <w:jc w:val="left"/>
        <w:rPr>
          <w:b/>
          <w:sz w:val="24"/>
        </w:rPr>
      </w:pPr>
      <w:r>
        <w:rPr/>
        <w:pict>
          <v:line style="position:absolute;mso-position-horizontal-relative:page;mso-position-vertical-relative:paragraph;z-index:11056" from="36.360001pt,24.714882pt" to="36.360001pt,38.515882pt" stroked="true" strokeweight=".72pt" strokecolor="#000000">
            <v:stroke dashstyle="solid"/>
            <w10:wrap type="none"/>
          </v:line>
        </w:pict>
      </w:r>
      <w:r>
        <w:rPr>
          <w:b/>
          <w:sz w:val="24"/>
        </w:rPr>
        <w:t>DETAIL OF APPROPRIATIONS</w:t>
      </w:r>
      <w:r>
        <w:rPr>
          <w:b/>
          <w:spacing w:val="-3"/>
          <w:sz w:val="24"/>
        </w:rPr>
        <w:t> AND</w:t>
      </w:r>
      <w:r>
        <w:rPr>
          <w:b/>
          <w:spacing w:val="-1"/>
          <w:sz w:val="24"/>
        </w:rPr>
        <w:t> </w:t>
      </w:r>
      <w:r>
        <w:rPr>
          <w:b/>
          <w:sz w:val="24"/>
        </w:rPr>
        <w:t>ADJUSTMENTS</w:t>
        <w:tab/>
        <w:t>6478</w:t>
      </w:r>
    </w:p>
    <w:p>
      <w:pPr>
        <w:pStyle w:val="BodyText"/>
        <w:ind w:left="820"/>
      </w:pPr>
      <w:r>
        <w:rPr/>
        <w:t>(Revised </w:t>
      </w:r>
      <w:r>
        <w:rPr>
          <w:strike/>
          <w:color w:val="2E97D3"/>
        </w:rPr>
        <w:t>9/2010</w:t>
      </w:r>
      <w:r>
        <w:rPr>
          <w:strike w:val="0"/>
          <w:color w:val="2E97D3"/>
          <w:u w:val="single" w:color="2E97D3"/>
        </w:rPr>
        <w:t>09/2017</w:t>
      </w:r>
      <w:r>
        <w:rPr>
          <w:strike w:val="0"/>
        </w:rPr>
        <w:t>)</w:t>
      </w:r>
    </w:p>
    <w:p>
      <w:pPr>
        <w:pStyle w:val="BodyText"/>
        <w:spacing w:before="5"/>
        <w:rPr>
          <w:sz w:val="18"/>
        </w:rPr>
      </w:pPr>
    </w:p>
    <w:p>
      <w:pPr>
        <w:pStyle w:val="BodyText"/>
        <w:spacing w:before="93"/>
        <w:ind w:left="820" w:right="114"/>
        <w:jc w:val="both"/>
      </w:pPr>
      <w:r>
        <w:rPr/>
        <w:pict>
          <v:line style="position:absolute;mso-position-horizontal-relative:page;mso-position-vertical-relative:paragraph;z-index:11080" from="36.360001pt,4.865854pt" to="36.360001pt,55.385854pt" stroked="true" strokeweight=".72pt" strokecolor="#000000">
            <v:stroke dashstyle="solid"/>
            <w10:wrap type="none"/>
          </v:line>
        </w:pict>
      </w:r>
      <w:r>
        <w:rPr>
          <w:rFonts w:ascii="Times New Roman"/>
          <w:b/>
          <w:strike/>
          <w:color w:val="2E97D3"/>
          <w:sz w:val="16"/>
        </w:rPr>
        <w:t>This section of the budget presentation displays</w:t>
      </w:r>
      <w:r>
        <w:rPr>
          <w:strike w:val="0"/>
          <w:color w:val="2E97D3"/>
          <w:u w:val="single" w:color="2E97D3"/>
        </w:rPr>
        <w:t>The Detail of Appropriations and Adjustments display shows </w:t>
      </w:r>
      <w:r>
        <w:rPr>
          <w:strike w:val="0"/>
        </w:rPr>
        <w:t>the source and amount of appropriations available for the department and the disposition</w:t>
      </w:r>
      <w:r>
        <w:rPr>
          <w:strike w:val="0"/>
          <w:spacing w:val="-12"/>
        </w:rPr>
        <w:t> </w:t>
      </w:r>
      <w:r>
        <w:rPr>
          <w:strike w:val="0"/>
        </w:rPr>
        <w:t>of</w:t>
      </w:r>
      <w:r>
        <w:rPr>
          <w:strike w:val="0"/>
          <w:spacing w:val="-10"/>
        </w:rPr>
        <w:t> </w:t>
      </w:r>
      <w:r>
        <w:rPr>
          <w:strike w:val="0"/>
        </w:rPr>
        <w:t>such</w:t>
      </w:r>
      <w:r>
        <w:rPr>
          <w:strike w:val="0"/>
          <w:spacing w:val="-10"/>
        </w:rPr>
        <w:t> </w:t>
      </w:r>
      <w:r>
        <w:rPr>
          <w:strike w:val="0"/>
        </w:rPr>
        <w:t>appropriated</w:t>
      </w:r>
      <w:r>
        <w:rPr>
          <w:strike w:val="0"/>
          <w:spacing w:val="-14"/>
        </w:rPr>
        <w:t> </w:t>
      </w:r>
      <w:r>
        <w:rPr>
          <w:strike w:val="0"/>
        </w:rPr>
        <w:t>funds</w:t>
      </w:r>
      <w:r>
        <w:rPr>
          <w:strike w:val="0"/>
          <w:spacing w:val="-12"/>
        </w:rPr>
        <w:t> </w:t>
      </w:r>
      <w:r>
        <w:rPr>
          <w:strike w:val="0"/>
        </w:rPr>
        <w:t>between</w:t>
      </w:r>
      <w:r>
        <w:rPr>
          <w:strike w:val="0"/>
          <w:spacing w:val="-10"/>
        </w:rPr>
        <w:t> </w:t>
      </w:r>
      <w:r>
        <w:rPr>
          <w:strike w:val="0"/>
        </w:rPr>
        <w:t>expenditures</w:t>
      </w:r>
      <w:r>
        <w:rPr>
          <w:strike w:val="0"/>
          <w:spacing w:val="-12"/>
        </w:rPr>
        <w:t> </w:t>
      </w:r>
      <w:r>
        <w:rPr>
          <w:strike w:val="0"/>
        </w:rPr>
        <w:t>and</w:t>
      </w:r>
      <w:r>
        <w:rPr>
          <w:strike w:val="0"/>
          <w:spacing w:val="-10"/>
        </w:rPr>
        <w:t> </w:t>
      </w:r>
      <w:r>
        <w:rPr>
          <w:strike w:val="0"/>
        </w:rPr>
        <w:t>unexpended</w:t>
      </w:r>
      <w:r>
        <w:rPr>
          <w:strike w:val="0"/>
          <w:spacing w:val="-10"/>
        </w:rPr>
        <w:t> </w:t>
      </w:r>
      <w:r>
        <w:rPr>
          <w:strike w:val="0"/>
        </w:rPr>
        <w:t>balances.</w:t>
      </w:r>
    </w:p>
    <w:p>
      <w:pPr>
        <w:spacing w:before="1"/>
        <w:ind w:left="819" w:right="0" w:firstLine="0"/>
        <w:jc w:val="both"/>
        <w:rPr>
          <w:rFonts w:ascii="Times New Roman"/>
          <w:b/>
          <w:sz w:val="16"/>
        </w:rPr>
      </w:pPr>
      <w:r>
        <w:rPr>
          <w:rFonts w:ascii="Times New Roman"/>
          <w:b/>
          <w:strike/>
          <w:color w:val="2E97D3"/>
          <w:sz w:val="16"/>
        </w:rPr>
        <w:t>A "Supplementary Schedule of Appropriations" (Schedule 10) provides the information used in this display. See SAM Section </w:t>
      </w:r>
      <w:r>
        <w:rPr>
          <w:rFonts w:ascii="Times New Roman"/>
          <w:b/>
          <w:strike/>
          <w:color w:val="2E97D3"/>
          <w:sz w:val="16"/>
          <w:u w:val="single" w:color="2E97D3"/>
        </w:rPr>
        <w:t>6484</w:t>
      </w:r>
      <w:r>
        <w:rPr>
          <w:rFonts w:ascii="Times New Roman"/>
          <w:b/>
          <w:strike w:val="0"/>
          <w:color w:val="2E97D3"/>
          <w:sz w:val="16"/>
        </w:rPr>
        <w:t>.</w:t>
      </w:r>
    </w:p>
    <w:p>
      <w:pPr>
        <w:pStyle w:val="BodyText"/>
        <w:spacing w:before="8"/>
        <w:rPr>
          <w:rFonts w:ascii="Times New Roman"/>
          <w:b/>
          <w:sz w:val="15"/>
        </w:rPr>
      </w:pPr>
    </w:p>
    <w:p>
      <w:pPr>
        <w:pStyle w:val="BodyText"/>
        <w:ind w:left="820"/>
        <w:jc w:val="both"/>
      </w:pPr>
      <w:r>
        <w:rPr/>
        <w:pict>
          <v:line style="position:absolute;mso-position-horizontal-relative:page;mso-position-vertical-relative:paragraph;z-index:11104" from="36.360001pt,.215845pt" to="36.360001pt,23.255845pt" stroked="true" strokeweight=".72pt" strokecolor="#000000">
            <v:stroke dashstyle="solid"/>
            <w10:wrap type="none"/>
          </v:line>
        </w:pict>
      </w:r>
      <w:r>
        <w:rPr/>
        <w:t>The</w:t>
      </w:r>
      <w:r>
        <w:rPr>
          <w:spacing w:val="-19"/>
        </w:rPr>
        <w:t> </w:t>
      </w:r>
      <w:r>
        <w:rPr/>
        <w:t>order,</w:t>
      </w:r>
      <w:r>
        <w:rPr>
          <w:spacing w:val="-19"/>
        </w:rPr>
        <w:t> </w:t>
      </w:r>
      <w:r>
        <w:rPr/>
        <w:t>wording,</w:t>
      </w:r>
      <w:r>
        <w:rPr>
          <w:spacing w:val="-17"/>
        </w:rPr>
        <w:t> </w:t>
      </w:r>
      <w:r>
        <w:rPr/>
        <w:t>and</w:t>
      </w:r>
      <w:r>
        <w:rPr>
          <w:spacing w:val="-19"/>
        </w:rPr>
        <w:t> </w:t>
      </w:r>
      <w:r>
        <w:rPr/>
        <w:t>meaning</w:t>
      </w:r>
      <w:r>
        <w:rPr>
          <w:spacing w:val="-19"/>
        </w:rPr>
        <w:t> </w:t>
      </w:r>
      <w:r>
        <w:rPr/>
        <w:t>of</w:t>
      </w:r>
      <w:r>
        <w:rPr>
          <w:spacing w:val="-19"/>
        </w:rPr>
        <w:t> </w:t>
      </w:r>
      <w:r>
        <w:rPr/>
        <w:t>the</w:t>
      </w:r>
      <w:r>
        <w:rPr>
          <w:spacing w:val="-19"/>
        </w:rPr>
        <w:t> </w:t>
      </w:r>
      <w:r>
        <w:rPr/>
        <w:t>various</w:t>
      </w:r>
      <w:r>
        <w:rPr>
          <w:spacing w:val="-17"/>
        </w:rPr>
        <w:t> </w:t>
      </w:r>
      <w:r>
        <w:rPr/>
        <w:t>entries</w:t>
      </w:r>
      <w:r>
        <w:rPr>
          <w:spacing w:val="-17"/>
        </w:rPr>
        <w:t> </w:t>
      </w:r>
      <w:r>
        <w:rPr/>
        <w:t>in</w:t>
      </w:r>
      <w:r>
        <w:rPr>
          <w:spacing w:val="-19"/>
        </w:rPr>
        <w:t> </w:t>
      </w:r>
      <w:r>
        <w:rPr/>
        <w:t>each</w:t>
      </w:r>
      <w:r>
        <w:rPr>
          <w:spacing w:val="-19"/>
        </w:rPr>
        <w:t> </w:t>
      </w:r>
      <w:r>
        <w:rPr/>
        <w:t>display</w:t>
      </w:r>
      <w:r>
        <w:rPr>
          <w:spacing w:val="-20"/>
        </w:rPr>
        <w:t> </w:t>
      </w:r>
      <w:r>
        <w:rPr/>
        <w:t>are</w:t>
      </w:r>
      <w:r>
        <w:rPr>
          <w:spacing w:val="-16"/>
        </w:rPr>
        <w:t> </w:t>
      </w:r>
      <w:r>
        <w:rPr/>
        <w:t>set</w:t>
      </w:r>
      <w:r>
        <w:rPr>
          <w:spacing w:val="-22"/>
        </w:rPr>
        <w:t> </w:t>
      </w:r>
      <w:r>
        <w:rPr/>
        <w:t>forth</w:t>
      </w:r>
      <w:r>
        <w:rPr>
          <w:spacing w:val="-19"/>
        </w:rPr>
        <w:t> </w:t>
      </w:r>
      <w:r>
        <w:rPr/>
        <w:t>below.</w:t>
      </w:r>
    </w:p>
    <w:p>
      <w:pPr>
        <w:spacing w:before="0"/>
        <w:ind w:left="819" w:right="0" w:firstLine="0"/>
        <w:jc w:val="both"/>
        <w:rPr>
          <w:rFonts w:ascii="Times New Roman"/>
          <w:b/>
          <w:sz w:val="16"/>
        </w:rPr>
      </w:pPr>
      <w:r>
        <w:rPr>
          <w:rFonts w:ascii="Times New Roman"/>
          <w:b/>
          <w:strike/>
          <w:color w:val="2E97D3"/>
          <w:sz w:val="16"/>
        </w:rPr>
        <w:t>Omit entries which are not needed. If additional entries are necessary, coordinate the addition with the Finance analyst</w:t>
      </w:r>
      <w:r>
        <w:rPr>
          <w:rFonts w:ascii="Times New Roman"/>
          <w:b/>
          <w:strike w:val="0"/>
          <w:color w:val="2E97D3"/>
          <w:sz w:val="16"/>
        </w:rPr>
        <w:t>.</w:t>
      </w:r>
    </w:p>
    <w:p>
      <w:pPr>
        <w:pStyle w:val="BodyText"/>
        <w:spacing w:before="5"/>
        <w:rPr>
          <w:rFonts w:ascii="Times New Roman"/>
          <w:b/>
          <w:sz w:val="25"/>
        </w:rPr>
      </w:pPr>
    </w:p>
    <w:p>
      <w:pPr>
        <w:spacing w:before="100"/>
        <w:ind w:left="1540" w:right="454" w:hanging="360"/>
        <w:jc w:val="left"/>
        <w:rPr>
          <w:sz w:val="24"/>
        </w:rPr>
      </w:pPr>
      <w:r>
        <w:rPr/>
        <w:pict>
          <v:line style="position:absolute;mso-position-horizontal-relative:page;mso-position-vertical-relative:paragraph;z-index:-461800" from="261.359985pt,14.244441pt" to="264.719985pt,14.244441pt" stroked="true" strokeweight=".6pt" strokecolor="#2e97d3">
            <v:stroke dashstyle="solid"/>
            <w10:wrap type="none"/>
          </v:line>
        </w:pict>
      </w:r>
      <w:r>
        <w:rPr/>
        <w:pict>
          <v:line style="position:absolute;mso-position-horizontal-relative:page;mso-position-vertical-relative:paragraph;z-index:11128" from="36.360001pt,5.184441pt" to="36.360001pt,19.944441pt" stroked="true" strokeweight=".72pt" strokecolor="#000000">
            <v:stroke dashstyle="solid"/>
            <w10:wrap type="none"/>
          </v:line>
        </w:pict>
      </w:r>
      <w:r>
        <w:rPr/>
        <w:pict>
          <v:line style="position:absolute;mso-position-horizontal-relative:page;mso-position-vertical-relative:paragraph;z-index:11152" from="36.360001pt,33.864441pt" to="36.360001pt,72.024441pt" stroked="true" strokeweight=".72pt" strokecolor="#000000">
            <v:stroke dashstyle="solid"/>
            <w10:wrap type="none"/>
          </v:line>
        </w:pict>
      </w:r>
      <w:r>
        <w:rPr>
          <w:rFonts w:ascii="Symbol" w:hAnsi="Symbol"/>
          <w:color w:val="2E97D3"/>
          <w:sz w:val="24"/>
          <w:u w:val="single" w:color="2E97D3"/>
        </w:rPr>
        <w:t></w:t>
      </w:r>
      <w:r>
        <w:rPr>
          <w:strike/>
          <w:color w:val="2E97D3"/>
          <w:sz w:val="24"/>
        </w:rPr>
        <w:t>1. </w:t>
      </w:r>
      <w:r>
        <w:rPr>
          <w:b/>
          <w:strike w:val="0"/>
          <w:sz w:val="24"/>
        </w:rPr>
        <w:t>Budget Act Appropriation. </w:t>
      </w:r>
      <w:r>
        <w:rPr>
          <w:strike w:val="0"/>
          <w:sz w:val="24"/>
        </w:rPr>
        <w:t>Amount appropriated or proposed to be appropriated in the annual Budget Act.</w:t>
      </w:r>
    </w:p>
    <w:p>
      <w:pPr>
        <w:pStyle w:val="BodyText"/>
        <w:spacing w:before="197"/>
        <w:ind w:left="1540" w:right="122" w:hanging="360"/>
      </w:pPr>
      <w:r>
        <w:rPr/>
        <w:pict>
          <v:line style="position:absolute;mso-position-horizontal-relative:page;mso-position-vertical-relative:paragraph;z-index:-461776" from="308.160004pt,32.894478pt" to="311.520004pt,32.894478pt" stroked="true" strokeweight=".6pt" strokecolor="#2e97d3">
            <v:stroke dashstyle="solid"/>
            <w10:wrap type="none"/>
          </v:line>
        </w:pict>
      </w:r>
      <w:r>
        <w:rPr/>
        <w:pict>
          <v:line style="position:absolute;mso-position-horizontal-relative:page;mso-position-vertical-relative:paragraph;z-index:-461752" from="387.600006pt,60.494976pt" to="390.840006pt,60.494976pt" stroked="true" strokeweight=".599pt" strokecolor="#2e97d3">
            <v:stroke dashstyle="solid"/>
            <w10:wrap type="none"/>
          </v:line>
        </w:pict>
      </w:r>
      <w:r>
        <w:rPr/>
        <w:pict>
          <v:line style="position:absolute;mso-position-horizontal-relative:page;mso-position-vertical-relative:paragraph;z-index:-461728" from="342.23999pt,115.694481pt" to="345.47999pt,115.694481pt" stroked="true" strokeweight=".6pt" strokecolor="#2e97d3">
            <v:stroke dashstyle="solid"/>
            <w10:wrap type="none"/>
          </v:line>
        </w:pict>
      </w:r>
      <w:r>
        <w:rPr/>
        <w:pict>
          <v:line style="position:absolute;mso-position-horizontal-relative:page;mso-position-vertical-relative:paragraph;z-index:-461704" from="415.559998pt,115.694481pt" to="418.920998pt,115.694481pt" stroked="true" strokeweight=".6pt" strokecolor="#2e97d3">
            <v:stroke dashstyle="solid"/>
            <w10:wrap type="none"/>
          </v:line>
        </w:pict>
      </w:r>
      <w:r>
        <w:rPr/>
        <w:pict>
          <v:line style="position:absolute;mso-position-horizontal-relative:page;mso-position-vertical-relative:paragraph;z-index:11176" from="36.360001pt,52.274479pt" to="36.360001pt,66.074479pt" stroked="true" strokeweight=".72pt" strokecolor="#000000">
            <v:stroke dashstyle="solid"/>
            <w10:wrap type="none"/>
          </v:line>
        </w:pict>
      </w:r>
      <w:r>
        <w:rPr/>
        <w:pict>
          <v:line style="position:absolute;mso-position-horizontal-relative:page;mso-position-vertical-relative:paragraph;z-index:11200" from="36.360001pt,107.47448pt" to="36.360001pt,121.15448pt" stroked="true" strokeweight=".72pt" strokecolor="#000000">
            <v:stroke dashstyle="solid"/>
            <w10:wrap type="none"/>
          </v:line>
        </w:pict>
      </w:r>
      <w:r>
        <w:rPr/>
        <w:pict>
          <v:line style="position:absolute;mso-position-horizontal-relative:page;mso-position-vertical-relative:paragraph;z-index:11224" from="36.360001pt,134.954483pt" to="36.360001pt,159.434483pt" stroked="true" strokeweight=".72pt" strokecolor="#000000">
            <v:stroke dashstyle="solid"/>
            <w10:wrap type="none"/>
          </v:line>
        </w:pict>
      </w:r>
      <w:r>
        <w:rPr>
          <w:rFonts w:ascii="Symbol" w:hAnsi="Symbol"/>
          <w:color w:val="2E97D3"/>
          <w:u w:val="single" w:color="2E97D3"/>
        </w:rPr>
        <w:t></w:t>
      </w:r>
      <w:r>
        <w:rPr>
          <w:strike/>
          <w:color w:val="2E97D3"/>
        </w:rPr>
        <w:t>2. </w:t>
      </w:r>
      <w:r>
        <w:rPr>
          <w:b/>
          <w:strike w:val="0"/>
        </w:rPr>
        <w:t>Continuous Appropriation</w:t>
      </w:r>
      <w:r>
        <w:rPr>
          <w:b/>
          <w:strike/>
          <w:color w:val="2E97D3"/>
        </w:rPr>
        <w:t>, Provide</w:t>
      </w:r>
      <w:r>
        <w:rPr>
          <w:b/>
          <w:strike w:val="0"/>
          <w:color w:val="2E97D3"/>
          <w:u w:val="thick" w:color="2E97D3"/>
        </w:rPr>
        <w:t>. Provides </w:t>
      </w:r>
      <w:r>
        <w:rPr>
          <w:b/>
          <w:strike w:val="0"/>
        </w:rPr>
        <w:t>the Legal Citation (such as Government Code section XXXXX). </w:t>
      </w:r>
      <w:r>
        <w:rPr>
          <w:strike w:val="0"/>
        </w:rPr>
        <w:t>Amount, actual or estimated, available each year under a permanent constitutional or statutory appropriation which is renewed each year without further legislative action. The amount available may be a specific, recurring sum each year; all or a specified portion of the proceeds of specified revenues which have been dedicated permanently to a certain purpose; or it may be whatever amount is required for the purpose as determined by formula—such as school apportionment. For example: Section 42238, Education Code (School District Apportionments).</w:t>
      </w:r>
    </w:p>
    <w:p>
      <w:pPr>
        <w:pStyle w:val="BodyText"/>
        <w:spacing w:before="197"/>
        <w:ind w:left="1540" w:right="303" w:hanging="360"/>
      </w:pPr>
      <w:r>
        <w:rPr/>
        <w:pict>
          <v:line style="position:absolute;mso-position-horizontal-relative:page;mso-position-vertical-relative:paragraph;z-index:-461680" from="258.119995pt,19.094467pt" to="261.479995pt,19.094467pt" stroked="true" strokeweight=".6pt" strokecolor="#2e97d3">
            <v:stroke dashstyle="solid"/>
            <w10:wrap type="none"/>
          </v:line>
        </w:pict>
      </w:r>
      <w:r>
        <w:rPr/>
        <w:pict>
          <v:line style="position:absolute;mso-position-horizontal-relative:page;mso-position-vertical-relative:paragraph;z-index:-461656" from="464.279999pt,46.694969pt" to="467.519999pt,46.694969pt" stroked="true" strokeweight=".599pt" strokecolor="#2e97d3">
            <v:stroke dashstyle="solid"/>
            <w10:wrap type="none"/>
          </v:line>
        </w:pict>
      </w:r>
      <w:r>
        <w:rPr/>
        <w:pict>
          <v:line style="position:absolute;mso-position-horizontal-relative:page;mso-position-vertical-relative:paragraph;z-index:11248" from="36.360001pt,38.474468pt" to="36.360001pt,52.274468pt" stroked="true" strokeweight=".72pt" strokecolor="#000000">
            <v:stroke dashstyle="solid"/>
            <w10:wrap type="none"/>
          </v:line>
        </w:pict>
      </w:r>
      <w:r>
        <w:rPr/>
        <w:pict>
          <v:line style="position:absolute;mso-position-horizontal-relative:page;mso-position-vertical-relative:paragraph;z-index:11272" from="36.360001pt,66.073471pt" to="36.360001pt,145.754471pt" stroked="true" strokeweight=".72pt" strokecolor="#000000">
            <v:stroke dashstyle="solid"/>
            <w10:wrap type="none"/>
          </v:line>
        </w:pict>
      </w:r>
      <w:r>
        <w:rPr>
          <w:rFonts w:ascii="Symbol" w:hAnsi="Symbol"/>
          <w:color w:val="2E97D3"/>
          <w:u w:val="single" w:color="2E97D3"/>
        </w:rPr>
        <w:t></w:t>
      </w:r>
      <w:r>
        <w:rPr>
          <w:strike/>
          <w:color w:val="2E97D3"/>
        </w:rPr>
        <w:t>3. </w:t>
      </w:r>
      <w:r>
        <w:rPr>
          <w:b/>
          <w:strike w:val="0"/>
        </w:rPr>
        <w:t>Allocations For (Purpose). </w:t>
      </w:r>
      <w:r>
        <w:rPr>
          <w:strike w:val="0"/>
        </w:rPr>
        <w:t>Total amounts requested or authorized by Executive Order (EO) from an appropriation, which is subject to allocation by Finance or other authority without further action by the Legislature. A separate entry is made for the total amount from each such appropriation from which an allocation is made or requested.</w:t>
      </w:r>
    </w:p>
    <w:p>
      <w:pPr>
        <w:spacing w:line="240" w:lineRule="auto" w:before="199"/>
        <w:ind w:left="1540" w:right="123" w:hanging="360"/>
        <w:jc w:val="left"/>
        <w:rPr>
          <w:sz w:val="24"/>
        </w:rPr>
      </w:pPr>
      <w:r>
        <w:rPr/>
        <w:pict>
          <v:line style="position:absolute;mso-position-horizontal-relative:page;mso-position-vertical-relative:paragraph;z-index:11296" from="36.360001pt,79.854446pt" to="36.360001pt,145.614446pt" stroked="true" strokeweight=".72pt" strokecolor="#000000">
            <v:stroke dashstyle="solid"/>
            <w10:wrap type="none"/>
          </v:line>
        </w:pict>
      </w:r>
      <w:r>
        <w:rPr>
          <w:rFonts w:ascii="Symbol" w:hAnsi="Symbol"/>
          <w:color w:val="2E97D3"/>
          <w:spacing w:val="3"/>
          <w:sz w:val="24"/>
          <w:u w:val="single" w:color="2E97D3"/>
        </w:rPr>
        <w:t></w:t>
      </w:r>
      <w:r>
        <w:rPr>
          <w:strike/>
          <w:color w:val="2E97D3"/>
          <w:spacing w:val="3"/>
          <w:sz w:val="24"/>
        </w:rPr>
        <w:t>4. </w:t>
      </w:r>
      <w:r>
        <w:rPr>
          <w:b/>
          <w:strike/>
          <w:color w:val="2E97D3"/>
          <w:sz w:val="24"/>
        </w:rPr>
        <w:t>Deficiency Authorizations</w:t>
      </w:r>
      <w:r>
        <w:rPr>
          <w:b/>
          <w:strike w:val="0"/>
          <w:color w:val="2E97D3"/>
          <w:sz w:val="24"/>
          <w:u w:val="thick" w:color="2E97D3"/>
        </w:rPr>
        <w:t>Augmentations for Contingencies or Emergencies </w:t>
      </w:r>
      <w:r>
        <w:rPr>
          <w:b/>
          <w:strike w:val="0"/>
          <w:sz w:val="24"/>
        </w:rPr>
        <w:t>(Purpose). </w:t>
      </w:r>
      <w:r>
        <w:rPr>
          <w:strike/>
          <w:color w:val="2E97D3"/>
          <w:sz w:val="24"/>
        </w:rPr>
        <w:t>For deficiency authorizations</w:t>
      </w:r>
      <w:r>
        <w:rPr>
          <w:strike w:val="0"/>
          <w:color w:val="2E97D3"/>
          <w:sz w:val="24"/>
          <w:u w:val="single" w:color="2E97D3"/>
        </w:rPr>
        <w:t>Augmentations for contingencies or emergencies </w:t>
      </w:r>
      <w:r>
        <w:rPr>
          <w:strike w:val="0"/>
          <w:sz w:val="24"/>
        </w:rPr>
        <w:t>per Items 9840-001-0001, 9840-001-0494, and 9840-001-0988 of the Budget Act, use </w:t>
      </w:r>
      <w:r>
        <w:rPr>
          <w:strike w:val="0"/>
          <w:color w:val="2E97D3"/>
          <w:sz w:val="24"/>
          <w:u w:val="single" w:color="2E97D3"/>
        </w:rPr>
        <w:t>the </w:t>
      </w:r>
      <w:r>
        <w:rPr>
          <w:strike w:val="0"/>
          <w:sz w:val="24"/>
        </w:rPr>
        <w:t>citation “Allocation for contingencies or emergencies.”</w:t>
      </w:r>
    </w:p>
    <w:p>
      <w:pPr>
        <w:pStyle w:val="Heading2"/>
        <w:spacing w:line="292" w:lineRule="exact" w:before="197"/>
        <w:ind w:left="1180"/>
      </w:pPr>
      <w:r>
        <w:rPr>
          <w:rFonts w:ascii="Symbol" w:hAnsi="Symbol"/>
          <w:b w:val="0"/>
          <w:color w:val="2E97D3"/>
          <w:u w:val="single" w:color="2E97D3"/>
        </w:rPr>
        <w:t></w:t>
      </w:r>
      <w:r>
        <w:rPr>
          <w:b w:val="0"/>
          <w:strike/>
          <w:color w:val="2E97D3"/>
        </w:rPr>
        <w:t>5. </w:t>
      </w:r>
      <w:r>
        <w:rPr>
          <w:strike w:val="0"/>
        </w:rPr>
        <w:t>Transferred From</w:t>
      </w:r>
      <w:r>
        <w:rPr>
          <w:strike/>
          <w:color w:val="2E97D3"/>
        </w:rPr>
        <w:t>–( </w:t>
      </w:r>
      <w:r>
        <w:rPr>
          <w:strike w:val="0"/>
          <w:color w:val="2E97D3"/>
          <w:u w:val="thick" w:color="2E97D3"/>
        </w:rPr>
        <w:t>(</w:t>
      </w:r>
      <w:r>
        <w:rPr>
          <w:strike w:val="0"/>
        </w:rPr>
        <w:t>Plus Entry) and/or Transferred To (Minus Entry).</w:t>
      </w:r>
    </w:p>
    <w:p>
      <w:pPr>
        <w:pStyle w:val="BodyText"/>
        <w:ind w:left="1540" w:right="242"/>
      </w:pPr>
      <w:r>
        <w:rPr/>
        <w:pict>
          <v:line style="position:absolute;mso-position-horizontal-relative:page;mso-position-vertical-relative:paragraph;z-index:11320" from="36.360001pt,83.015869pt" to="36.360001pt,118.415869pt" stroked="true" strokeweight=".72pt" strokecolor="#000000">
            <v:stroke dashstyle="solid"/>
            <w10:wrap type="none"/>
          </v:line>
        </w:pict>
      </w:r>
      <w:r>
        <w:rPr/>
        <w:t>Amount moved or proposed from one appropriation </w:t>
      </w:r>
      <w:r>
        <w:rPr>
          <w:strike/>
          <w:color w:val="2E97D3"/>
        </w:rPr>
        <w:t>or from certain fund types </w:t>
      </w:r>
      <w:r>
        <w:rPr>
          <w:strike w:val="0"/>
        </w:rPr>
        <w:t>to another by means of </w:t>
      </w:r>
      <w:r>
        <w:rPr>
          <w:strike/>
          <w:color w:val="2E97D3"/>
        </w:rPr>
        <w:t>a</w:t>
      </w:r>
      <w:r>
        <w:rPr>
          <w:strike w:val="0"/>
          <w:color w:val="2E97D3"/>
          <w:u w:val="single" w:color="2E97D3"/>
        </w:rPr>
        <w:t>an expenditure </w:t>
      </w:r>
      <w:r>
        <w:rPr>
          <w:strike w:val="0"/>
        </w:rPr>
        <w:t>transfer. </w:t>
      </w:r>
      <w:r>
        <w:rPr>
          <w:strike/>
          <w:color w:val="2E97D3"/>
        </w:rPr>
        <w:t>Cite</w:t>
      </w:r>
      <w:r>
        <w:rPr>
          <w:strike w:val="0"/>
          <w:color w:val="2E97D3"/>
          <w:u w:val="single" w:color="2E97D3"/>
        </w:rPr>
        <w:t>Cites </w:t>
      </w:r>
      <w:r>
        <w:rPr>
          <w:strike w:val="0"/>
        </w:rPr>
        <w:t>the authority for the transfer. </w:t>
      </w:r>
      <w:r>
        <w:rPr>
          <w:strike/>
          <w:color w:val="2E97D3"/>
        </w:rPr>
        <w:t>Do</w:t>
      </w:r>
      <w:r>
        <w:rPr>
          <w:strike w:val="0"/>
          <w:color w:val="2E97D3"/>
          <w:u w:val="single" w:color="2E97D3"/>
        </w:rPr>
        <w:t>Does </w:t>
      </w:r>
      <w:r>
        <w:rPr>
          <w:strike w:val="0"/>
        </w:rPr>
        <w:t>not include transfers </w:t>
      </w:r>
      <w:r>
        <w:rPr>
          <w:strike/>
          <w:color w:val="2E97D3"/>
        </w:rPr>
        <w:t>that are </w:t>
      </w:r>
      <w:r>
        <w:rPr>
          <w:strike w:val="0"/>
        </w:rPr>
        <w:t>charged to or credited against expenditures, such as reimbursements or redistribution’s of expense by plans of financial adjustment. A short “purpose” phrase may be included to describe the reason for the transfer.</w:t>
      </w:r>
    </w:p>
    <w:p>
      <w:pPr>
        <w:spacing w:before="2"/>
        <w:ind w:left="887" w:right="0" w:firstLine="0"/>
        <w:jc w:val="left"/>
        <w:rPr>
          <w:rFonts w:ascii="Times New Roman"/>
          <w:sz w:val="20"/>
        </w:rPr>
      </w:pPr>
      <w:r>
        <w:rPr/>
        <w:pict>
          <v:group style="position:absolute;margin-left:71.699997pt;margin-top:6.315939pt;width:52.3pt;height:1.6pt;mso-position-horizontal-relative:page;mso-position-vertical-relative:paragraph;z-index:-461632" coordorigin="1434,126" coordsize="1046,32">
            <v:line style="position:absolute" from="1440,132" to="1507,132" stroked="true" strokeweight=".6pt" strokecolor="#2e97d3">
              <v:stroke dashstyle="solid"/>
            </v:line>
            <v:line style="position:absolute" from="1507,153" to="2474,153" stroked="true" strokeweight=".481pt" strokecolor="#2c6234">
              <v:stroke dashstyle="solid"/>
            </v:line>
            <v:line style="position:absolute" from="1507,134" to="2474,134" stroked="true" strokeweight=".48pt" strokecolor="#2c6234">
              <v:stroke dashstyle="solid"/>
            </v:line>
            <w10:wrap type="none"/>
          </v:group>
        </w:pict>
      </w:r>
      <w:r>
        <w:rPr>
          <w:rFonts w:ascii="Times New Roman"/>
          <w:color w:val="2C6234"/>
          <w:sz w:val="20"/>
        </w:rPr>
        <w:t>(Continued)</w:t>
      </w:r>
    </w:p>
    <w:p>
      <w:pPr>
        <w:spacing w:after="0"/>
        <w:jc w:val="left"/>
        <w:rPr>
          <w:rFonts w:ascii="Times New Roman"/>
          <w:sz w:val="20"/>
        </w:rPr>
        <w:sectPr>
          <w:footerReference w:type="default" r:id="rId87"/>
          <w:pgSz w:w="12240" w:h="15840"/>
          <w:pgMar w:footer="792" w:header="724" w:top="980" w:bottom="980" w:left="620" w:right="1320"/>
        </w:sectPr>
      </w:pPr>
    </w:p>
    <w:p>
      <w:pPr>
        <w:pStyle w:val="BodyText"/>
        <w:rPr>
          <w:rFonts w:ascii="Times New Roman"/>
          <w:sz w:val="20"/>
        </w:rPr>
      </w:pPr>
    </w:p>
    <w:p>
      <w:pPr>
        <w:pStyle w:val="BodyText"/>
        <w:spacing w:before="4"/>
        <w:rPr>
          <w:rFonts w:ascii="Times New Roman"/>
          <w:sz w:val="18"/>
        </w:rPr>
      </w:pPr>
    </w:p>
    <w:p>
      <w:pPr>
        <w:spacing w:before="0"/>
        <w:ind w:left="820" w:right="0" w:firstLine="0"/>
        <w:jc w:val="left"/>
        <w:rPr>
          <w:rFonts w:ascii="Times New Roman"/>
          <w:sz w:val="20"/>
        </w:rPr>
      </w:pPr>
      <w:r>
        <w:rPr/>
        <w:pict>
          <v:line style="position:absolute;mso-position-horizontal-relative:page;mso-position-vertical-relative:paragraph;z-index:11440" from="36.360001pt,.335938pt" to="36.360001pt,150.575938pt" stroked="true" strokeweight=".72pt" strokecolor="#000000">
            <v:stroke dashstyle="solid"/>
            <w10:wrap type="none"/>
          </v:line>
        </w:pict>
      </w:r>
      <w:r>
        <w:rPr>
          <w:rFonts w:ascii="Times New Roman"/>
          <w:strike/>
          <w:color w:val="2C6234"/>
          <w:sz w:val="20"/>
        </w:rPr>
        <w:t>(Continued)</w:t>
      </w:r>
    </w:p>
    <w:p>
      <w:pPr>
        <w:pStyle w:val="Heading2"/>
        <w:tabs>
          <w:tab w:pos="8646" w:val="left" w:leader="none"/>
        </w:tabs>
        <w:spacing w:before="2"/>
        <w:ind w:left="820"/>
        <w:rPr>
          <w:b w:val="0"/>
        </w:rPr>
      </w:pPr>
      <w:r>
        <w:rPr/>
        <w:pict>
          <v:line style="position:absolute;mso-position-horizontal-relative:page;mso-position-vertical-relative:paragraph;z-index:-461320" from="72pt,8.535862pt" to="540pt,8.535862pt" stroked="true" strokeweight=".6pt" strokecolor="#2e97d3">
            <v:stroke dashstyle="solid"/>
            <w10:wrap type="none"/>
          </v:line>
        </w:pict>
      </w:r>
      <w:r>
        <w:rPr>
          <w:color w:val="2E97D3"/>
        </w:rPr>
        <w:t>DETAIL OF APPROPRIATIONS</w:t>
      </w:r>
      <w:r>
        <w:rPr>
          <w:color w:val="2E97D3"/>
          <w:spacing w:val="-2"/>
        </w:rPr>
        <w:t> </w:t>
      </w:r>
      <w:r>
        <w:rPr>
          <w:color w:val="2E97D3"/>
          <w:spacing w:val="-3"/>
        </w:rPr>
        <w:t>AND</w:t>
      </w:r>
      <w:r>
        <w:rPr>
          <w:color w:val="2E97D3"/>
          <w:spacing w:val="-1"/>
        </w:rPr>
        <w:t> </w:t>
      </w:r>
      <w:r>
        <w:rPr>
          <w:color w:val="2E97D3"/>
        </w:rPr>
        <w:t>ADJUSTMENTS</w:t>
        <w:tab/>
        <w:t>6478 </w:t>
      </w:r>
      <w:r>
        <w:rPr>
          <w:b w:val="0"/>
          <w:color w:val="2E97D3"/>
        </w:rPr>
        <w:t>(Cont.</w:t>
      </w:r>
      <w:r>
        <w:rPr>
          <w:b w:val="0"/>
          <w:color w:val="2E97D3"/>
          <w:spacing w:val="-6"/>
        </w:rPr>
        <w:t> </w:t>
      </w:r>
      <w:r>
        <w:rPr>
          <w:b w:val="0"/>
          <w:color w:val="2E97D3"/>
        </w:rPr>
        <w:t>1)</w:t>
      </w:r>
    </w:p>
    <w:p>
      <w:pPr>
        <w:pStyle w:val="BodyText"/>
        <w:spacing w:before="2"/>
        <w:ind w:left="820"/>
      </w:pPr>
      <w:r>
        <w:rPr>
          <w:strike/>
          <w:color w:val="2E97D3"/>
        </w:rPr>
        <w:t>(Revised 9/2010)</w:t>
      </w:r>
    </w:p>
    <w:p>
      <w:pPr>
        <w:pStyle w:val="BodyText"/>
        <w:spacing w:before="197"/>
        <w:ind w:left="1540" w:right="188" w:hanging="360"/>
      </w:pPr>
      <w:r>
        <w:rPr/>
        <w:pict>
          <v:line style="position:absolute;mso-position-horizontal-relative:page;mso-position-vertical-relative:paragraph;z-index:-461296" from="294.839996pt,19.094931pt" to="298.079996pt,19.094931pt" stroked="true" strokeweight=".599pt" strokecolor="#2e97d3">
            <v:stroke dashstyle="solid"/>
            <w10:wrap type="none"/>
          </v:line>
        </w:pict>
      </w:r>
      <w:r>
        <w:rPr/>
        <w:pict>
          <v:line style="position:absolute;mso-position-horizontal-relative:page;mso-position-vertical-relative:paragraph;z-index:-461272" from="133.320007pt,46.694431pt" to="136.681007pt,46.694431pt" stroked="true" strokeweight=".6pt" strokecolor="#2e97d3">
            <v:stroke dashstyle="solid"/>
            <w10:wrap type="none"/>
          </v:line>
        </w:pict>
      </w:r>
      <w:r>
        <w:rPr/>
        <w:pict>
          <v:line style="position:absolute;mso-position-horizontal-relative:page;mso-position-vertical-relative:paragraph;z-index:-461248" from="455.640015pt,65.054428pt" to="459.600015pt,65.054428pt" stroked="true" strokeweight=".84pt" strokecolor="#2e97d3">
            <v:stroke dashstyle="solid"/>
            <w10:wrap type="none"/>
          </v:line>
        </w:pict>
      </w:r>
      <w:r>
        <w:rPr>
          <w:rFonts w:ascii="Symbol" w:hAnsi="Symbol"/>
          <w:color w:val="2E97D3"/>
          <w:u w:val="single" w:color="2E97D3"/>
        </w:rPr>
        <w:t></w:t>
      </w:r>
      <w:r>
        <w:rPr>
          <w:strike/>
          <w:color w:val="2E97D3"/>
        </w:rPr>
        <w:t>6. </w:t>
      </w:r>
      <w:r>
        <w:rPr>
          <w:b/>
          <w:strike w:val="0"/>
        </w:rPr>
        <w:t>Special Appropriation Chapters. </w:t>
      </w:r>
      <w:r>
        <w:rPr>
          <w:strike w:val="0"/>
        </w:rPr>
        <w:t>This applies to an appropriation in </w:t>
      </w:r>
      <w:r>
        <w:rPr>
          <w:strike/>
          <w:color w:val="2E97D3"/>
        </w:rPr>
        <w:t>a Chapter</w:t>
      </w:r>
      <w:r>
        <w:rPr>
          <w:strike w:val="0"/>
          <w:color w:val="2E97D3"/>
          <w:u w:val="single" w:color="2E97D3"/>
        </w:rPr>
        <w:t>financial legislation </w:t>
      </w:r>
      <w:r>
        <w:rPr>
          <w:strike w:val="0"/>
        </w:rPr>
        <w:t>(other than the Budget Act) for the year of enactment only. Continued availability of such an appropriation in a fiscal year subsequent to the fiscal year of enactment is a carryover and will show under </w:t>
      </w:r>
      <w:r>
        <w:rPr>
          <w:strike w:val="0"/>
          <w:color w:val="2E97D3"/>
        </w:rPr>
        <w:t>“</w:t>
      </w:r>
      <w:r>
        <w:rPr>
          <w:strike w:val="0"/>
        </w:rPr>
        <w:t>Prior Year Balances Available </w:t>
      </w:r>
      <w:r>
        <w:rPr>
          <w:strike/>
          <w:color w:val="2E97D3"/>
        </w:rPr>
        <w:t>for the following fiscal year. </w:t>
      </w:r>
      <w:r>
        <w:rPr>
          <w:strike w:val="0"/>
          <w:color w:val="2E97D3"/>
          <w:u w:val="single" w:color="2E97D3"/>
        </w:rPr>
        <w:t>”.</w:t>
      </w:r>
    </w:p>
    <w:p>
      <w:pPr>
        <w:pStyle w:val="BodyText"/>
        <w:spacing w:before="5"/>
        <w:rPr>
          <w:sz w:val="22"/>
        </w:rPr>
      </w:pPr>
    </w:p>
    <w:p>
      <w:pPr>
        <w:pStyle w:val="BodyText"/>
        <w:spacing w:before="92"/>
        <w:ind w:left="911"/>
      </w:pPr>
      <w:r>
        <w:rPr>
          <w:color w:val="2C6234"/>
          <w:u w:val="thick" w:color="2C6234"/>
        </w:rPr>
        <w:t>(Continued)</w:t>
      </w:r>
    </w:p>
    <w:p>
      <w:pPr>
        <w:spacing w:after="0"/>
        <w:sectPr>
          <w:pgSz w:w="12240" w:h="15840"/>
          <w:pgMar w:header="724" w:footer="792" w:top="980" w:bottom="980" w:left="620" w:right="1320"/>
        </w:sectPr>
      </w:pPr>
    </w:p>
    <w:p>
      <w:pPr>
        <w:pStyle w:val="BodyText"/>
        <w:rPr>
          <w:sz w:val="20"/>
        </w:rPr>
      </w:pPr>
    </w:p>
    <w:p>
      <w:pPr>
        <w:pStyle w:val="BodyText"/>
        <w:tabs>
          <w:tab w:pos="2979" w:val="left" w:leader="none"/>
          <w:tab w:pos="9459" w:val="left" w:leader="none"/>
        </w:tabs>
        <w:spacing w:before="214"/>
        <w:ind w:left="911"/>
      </w:pPr>
      <w:r>
        <w:rPr/>
        <w:pict>
          <v:line style="position:absolute;mso-position-horizontal-relative:page;mso-position-vertical-relative:paragraph;z-index:11536" from="36.360001pt,10.915881pt" to="36.360001pt,90.715881pt" stroked="true" strokeweight=".72pt" strokecolor="#000000">
            <v:stroke dashstyle="solid"/>
            <w10:wrap type="none"/>
          </v:line>
        </w:pict>
      </w:r>
      <w:r>
        <w:rPr>
          <w:color w:val="2C6234"/>
          <w:u w:val="thick" w:color="2C6234"/>
        </w:rPr>
        <w:t>(Continued)</w:t>
      </w:r>
      <w:r>
        <w:rPr>
          <w:strike/>
          <w:color w:val="2E97D3"/>
        </w:rPr>
        <w:t>7.</w:t>
        <w:tab/>
      </w:r>
      <w:r>
        <w:rPr>
          <w:strike w:val="0"/>
          <w:color w:val="2E97D3"/>
          <w:w w:val="100"/>
          <w:u w:val="single" w:color="2E97D3"/>
        </w:rPr>
        <w:t> </w:t>
      </w:r>
      <w:r>
        <w:rPr>
          <w:strike w:val="0"/>
          <w:color w:val="2E97D3"/>
          <w:u w:val="single" w:color="2E97D3"/>
        </w:rPr>
        <w:tab/>
      </w:r>
    </w:p>
    <w:p>
      <w:pPr>
        <w:tabs>
          <w:tab w:pos="2979" w:val="left" w:leader="none"/>
        </w:tabs>
        <w:spacing w:before="0"/>
        <w:ind w:left="1300" w:right="0" w:firstLine="0"/>
        <w:jc w:val="left"/>
        <w:rPr>
          <w:sz w:val="24"/>
        </w:rPr>
      </w:pPr>
      <w:r>
        <w:rPr>
          <w:b/>
          <w:color w:val="2E97D3"/>
          <w:sz w:val="24"/>
          <w:u w:val="single" w:color="2E97D3"/>
        </w:rPr>
        <w:t>6478</w:t>
      </w:r>
      <w:r>
        <w:rPr>
          <w:b/>
          <w:color w:val="2E97D3"/>
          <w:spacing w:val="-6"/>
          <w:sz w:val="24"/>
          <w:u w:val="single" w:color="2E97D3"/>
        </w:rPr>
        <w:t> </w:t>
      </w:r>
      <w:r>
        <w:rPr>
          <w:color w:val="2E97D3"/>
          <w:sz w:val="24"/>
          <w:u w:val="single" w:color="2E97D3"/>
        </w:rPr>
        <w:t>(Cont.1)</w:t>
        <w:tab/>
      </w:r>
    </w:p>
    <w:p>
      <w:pPr>
        <w:pStyle w:val="BodyText"/>
        <w:spacing w:before="200"/>
        <w:ind w:left="1540" w:right="88" w:hanging="360"/>
      </w:pPr>
      <w:r>
        <w:rPr/>
        <w:pict>
          <v:line style="position:absolute;mso-position-horizontal-relative:page;mso-position-vertical-relative:paragraph;z-index:-461200" from="244.199997pt,46.844452pt" to="247.560997pt,46.844452pt" stroked="true" strokeweight=".6pt" strokecolor="#2e97d3">
            <v:stroke dashstyle="solid"/>
            <w10:wrap type="none"/>
          </v:line>
        </w:pict>
      </w:r>
      <w:r>
        <w:rPr/>
        <w:pict>
          <v:line style="position:absolute;mso-position-horizontal-relative:page;mso-position-vertical-relative:paragraph;z-index:11560" from="36.360001pt,66.224449pt" to="36.360001pt,132.104449pt" stroked="true" strokeweight=".72pt" strokecolor="#000000">
            <v:stroke dashstyle="solid"/>
            <w10:wrap type="none"/>
          </v:line>
        </w:pict>
      </w:r>
      <w:r>
        <w:rPr>
          <w:rFonts w:ascii="Symbol" w:hAnsi="Symbol"/>
          <w:color w:val="2E97D3"/>
          <w:u w:val="single" w:color="2E97D3"/>
        </w:rPr>
        <w:t></w:t>
      </w:r>
      <w:r>
        <w:rPr>
          <w:b/>
        </w:rPr>
        <w:t>Proposed </w:t>
      </w:r>
      <w:r>
        <w:rPr>
          <w:b/>
          <w:strike/>
          <w:color w:val="2E97D3"/>
        </w:rPr>
        <w:t>Deficiency </w:t>
      </w:r>
      <w:r>
        <w:rPr>
          <w:b/>
          <w:strike w:val="0"/>
        </w:rPr>
        <w:t>Bills</w:t>
      </w:r>
      <w:r>
        <w:rPr>
          <w:b/>
          <w:strike/>
          <w:color w:val="2E97D3"/>
        </w:rPr>
        <w:t>. </w:t>
      </w:r>
      <w:r>
        <w:rPr>
          <w:b/>
          <w:strike w:val="0"/>
          <w:color w:val="2E97D3"/>
          <w:u w:val="thick" w:color="2E97D3"/>
        </w:rPr>
        <w:t>Authorizing Augmentations for Contingencies or Emergencies. </w:t>
      </w:r>
      <w:r>
        <w:rPr>
          <w:strike w:val="0"/>
        </w:rPr>
        <w:t>This applies to proposed legislation sponsored by a department to provide an appropriation. Departments sponsor their own </w:t>
      </w:r>
      <w:r>
        <w:rPr>
          <w:strike/>
          <w:color w:val="2E97D3"/>
        </w:rPr>
        <w:t>deficiency </w:t>
      </w:r>
      <w:r>
        <w:rPr>
          <w:strike w:val="0"/>
        </w:rPr>
        <w:t>bills for sensitive issues or when the timing precludes use of the statewide omnibus </w:t>
      </w:r>
      <w:r>
        <w:rPr>
          <w:strike/>
          <w:color w:val="2E97D3"/>
        </w:rPr>
        <w:t>deficiency bill</w:t>
      </w:r>
      <w:r>
        <w:rPr>
          <w:strike w:val="0"/>
          <w:color w:val="2E97D3"/>
          <w:u w:val="single" w:color="2E97D3"/>
        </w:rPr>
        <w:t>bill for contingencies or emergencies </w:t>
      </w:r>
      <w:r>
        <w:rPr>
          <w:strike w:val="0"/>
        </w:rPr>
        <w:t>which is generally passed late in the fiscal year. </w:t>
      </w:r>
      <w:r>
        <w:rPr>
          <w:strike/>
          <w:color w:val="2E97D3"/>
        </w:rPr>
        <w:t>Use</w:t>
      </w:r>
      <w:r>
        <w:rPr>
          <w:strike w:val="0"/>
          <w:color w:val="2E97D3"/>
          <w:u w:val="single" w:color="2E97D3"/>
        </w:rPr>
        <w:t>Uses </w:t>
      </w:r>
      <w:r>
        <w:rPr>
          <w:strike w:val="0"/>
        </w:rPr>
        <w:t>citation </w:t>
      </w:r>
      <w:r>
        <w:rPr>
          <w:strike/>
          <w:color w:val="2E97D3"/>
        </w:rPr>
        <w:t>“Proposed Deficiency Bill.”</w:t>
      </w:r>
      <w:r>
        <w:rPr>
          <w:strike w:val="0"/>
          <w:color w:val="2E97D3"/>
          <w:u w:val="single" w:color="2E97D3"/>
        </w:rPr>
        <w:t>of the chaptered legislation.</w:t>
      </w:r>
    </w:p>
    <w:p>
      <w:pPr>
        <w:spacing w:before="197"/>
        <w:ind w:left="1540" w:right="0" w:hanging="360"/>
        <w:jc w:val="left"/>
        <w:rPr>
          <w:sz w:val="24"/>
        </w:rPr>
      </w:pPr>
      <w:r>
        <w:rPr/>
        <w:pict>
          <v:line style="position:absolute;mso-position-horizontal-relative:page;mso-position-vertical-relative:paragraph;z-index:-461176" from="280.799988pt,19.094982pt" to="284.159988pt,19.094982pt" stroked="true" strokeweight=".599pt" strokecolor="#2e97d3">
            <v:stroke dashstyle="solid"/>
            <w10:wrap type="none"/>
          </v:line>
        </w:pict>
      </w:r>
      <w:r>
        <w:rPr/>
        <w:pict>
          <v:line style="position:absolute;mso-position-horizontal-relative:page;mso-position-vertical-relative:paragraph;z-index:11584" from="36.360001pt,38.595482pt" to="36.360001pt,62.954482pt" stroked="true" strokeweight=".72pt" strokecolor="#000000">
            <v:stroke dashstyle="solid"/>
            <w10:wrap type="none"/>
          </v:line>
        </w:pict>
      </w:r>
      <w:r>
        <w:rPr>
          <w:rFonts w:ascii="Symbol" w:hAnsi="Symbol"/>
          <w:color w:val="2E97D3"/>
          <w:sz w:val="24"/>
          <w:u w:val="single" w:color="2E97D3"/>
        </w:rPr>
        <w:t></w:t>
      </w:r>
      <w:r>
        <w:rPr>
          <w:strike/>
          <w:color w:val="2E97D3"/>
          <w:sz w:val="24"/>
        </w:rPr>
        <w:t>8. </w:t>
      </w:r>
      <w:r>
        <w:rPr>
          <w:b/>
          <w:strike w:val="0"/>
          <w:sz w:val="24"/>
        </w:rPr>
        <w:t>Prior Year Balances Available. </w:t>
      </w:r>
      <w:r>
        <w:rPr>
          <w:strike w:val="0"/>
          <w:sz w:val="24"/>
        </w:rPr>
        <w:t>This is for continued availability of an appropriation in a fiscal year subsequent to the fiscal year of enactment.</w:t>
      </w:r>
    </w:p>
    <w:p>
      <w:pPr>
        <w:pStyle w:val="BodyText"/>
        <w:spacing w:before="197"/>
        <w:ind w:left="1540" w:right="87" w:hanging="360"/>
      </w:pPr>
      <w:r>
        <w:rPr/>
        <w:pict>
          <v:line style="position:absolute;mso-position-horizontal-relative:page;mso-position-vertical-relative:paragraph;z-index:-461152" from="424.079987pt,19.094454pt" to="427.439987pt,19.094454pt" stroked="true" strokeweight=".6pt" strokecolor="#2e97d3">
            <v:stroke dashstyle="solid"/>
            <w10:wrap type="none"/>
          </v:line>
        </w:pict>
      </w:r>
      <w:r>
        <w:rPr>
          <w:rFonts w:ascii="Symbol" w:hAnsi="Symbol"/>
          <w:color w:val="2E97D3"/>
          <w:u w:val="single" w:color="2E97D3"/>
        </w:rPr>
        <w:t></w:t>
      </w:r>
      <w:r>
        <w:rPr>
          <w:strike/>
          <w:color w:val="2E97D3"/>
        </w:rPr>
        <w:t>9. </w:t>
      </w:r>
      <w:r>
        <w:rPr>
          <w:b/>
          <w:strike w:val="0"/>
        </w:rPr>
        <w:t>Unexpended Balance, Estimated Savings</w:t>
      </w:r>
      <w:r>
        <w:rPr>
          <w:strike w:val="0"/>
        </w:rPr>
        <w:t>–(Minus Entry). Unencumbered amount remaining at the end of the year, after providing for expenditures, and not available for encumbrance thereafter.</w:t>
      </w:r>
    </w:p>
    <w:p>
      <w:pPr>
        <w:spacing w:after="0"/>
        <w:sectPr>
          <w:pgSz w:w="12240" w:h="15840"/>
          <w:pgMar w:header="724" w:footer="792" w:top="980" w:bottom="980" w:left="620" w:right="1340"/>
        </w:sectPr>
      </w:pPr>
    </w:p>
    <w:p>
      <w:pPr>
        <w:pStyle w:val="BodyText"/>
        <w:rPr>
          <w:sz w:val="20"/>
        </w:rPr>
      </w:pPr>
    </w:p>
    <w:p>
      <w:pPr>
        <w:pStyle w:val="Heading2"/>
        <w:tabs>
          <w:tab w:pos="9647" w:val="left" w:leader="none"/>
        </w:tabs>
        <w:spacing w:before="214"/>
        <w:ind w:left="819"/>
      </w:pPr>
      <w:r>
        <w:rPr/>
        <w:pict>
          <v:line style="position:absolute;mso-position-horizontal-relative:page;mso-position-vertical-relative:paragraph;z-index:11752" from="36.360001pt,24.714882pt" to="36.360001pt,38.515882pt" stroked="true" strokeweight=".72pt" strokecolor="#000000">
            <v:stroke dashstyle="solid"/>
            <w10:wrap type="none"/>
          </v:line>
        </w:pict>
      </w:r>
      <w:r>
        <w:rPr/>
        <w:t>FUND</w:t>
      </w:r>
      <w:r>
        <w:rPr>
          <w:spacing w:val="-4"/>
        </w:rPr>
        <w:t> </w:t>
      </w:r>
      <w:r>
        <w:rPr/>
        <w:t>CONDITION</w:t>
      </w:r>
      <w:r>
        <w:rPr>
          <w:spacing w:val="-4"/>
        </w:rPr>
        <w:t> </w:t>
      </w:r>
      <w:r>
        <w:rPr/>
        <w:t>STATEMENTS</w:t>
        <w:tab/>
        <w:t>6481</w:t>
      </w:r>
    </w:p>
    <w:p>
      <w:pPr>
        <w:pStyle w:val="BodyText"/>
        <w:ind w:left="820"/>
      </w:pPr>
      <w:r>
        <w:rPr/>
        <w:t>(Revised </w:t>
      </w:r>
      <w:r>
        <w:rPr>
          <w:strike/>
          <w:color w:val="2E97D3"/>
        </w:rPr>
        <w:t>9/2010</w:t>
      </w:r>
      <w:r>
        <w:rPr>
          <w:strike w:val="0"/>
          <w:color w:val="2E97D3"/>
          <w:u w:val="single" w:color="2E97D3"/>
        </w:rPr>
        <w:t>09/2017</w:t>
      </w:r>
      <w:r>
        <w:rPr>
          <w:strike w:val="0"/>
        </w:rPr>
        <w:t>)</w:t>
      </w:r>
    </w:p>
    <w:p>
      <w:pPr>
        <w:pStyle w:val="BodyText"/>
        <w:spacing w:before="11"/>
        <w:rPr>
          <w:sz w:val="15"/>
        </w:rPr>
      </w:pPr>
    </w:p>
    <w:p>
      <w:pPr>
        <w:spacing w:before="92"/>
        <w:ind w:left="820" w:right="329" w:firstLine="0"/>
        <w:jc w:val="both"/>
        <w:rPr>
          <w:rFonts w:ascii="Times New Roman" w:hAnsi="Times New Roman"/>
          <w:b/>
          <w:sz w:val="16"/>
        </w:rPr>
      </w:pPr>
      <w:r>
        <w:rPr/>
        <w:pict>
          <v:line style="position:absolute;mso-position-horizontal-relative:page;mso-position-vertical-relative:paragraph;z-index:-461056" from="159.240005pt,31.395857pt" to="162.601005pt,31.395857pt" stroked="true" strokeweight=".84pt" strokecolor="#2e97d3">
            <v:stroke dashstyle="solid"/>
            <w10:wrap type="none"/>
          </v:line>
        </w:pict>
      </w:r>
      <w:r>
        <w:rPr/>
        <w:pict>
          <v:line style="position:absolute;mso-position-horizontal-relative:page;mso-position-vertical-relative:paragraph;z-index:-461032" from="266.160004pt,27.795856pt" to="268.200004pt,27.795856pt" stroked="true" strokeweight=".36pt" strokecolor="#2e97d3">
            <v:stroke dashstyle="solid"/>
            <w10:wrap type="none"/>
          </v:line>
        </w:pict>
      </w:r>
      <w:r>
        <w:rPr/>
        <w:pict>
          <v:line style="position:absolute;mso-position-horizontal-relative:page;mso-position-vertical-relative:paragraph;z-index:11776" from="36.360001pt,4.815857pt" to="36.360001pt,46.215857pt" stroked="true" strokeweight=".72pt" strokecolor="#000000">
            <v:stroke dashstyle="solid"/>
            <w10:wrap type="none"/>
          </v:line>
        </w:pict>
      </w:r>
      <w:r>
        <w:rPr/>
        <w:pict>
          <v:line style="position:absolute;mso-position-horizontal-relative:page;mso-position-vertical-relative:paragraph;z-index:11800" from="36.360001pt,60.015858pt" to="36.360001pt,83.055858pt" stroked="true" strokeweight=".72pt" strokecolor="#000000">
            <v:stroke dashstyle="solid"/>
            <w10:wrap type="none"/>
          </v:line>
        </w:pict>
      </w:r>
      <w:r>
        <w:rPr>
          <w:sz w:val="24"/>
        </w:rPr>
        <w:t>The Fund Condition Statement </w:t>
      </w:r>
      <w:r>
        <w:rPr>
          <w:rFonts w:ascii="Times New Roman" w:hAnsi="Times New Roman"/>
          <w:b/>
          <w:strike/>
          <w:color w:val="2E97D3"/>
          <w:sz w:val="16"/>
        </w:rPr>
        <w:t>presents</w:t>
      </w:r>
      <w:r>
        <w:rPr>
          <w:strike w:val="0"/>
          <w:color w:val="2E97D3"/>
          <w:sz w:val="24"/>
          <w:u w:val="single" w:color="2E97D3"/>
        </w:rPr>
        <w:t>displays </w:t>
      </w:r>
      <w:r>
        <w:rPr>
          <w:strike w:val="0"/>
          <w:sz w:val="24"/>
        </w:rPr>
        <w:t>the summary of a fund’s operations for the past, current</w:t>
      </w:r>
      <w:r>
        <w:rPr>
          <w:strike w:val="0"/>
          <w:color w:val="2E97D3"/>
          <w:sz w:val="24"/>
        </w:rPr>
        <w:t>, </w:t>
      </w:r>
      <w:r>
        <w:rPr>
          <w:strike w:val="0"/>
          <w:sz w:val="24"/>
        </w:rPr>
        <w:t>and budget years. This statement is </w:t>
      </w:r>
      <w:r>
        <w:rPr>
          <w:strike w:val="0"/>
          <w:color w:val="2E97D3"/>
          <w:sz w:val="24"/>
          <w:u w:val="single" w:color="2E97D3"/>
        </w:rPr>
        <w:t>generally </w:t>
      </w:r>
      <w:r>
        <w:rPr>
          <w:strike w:val="0"/>
          <w:sz w:val="24"/>
        </w:rPr>
        <w:t>prepared for all </w:t>
      </w:r>
      <w:r>
        <w:rPr>
          <w:strike w:val="0"/>
          <w:color w:val="2E97D3"/>
          <w:sz w:val="24"/>
          <w:u w:val="single" w:color="2E97D3"/>
        </w:rPr>
        <w:t>funds classified as </w:t>
      </w:r>
      <w:r>
        <w:rPr>
          <w:strike w:val="0"/>
          <w:sz w:val="24"/>
        </w:rPr>
        <w:t>special funds </w:t>
      </w:r>
      <w:r>
        <w:rPr>
          <w:rFonts w:ascii="Times New Roman" w:hAnsi="Times New Roman"/>
          <w:b/>
          <w:strike/>
          <w:color w:val="2E97D3"/>
          <w:sz w:val="16"/>
        </w:rPr>
        <w:t>and special accounts </w:t>
      </w:r>
      <w:r>
        <w:rPr>
          <w:strike w:val="0"/>
          <w:sz w:val="24"/>
        </w:rPr>
        <w:t>within the </w:t>
      </w:r>
      <w:r>
        <w:rPr>
          <w:rFonts w:ascii="Times New Roman" w:hAnsi="Times New Roman"/>
          <w:b/>
          <w:strike/>
          <w:color w:val="2E97D3"/>
          <w:sz w:val="16"/>
        </w:rPr>
        <w:t>General Fund. </w:t>
      </w:r>
      <w:r>
        <w:rPr>
          <w:strike w:val="0"/>
          <w:color w:val="2E97D3"/>
          <w:sz w:val="24"/>
          <w:u w:val="single" w:color="2E97D3"/>
        </w:rPr>
        <w:t>Manual of State Funds. </w:t>
      </w:r>
      <w:r>
        <w:rPr>
          <w:strike w:val="0"/>
          <w:sz w:val="24"/>
        </w:rPr>
        <w:t>Fund Condition Statements are also prepared for other funds which are of special interest to the Legislature or the Administration. </w:t>
      </w:r>
      <w:r>
        <w:rPr>
          <w:rFonts w:ascii="Times New Roman" w:hAnsi="Times New Roman"/>
          <w:b/>
          <w:strike/>
          <w:color w:val="2E97D3"/>
          <w:sz w:val="16"/>
        </w:rPr>
        <w:t>In those cases where a number of departments receive appropriations from one special fund, Finance will normally finalize the Fund Condition Statement.</w:t>
      </w:r>
    </w:p>
    <w:p>
      <w:pPr>
        <w:pStyle w:val="BodyText"/>
        <w:spacing w:before="9"/>
        <w:rPr>
          <w:rFonts w:ascii="Times New Roman"/>
          <w:b/>
          <w:sz w:val="16"/>
        </w:rPr>
      </w:pPr>
    </w:p>
    <w:p>
      <w:pPr>
        <w:pStyle w:val="BodyText"/>
        <w:ind w:left="820" w:right="276"/>
        <w:jc w:val="both"/>
      </w:pPr>
      <w:r>
        <w:rPr/>
        <w:pict>
          <v:line style="position:absolute;mso-position-horizontal-relative:page;mso-position-vertical-relative:paragraph;z-index:11824" from="36.360001pt,.214835pt" to="36.360001pt,14.015835pt" stroked="true" strokeweight=".72pt" strokecolor="#000000">
            <v:stroke dashstyle="solid"/>
            <w10:wrap type="none"/>
          </v:line>
        </w:pict>
      </w:r>
      <w:r>
        <w:rPr/>
        <w:t>The body of the </w:t>
      </w:r>
      <w:r>
        <w:rPr>
          <w:rFonts w:ascii="Times New Roman"/>
          <w:b/>
          <w:strike/>
          <w:color w:val="2E97D3"/>
          <w:sz w:val="16"/>
        </w:rPr>
        <w:t>statement should include </w:t>
      </w:r>
      <w:r>
        <w:rPr>
          <w:strike w:val="0"/>
          <w:color w:val="2E97D3"/>
          <w:u w:val="single" w:color="2E97D3"/>
        </w:rPr>
        <w:t>Fund Condition Statement includes </w:t>
      </w:r>
      <w:r>
        <w:rPr>
          <w:strike w:val="0"/>
        </w:rPr>
        <w:t>the following information, as applicable, in the order indicated below:</w:t>
      </w:r>
    </w:p>
    <w:p>
      <w:pPr>
        <w:pStyle w:val="BodyText"/>
        <w:spacing w:before="5"/>
        <w:rPr>
          <w:sz w:val="26"/>
        </w:rPr>
      </w:pPr>
    </w:p>
    <w:p>
      <w:pPr>
        <w:pStyle w:val="ListParagraph"/>
        <w:numPr>
          <w:ilvl w:val="2"/>
          <w:numId w:val="22"/>
        </w:numPr>
        <w:tabs>
          <w:tab w:pos="1300" w:val="left" w:leader="none"/>
        </w:tabs>
        <w:spacing w:line="240" w:lineRule="auto" w:before="0" w:after="0"/>
        <w:ind w:left="1300" w:right="919" w:hanging="360"/>
        <w:jc w:val="left"/>
        <w:rPr>
          <w:sz w:val="24"/>
        </w:rPr>
      </w:pPr>
      <w:r>
        <w:rPr/>
        <w:pict>
          <v:line style="position:absolute;mso-position-horizontal-relative:page;mso-position-vertical-relative:paragraph;z-index:11848" from="36.360001pt,.215869pt" to="36.360001pt,411.215869pt" stroked="true" strokeweight=".72pt" strokecolor="#000000">
            <v:stroke dashstyle="solid"/>
            <w10:wrap type="none"/>
          </v:line>
        </w:pict>
      </w:r>
      <w:r>
        <w:rPr>
          <w:strike/>
          <w:color w:val="2E97D3"/>
          <w:sz w:val="24"/>
        </w:rPr>
        <w:t>1.</w:t>
      </w:r>
      <w:r>
        <w:rPr>
          <w:strike/>
          <w:color w:val="2E97D3"/>
          <w:spacing w:val="-31"/>
          <w:sz w:val="24"/>
        </w:rPr>
        <w:t> </w:t>
      </w:r>
      <w:r>
        <w:rPr>
          <w:strike w:val="0"/>
          <w:sz w:val="24"/>
        </w:rPr>
        <w:t>Beginning</w:t>
      </w:r>
      <w:r>
        <w:rPr>
          <w:strike w:val="0"/>
          <w:spacing w:val="-14"/>
          <w:sz w:val="24"/>
        </w:rPr>
        <w:t> </w:t>
      </w:r>
      <w:r>
        <w:rPr>
          <w:strike w:val="0"/>
          <w:sz w:val="24"/>
        </w:rPr>
        <w:t>Balance</w:t>
      </w:r>
      <w:r>
        <w:rPr>
          <w:strike w:val="0"/>
          <w:spacing w:val="-4"/>
          <w:sz w:val="24"/>
        </w:rPr>
        <w:t> </w:t>
      </w:r>
      <w:r>
        <w:rPr>
          <w:strike w:val="0"/>
          <w:color w:val="2E97D3"/>
          <w:sz w:val="24"/>
          <w:u w:val="single" w:color="2E97D3"/>
        </w:rPr>
        <w:t>–</w:t>
      </w:r>
      <w:r>
        <w:rPr>
          <w:strike w:val="0"/>
          <w:color w:val="2E97D3"/>
          <w:spacing w:val="-5"/>
          <w:sz w:val="24"/>
          <w:u w:val="single" w:color="2E97D3"/>
        </w:rPr>
        <w:t> </w:t>
      </w:r>
      <w:r>
        <w:rPr>
          <w:strike w:val="0"/>
          <w:color w:val="2E97D3"/>
          <w:sz w:val="24"/>
          <w:u w:val="single" w:color="2E97D3"/>
        </w:rPr>
        <w:t>Past</w:t>
      </w:r>
      <w:r>
        <w:rPr>
          <w:strike w:val="0"/>
          <w:color w:val="2E97D3"/>
          <w:spacing w:val="-3"/>
          <w:sz w:val="24"/>
          <w:u w:val="single" w:color="2E97D3"/>
        </w:rPr>
        <w:t> </w:t>
      </w:r>
      <w:r>
        <w:rPr>
          <w:strike w:val="0"/>
          <w:color w:val="2E97D3"/>
          <w:sz w:val="24"/>
          <w:u w:val="single" w:color="2E97D3"/>
        </w:rPr>
        <w:t>year</w:t>
      </w:r>
      <w:r>
        <w:rPr>
          <w:strike w:val="0"/>
          <w:color w:val="2E97D3"/>
          <w:spacing w:val="-5"/>
          <w:sz w:val="24"/>
          <w:u w:val="single" w:color="2E97D3"/>
        </w:rPr>
        <w:t> </w:t>
      </w:r>
      <w:r>
        <w:rPr>
          <w:strike w:val="0"/>
          <w:color w:val="2E97D3"/>
          <w:sz w:val="24"/>
          <w:u w:val="single" w:color="2E97D3"/>
        </w:rPr>
        <w:t>ending</w:t>
      </w:r>
      <w:r>
        <w:rPr>
          <w:strike w:val="0"/>
          <w:color w:val="2E97D3"/>
          <w:spacing w:val="-5"/>
          <w:sz w:val="24"/>
          <w:u w:val="single" w:color="2E97D3"/>
        </w:rPr>
        <w:t> </w:t>
      </w:r>
      <w:r>
        <w:rPr>
          <w:strike w:val="0"/>
          <w:color w:val="2E97D3"/>
          <w:sz w:val="24"/>
          <w:u w:val="single" w:color="2E97D3"/>
        </w:rPr>
        <w:t>balance</w:t>
      </w:r>
      <w:r>
        <w:rPr>
          <w:strike w:val="0"/>
          <w:color w:val="2E97D3"/>
          <w:spacing w:val="-5"/>
          <w:sz w:val="24"/>
          <w:u w:val="single" w:color="2E97D3"/>
        </w:rPr>
        <w:t> </w:t>
      </w:r>
      <w:r>
        <w:rPr>
          <w:strike w:val="0"/>
          <w:color w:val="2E97D3"/>
          <w:sz w:val="24"/>
          <w:u w:val="single" w:color="2E97D3"/>
        </w:rPr>
        <w:t>from</w:t>
      </w:r>
      <w:r>
        <w:rPr>
          <w:strike w:val="0"/>
          <w:color w:val="2E97D3"/>
          <w:spacing w:val="-2"/>
          <w:sz w:val="24"/>
          <w:u w:val="single" w:color="2E97D3"/>
        </w:rPr>
        <w:t> </w:t>
      </w:r>
      <w:r>
        <w:rPr>
          <w:strike w:val="0"/>
          <w:color w:val="2E97D3"/>
          <w:sz w:val="24"/>
          <w:u w:val="single" w:color="2E97D3"/>
        </w:rPr>
        <w:t>the</w:t>
      </w:r>
      <w:r>
        <w:rPr>
          <w:strike w:val="0"/>
          <w:color w:val="2E97D3"/>
          <w:spacing w:val="-3"/>
          <w:sz w:val="24"/>
          <w:u w:val="single" w:color="2E97D3"/>
        </w:rPr>
        <w:t> </w:t>
      </w:r>
      <w:r>
        <w:rPr>
          <w:strike w:val="0"/>
          <w:color w:val="2E97D3"/>
          <w:sz w:val="24"/>
          <w:u w:val="single" w:color="2E97D3"/>
        </w:rPr>
        <w:t>previous</w:t>
      </w:r>
      <w:r>
        <w:rPr>
          <w:strike w:val="0"/>
          <w:color w:val="2E97D3"/>
          <w:spacing w:val="-4"/>
          <w:sz w:val="24"/>
          <w:u w:val="single" w:color="2E97D3"/>
        </w:rPr>
        <w:t> </w:t>
      </w:r>
      <w:r>
        <w:rPr>
          <w:strike w:val="0"/>
          <w:color w:val="2E97D3"/>
          <w:sz w:val="24"/>
          <w:u w:val="single" w:color="2E97D3"/>
        </w:rPr>
        <w:t>Enacted Budget</w:t>
      </w:r>
      <w:r>
        <w:rPr>
          <w:strike w:val="0"/>
          <w:sz w:val="24"/>
        </w:rPr>
        <w:t>.</w:t>
      </w:r>
    </w:p>
    <w:p>
      <w:pPr>
        <w:pStyle w:val="BodyText"/>
        <w:spacing w:before="198"/>
        <w:ind w:left="2212" w:right="324" w:hanging="360"/>
      </w:pPr>
      <w:r>
        <w:rPr>
          <w:strike/>
          <w:color w:val="2E97D3"/>
        </w:rPr>
        <w:t>a.</w:t>
      </w:r>
      <w:r>
        <w:rPr>
          <w:strike w:val="0"/>
          <w:color w:val="2E97D3"/>
          <w:u w:val="single" w:color="2E97D3"/>
        </w:rPr>
        <w:t>• </w:t>
      </w:r>
      <w:r>
        <w:rPr>
          <w:strike w:val="0"/>
        </w:rPr>
        <w:t>Prior Year </w:t>
      </w:r>
      <w:r>
        <w:rPr>
          <w:strike/>
          <w:color w:val="2E97D3"/>
        </w:rPr>
        <w:t>Adjustments (normally consists</w:t>
      </w:r>
      <w:r>
        <w:rPr>
          <w:strike w:val="0"/>
          <w:color w:val="2E97D3"/>
          <w:u w:val="single" w:color="2E97D3"/>
        </w:rPr>
        <w:t>Adjustment – Changes to the past year beginning balance, consisting </w:t>
      </w:r>
      <w:r>
        <w:rPr>
          <w:strike w:val="0"/>
        </w:rPr>
        <w:t>of </w:t>
      </w:r>
      <w:r>
        <w:rPr>
          <w:strike/>
          <w:color w:val="2E97D3"/>
        </w:rPr>
        <w:t>prior year expenditure and revenue</w:t>
      </w:r>
      <w:r>
        <w:rPr>
          <w:strike w:val="0"/>
          <w:color w:val="2E97D3"/>
          <w:u w:val="single" w:color="2E97D3"/>
        </w:rPr>
        <w:t>net total </w:t>
      </w:r>
      <w:r>
        <w:rPr>
          <w:strike w:val="0"/>
        </w:rPr>
        <w:t>adjustments </w:t>
      </w:r>
      <w:r>
        <w:rPr>
          <w:strike w:val="0"/>
          <w:color w:val="2E97D3"/>
          <w:u w:val="single" w:color="2E97D3"/>
        </w:rPr>
        <w:t>of expenditures, revenues, </w:t>
      </w:r>
      <w:r>
        <w:rPr>
          <w:strike w:val="0"/>
        </w:rPr>
        <w:t>and refunds to reverted appropriations for </w:t>
      </w:r>
      <w:r>
        <w:rPr>
          <w:strike/>
          <w:color w:val="2E97D3"/>
        </w:rPr>
        <w:t>the past year actual</w:t>
      </w:r>
      <w:r>
        <w:rPr>
          <w:strike w:val="0"/>
          <w:color w:val="2E97D3"/>
          <w:u w:val="single" w:color="2E97D3"/>
        </w:rPr>
        <w:t>previous years. It may also include minor past year assessments, as determined by the Department of Finance. The prior year adjustment affects </w:t>
      </w:r>
      <w:r>
        <w:rPr>
          <w:strike w:val="0"/>
        </w:rPr>
        <w:t>only </w:t>
      </w:r>
      <w:r>
        <w:rPr>
          <w:strike/>
          <w:color w:val="2E97D3"/>
        </w:rPr>
        <w:t>and is always zero for </w:t>
      </w:r>
      <w:r>
        <w:rPr>
          <w:strike w:val="0"/>
        </w:rPr>
        <w:t>the </w:t>
      </w:r>
      <w:r>
        <w:rPr>
          <w:strike w:val="0"/>
          <w:color w:val="2E97D3"/>
          <w:u w:val="single" w:color="2E97D3"/>
        </w:rPr>
        <w:t>past year column. The </w:t>
      </w:r>
      <w:r>
        <w:rPr>
          <w:strike w:val="0"/>
        </w:rPr>
        <w:t>current year and budget year</w:t>
      </w:r>
      <w:r>
        <w:rPr>
          <w:strike/>
          <w:color w:val="2E97D3"/>
        </w:rPr>
        <w:t>). </w:t>
      </w:r>
      <w:r>
        <w:rPr>
          <w:strike w:val="0"/>
          <w:color w:val="2E97D3"/>
          <w:u w:val="single" w:color="2E97D3"/>
        </w:rPr>
        <w:t>columns must always show zero.</w:t>
      </w:r>
    </w:p>
    <w:p>
      <w:pPr>
        <w:pStyle w:val="ListParagraph"/>
        <w:numPr>
          <w:ilvl w:val="3"/>
          <w:numId w:val="22"/>
        </w:numPr>
        <w:tabs>
          <w:tab w:pos="2211" w:val="left" w:leader="none"/>
          <w:tab w:pos="2212" w:val="left" w:leader="none"/>
          <w:tab w:pos="2979" w:val="left" w:leader="none"/>
        </w:tabs>
        <w:spacing w:line="240" w:lineRule="auto" w:before="201" w:after="0"/>
        <w:ind w:left="2212" w:right="390" w:hanging="360"/>
        <w:jc w:val="left"/>
        <w:rPr>
          <w:sz w:val="24"/>
        </w:rPr>
      </w:pPr>
      <w:r>
        <w:rPr>
          <w:strike/>
          <w:color w:val="2E97D3"/>
          <w:spacing w:val="-19"/>
          <w:w w:val="100"/>
          <w:sz w:val="24"/>
        </w:rPr>
        <w:t> </w:t>
      </w:r>
      <w:r>
        <w:rPr>
          <w:strike/>
          <w:color w:val="2E97D3"/>
          <w:sz w:val="24"/>
        </w:rPr>
        <w:t>b.</w:t>
        <w:tab/>
      </w:r>
      <w:r>
        <w:rPr>
          <w:strike w:val="0"/>
          <w:sz w:val="24"/>
        </w:rPr>
        <w:t>Adjusted Beginning Balance </w:t>
      </w:r>
      <w:r>
        <w:rPr>
          <w:strike w:val="0"/>
          <w:color w:val="2E97D3"/>
          <w:sz w:val="24"/>
          <w:u w:val="single" w:color="2E97D3"/>
        </w:rPr>
        <w:t>– The sum of the</w:t>
      </w:r>
      <w:r>
        <w:rPr>
          <w:strike w:val="0"/>
          <w:color w:val="2E97D3"/>
          <w:spacing w:val="-36"/>
          <w:sz w:val="24"/>
          <w:u w:val="single" w:color="2E97D3"/>
        </w:rPr>
        <w:t> </w:t>
      </w:r>
      <w:r>
        <w:rPr>
          <w:strike w:val="0"/>
          <w:color w:val="2E97D3"/>
          <w:sz w:val="24"/>
          <w:u w:val="single" w:color="2E97D3"/>
        </w:rPr>
        <w:t>Beginning</w:t>
      </w:r>
      <w:r>
        <w:rPr>
          <w:strike w:val="0"/>
          <w:color w:val="2E97D3"/>
          <w:spacing w:val="-4"/>
          <w:sz w:val="24"/>
          <w:u w:val="single" w:color="2E97D3"/>
        </w:rPr>
        <w:t> </w:t>
      </w:r>
      <w:r>
        <w:rPr>
          <w:strike w:val="0"/>
          <w:color w:val="2E97D3"/>
          <w:sz w:val="24"/>
          <w:u w:val="single" w:color="2E97D3"/>
        </w:rPr>
        <w:t>Balance</w:t>
      </w:r>
      <w:r>
        <w:rPr>
          <w:strike w:val="0"/>
          <w:color w:val="2E97D3"/>
          <w:w w:val="99"/>
          <w:sz w:val="24"/>
        </w:rPr>
        <w:t> </w:t>
      </w:r>
      <w:r>
        <w:rPr>
          <w:strike w:val="0"/>
          <w:color w:val="2E97D3"/>
          <w:sz w:val="24"/>
          <w:u w:val="single" w:color="2E97D3"/>
        </w:rPr>
        <w:t>and the Prior Year</w:t>
      </w:r>
      <w:r>
        <w:rPr>
          <w:strike w:val="0"/>
          <w:color w:val="2E97D3"/>
          <w:spacing w:val="-13"/>
          <w:sz w:val="24"/>
          <w:u w:val="single" w:color="2E97D3"/>
        </w:rPr>
        <w:t> </w:t>
      </w:r>
      <w:r>
        <w:rPr>
          <w:strike w:val="0"/>
          <w:color w:val="2E97D3"/>
          <w:sz w:val="24"/>
          <w:u w:val="single" w:color="2E97D3"/>
        </w:rPr>
        <w:t>Adjustment</w:t>
      </w:r>
      <w:r>
        <w:rPr>
          <w:strike w:val="0"/>
          <w:sz w:val="24"/>
        </w:rPr>
        <w:t>.</w:t>
      </w:r>
    </w:p>
    <w:p>
      <w:pPr>
        <w:pStyle w:val="ListParagraph"/>
        <w:numPr>
          <w:ilvl w:val="2"/>
          <w:numId w:val="22"/>
        </w:numPr>
        <w:tabs>
          <w:tab w:pos="1300" w:val="left" w:leader="none"/>
        </w:tabs>
        <w:spacing w:line="240" w:lineRule="auto" w:before="199" w:after="0"/>
        <w:ind w:left="1300" w:right="0" w:hanging="360"/>
        <w:jc w:val="left"/>
        <w:rPr>
          <w:sz w:val="24"/>
        </w:rPr>
      </w:pPr>
      <w:r>
        <w:rPr>
          <w:strike/>
          <w:color w:val="2E97D3"/>
          <w:sz w:val="24"/>
        </w:rPr>
        <w:t>2.</w:t>
      </w:r>
      <w:r>
        <w:rPr>
          <w:strike/>
          <w:color w:val="2E97D3"/>
          <w:spacing w:val="-32"/>
          <w:sz w:val="24"/>
        </w:rPr>
        <w:t> </w:t>
      </w:r>
      <w:r>
        <w:rPr>
          <w:strike w:val="0"/>
          <w:sz w:val="24"/>
        </w:rPr>
        <w:t>Revenues,</w:t>
      </w:r>
      <w:r>
        <w:rPr>
          <w:strike w:val="0"/>
          <w:spacing w:val="-7"/>
          <w:sz w:val="24"/>
        </w:rPr>
        <w:t> </w:t>
      </w:r>
      <w:r>
        <w:rPr>
          <w:strike w:val="0"/>
          <w:sz w:val="24"/>
        </w:rPr>
        <w:t>Transfers,</w:t>
      </w:r>
      <w:r>
        <w:rPr>
          <w:strike w:val="0"/>
          <w:spacing w:val="-7"/>
          <w:sz w:val="24"/>
        </w:rPr>
        <w:t> </w:t>
      </w:r>
      <w:r>
        <w:rPr>
          <w:strike w:val="0"/>
          <w:sz w:val="24"/>
        </w:rPr>
        <w:t>and</w:t>
      </w:r>
      <w:r>
        <w:rPr>
          <w:strike w:val="0"/>
          <w:spacing w:val="-6"/>
          <w:sz w:val="24"/>
        </w:rPr>
        <w:t> </w:t>
      </w:r>
      <w:r>
        <w:rPr>
          <w:strike w:val="0"/>
          <w:sz w:val="24"/>
        </w:rPr>
        <w:t>other</w:t>
      </w:r>
      <w:r>
        <w:rPr>
          <w:strike w:val="0"/>
          <w:spacing w:val="-28"/>
          <w:sz w:val="24"/>
        </w:rPr>
        <w:t> </w:t>
      </w:r>
      <w:r>
        <w:rPr>
          <w:strike w:val="0"/>
          <w:sz w:val="24"/>
        </w:rPr>
        <w:t>Adjustments.</w:t>
      </w:r>
    </w:p>
    <w:p>
      <w:pPr>
        <w:pStyle w:val="ListParagraph"/>
        <w:numPr>
          <w:ilvl w:val="3"/>
          <w:numId w:val="22"/>
        </w:numPr>
        <w:tabs>
          <w:tab w:pos="2211" w:val="left" w:leader="none"/>
          <w:tab w:pos="2212" w:val="left" w:leader="none"/>
          <w:tab w:pos="2979" w:val="left" w:leader="none"/>
        </w:tabs>
        <w:spacing w:line="470" w:lineRule="atLeast" w:before="2" w:after="0"/>
        <w:ind w:left="1852" w:right="842" w:firstLine="0"/>
        <w:jc w:val="left"/>
        <w:rPr>
          <w:sz w:val="24"/>
        </w:rPr>
      </w:pPr>
      <w:r>
        <w:rPr/>
        <w:pict>
          <v:line style="position:absolute;mso-position-horizontal-relative:page;mso-position-vertical-relative:paragraph;z-index:-461008" from="237.479996pt,18.237045pt" to="241.439996pt,18.237045pt" stroked="true" strokeweight=".6pt" strokecolor="#2e97d3">
            <v:stroke dashstyle="solid"/>
            <w10:wrap type="none"/>
          </v:line>
        </w:pict>
      </w:r>
      <w:r>
        <w:rPr>
          <w:strike/>
          <w:color w:val="2E97D3"/>
          <w:spacing w:val="-19"/>
          <w:w w:val="100"/>
          <w:sz w:val="24"/>
        </w:rPr>
        <w:t> </w:t>
      </w:r>
      <w:r>
        <w:rPr>
          <w:strike/>
          <w:color w:val="2E97D3"/>
          <w:sz w:val="24"/>
        </w:rPr>
        <w:t>a.</w:t>
        <w:tab/>
      </w:r>
      <w:r>
        <w:rPr>
          <w:strike w:val="0"/>
          <w:sz w:val="24"/>
        </w:rPr>
        <w:t>Revenues </w:t>
      </w:r>
      <w:r>
        <w:rPr>
          <w:strike w:val="0"/>
          <w:color w:val="2E97D3"/>
          <w:sz w:val="24"/>
        </w:rPr>
        <w:t>-</w:t>
      </w:r>
      <w:r>
        <w:rPr>
          <w:strike w:val="0"/>
          <w:color w:val="2E97D3"/>
          <w:sz w:val="24"/>
          <w:u w:val="single" w:color="2E97D3"/>
        </w:rPr>
        <w:t>– </w:t>
      </w:r>
      <w:r>
        <w:rPr>
          <w:strike w:val="0"/>
          <w:sz w:val="24"/>
        </w:rPr>
        <w:t>Detail is </w:t>
      </w:r>
      <w:r>
        <w:rPr>
          <w:strike/>
          <w:color w:val="2E97D3"/>
          <w:sz w:val="24"/>
        </w:rPr>
        <w:t>typically </w:t>
      </w:r>
      <w:r>
        <w:rPr>
          <w:strike w:val="0"/>
          <w:sz w:val="24"/>
        </w:rPr>
        <w:t>provided by type</w:t>
      </w:r>
      <w:r>
        <w:rPr>
          <w:strike w:val="0"/>
          <w:spacing w:val="-29"/>
          <w:sz w:val="24"/>
        </w:rPr>
        <w:t> </w:t>
      </w:r>
      <w:r>
        <w:rPr>
          <w:strike w:val="0"/>
          <w:sz w:val="24"/>
        </w:rPr>
        <w:t>of</w:t>
      </w:r>
      <w:r>
        <w:rPr>
          <w:strike w:val="0"/>
          <w:spacing w:val="-31"/>
          <w:sz w:val="24"/>
        </w:rPr>
        <w:t> </w:t>
      </w:r>
      <w:r>
        <w:rPr>
          <w:strike w:val="0"/>
          <w:sz w:val="24"/>
        </w:rPr>
        <w:t>revenue.</w:t>
      </w:r>
      <w:r>
        <w:rPr>
          <w:strike w:val="0"/>
          <w:w w:val="100"/>
          <w:sz w:val="24"/>
        </w:rPr>
        <w:t> </w:t>
      </w:r>
      <w:r>
        <w:rPr>
          <w:strike/>
          <w:color w:val="2E97D3"/>
          <w:sz w:val="24"/>
        </w:rPr>
        <w:t>b.</w:t>
      </w:r>
      <w:r>
        <w:rPr>
          <w:strike w:val="0"/>
          <w:color w:val="2E97D3"/>
          <w:sz w:val="24"/>
          <w:u w:val="single" w:color="2E97D3"/>
        </w:rPr>
        <w:t>• </w:t>
      </w:r>
      <w:r>
        <w:rPr>
          <w:strike w:val="0"/>
          <w:sz w:val="24"/>
        </w:rPr>
        <w:t>Transfers and Other Adjustments </w:t>
      </w:r>
      <w:r>
        <w:rPr>
          <w:strike/>
          <w:color w:val="2E97D3"/>
          <w:sz w:val="24"/>
        </w:rPr>
        <w:t>- Transfers</w:t>
      </w:r>
      <w:r>
        <w:rPr>
          <w:strike w:val="0"/>
          <w:color w:val="2E97D3"/>
          <w:sz w:val="24"/>
          <w:u w:val="single" w:color="2E97D3"/>
        </w:rPr>
        <w:t>– Transfer of</w:t>
      </w:r>
      <w:r>
        <w:rPr>
          <w:strike w:val="0"/>
          <w:color w:val="2E97D3"/>
          <w:spacing w:val="-26"/>
          <w:sz w:val="24"/>
          <w:u w:val="single" w:color="2E97D3"/>
        </w:rPr>
        <w:t> </w:t>
      </w:r>
      <w:r>
        <w:rPr>
          <w:strike w:val="0"/>
          <w:color w:val="2E97D3"/>
          <w:sz w:val="24"/>
          <w:u w:val="single" w:color="2E97D3"/>
        </w:rPr>
        <w:t>resources</w:t>
      </w:r>
    </w:p>
    <w:p>
      <w:pPr>
        <w:pStyle w:val="BodyText"/>
        <w:spacing w:line="242" w:lineRule="auto"/>
        <w:ind w:left="2212" w:right="454"/>
      </w:pPr>
      <w:r>
        <w:rPr>
          <w:color w:val="2E97D3"/>
          <w:u w:val="single" w:color="2E97D3"/>
        </w:rPr>
        <w:t>betweenfunds </w:t>
      </w:r>
      <w:r>
        <w:rPr/>
        <w:t>(transfers to and transfers from other funds </w:t>
      </w:r>
      <w:r>
        <w:rPr>
          <w:strike/>
          <w:color w:val="2E97D3"/>
        </w:rPr>
        <w:t>that are treated as a transfer of resources between funds</w:t>
      </w:r>
      <w:r>
        <w:rPr>
          <w:strike w:val="0"/>
        </w:rPr>
        <w:t>).</w:t>
      </w:r>
    </w:p>
    <w:p>
      <w:pPr>
        <w:pStyle w:val="ListParagraph"/>
        <w:numPr>
          <w:ilvl w:val="3"/>
          <w:numId w:val="22"/>
        </w:numPr>
        <w:tabs>
          <w:tab w:pos="2211" w:val="left" w:leader="none"/>
          <w:tab w:pos="2212" w:val="left" w:leader="none"/>
          <w:tab w:pos="2979" w:val="left" w:leader="none"/>
        </w:tabs>
        <w:spacing w:line="240" w:lineRule="auto" w:before="199" w:after="0"/>
        <w:ind w:left="2212" w:right="0" w:hanging="360"/>
        <w:jc w:val="left"/>
        <w:rPr>
          <w:sz w:val="24"/>
        </w:rPr>
      </w:pPr>
      <w:r>
        <w:rPr>
          <w:strike/>
          <w:color w:val="2E97D3"/>
          <w:spacing w:val="-19"/>
          <w:w w:val="100"/>
          <w:sz w:val="24"/>
        </w:rPr>
        <w:t> </w:t>
      </w:r>
      <w:r>
        <w:rPr>
          <w:strike/>
          <w:color w:val="2E97D3"/>
          <w:sz w:val="24"/>
        </w:rPr>
        <w:t>c.</w:t>
        <w:tab/>
      </w:r>
      <w:r>
        <w:rPr>
          <w:strike w:val="0"/>
          <w:sz w:val="24"/>
        </w:rPr>
        <w:t>Total, Revenues, Transfers, and Other</w:t>
      </w:r>
      <w:r>
        <w:rPr>
          <w:strike w:val="0"/>
          <w:spacing w:val="-46"/>
          <w:sz w:val="24"/>
        </w:rPr>
        <w:t> </w:t>
      </w:r>
      <w:r>
        <w:rPr>
          <w:strike w:val="0"/>
          <w:sz w:val="24"/>
        </w:rPr>
        <w:t>Adjustments.</w:t>
      </w:r>
    </w:p>
    <w:p>
      <w:pPr>
        <w:pStyle w:val="ListParagraph"/>
        <w:numPr>
          <w:ilvl w:val="2"/>
          <w:numId w:val="22"/>
        </w:numPr>
        <w:tabs>
          <w:tab w:pos="1180" w:val="left" w:leader="none"/>
        </w:tabs>
        <w:spacing w:line="240" w:lineRule="auto" w:before="2" w:after="0"/>
        <w:ind w:left="1180" w:right="0" w:hanging="360"/>
        <w:jc w:val="both"/>
        <w:rPr>
          <w:sz w:val="24"/>
        </w:rPr>
      </w:pPr>
      <w:r>
        <w:rPr>
          <w:strike/>
          <w:color w:val="2E97D3"/>
          <w:sz w:val="24"/>
        </w:rPr>
        <w:t>Total</w:t>
      </w:r>
      <w:r>
        <w:rPr>
          <w:strike/>
          <w:color w:val="2E97D3"/>
          <w:spacing w:val="-5"/>
          <w:sz w:val="24"/>
        </w:rPr>
        <w:t> </w:t>
      </w:r>
      <w:r>
        <w:rPr>
          <w:strike/>
          <w:color w:val="2E97D3"/>
          <w:sz w:val="24"/>
        </w:rPr>
        <w:t>Resources.</w:t>
      </w:r>
    </w:p>
    <w:p>
      <w:pPr>
        <w:pStyle w:val="ListParagraph"/>
        <w:numPr>
          <w:ilvl w:val="0"/>
          <w:numId w:val="23"/>
        </w:numPr>
        <w:tabs>
          <w:tab w:pos="1300" w:val="left" w:leader="none"/>
        </w:tabs>
        <w:spacing w:line="240" w:lineRule="auto" w:before="197" w:after="0"/>
        <w:ind w:left="1300" w:right="606" w:hanging="360"/>
        <w:jc w:val="left"/>
        <w:rPr>
          <w:sz w:val="24"/>
        </w:rPr>
      </w:pPr>
      <w:r>
        <w:rPr>
          <w:strike/>
          <w:color w:val="2E97D3"/>
          <w:sz w:val="24"/>
        </w:rPr>
        <w:t>4.</w:t>
      </w:r>
      <w:r>
        <w:rPr>
          <w:strike/>
          <w:color w:val="2E97D3"/>
          <w:spacing w:val="-31"/>
          <w:sz w:val="24"/>
        </w:rPr>
        <w:t> </w:t>
      </w:r>
      <w:r>
        <w:rPr>
          <w:strike w:val="0"/>
          <w:color w:val="2E97D3"/>
          <w:sz w:val="24"/>
          <w:u w:val="single" w:color="2E97D3"/>
        </w:rPr>
        <w:t>Total</w:t>
      </w:r>
      <w:r>
        <w:rPr>
          <w:strike w:val="0"/>
          <w:color w:val="2E97D3"/>
          <w:spacing w:val="-7"/>
          <w:sz w:val="24"/>
          <w:u w:val="single" w:color="2E97D3"/>
        </w:rPr>
        <w:t> </w:t>
      </w:r>
      <w:r>
        <w:rPr>
          <w:strike w:val="0"/>
          <w:color w:val="2E97D3"/>
          <w:sz w:val="24"/>
          <w:u w:val="single" w:color="2E97D3"/>
        </w:rPr>
        <w:t>Resources</w:t>
      </w:r>
      <w:r>
        <w:rPr>
          <w:strike w:val="0"/>
          <w:color w:val="2E97D3"/>
          <w:spacing w:val="-4"/>
          <w:sz w:val="24"/>
          <w:u w:val="single" w:color="2E97D3"/>
        </w:rPr>
        <w:t> </w:t>
      </w:r>
      <w:r>
        <w:rPr>
          <w:strike w:val="0"/>
          <w:color w:val="2E97D3"/>
          <w:sz w:val="24"/>
          <w:u w:val="single" w:color="2E97D3"/>
        </w:rPr>
        <w:t>–</w:t>
      </w:r>
      <w:r>
        <w:rPr>
          <w:strike w:val="0"/>
          <w:color w:val="2E97D3"/>
          <w:spacing w:val="-3"/>
          <w:sz w:val="24"/>
          <w:u w:val="single" w:color="2E97D3"/>
        </w:rPr>
        <w:t> </w:t>
      </w:r>
      <w:r>
        <w:rPr>
          <w:strike w:val="0"/>
          <w:color w:val="2E97D3"/>
          <w:sz w:val="24"/>
          <w:u w:val="single" w:color="2E97D3"/>
        </w:rPr>
        <w:t>The</w:t>
      </w:r>
      <w:r>
        <w:rPr>
          <w:strike w:val="0"/>
          <w:color w:val="2E97D3"/>
          <w:spacing w:val="-3"/>
          <w:sz w:val="24"/>
          <w:u w:val="single" w:color="2E97D3"/>
        </w:rPr>
        <w:t> </w:t>
      </w:r>
      <w:r>
        <w:rPr>
          <w:strike w:val="0"/>
          <w:color w:val="2E97D3"/>
          <w:sz w:val="24"/>
          <w:u w:val="single" w:color="2E97D3"/>
        </w:rPr>
        <w:t>sum</w:t>
      </w:r>
      <w:r>
        <w:rPr>
          <w:strike w:val="0"/>
          <w:color w:val="2E97D3"/>
          <w:spacing w:val="-3"/>
          <w:sz w:val="24"/>
          <w:u w:val="single" w:color="2E97D3"/>
        </w:rPr>
        <w:t> </w:t>
      </w:r>
      <w:r>
        <w:rPr>
          <w:strike w:val="0"/>
          <w:color w:val="2E97D3"/>
          <w:sz w:val="24"/>
          <w:u w:val="single" w:color="2E97D3"/>
        </w:rPr>
        <w:t>of</w:t>
      </w:r>
      <w:r>
        <w:rPr>
          <w:strike w:val="0"/>
          <w:color w:val="2E97D3"/>
          <w:spacing w:val="-1"/>
          <w:sz w:val="24"/>
          <w:u w:val="single" w:color="2E97D3"/>
        </w:rPr>
        <w:t> </w:t>
      </w:r>
      <w:r>
        <w:rPr>
          <w:strike w:val="0"/>
          <w:color w:val="2E97D3"/>
          <w:sz w:val="24"/>
          <w:u w:val="single" w:color="2E97D3"/>
        </w:rPr>
        <w:t>the</w:t>
      </w:r>
      <w:r>
        <w:rPr>
          <w:strike w:val="0"/>
          <w:color w:val="2E97D3"/>
          <w:spacing w:val="-3"/>
          <w:sz w:val="24"/>
          <w:u w:val="single" w:color="2E97D3"/>
        </w:rPr>
        <w:t> </w:t>
      </w:r>
      <w:r>
        <w:rPr>
          <w:strike w:val="0"/>
          <w:color w:val="2E97D3"/>
          <w:sz w:val="24"/>
          <w:u w:val="single" w:color="2E97D3"/>
        </w:rPr>
        <w:t>Adjusted</w:t>
      </w:r>
      <w:r>
        <w:rPr>
          <w:strike w:val="0"/>
          <w:color w:val="2E97D3"/>
          <w:spacing w:val="-3"/>
          <w:sz w:val="24"/>
          <w:u w:val="single" w:color="2E97D3"/>
        </w:rPr>
        <w:t> </w:t>
      </w:r>
      <w:r>
        <w:rPr>
          <w:strike w:val="0"/>
          <w:color w:val="2E97D3"/>
          <w:sz w:val="24"/>
          <w:u w:val="single" w:color="2E97D3"/>
        </w:rPr>
        <w:t>Beginning</w:t>
      </w:r>
      <w:r>
        <w:rPr>
          <w:strike w:val="0"/>
          <w:color w:val="2E97D3"/>
          <w:spacing w:val="-3"/>
          <w:sz w:val="24"/>
          <w:u w:val="single" w:color="2E97D3"/>
        </w:rPr>
        <w:t> </w:t>
      </w:r>
      <w:r>
        <w:rPr>
          <w:strike w:val="0"/>
          <w:color w:val="2E97D3"/>
          <w:sz w:val="24"/>
          <w:u w:val="single" w:color="2E97D3"/>
        </w:rPr>
        <w:t>Balance</w:t>
      </w:r>
      <w:r>
        <w:rPr>
          <w:strike w:val="0"/>
          <w:color w:val="2E97D3"/>
          <w:spacing w:val="-1"/>
          <w:sz w:val="24"/>
          <w:u w:val="single" w:color="2E97D3"/>
        </w:rPr>
        <w:t> </w:t>
      </w:r>
      <w:r>
        <w:rPr>
          <w:strike w:val="0"/>
          <w:color w:val="2E97D3"/>
          <w:sz w:val="24"/>
          <w:u w:val="single" w:color="2E97D3"/>
        </w:rPr>
        <w:t>and</w:t>
      </w:r>
      <w:r>
        <w:rPr>
          <w:strike w:val="0"/>
          <w:color w:val="2E97D3"/>
          <w:spacing w:val="-1"/>
          <w:sz w:val="24"/>
          <w:u w:val="single" w:color="2E97D3"/>
        </w:rPr>
        <w:t> </w:t>
      </w:r>
      <w:r>
        <w:rPr>
          <w:strike w:val="0"/>
          <w:color w:val="2E97D3"/>
          <w:sz w:val="24"/>
          <w:u w:val="single" w:color="2E97D3"/>
        </w:rPr>
        <w:t>the</w:t>
      </w:r>
      <w:r>
        <w:rPr>
          <w:strike w:val="0"/>
          <w:color w:val="2E97D3"/>
          <w:spacing w:val="-3"/>
          <w:sz w:val="24"/>
          <w:u w:val="single" w:color="2E97D3"/>
        </w:rPr>
        <w:t> </w:t>
      </w:r>
      <w:r>
        <w:rPr>
          <w:strike w:val="0"/>
          <w:color w:val="2E97D3"/>
          <w:sz w:val="24"/>
          <w:u w:val="single" w:color="2E97D3"/>
        </w:rPr>
        <w:t>Total Revenue, Transfers, and Other</w:t>
      </w:r>
      <w:r>
        <w:rPr>
          <w:strike w:val="0"/>
          <w:color w:val="2E97D3"/>
          <w:spacing w:val="-22"/>
          <w:sz w:val="24"/>
          <w:u w:val="single" w:color="2E97D3"/>
        </w:rPr>
        <w:t> </w:t>
      </w:r>
      <w:r>
        <w:rPr>
          <w:strike w:val="0"/>
          <w:color w:val="2E97D3"/>
          <w:sz w:val="24"/>
          <w:u w:val="single" w:color="2E97D3"/>
        </w:rPr>
        <w:t>Adjustments.</w:t>
      </w:r>
    </w:p>
    <w:p>
      <w:pPr>
        <w:spacing w:before="2"/>
        <w:ind w:left="820" w:right="0" w:firstLine="0"/>
        <w:jc w:val="both"/>
        <w:rPr>
          <w:sz w:val="24"/>
        </w:rPr>
      </w:pPr>
      <w:r>
        <w:rPr/>
        <w:pict>
          <v:line style="position:absolute;mso-position-horizontal-relative:page;mso-position-vertical-relative:paragraph;z-index:-460984" from="244.800003pt,8.535854pt" to="248.280003pt,8.535854pt" stroked="true" strokeweight=".6pt" strokecolor="#2e97d3">
            <v:stroke dashstyle="solid"/>
            <w10:wrap type="none"/>
          </v:line>
        </w:pict>
      </w:r>
      <w:r>
        <w:rPr>
          <w:rFonts w:ascii="Times New Roman"/>
          <w:sz w:val="20"/>
        </w:rPr>
        <w:t>Expenditures and Expenditure Adjustments</w:t>
      </w:r>
      <w:r>
        <w:rPr>
          <w:color w:val="2E97D3"/>
          <w:sz w:val="24"/>
        </w:rPr>
        <w:t>.</w:t>
      </w:r>
    </w:p>
    <w:p>
      <w:pPr>
        <w:pStyle w:val="ListParagraph"/>
        <w:numPr>
          <w:ilvl w:val="0"/>
          <w:numId w:val="23"/>
        </w:numPr>
        <w:tabs>
          <w:tab w:pos="1300" w:val="left" w:leader="none"/>
        </w:tabs>
        <w:spacing w:line="240" w:lineRule="auto" w:before="198" w:after="0"/>
        <w:ind w:left="1300" w:right="366" w:hanging="360"/>
        <w:jc w:val="left"/>
        <w:rPr>
          <w:sz w:val="24"/>
        </w:rPr>
      </w:pPr>
      <w:r>
        <w:rPr/>
        <w:pict>
          <v:line style="position:absolute;mso-position-horizontal-relative:page;mso-position-vertical-relative:paragraph;z-index:-460960" from="516.960022pt,32.136360pt" to="520.320022pt,32.136360pt" stroked="true" strokeweight=".599pt" strokecolor="#2e97d3">
            <v:stroke dashstyle="solid"/>
            <w10:wrap type="none"/>
          </v:line>
        </w:pict>
      </w:r>
      <w:r>
        <w:rPr/>
        <w:pict>
          <v:line style="position:absolute;mso-position-horizontal-relative:page;mso-position-vertical-relative:paragraph;z-index:11872" from="36.360001pt,51.515862pt" to="36.360001pt,88.955862pt" stroked="true" strokeweight=".72pt" strokecolor="#000000">
            <v:stroke dashstyle="solid"/>
            <w10:wrap type="none"/>
          </v:line>
        </w:pict>
      </w:r>
      <w:r>
        <w:rPr>
          <w:strike/>
          <w:color w:val="2E97D3"/>
          <w:sz w:val="24"/>
        </w:rPr>
        <w:t>a. Detailed </w:t>
      </w:r>
      <w:r>
        <w:rPr>
          <w:strike w:val="0"/>
          <w:color w:val="2E97D3"/>
          <w:sz w:val="24"/>
          <w:u w:val="single" w:color="2E97D3"/>
        </w:rPr>
        <w:t>– Spending </w:t>
      </w:r>
      <w:r>
        <w:rPr>
          <w:strike w:val="0"/>
          <w:sz w:val="24"/>
        </w:rPr>
        <w:t>by department </w:t>
      </w:r>
      <w:r>
        <w:rPr>
          <w:strike/>
          <w:color w:val="2E97D3"/>
          <w:sz w:val="24"/>
        </w:rPr>
        <w:t>with a further breakdown</w:t>
      </w:r>
      <w:r>
        <w:rPr>
          <w:strike w:val="0"/>
          <w:color w:val="2E97D3"/>
          <w:sz w:val="24"/>
          <w:u w:val="single" w:color="2E97D3"/>
        </w:rPr>
        <w:t>, displayed </w:t>
      </w:r>
      <w:r>
        <w:rPr>
          <w:strike w:val="0"/>
          <w:sz w:val="24"/>
        </w:rPr>
        <w:t>by </w:t>
      </w:r>
      <w:r>
        <w:rPr>
          <w:strike w:val="0"/>
          <w:color w:val="2E97D3"/>
          <w:sz w:val="24"/>
          <w:u w:val="single" w:color="2E97D3"/>
        </w:rPr>
        <w:t>character (</w:t>
      </w:r>
      <w:r>
        <w:rPr>
          <w:strike w:val="0"/>
          <w:sz w:val="24"/>
        </w:rPr>
        <w:t>State Operations, Local Assistance, Capital Outlay, and Unclassified</w:t>
      </w:r>
      <w:r>
        <w:rPr>
          <w:strike w:val="0"/>
          <w:color w:val="2E97D3"/>
          <w:sz w:val="24"/>
        </w:rPr>
        <w:t>,</w:t>
      </w:r>
      <w:r>
        <w:rPr>
          <w:strike w:val="0"/>
          <w:color w:val="2E97D3"/>
          <w:sz w:val="24"/>
          <w:u w:val="single" w:color="2E97D3"/>
        </w:rPr>
        <w:t>), </w:t>
      </w:r>
      <w:r>
        <w:rPr>
          <w:strike w:val="0"/>
          <w:sz w:val="24"/>
        </w:rPr>
        <w:t>as</w:t>
      </w:r>
      <w:r>
        <w:rPr>
          <w:strike w:val="0"/>
          <w:spacing w:val="-30"/>
          <w:sz w:val="24"/>
        </w:rPr>
        <w:t> </w:t>
      </w:r>
      <w:r>
        <w:rPr>
          <w:strike w:val="0"/>
          <w:sz w:val="24"/>
        </w:rPr>
        <w:t>applicable.</w:t>
      </w:r>
    </w:p>
    <w:p>
      <w:pPr>
        <w:pStyle w:val="ListParagraph"/>
        <w:numPr>
          <w:ilvl w:val="1"/>
          <w:numId w:val="23"/>
        </w:numPr>
        <w:tabs>
          <w:tab w:pos="2211" w:val="left" w:leader="none"/>
          <w:tab w:pos="2212" w:val="left" w:leader="none"/>
          <w:tab w:pos="2979" w:val="left" w:leader="none"/>
        </w:tabs>
        <w:spacing w:line="240" w:lineRule="auto" w:before="198" w:after="0"/>
        <w:ind w:left="2212" w:right="344" w:hanging="360"/>
        <w:jc w:val="left"/>
        <w:rPr>
          <w:sz w:val="24"/>
        </w:rPr>
      </w:pPr>
      <w:r>
        <w:rPr/>
        <w:pict>
          <v:line style="position:absolute;mso-position-horizontal-relative:page;mso-position-vertical-relative:paragraph;z-index:-460936" from="504.600006pt,32.015858pt" to="507.840006pt,32.015858pt" stroked="true" strokeweight=".6pt" strokecolor="#2e97d3">
            <v:stroke dashstyle="solid"/>
            <w10:wrap type="none"/>
          </v:line>
        </w:pict>
      </w:r>
      <w:r>
        <w:rPr/>
        <w:pict>
          <v:line style="position:absolute;mso-position-horizontal-relative:page;mso-position-vertical-relative:paragraph;z-index:11896" from="36.360001pt,51.395859pt" to="36.360001pt,65.195859pt" stroked="true" strokeweight=".72pt" strokecolor="#000000">
            <v:stroke dashstyle="solid"/>
            <w10:wrap type="none"/>
          </v:line>
        </w:pict>
      </w:r>
      <w:r>
        <w:rPr>
          <w:strike/>
          <w:color w:val="2E97D3"/>
          <w:sz w:val="24"/>
        </w:rPr>
        <w:t>b.</w:t>
        <w:tab/>
      </w:r>
      <w:r>
        <w:rPr>
          <w:strike w:val="0"/>
          <w:sz w:val="24"/>
        </w:rPr>
        <w:t>Expenditures – Spending is typically shown</w:t>
      </w:r>
      <w:r>
        <w:rPr>
          <w:strike w:val="0"/>
          <w:spacing w:val="-22"/>
          <w:sz w:val="24"/>
        </w:rPr>
        <w:t> </w:t>
      </w:r>
      <w:r>
        <w:rPr>
          <w:strike w:val="0"/>
          <w:sz w:val="24"/>
        </w:rPr>
        <w:t>in</w:t>
      </w:r>
      <w:r>
        <w:rPr>
          <w:strike w:val="0"/>
          <w:spacing w:val="-3"/>
          <w:sz w:val="24"/>
        </w:rPr>
        <w:t> </w:t>
      </w:r>
      <w:r>
        <w:rPr>
          <w:strike w:val="0"/>
          <w:sz w:val="24"/>
        </w:rPr>
        <w:t>the</w:t>
      </w:r>
      <w:r>
        <w:rPr>
          <w:strike w:val="0"/>
          <w:w w:val="99"/>
          <w:sz w:val="24"/>
        </w:rPr>
        <w:t> </w:t>
      </w:r>
      <w:r>
        <w:rPr>
          <w:strike/>
          <w:color w:val="2E97D3"/>
          <w:sz w:val="24"/>
        </w:rPr>
        <w:t>organization</w:t>
      </w:r>
      <w:r>
        <w:rPr>
          <w:strike w:val="0"/>
          <w:color w:val="2E97D3"/>
          <w:sz w:val="24"/>
          <w:u w:val="single" w:color="2E97D3"/>
        </w:rPr>
        <w:t>Business Unit </w:t>
      </w:r>
      <w:r>
        <w:rPr>
          <w:strike w:val="0"/>
          <w:sz w:val="24"/>
        </w:rPr>
        <w:t>code of entities that spend from the fund. The expenditures are shown in those departments’ Governor’s Budget </w:t>
      </w:r>
      <w:r>
        <w:rPr>
          <w:strike/>
          <w:color w:val="2E97D3"/>
          <w:sz w:val="24"/>
        </w:rPr>
        <w:t>display</w:t>
      </w:r>
      <w:r>
        <w:rPr>
          <w:strike w:val="0"/>
          <w:color w:val="2E97D3"/>
          <w:sz w:val="24"/>
          <w:u w:val="single" w:color="2E97D3"/>
        </w:rPr>
        <w:t>and Enacted Budget</w:t>
      </w:r>
      <w:r>
        <w:rPr>
          <w:strike w:val="0"/>
          <w:color w:val="2E97D3"/>
          <w:spacing w:val="-18"/>
          <w:sz w:val="24"/>
          <w:u w:val="single" w:color="2E97D3"/>
        </w:rPr>
        <w:t> </w:t>
      </w:r>
      <w:r>
        <w:rPr>
          <w:strike w:val="0"/>
          <w:color w:val="2E97D3"/>
          <w:sz w:val="24"/>
          <w:u w:val="single" w:color="2E97D3"/>
        </w:rPr>
        <w:t>displays</w:t>
      </w:r>
      <w:r>
        <w:rPr>
          <w:strike w:val="0"/>
          <w:sz w:val="24"/>
        </w:rPr>
        <w:t>.</w:t>
      </w:r>
    </w:p>
    <w:p>
      <w:pPr>
        <w:spacing w:after="0" w:line="240" w:lineRule="auto"/>
        <w:jc w:val="left"/>
        <w:rPr>
          <w:sz w:val="24"/>
        </w:rPr>
        <w:sectPr>
          <w:pgSz w:w="12240" w:h="15840"/>
          <w:pgMar w:header="724" w:footer="792" w:top="980" w:bottom="980" w:left="620" w:right="1320"/>
        </w:sectPr>
      </w:pPr>
    </w:p>
    <w:p>
      <w:pPr>
        <w:pStyle w:val="BodyText"/>
        <w:rPr>
          <w:sz w:val="20"/>
        </w:rPr>
      </w:pPr>
    </w:p>
    <w:p>
      <w:pPr>
        <w:pStyle w:val="ListParagraph"/>
        <w:numPr>
          <w:ilvl w:val="1"/>
          <w:numId w:val="23"/>
        </w:numPr>
        <w:tabs>
          <w:tab w:pos="2211" w:val="left" w:leader="none"/>
          <w:tab w:pos="2212" w:val="left" w:leader="none"/>
          <w:tab w:pos="2979" w:val="left" w:leader="none"/>
        </w:tabs>
        <w:spacing w:line="274" w:lineRule="exact" w:before="222" w:after="0"/>
        <w:ind w:left="2212" w:right="273" w:hanging="360"/>
        <w:jc w:val="left"/>
        <w:rPr>
          <w:sz w:val="24"/>
        </w:rPr>
      </w:pPr>
      <w:r>
        <w:rPr/>
        <w:pict>
          <v:line style="position:absolute;mso-position-horizontal-relative:page;mso-position-vertical-relative:paragraph;z-index:11920" from="36.360001pt,10.900027pt" to="36.360001pt,24.700027pt" stroked="true" strokeweight=".72pt" strokecolor="#000000">
            <v:stroke dashstyle="solid"/>
            <w10:wrap type="none"/>
          </v:line>
        </w:pict>
      </w:r>
      <w:r>
        <w:rPr>
          <w:strike/>
          <w:color w:val="2E97D3"/>
          <w:spacing w:val="-19"/>
          <w:w w:val="100"/>
          <w:sz w:val="24"/>
        </w:rPr>
        <w:t> </w:t>
      </w:r>
      <w:r>
        <w:rPr>
          <w:strike/>
          <w:color w:val="2E97D3"/>
          <w:sz w:val="24"/>
        </w:rPr>
        <w:t>c.</w:t>
        <w:tab/>
      </w:r>
      <w:r>
        <w:rPr>
          <w:strike w:val="0"/>
          <w:sz w:val="24"/>
        </w:rPr>
        <w:t>Expenditure Adjustments – Transfers from other funds</w:t>
      </w:r>
      <w:r>
        <w:rPr>
          <w:strike w:val="0"/>
          <w:spacing w:val="-28"/>
          <w:sz w:val="24"/>
        </w:rPr>
        <w:t> </w:t>
      </w:r>
      <w:r>
        <w:rPr>
          <w:strike w:val="0"/>
          <w:sz w:val="24"/>
        </w:rPr>
        <w:t>that</w:t>
      </w:r>
      <w:r>
        <w:rPr>
          <w:strike w:val="0"/>
          <w:spacing w:val="-5"/>
          <w:sz w:val="24"/>
        </w:rPr>
        <w:t> </w:t>
      </w:r>
      <w:r>
        <w:rPr>
          <w:strike w:val="0"/>
          <w:sz w:val="24"/>
        </w:rPr>
        <w:t>are</w:t>
      </w:r>
      <w:r>
        <w:rPr>
          <w:strike w:val="0"/>
          <w:w w:val="99"/>
          <w:sz w:val="24"/>
        </w:rPr>
        <w:t> </w:t>
      </w:r>
      <w:r>
        <w:rPr>
          <w:strike w:val="0"/>
          <w:sz w:val="24"/>
        </w:rPr>
        <w:t>treated as Expenditure</w:t>
      </w:r>
      <w:r>
        <w:rPr>
          <w:strike w:val="0"/>
          <w:spacing w:val="-32"/>
          <w:sz w:val="24"/>
        </w:rPr>
        <w:t> </w:t>
      </w:r>
      <w:r>
        <w:rPr>
          <w:strike w:val="0"/>
          <w:sz w:val="24"/>
        </w:rPr>
        <w:t>Reductions.</w:t>
      </w:r>
    </w:p>
    <w:p>
      <w:pPr>
        <w:pStyle w:val="BodyText"/>
        <w:spacing w:before="7"/>
        <w:rPr>
          <w:sz w:val="23"/>
        </w:rPr>
      </w:pPr>
    </w:p>
    <w:p>
      <w:pPr>
        <w:pStyle w:val="BodyText"/>
        <w:ind w:left="820"/>
      </w:pPr>
      <w:r>
        <w:rPr/>
        <w:pict>
          <v:line style="position:absolute;mso-position-horizontal-relative:page;mso-position-vertical-relative:paragraph;z-index:11944" from="36.360001pt,.215857pt" to="36.360001pt,14.015857pt" stroked="true" strokeweight=".72pt" strokecolor="#000000">
            <v:stroke dashstyle="solid"/>
            <w10:wrap type="none"/>
          </v:line>
        </w:pict>
      </w:r>
      <w:r>
        <w:rPr/>
        <w:t>(Continued)</w:t>
      </w:r>
    </w:p>
    <w:p>
      <w:pPr>
        <w:spacing w:after="0"/>
        <w:sectPr>
          <w:pgSz w:w="12240" w:h="15840"/>
          <w:pgMar w:header="724" w:footer="792" w:top="980" w:bottom="980" w:left="620" w:right="1720"/>
        </w:sectPr>
      </w:pPr>
    </w:p>
    <w:p>
      <w:pPr>
        <w:pStyle w:val="BodyText"/>
        <w:spacing w:before="4"/>
        <w:rPr>
          <w:rFonts w:ascii="Times New Roman"/>
          <w:sz w:val="17"/>
        </w:rPr>
      </w:pPr>
      <w:r>
        <w:rPr/>
        <w:pict>
          <v:line style="position:absolute;mso-position-horizontal-relative:page;mso-position-vertical-relative:page;z-index:11968" from="36.360001pt,72pt" to="36.360001pt,97.92pt" stroked="true" strokeweight=".72pt" strokecolor="#000000">
            <v:stroke dashstyle="solid"/>
            <w10:wrap type="none"/>
          </v:line>
        </w:pict>
      </w:r>
    </w:p>
    <w:p>
      <w:pPr>
        <w:spacing w:after="0"/>
        <w:rPr>
          <w:rFonts w:ascii="Times New Roman"/>
          <w:sz w:val="17"/>
        </w:rPr>
        <w:sectPr>
          <w:pgSz w:w="12240" w:h="15840"/>
          <w:pgMar w:header="724" w:footer="792" w:top="980" w:bottom="980" w:left="620" w:right="1720"/>
        </w:sectPr>
      </w:pPr>
    </w:p>
    <w:p>
      <w:pPr>
        <w:pStyle w:val="BodyText"/>
        <w:rPr>
          <w:rFonts w:ascii="Times New Roman"/>
          <w:sz w:val="20"/>
        </w:rPr>
      </w:pPr>
    </w:p>
    <w:p>
      <w:pPr>
        <w:pStyle w:val="BodyText"/>
        <w:tabs>
          <w:tab w:pos="8019" w:val="left" w:leader="none"/>
        </w:tabs>
        <w:spacing w:before="214"/>
        <w:ind w:left="820"/>
      </w:pPr>
      <w:r>
        <w:rPr/>
        <w:pict>
          <v:line style="position:absolute;mso-position-horizontal-relative:page;mso-position-vertical-relative:paragraph;z-index:12160" from="36.360001pt,10.915881pt" to="36.360001pt,24.835881pt" stroked="true" strokeweight=".72pt" strokecolor="#000000">
            <v:stroke dashstyle="solid"/>
            <w10:wrap type="none"/>
          </v:line>
        </w:pict>
      </w:r>
      <w:r>
        <w:rPr/>
        <w:t>(Continued)</w:t>
      </w:r>
      <w:r>
        <w:rPr>
          <w:w w:val="100"/>
          <w:u w:val="single" w:color="2E97D3"/>
        </w:rPr>
        <w:t> </w:t>
      </w:r>
      <w:r>
        <w:rPr>
          <w:u w:val="single" w:color="2E97D3"/>
        </w:rPr>
        <w:tab/>
      </w:r>
    </w:p>
    <w:p>
      <w:pPr>
        <w:pStyle w:val="Heading2"/>
        <w:spacing w:before="2"/>
        <w:ind w:left="820" w:right="7380"/>
      </w:pPr>
      <w:r>
        <w:rPr/>
        <w:t>FUND CONDITION STATEMENTS</w:t>
      </w:r>
    </w:p>
    <w:p>
      <w:pPr>
        <w:pStyle w:val="BodyText"/>
        <w:spacing w:before="8"/>
        <w:rPr>
          <w:b/>
          <w:sz w:val="10"/>
        </w:rPr>
      </w:pPr>
      <w:r>
        <w:rPr/>
        <w:pict>
          <v:line style="position:absolute;mso-position-horizontal-relative:page;mso-position-vertical-relative:paragraph;z-index:11992;mso-wrap-distance-left:0;mso-wrap-distance-right:0" from="72pt,8.417933pt" to="540pt,8.417933pt" stroked="true" strokeweight=".6pt" strokecolor="#2e97d3">
            <v:stroke dashstyle="solid"/>
            <w10:wrap type="topAndBottom"/>
          </v:line>
        </w:pict>
      </w:r>
      <w:r>
        <w:rPr/>
        <w:pict>
          <v:line style="position:absolute;mso-position-horizontal-relative:page;mso-position-vertical-relative:paragraph;z-index:12016;mso-wrap-distance-left:0;mso-wrap-distance-right:0" from="72pt,22.218431pt" to="540pt,22.218431pt" stroked="true" strokeweight=".599pt" strokecolor="#2e97d3">
            <v:stroke dashstyle="solid"/>
            <w10:wrap type="topAndBottom"/>
          </v:line>
        </w:pict>
      </w:r>
      <w:r>
        <w:rPr/>
        <w:pict>
          <v:line style="position:absolute;mso-position-horizontal-relative:page;mso-position-vertical-relative:paragraph;z-index:12040;mso-wrap-distance-left:0;mso-wrap-distance-right:0" from="72pt,36.017933pt" to="540pt,36.017933pt" stroked="true" strokeweight=".6pt" strokecolor="#2e97d3">
            <v:stroke dashstyle="solid"/>
            <w10:wrap type="topAndBottom"/>
          </v:line>
        </w:pict>
      </w:r>
    </w:p>
    <w:p>
      <w:pPr>
        <w:pStyle w:val="BodyText"/>
        <w:rPr>
          <w:b/>
          <w:sz w:val="17"/>
        </w:rPr>
      </w:pPr>
    </w:p>
    <w:p>
      <w:pPr>
        <w:pStyle w:val="BodyText"/>
        <w:rPr>
          <w:b/>
          <w:sz w:val="17"/>
        </w:rPr>
      </w:pPr>
    </w:p>
    <w:p>
      <w:pPr>
        <w:spacing w:before="72"/>
        <w:ind w:left="0" w:right="113" w:firstLine="0"/>
        <w:jc w:val="right"/>
        <w:rPr>
          <w:sz w:val="24"/>
        </w:rPr>
      </w:pPr>
      <w:r>
        <w:rPr>
          <w:b/>
          <w:sz w:val="24"/>
        </w:rPr>
        <w:t>6481 </w:t>
      </w:r>
      <w:r>
        <w:rPr>
          <w:sz w:val="24"/>
        </w:rPr>
        <w:t>(Cont. 1)</w:t>
      </w:r>
    </w:p>
    <w:p>
      <w:pPr>
        <w:pStyle w:val="BodyText"/>
        <w:ind w:left="820"/>
      </w:pPr>
      <w:r>
        <w:rPr/>
        <w:pict>
          <v:line style="position:absolute;mso-position-horizontal-relative:page;mso-position-vertical-relative:paragraph;z-index:12064" from="72pt,-5.364151pt" to="463.44pt,-5.364151pt" stroked="true" strokeweight=".6pt" strokecolor="#2e97d3">
            <v:stroke dashstyle="solid"/>
            <w10:wrap type="none"/>
          </v:line>
        </w:pict>
      </w:r>
      <w:r>
        <w:rPr/>
        <w:pict>
          <v:line style="position:absolute;mso-position-horizontal-relative:page;mso-position-vertical-relative:paragraph;z-index:12184" from="36.360001pt,-13.585151pt" to="36.360001pt,150.695849pt" stroked="true" strokeweight=".72pt" strokecolor="#000000">
            <v:stroke dashstyle="solid"/>
            <w10:wrap type="none"/>
          </v:line>
        </w:pict>
      </w:r>
      <w:r>
        <w:rPr/>
        <w:t>(Revised </w:t>
      </w:r>
      <w:r>
        <w:rPr>
          <w:strike/>
          <w:color w:val="2E97D3"/>
        </w:rPr>
        <w:t>9/2010</w:t>
      </w:r>
      <w:r>
        <w:rPr>
          <w:strike w:val="0"/>
          <w:color w:val="2E97D3"/>
          <w:u w:val="single" w:color="2E97D3"/>
        </w:rPr>
        <w:t>09/2017</w:t>
      </w:r>
      <w:r>
        <w:rPr>
          <w:strike w:val="0"/>
        </w:rPr>
        <w:t>)</w:t>
      </w:r>
    </w:p>
    <w:p>
      <w:pPr>
        <w:pStyle w:val="BodyText"/>
        <w:rPr>
          <w:sz w:val="20"/>
        </w:rPr>
      </w:pPr>
    </w:p>
    <w:p>
      <w:pPr>
        <w:pStyle w:val="BodyText"/>
        <w:spacing w:before="6"/>
        <w:rPr>
          <w:sz w:val="21"/>
        </w:rPr>
      </w:pPr>
    </w:p>
    <w:p>
      <w:pPr>
        <w:pStyle w:val="ListParagraph"/>
        <w:numPr>
          <w:ilvl w:val="0"/>
          <w:numId w:val="23"/>
        </w:numPr>
        <w:tabs>
          <w:tab w:pos="1300" w:val="left" w:leader="none"/>
        </w:tabs>
        <w:spacing w:line="240" w:lineRule="auto" w:before="0" w:after="0"/>
        <w:ind w:left="1300" w:right="649" w:hanging="360"/>
        <w:jc w:val="left"/>
        <w:rPr>
          <w:sz w:val="24"/>
        </w:rPr>
      </w:pPr>
      <w:r>
        <w:rPr/>
        <w:pict>
          <v:line style="position:absolute;mso-position-horizontal-relative:page;mso-position-vertical-relative:paragraph;z-index:-460576" from="157.440002pt,40.715858pt" to="160.680002pt,40.715858pt" stroked="true" strokeweight=".84pt" strokecolor="#2e97d3">
            <v:stroke dashstyle="solid"/>
            <w10:wrap type="none"/>
          </v:line>
        </w:pict>
      </w:r>
      <w:r>
        <w:rPr>
          <w:strike/>
          <w:color w:val="2E97D3"/>
          <w:sz w:val="24"/>
        </w:rPr>
        <w:t>5. Total Expenditures (sum of </w:t>
      </w:r>
      <w:r>
        <w:rPr>
          <w:strike w:val="0"/>
          <w:sz w:val="24"/>
        </w:rPr>
        <w:t>Total Expenditures and </w:t>
      </w:r>
      <w:r>
        <w:rPr>
          <w:strike/>
          <w:color w:val="2E97D3"/>
          <w:sz w:val="24"/>
        </w:rPr>
        <w:t>any </w:t>
      </w:r>
      <w:r>
        <w:rPr>
          <w:strike w:val="0"/>
          <w:sz w:val="24"/>
        </w:rPr>
        <w:t>Expenditure </w:t>
      </w:r>
      <w:r>
        <w:rPr>
          <w:strike/>
          <w:color w:val="2E97D3"/>
          <w:sz w:val="24"/>
        </w:rPr>
        <w:t>Reduction</w:t>
      </w:r>
      <w:r>
        <w:rPr>
          <w:strike w:val="0"/>
          <w:color w:val="2E97D3"/>
          <w:sz w:val="24"/>
          <w:u w:val="single" w:color="2E97D3"/>
        </w:rPr>
        <w:t>Adjustments – Sum of Expenditures and Expenditure Adjustments</w:t>
      </w:r>
      <w:r>
        <w:rPr>
          <w:strike w:val="0"/>
          <w:sz w:val="24"/>
        </w:rPr>
        <w:t>, </w:t>
      </w:r>
      <w:r>
        <w:rPr>
          <w:strike w:val="0"/>
          <w:spacing w:val="-3"/>
          <w:sz w:val="24"/>
        </w:rPr>
        <w:t>if </w:t>
      </w:r>
      <w:r>
        <w:rPr>
          <w:strike w:val="0"/>
          <w:sz w:val="24"/>
        </w:rPr>
        <w:t>applicable</w:t>
      </w:r>
      <w:r>
        <w:rPr>
          <w:strike/>
          <w:color w:val="2E97D3"/>
          <w:sz w:val="24"/>
        </w:rPr>
        <w:t>).</w:t>
      </w:r>
      <w:r>
        <w:rPr>
          <w:strike w:val="0"/>
          <w:color w:val="2E97D3"/>
          <w:sz w:val="24"/>
        </w:rPr>
        <w:t>.</w:t>
      </w:r>
    </w:p>
    <w:p>
      <w:pPr>
        <w:pStyle w:val="ListParagraph"/>
        <w:numPr>
          <w:ilvl w:val="0"/>
          <w:numId w:val="23"/>
        </w:numPr>
        <w:tabs>
          <w:tab w:pos="1300" w:val="left" w:leader="none"/>
        </w:tabs>
        <w:spacing w:line="240" w:lineRule="auto" w:before="199" w:after="0"/>
        <w:ind w:left="1300" w:right="0" w:hanging="360"/>
        <w:jc w:val="both"/>
        <w:rPr>
          <w:sz w:val="24"/>
        </w:rPr>
      </w:pPr>
      <w:r>
        <w:rPr>
          <w:strike/>
          <w:color w:val="2E97D3"/>
          <w:sz w:val="24"/>
        </w:rPr>
        <w:t>6.</w:t>
      </w:r>
      <w:r>
        <w:rPr>
          <w:strike/>
          <w:color w:val="2E97D3"/>
          <w:spacing w:val="-31"/>
          <w:sz w:val="24"/>
        </w:rPr>
        <w:t> </w:t>
      </w:r>
      <w:r>
        <w:rPr>
          <w:strike w:val="0"/>
          <w:sz w:val="24"/>
        </w:rPr>
        <w:t>Fund</w:t>
      </w:r>
      <w:r>
        <w:rPr>
          <w:strike w:val="0"/>
          <w:spacing w:val="-10"/>
          <w:sz w:val="24"/>
        </w:rPr>
        <w:t> </w:t>
      </w:r>
      <w:r>
        <w:rPr>
          <w:strike w:val="0"/>
          <w:sz w:val="24"/>
        </w:rPr>
        <w:t>Balance</w:t>
      </w:r>
      <w:r>
        <w:rPr>
          <w:strike w:val="0"/>
          <w:spacing w:val="-4"/>
          <w:sz w:val="24"/>
        </w:rPr>
        <w:t> </w:t>
      </w:r>
      <w:r>
        <w:rPr>
          <w:strike w:val="0"/>
          <w:color w:val="2E97D3"/>
          <w:sz w:val="24"/>
          <w:u w:val="single" w:color="2E97D3"/>
        </w:rPr>
        <w:t>–</w:t>
      </w:r>
      <w:r>
        <w:rPr>
          <w:strike w:val="0"/>
          <w:color w:val="2E97D3"/>
          <w:spacing w:val="-5"/>
          <w:sz w:val="24"/>
          <w:u w:val="single" w:color="2E97D3"/>
        </w:rPr>
        <w:t> </w:t>
      </w:r>
      <w:r>
        <w:rPr>
          <w:strike w:val="0"/>
          <w:color w:val="2E97D3"/>
          <w:sz w:val="24"/>
          <w:u w:val="single" w:color="2E97D3"/>
        </w:rPr>
        <w:t>May</w:t>
      </w:r>
      <w:r>
        <w:rPr>
          <w:strike w:val="0"/>
          <w:color w:val="2E97D3"/>
          <w:spacing w:val="-6"/>
          <w:sz w:val="24"/>
          <w:u w:val="single" w:color="2E97D3"/>
        </w:rPr>
        <w:t> </w:t>
      </w:r>
      <w:r>
        <w:rPr>
          <w:strike w:val="0"/>
          <w:color w:val="2E97D3"/>
          <w:sz w:val="24"/>
          <w:u w:val="single" w:color="2E97D3"/>
        </w:rPr>
        <w:t>include</w:t>
      </w:r>
      <w:r>
        <w:rPr>
          <w:strike w:val="0"/>
          <w:color w:val="2E97D3"/>
          <w:spacing w:val="-3"/>
          <w:sz w:val="24"/>
          <w:u w:val="single" w:color="2E97D3"/>
        </w:rPr>
        <w:t> </w:t>
      </w:r>
      <w:r>
        <w:rPr>
          <w:strike w:val="0"/>
          <w:color w:val="2E97D3"/>
          <w:sz w:val="24"/>
          <w:u w:val="single" w:color="2E97D3"/>
        </w:rPr>
        <w:t>reserves</w:t>
      </w:r>
      <w:r>
        <w:rPr>
          <w:strike w:val="0"/>
          <w:color w:val="2E97D3"/>
          <w:spacing w:val="-4"/>
          <w:sz w:val="24"/>
          <w:u w:val="single" w:color="2E97D3"/>
        </w:rPr>
        <w:t> </w:t>
      </w:r>
      <w:r>
        <w:rPr>
          <w:strike w:val="0"/>
          <w:color w:val="2E97D3"/>
          <w:sz w:val="24"/>
          <w:u w:val="single" w:color="2E97D3"/>
        </w:rPr>
        <w:t>for</w:t>
      </w:r>
      <w:r>
        <w:rPr>
          <w:strike w:val="0"/>
          <w:color w:val="2E97D3"/>
          <w:spacing w:val="-5"/>
          <w:sz w:val="24"/>
          <w:u w:val="single" w:color="2E97D3"/>
        </w:rPr>
        <w:t> </w:t>
      </w:r>
      <w:r>
        <w:rPr>
          <w:strike w:val="0"/>
          <w:color w:val="2E97D3"/>
          <w:sz w:val="24"/>
          <w:u w:val="single" w:color="2E97D3"/>
        </w:rPr>
        <w:t>various</w:t>
      </w:r>
      <w:r>
        <w:rPr>
          <w:strike w:val="0"/>
          <w:color w:val="2E97D3"/>
          <w:spacing w:val="-4"/>
          <w:sz w:val="24"/>
          <w:u w:val="single" w:color="2E97D3"/>
        </w:rPr>
        <w:t> </w:t>
      </w:r>
      <w:r>
        <w:rPr>
          <w:strike w:val="0"/>
          <w:color w:val="2E97D3"/>
          <w:sz w:val="24"/>
          <w:u w:val="single" w:color="2E97D3"/>
        </w:rPr>
        <w:t>purposes</w:t>
      </w:r>
      <w:r>
        <w:rPr>
          <w:strike w:val="0"/>
          <w:sz w:val="24"/>
        </w:rPr>
        <w:t>.</w:t>
      </w:r>
    </w:p>
    <w:p>
      <w:pPr>
        <w:pStyle w:val="ListParagraph"/>
        <w:numPr>
          <w:ilvl w:val="1"/>
          <w:numId w:val="23"/>
        </w:numPr>
        <w:tabs>
          <w:tab w:pos="1659" w:val="left" w:leader="none"/>
          <w:tab w:pos="1660" w:val="left" w:leader="none"/>
          <w:tab w:pos="2259" w:val="left" w:leader="none"/>
          <w:tab w:pos="2979" w:val="left" w:leader="none"/>
        </w:tabs>
        <w:spacing w:line="240" w:lineRule="auto" w:before="202" w:after="0"/>
        <w:ind w:left="1300" w:right="0" w:firstLine="0"/>
        <w:jc w:val="left"/>
        <w:rPr>
          <w:sz w:val="24"/>
        </w:rPr>
      </w:pPr>
      <w:r>
        <w:rPr>
          <w:strike/>
          <w:color w:val="2E97D3"/>
          <w:w w:val="100"/>
          <w:sz w:val="24"/>
        </w:rPr>
        <w:t> </w:t>
      </w:r>
      <w:r>
        <w:rPr>
          <w:strike/>
          <w:color w:val="2E97D3"/>
          <w:sz w:val="24"/>
        </w:rPr>
        <w:tab/>
        <w:t>a.</w:t>
        <w:tab/>
      </w:r>
      <w:r>
        <w:rPr>
          <w:strike w:val="0"/>
          <w:sz w:val="24"/>
        </w:rPr>
        <w:t>Reserve for economic</w:t>
      </w:r>
      <w:r>
        <w:rPr>
          <w:strike w:val="0"/>
          <w:spacing w:val="-34"/>
          <w:sz w:val="24"/>
        </w:rPr>
        <w:t> </w:t>
      </w:r>
      <w:r>
        <w:rPr>
          <w:strike w:val="0"/>
          <w:sz w:val="24"/>
        </w:rPr>
        <w:t>uncertainties.</w:t>
      </w:r>
    </w:p>
    <w:p>
      <w:pPr>
        <w:pStyle w:val="ListParagraph"/>
        <w:numPr>
          <w:ilvl w:val="1"/>
          <w:numId w:val="23"/>
        </w:numPr>
        <w:tabs>
          <w:tab w:pos="1659" w:val="left" w:leader="none"/>
          <w:tab w:pos="1660" w:val="left" w:leader="none"/>
          <w:tab w:pos="2259" w:val="left" w:leader="none"/>
          <w:tab w:pos="2979" w:val="left" w:leader="none"/>
        </w:tabs>
        <w:spacing w:line="240" w:lineRule="auto" w:before="197" w:after="0"/>
        <w:ind w:left="1300" w:right="406" w:firstLine="0"/>
        <w:jc w:val="left"/>
        <w:rPr>
          <w:sz w:val="24"/>
        </w:rPr>
      </w:pPr>
      <w:r>
        <w:rPr/>
        <w:pict>
          <v:line style="position:absolute;mso-position-horizontal-relative:page;mso-position-vertical-relative:paragraph;z-index:-460552" from="373.559998pt,18.285856pt" to="376.919998pt,18.285856pt" stroked="true" strokeweight=".6pt" strokecolor="#2e97d3">
            <v:stroke dashstyle="solid"/>
            <w10:wrap type="none"/>
          </v:line>
        </w:pict>
      </w:r>
      <w:r>
        <w:rPr>
          <w:strike/>
          <w:color w:val="2E97D3"/>
          <w:w w:val="100"/>
          <w:sz w:val="24"/>
        </w:rPr>
        <w:t> </w:t>
      </w:r>
      <w:r>
        <w:rPr>
          <w:strike/>
          <w:color w:val="2E97D3"/>
          <w:sz w:val="24"/>
        </w:rPr>
        <w:tab/>
        <w:t>b.</w:t>
        <w:tab/>
      </w:r>
      <w:r>
        <w:rPr>
          <w:strike w:val="0"/>
          <w:sz w:val="24"/>
        </w:rPr>
        <w:t>Other reserves as appropriate – (e.g</w:t>
      </w:r>
      <w:r>
        <w:rPr>
          <w:strike w:val="0"/>
          <w:color w:val="2E97D3"/>
          <w:sz w:val="24"/>
        </w:rPr>
        <w:t>.</w:t>
      </w:r>
      <w:r>
        <w:rPr>
          <w:strike w:val="0"/>
          <w:color w:val="2E97D3"/>
          <w:sz w:val="24"/>
          <w:u w:val="single" w:color="2E97D3"/>
        </w:rPr>
        <w:t>., </w:t>
      </w:r>
      <w:r>
        <w:rPr>
          <w:strike w:val="0"/>
          <w:sz w:val="24"/>
        </w:rPr>
        <w:t>unencumbered</w:t>
      </w:r>
      <w:r>
        <w:rPr>
          <w:strike w:val="0"/>
          <w:spacing w:val="-30"/>
          <w:sz w:val="24"/>
        </w:rPr>
        <w:t> </w:t>
      </w:r>
      <w:r>
        <w:rPr>
          <w:strike w:val="0"/>
          <w:sz w:val="24"/>
        </w:rPr>
        <w:t>balance</w:t>
      </w:r>
      <w:r>
        <w:rPr>
          <w:strike w:val="0"/>
          <w:spacing w:val="-5"/>
          <w:sz w:val="24"/>
        </w:rPr>
        <w:t> </w:t>
      </w:r>
      <w:r>
        <w:rPr>
          <w:strike w:val="0"/>
          <w:sz w:val="24"/>
        </w:rPr>
        <w:t>of</w:t>
      </w:r>
      <w:r>
        <w:rPr>
          <w:strike w:val="0"/>
          <w:w w:val="100"/>
          <w:sz w:val="24"/>
        </w:rPr>
        <w:t> </w:t>
      </w:r>
      <w:r>
        <w:rPr>
          <w:strike w:val="0"/>
          <w:sz w:val="24"/>
        </w:rPr>
        <w:t>continuing</w:t>
      </w:r>
      <w:r>
        <w:rPr>
          <w:strike w:val="0"/>
          <w:spacing w:val="-15"/>
          <w:sz w:val="24"/>
        </w:rPr>
        <w:t> </w:t>
      </w:r>
      <w:r>
        <w:rPr>
          <w:strike w:val="0"/>
          <w:sz w:val="24"/>
        </w:rPr>
        <w:t>appropriations).</w:t>
      </w:r>
    </w:p>
    <w:p>
      <w:pPr>
        <w:pStyle w:val="BodyText"/>
        <w:spacing w:before="8"/>
        <w:rPr>
          <w:sz w:val="36"/>
        </w:rPr>
      </w:pPr>
    </w:p>
    <w:p>
      <w:pPr>
        <w:pStyle w:val="BodyText"/>
        <w:ind w:left="940" w:right="113"/>
        <w:jc w:val="both"/>
      </w:pPr>
      <w:r>
        <w:rPr/>
        <w:pict>
          <v:line style="position:absolute;mso-position-horizontal-relative:page;mso-position-vertical-relative:paragraph;z-index:12208" from="36.360001pt,.216856pt" to="36.360001pt,69.215856pt" stroked="true" strokeweight=".72pt" strokecolor="#000000">
            <v:stroke dashstyle="solid"/>
            <w10:wrap type="none"/>
          </v:line>
        </w:pict>
      </w:r>
      <w:r>
        <w:rPr/>
        <w:t>The Fund Condition Statement printed in the previous </w:t>
      </w:r>
      <w:r>
        <w:rPr>
          <w:b/>
          <w:strike/>
          <w:color w:val="2E97D3"/>
        </w:rPr>
        <w:t>Governor's</w:t>
      </w:r>
      <w:r>
        <w:rPr>
          <w:strike w:val="0"/>
          <w:color w:val="2E97D3"/>
          <w:u w:val="single" w:color="2E97D3"/>
        </w:rPr>
        <w:t>Enacted </w:t>
      </w:r>
      <w:r>
        <w:rPr>
          <w:strike w:val="0"/>
        </w:rPr>
        <w:t>Budget should</w:t>
      </w:r>
      <w:r>
        <w:rPr>
          <w:strike w:val="0"/>
          <w:spacing w:val="-17"/>
        </w:rPr>
        <w:t> </w:t>
      </w:r>
      <w:r>
        <w:rPr>
          <w:strike w:val="0"/>
        </w:rPr>
        <w:t>always</w:t>
      </w:r>
      <w:r>
        <w:rPr>
          <w:strike w:val="0"/>
          <w:spacing w:val="-16"/>
        </w:rPr>
        <w:t> </w:t>
      </w:r>
      <w:r>
        <w:rPr>
          <w:strike w:val="0"/>
        </w:rPr>
        <w:t>be</w:t>
      </w:r>
      <w:r>
        <w:rPr>
          <w:strike w:val="0"/>
          <w:spacing w:val="-15"/>
        </w:rPr>
        <w:t> </w:t>
      </w:r>
      <w:r>
        <w:rPr>
          <w:strike w:val="0"/>
        </w:rPr>
        <w:t>reviewed</w:t>
      </w:r>
      <w:r>
        <w:rPr>
          <w:strike w:val="0"/>
          <w:spacing w:val="-15"/>
        </w:rPr>
        <w:t> </w:t>
      </w:r>
      <w:r>
        <w:rPr>
          <w:strike w:val="0"/>
        </w:rPr>
        <w:t>before</w:t>
      </w:r>
      <w:r>
        <w:rPr>
          <w:strike w:val="0"/>
          <w:spacing w:val="-17"/>
        </w:rPr>
        <w:t> </w:t>
      </w:r>
      <w:r>
        <w:rPr>
          <w:strike w:val="0"/>
        </w:rPr>
        <w:t>preparation</w:t>
      </w:r>
      <w:r>
        <w:rPr>
          <w:strike w:val="0"/>
          <w:spacing w:val="-17"/>
        </w:rPr>
        <w:t> </w:t>
      </w:r>
      <w:r>
        <w:rPr>
          <w:strike w:val="0"/>
        </w:rPr>
        <w:t>of</w:t>
      </w:r>
      <w:r>
        <w:rPr>
          <w:strike w:val="0"/>
          <w:spacing w:val="-15"/>
        </w:rPr>
        <w:t> </w:t>
      </w:r>
      <w:r>
        <w:rPr>
          <w:strike w:val="0"/>
        </w:rPr>
        <w:t>the</w:t>
      </w:r>
      <w:r>
        <w:rPr>
          <w:strike w:val="0"/>
          <w:spacing w:val="-15"/>
        </w:rPr>
        <w:t> </w:t>
      </w:r>
      <w:r>
        <w:rPr>
          <w:strike w:val="0"/>
        </w:rPr>
        <w:t>new</w:t>
      </w:r>
      <w:r>
        <w:rPr>
          <w:strike w:val="0"/>
          <w:spacing w:val="-19"/>
        </w:rPr>
        <w:t> </w:t>
      </w:r>
      <w:r>
        <w:rPr>
          <w:b/>
          <w:strike/>
          <w:color w:val="2E97D3"/>
        </w:rPr>
        <w:t>statement.</w:t>
      </w:r>
      <w:r>
        <w:rPr>
          <w:b/>
          <w:strike/>
          <w:color w:val="2E97D3"/>
          <w:spacing w:val="35"/>
        </w:rPr>
        <w:t> </w:t>
      </w:r>
      <w:r>
        <w:rPr>
          <w:b/>
          <w:strike/>
          <w:color w:val="2E97D3"/>
        </w:rPr>
        <w:t>The</w:t>
      </w:r>
      <w:r>
        <w:rPr>
          <w:b/>
          <w:strike/>
          <w:color w:val="2E97D3"/>
          <w:spacing w:val="-17"/>
        </w:rPr>
        <w:t> </w:t>
      </w:r>
      <w:r>
        <w:rPr>
          <w:b/>
          <w:strike/>
          <w:color w:val="2E97D3"/>
        </w:rPr>
        <w:t>starting</w:t>
      </w:r>
      <w:r>
        <w:rPr>
          <w:strike w:val="0"/>
          <w:color w:val="2E97D3"/>
          <w:u w:val="single" w:color="2E97D3"/>
        </w:rPr>
        <w:t>Fund Condition</w:t>
      </w:r>
      <w:r>
        <w:rPr>
          <w:strike w:val="0"/>
          <w:color w:val="2E97D3"/>
          <w:spacing w:val="-14"/>
          <w:u w:val="single" w:color="2E97D3"/>
        </w:rPr>
        <w:t> </w:t>
      </w:r>
      <w:r>
        <w:rPr>
          <w:strike w:val="0"/>
          <w:color w:val="2E97D3"/>
          <w:u w:val="single" w:color="2E97D3"/>
        </w:rPr>
        <w:t>Statement.</w:t>
      </w:r>
      <w:r>
        <w:rPr>
          <w:strike w:val="0"/>
          <w:color w:val="2E97D3"/>
          <w:spacing w:val="-12"/>
          <w:u w:val="single" w:color="2E97D3"/>
        </w:rPr>
        <w:t> </w:t>
      </w:r>
      <w:r>
        <w:rPr>
          <w:strike w:val="0"/>
          <w:color w:val="2E97D3"/>
          <w:u w:val="single" w:color="2E97D3"/>
        </w:rPr>
        <w:t>As</w:t>
      </w:r>
      <w:r>
        <w:rPr>
          <w:strike w:val="0"/>
          <w:color w:val="2E97D3"/>
          <w:spacing w:val="-13"/>
          <w:u w:val="single" w:color="2E97D3"/>
        </w:rPr>
        <w:t> </w:t>
      </w:r>
      <w:r>
        <w:rPr>
          <w:strike w:val="0"/>
          <w:color w:val="2E97D3"/>
          <w:u w:val="single" w:color="2E97D3"/>
        </w:rPr>
        <w:t>noted</w:t>
      </w:r>
      <w:r>
        <w:rPr>
          <w:strike w:val="0"/>
          <w:color w:val="2E97D3"/>
          <w:spacing w:val="-14"/>
          <w:u w:val="single" w:color="2E97D3"/>
        </w:rPr>
        <w:t> </w:t>
      </w:r>
      <w:r>
        <w:rPr>
          <w:strike w:val="0"/>
          <w:color w:val="2E97D3"/>
          <w:u w:val="single" w:color="2E97D3"/>
        </w:rPr>
        <w:t>above,</w:t>
      </w:r>
      <w:r>
        <w:rPr>
          <w:strike w:val="0"/>
          <w:color w:val="2E97D3"/>
          <w:spacing w:val="-14"/>
          <w:u w:val="single" w:color="2E97D3"/>
        </w:rPr>
        <w:t> </w:t>
      </w:r>
      <w:r>
        <w:rPr>
          <w:strike w:val="0"/>
          <w:color w:val="2E97D3"/>
          <w:u w:val="single" w:color="2E97D3"/>
        </w:rPr>
        <w:t>the</w:t>
      </w:r>
      <w:r>
        <w:rPr>
          <w:strike w:val="0"/>
          <w:color w:val="2E97D3"/>
          <w:spacing w:val="-16"/>
          <w:u w:val="single" w:color="2E97D3"/>
        </w:rPr>
        <w:t> </w:t>
      </w:r>
      <w:r>
        <w:rPr>
          <w:strike w:val="0"/>
          <w:color w:val="2E97D3"/>
          <w:u w:val="single" w:color="2E97D3"/>
        </w:rPr>
        <w:t>beginning</w:t>
      </w:r>
      <w:r>
        <w:rPr>
          <w:strike w:val="0"/>
          <w:color w:val="2E97D3"/>
          <w:spacing w:val="-17"/>
          <w:u w:val="single" w:color="2E97D3"/>
        </w:rPr>
        <w:t> </w:t>
      </w:r>
      <w:r>
        <w:rPr>
          <w:strike w:val="0"/>
        </w:rPr>
        <w:t>fund</w:t>
      </w:r>
      <w:r>
        <w:rPr>
          <w:strike w:val="0"/>
          <w:spacing w:val="-14"/>
        </w:rPr>
        <w:t> </w:t>
      </w:r>
      <w:r>
        <w:rPr>
          <w:strike w:val="0"/>
        </w:rPr>
        <w:t>balance</w:t>
      </w:r>
      <w:r>
        <w:rPr>
          <w:strike w:val="0"/>
          <w:spacing w:val="-14"/>
        </w:rPr>
        <w:t> </w:t>
      </w:r>
      <w:r>
        <w:rPr>
          <w:strike w:val="0"/>
        </w:rPr>
        <w:t>for</w:t>
      </w:r>
      <w:r>
        <w:rPr>
          <w:strike w:val="0"/>
          <w:spacing w:val="-16"/>
        </w:rPr>
        <w:t> </w:t>
      </w:r>
      <w:r>
        <w:rPr>
          <w:strike w:val="0"/>
        </w:rPr>
        <w:t>the</w:t>
      </w:r>
      <w:r>
        <w:rPr>
          <w:strike w:val="0"/>
          <w:spacing w:val="-14"/>
        </w:rPr>
        <w:t> </w:t>
      </w:r>
      <w:r>
        <w:rPr>
          <w:strike w:val="0"/>
        </w:rPr>
        <w:t>past</w:t>
      </w:r>
      <w:r>
        <w:rPr>
          <w:strike w:val="0"/>
          <w:spacing w:val="-12"/>
        </w:rPr>
        <w:t> </w:t>
      </w:r>
      <w:r>
        <w:rPr>
          <w:strike w:val="0"/>
        </w:rPr>
        <w:t>year</w:t>
      </w:r>
      <w:r>
        <w:rPr>
          <w:strike w:val="0"/>
          <w:spacing w:val="-16"/>
        </w:rPr>
        <w:t> </w:t>
      </w:r>
      <w:r>
        <w:rPr>
          <w:strike w:val="0"/>
        </w:rPr>
        <w:t>must agree with the ending fund balance for the past year as shown in the </w:t>
      </w:r>
      <w:r>
        <w:rPr>
          <w:strike w:val="0"/>
          <w:color w:val="2E97D3"/>
          <w:u w:val="single" w:color="2E97D3"/>
        </w:rPr>
        <w:t>Fund Condition Statement published in the </w:t>
      </w:r>
      <w:r>
        <w:rPr>
          <w:strike w:val="0"/>
        </w:rPr>
        <w:t>previous </w:t>
      </w:r>
      <w:r>
        <w:rPr>
          <w:b/>
          <w:strike/>
          <w:color w:val="2E97D3"/>
        </w:rPr>
        <w:t>Governor's</w:t>
      </w:r>
      <w:r>
        <w:rPr>
          <w:strike w:val="0"/>
          <w:color w:val="2E97D3"/>
          <w:u w:val="single" w:color="2E97D3"/>
        </w:rPr>
        <w:t>Enacted </w:t>
      </w:r>
      <w:r>
        <w:rPr>
          <w:strike w:val="0"/>
        </w:rPr>
        <w:t>Budget</w:t>
      </w:r>
      <w:r>
        <w:rPr>
          <w:strike w:val="0"/>
          <w:spacing w:val="-36"/>
        </w:rPr>
        <w:t> </w:t>
      </w:r>
      <w:r>
        <w:rPr>
          <w:strike w:val="0"/>
          <w:color w:val="2E97D3"/>
          <w:u w:val="single" w:color="2E97D3"/>
        </w:rPr>
        <w:t>display</w:t>
      </w:r>
      <w:r>
        <w:rPr>
          <w:strike w:val="0"/>
        </w:rPr>
        <w:t>.</w:t>
      </w:r>
    </w:p>
    <w:p>
      <w:pPr>
        <w:pStyle w:val="BodyText"/>
        <w:spacing w:before="182"/>
        <w:ind w:left="940" w:right="113"/>
        <w:jc w:val="both"/>
      </w:pPr>
      <w:r>
        <w:rPr/>
        <w:pict>
          <v:line style="position:absolute;mso-position-horizontal-relative:page;mso-position-vertical-relative:paragraph;z-index:-460528" from="486.600006pt,32.295860pt" to="489.359006pt,32.295860pt" stroked="true" strokeweight=".36pt" strokecolor="#2e97d3">
            <v:stroke dashstyle="solid"/>
            <w10:wrap type="none"/>
          </v:line>
        </w:pict>
      </w:r>
      <w:r>
        <w:rPr/>
        <w:pict>
          <v:line style="position:absolute;mso-position-horizontal-relative:page;mso-position-vertical-relative:paragraph;z-index:12232" from="36.360001pt,23.11586pt" to="36.360001pt,98.11586pt" stroked="true" strokeweight=".72pt" strokecolor="#000000">
            <v:stroke dashstyle="solid"/>
            <w10:wrap type="none"/>
          </v:line>
        </w:pict>
      </w:r>
      <w:r>
        <w:rPr/>
        <w:t>The department's year-end accounting reports should provide most of the information needed to prepare the past year portion of the Fund Condition Statement. However, when</w:t>
      </w:r>
      <w:r>
        <w:rPr>
          <w:spacing w:val="-18"/>
        </w:rPr>
        <w:t> </w:t>
      </w:r>
      <w:r>
        <w:rPr/>
        <w:t>there</w:t>
      </w:r>
      <w:r>
        <w:rPr>
          <w:spacing w:val="-18"/>
        </w:rPr>
        <w:t> </w:t>
      </w:r>
      <w:r>
        <w:rPr/>
        <w:t>are</w:t>
      </w:r>
      <w:r>
        <w:rPr>
          <w:spacing w:val="-18"/>
        </w:rPr>
        <w:t> </w:t>
      </w:r>
      <w:r>
        <w:rPr>
          <w:rFonts w:ascii="Times New Roman"/>
          <w:b/>
          <w:strike/>
          <w:color w:val="2E97D3"/>
          <w:sz w:val="16"/>
        </w:rPr>
        <w:t>discrepancies</w:t>
      </w:r>
      <w:r>
        <w:rPr>
          <w:strike w:val="0"/>
          <w:color w:val="2E97D3"/>
          <w:u w:val="single" w:color="2E97D3"/>
        </w:rPr>
        <w:t>acceptable</w:t>
      </w:r>
      <w:r>
        <w:rPr>
          <w:strike w:val="0"/>
          <w:color w:val="2E97D3"/>
          <w:spacing w:val="-18"/>
          <w:u w:val="single" w:color="2E97D3"/>
        </w:rPr>
        <w:t> </w:t>
      </w:r>
      <w:r>
        <w:rPr>
          <w:strike w:val="0"/>
          <w:color w:val="2E97D3"/>
          <w:u w:val="single" w:color="2E97D3"/>
        </w:rPr>
        <w:t>and</w:t>
      </w:r>
      <w:r>
        <w:rPr>
          <w:strike w:val="0"/>
          <w:color w:val="2E97D3"/>
          <w:spacing w:val="-18"/>
          <w:u w:val="single" w:color="2E97D3"/>
        </w:rPr>
        <w:t> </w:t>
      </w:r>
      <w:r>
        <w:rPr>
          <w:strike w:val="0"/>
          <w:color w:val="2E97D3"/>
          <w:u w:val="single" w:color="2E97D3"/>
        </w:rPr>
        <w:t>reconcilable</w:t>
      </w:r>
      <w:r>
        <w:rPr>
          <w:strike w:val="0"/>
          <w:color w:val="2E97D3"/>
          <w:spacing w:val="-18"/>
          <w:u w:val="single" w:color="2E97D3"/>
        </w:rPr>
        <w:t> </w:t>
      </w:r>
      <w:r>
        <w:rPr>
          <w:strike w:val="0"/>
          <w:color w:val="2E97D3"/>
          <w:u w:val="single" w:color="2E97D3"/>
        </w:rPr>
        <w:t>differences</w:t>
      </w:r>
      <w:r>
        <w:rPr>
          <w:strike w:val="0"/>
          <w:color w:val="2E97D3"/>
          <w:spacing w:val="-19"/>
          <w:u w:val="single" w:color="2E97D3"/>
        </w:rPr>
        <w:t> </w:t>
      </w:r>
      <w:r>
        <w:rPr>
          <w:strike w:val="0"/>
        </w:rPr>
        <w:t>between</w:t>
      </w:r>
      <w:r>
        <w:rPr>
          <w:strike w:val="0"/>
          <w:spacing w:val="-18"/>
        </w:rPr>
        <w:t> </w:t>
      </w:r>
      <w:r>
        <w:rPr>
          <w:strike w:val="0"/>
        </w:rPr>
        <w:t>budgeting</w:t>
      </w:r>
      <w:r>
        <w:rPr>
          <w:strike w:val="0"/>
          <w:spacing w:val="-20"/>
        </w:rPr>
        <w:t> </w:t>
      </w:r>
      <w:r>
        <w:rPr>
          <w:strike w:val="0"/>
        </w:rPr>
        <w:t>and accounting treatment of transactions, the budgeting treatment of the transactions </w:t>
      </w:r>
      <w:r>
        <w:rPr>
          <w:rFonts w:ascii="Times New Roman"/>
          <w:b/>
          <w:strike/>
          <w:color w:val="2E97D3"/>
          <w:sz w:val="16"/>
        </w:rPr>
        <w:t>should be</w:t>
      </w:r>
      <w:r>
        <w:rPr>
          <w:strike w:val="0"/>
          <w:color w:val="2E97D3"/>
          <w:u w:val="single" w:color="2E97D3"/>
        </w:rPr>
        <w:t>is </w:t>
      </w:r>
      <w:r>
        <w:rPr>
          <w:strike w:val="0"/>
        </w:rPr>
        <w:t>used to prepare the past year Fund Condition Statement. </w:t>
      </w:r>
      <w:r>
        <w:rPr>
          <w:strike w:val="0"/>
          <w:color w:val="2E97D3"/>
          <w:u w:val="single" w:color="2E97D3"/>
        </w:rPr>
        <w:t>Use the latest and best information in the Statement to facilitate best budget</w:t>
      </w:r>
      <w:r>
        <w:rPr>
          <w:strike w:val="0"/>
          <w:color w:val="2E97D3"/>
          <w:spacing w:val="-28"/>
          <w:u w:val="single" w:color="2E97D3"/>
        </w:rPr>
        <w:t> </w:t>
      </w:r>
      <w:r>
        <w:rPr>
          <w:strike w:val="0"/>
          <w:color w:val="2E97D3"/>
          <w:u w:val="single" w:color="2E97D3"/>
        </w:rPr>
        <w:t>decisions.</w:t>
      </w:r>
    </w:p>
    <w:p>
      <w:pPr>
        <w:spacing w:after="0"/>
        <w:jc w:val="both"/>
        <w:sectPr>
          <w:pgSz w:w="12240" w:h="15840"/>
          <w:pgMar w:header="724" w:footer="792" w:top="980" w:bottom="980" w:left="620" w:right="1320"/>
        </w:sectPr>
      </w:pPr>
    </w:p>
    <w:p>
      <w:pPr>
        <w:pStyle w:val="BodyText"/>
        <w:rPr>
          <w:sz w:val="20"/>
        </w:rPr>
      </w:pPr>
    </w:p>
    <w:p>
      <w:pPr>
        <w:tabs>
          <w:tab w:pos="8947" w:val="left" w:leader="none"/>
        </w:tabs>
        <w:spacing w:before="214"/>
        <w:ind w:left="119" w:right="0" w:firstLine="0"/>
        <w:jc w:val="left"/>
        <w:rPr>
          <w:b/>
          <w:sz w:val="24"/>
        </w:rPr>
      </w:pPr>
      <w:r>
        <w:rPr>
          <w:b/>
          <w:sz w:val="24"/>
        </w:rPr>
        <w:t>SUPPLEMENTARY SCHEDULE OF</w:t>
      </w:r>
      <w:r>
        <w:rPr>
          <w:b/>
          <w:spacing w:val="-14"/>
          <w:sz w:val="24"/>
        </w:rPr>
        <w:t> </w:t>
      </w:r>
      <w:r>
        <w:rPr>
          <w:b/>
          <w:sz w:val="24"/>
        </w:rPr>
        <w:t>APPROPRIATIONS—SCHEDULE</w:t>
      </w:r>
      <w:r>
        <w:rPr>
          <w:b/>
          <w:spacing w:val="-4"/>
          <w:sz w:val="24"/>
        </w:rPr>
        <w:t> </w:t>
      </w:r>
      <w:r>
        <w:rPr>
          <w:b/>
          <w:sz w:val="24"/>
        </w:rPr>
        <w:t>10</w:t>
        <w:tab/>
        <w:t>6484</w:t>
      </w:r>
    </w:p>
    <w:p>
      <w:pPr>
        <w:pStyle w:val="BodyText"/>
        <w:ind w:left="119"/>
      </w:pPr>
      <w:r>
        <w:rPr/>
        <w:t>(Revised 9/2010)</w:t>
      </w:r>
    </w:p>
    <w:p>
      <w:pPr>
        <w:pStyle w:val="BodyText"/>
      </w:pPr>
    </w:p>
    <w:p>
      <w:pPr>
        <w:pStyle w:val="BodyText"/>
        <w:ind w:left="119" w:right="214"/>
      </w:pPr>
      <w:r>
        <w:rPr/>
        <w:t>The Supplementary Schedule of Appropriations is a document that is essential to the budget process. As a source of verification, this schedule lists all appropriations and allocations of funds available for expenditure during each of the three fiscal years reported in the budget. It is used to schedule all spending authority, expenditures, savings, and carryovers for an item of appropriation whether they are budget act items or not. For each fiscal year, separate sets of schedules are prepared for state operations, local assistance, capital outlay, and unclassified budgets. The amounts, by fund and character, in the Schedule 10 must equal the corresponding amounts in the following documents:</w:t>
      </w:r>
    </w:p>
    <w:p>
      <w:pPr>
        <w:pStyle w:val="BodyText"/>
        <w:spacing w:before="4"/>
      </w:pPr>
    </w:p>
    <w:tbl>
      <w:tblPr>
        <w:tblW w:w="0" w:type="auto"/>
        <w:jc w:val="left"/>
        <w:tblInd w:w="78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4788"/>
        <w:gridCol w:w="3240"/>
      </w:tblGrid>
      <w:tr>
        <w:trPr>
          <w:trHeight w:val="590" w:hRule="exact"/>
        </w:trPr>
        <w:tc>
          <w:tcPr>
            <w:tcW w:w="4788" w:type="dxa"/>
            <w:tcBorders>
              <w:top w:val="nil"/>
              <w:left w:val="nil"/>
            </w:tcBorders>
          </w:tcPr>
          <w:p>
            <w:pPr>
              <w:pStyle w:val="TableParagraph"/>
              <w:spacing w:before="144"/>
              <w:ind w:left="105"/>
              <w:rPr>
                <w:sz w:val="24"/>
              </w:rPr>
            </w:pPr>
            <w:r>
              <w:rPr>
                <w:sz w:val="24"/>
              </w:rPr>
              <w:t>Detail of Appropriations and Adjustments</w:t>
            </w:r>
          </w:p>
        </w:tc>
        <w:tc>
          <w:tcPr>
            <w:tcW w:w="3240" w:type="dxa"/>
            <w:tcBorders>
              <w:top w:val="nil"/>
              <w:right w:val="nil"/>
            </w:tcBorders>
          </w:tcPr>
          <w:p>
            <w:pPr>
              <w:pStyle w:val="TableParagraph"/>
              <w:spacing w:before="144"/>
              <w:ind w:left="91"/>
              <w:rPr>
                <w:sz w:val="24"/>
              </w:rPr>
            </w:pPr>
            <w:r>
              <w:rPr>
                <w:sz w:val="24"/>
              </w:rPr>
              <w:t>SAM Section 6478</w:t>
            </w:r>
          </w:p>
        </w:tc>
      </w:tr>
      <w:tr>
        <w:trPr>
          <w:trHeight w:val="605" w:hRule="exact"/>
        </w:trPr>
        <w:tc>
          <w:tcPr>
            <w:tcW w:w="4788" w:type="dxa"/>
            <w:tcBorders>
              <w:left w:val="nil"/>
            </w:tcBorders>
          </w:tcPr>
          <w:p>
            <w:pPr>
              <w:pStyle w:val="TableParagraph"/>
              <w:spacing w:before="147"/>
              <w:ind w:left="105"/>
              <w:rPr>
                <w:sz w:val="24"/>
              </w:rPr>
            </w:pPr>
            <w:r>
              <w:rPr>
                <w:sz w:val="24"/>
              </w:rPr>
              <w:t>Expenditures by Category</w:t>
            </w:r>
          </w:p>
        </w:tc>
        <w:tc>
          <w:tcPr>
            <w:tcW w:w="3240" w:type="dxa"/>
            <w:tcBorders>
              <w:right w:val="nil"/>
            </w:tcBorders>
          </w:tcPr>
          <w:p>
            <w:pPr>
              <w:pStyle w:val="TableParagraph"/>
              <w:spacing w:before="147"/>
              <w:ind w:left="91"/>
              <w:rPr>
                <w:sz w:val="24"/>
              </w:rPr>
            </w:pPr>
            <w:r>
              <w:rPr>
                <w:sz w:val="24"/>
              </w:rPr>
              <w:t>SAM Section 6475</w:t>
            </w:r>
          </w:p>
        </w:tc>
      </w:tr>
      <w:tr>
        <w:trPr>
          <w:trHeight w:val="593" w:hRule="exact"/>
        </w:trPr>
        <w:tc>
          <w:tcPr>
            <w:tcW w:w="4788" w:type="dxa"/>
            <w:tcBorders>
              <w:left w:val="nil"/>
              <w:bottom w:val="nil"/>
            </w:tcBorders>
          </w:tcPr>
          <w:p>
            <w:pPr>
              <w:pStyle w:val="TableParagraph"/>
              <w:spacing w:before="147"/>
              <w:ind w:left="105"/>
              <w:rPr>
                <w:sz w:val="24"/>
              </w:rPr>
            </w:pPr>
            <w:r>
              <w:rPr>
                <w:sz w:val="24"/>
              </w:rPr>
              <w:t>Three-Year Expenditures by Fund</w:t>
            </w:r>
          </w:p>
        </w:tc>
        <w:tc>
          <w:tcPr>
            <w:tcW w:w="3240" w:type="dxa"/>
            <w:tcBorders>
              <w:bottom w:val="nil"/>
              <w:right w:val="nil"/>
            </w:tcBorders>
          </w:tcPr>
          <w:p>
            <w:pPr>
              <w:pStyle w:val="TableParagraph"/>
              <w:spacing w:line="275" w:lineRule="exact" w:before="10"/>
              <w:ind w:left="91"/>
              <w:rPr>
                <w:sz w:val="24"/>
              </w:rPr>
            </w:pPr>
            <w:r>
              <w:rPr>
                <w:sz w:val="24"/>
              </w:rPr>
              <w:t>See Governor’s Budget</w:t>
            </w:r>
          </w:p>
          <w:p>
            <w:pPr>
              <w:pStyle w:val="TableParagraph"/>
              <w:spacing w:line="275" w:lineRule="exact"/>
              <w:ind w:left="91"/>
              <w:rPr>
                <w:i/>
                <w:sz w:val="24"/>
              </w:rPr>
            </w:pPr>
            <w:r>
              <w:rPr>
                <w:i/>
                <w:sz w:val="24"/>
              </w:rPr>
              <w:t>(departmental presentation)</w:t>
            </w:r>
          </w:p>
        </w:tc>
      </w:tr>
    </w:tbl>
    <w:p>
      <w:pPr>
        <w:pStyle w:val="BodyText"/>
        <w:rPr>
          <w:sz w:val="26"/>
        </w:rPr>
      </w:pPr>
    </w:p>
    <w:p>
      <w:pPr>
        <w:pStyle w:val="BodyText"/>
        <w:spacing w:before="7"/>
        <w:rPr>
          <w:sz w:val="21"/>
        </w:rPr>
      </w:pPr>
    </w:p>
    <w:p>
      <w:pPr>
        <w:pStyle w:val="BodyText"/>
        <w:ind w:left="120" w:right="130"/>
      </w:pPr>
      <w:r>
        <w:rPr/>
        <w:t>To aid in the development of the Governor's Budget, Finance provides departments with computer-generated Schedule 10s for the past, current, and budget years. Instructions are issued in Budget Letters used to transmit the Schedule 10s.  Finance will not provide Schedule 10s for new items of appropriation because data has not yet been entered in the appropriation database. In these instances, a Schedule 10 Missing Records Report, Form DF-38, needs to be prepared for the appropriation record to be established.</w:t>
      </w:r>
    </w:p>
    <w:p>
      <w:pPr>
        <w:spacing w:after="0"/>
        <w:sectPr>
          <w:footerReference w:type="default" r:id="rId88"/>
          <w:pgSz w:w="12240" w:h="15840"/>
          <w:pgMar w:footer="792" w:header="724" w:top="980" w:bottom="980" w:left="1320" w:right="1320"/>
        </w:sectPr>
      </w:pPr>
    </w:p>
    <w:p>
      <w:pPr>
        <w:pStyle w:val="BodyText"/>
        <w:rPr>
          <w:sz w:val="20"/>
        </w:rPr>
      </w:pPr>
    </w:p>
    <w:p>
      <w:pPr>
        <w:tabs>
          <w:tab w:pos="9647" w:val="left" w:leader="none"/>
        </w:tabs>
        <w:spacing w:before="214"/>
        <w:ind w:left="819" w:right="0" w:firstLine="0"/>
        <w:jc w:val="left"/>
        <w:rPr>
          <w:b/>
          <w:sz w:val="24"/>
        </w:rPr>
      </w:pPr>
      <w:r>
        <w:rPr/>
        <w:pict>
          <v:line style="position:absolute;mso-position-horizontal-relative:page;mso-position-vertical-relative:paragraph;z-index:12304" from="36.360001pt,24.714882pt" to="36.360001pt,38.515882pt" stroked="true" strokeweight=".72pt" strokecolor="#000000">
            <v:stroke dashstyle="solid"/>
            <w10:wrap type="none"/>
          </v:line>
        </w:pict>
      </w:r>
      <w:r>
        <w:rPr>
          <w:b/>
          <w:sz w:val="24"/>
        </w:rPr>
        <w:t>ADMINISTRATION OF THE</w:t>
      </w:r>
      <w:r>
        <w:rPr>
          <w:b/>
          <w:spacing w:val="-10"/>
          <w:sz w:val="24"/>
        </w:rPr>
        <w:t> </w:t>
      </w:r>
      <w:r>
        <w:rPr>
          <w:b/>
          <w:sz w:val="24"/>
        </w:rPr>
        <w:t>OPERATING</w:t>
      </w:r>
      <w:r>
        <w:rPr>
          <w:b/>
          <w:spacing w:val="-3"/>
          <w:sz w:val="24"/>
        </w:rPr>
        <w:t> </w:t>
      </w:r>
      <w:r>
        <w:rPr>
          <w:b/>
          <w:sz w:val="24"/>
        </w:rPr>
        <w:t>BUDGET</w:t>
        <w:tab/>
        <w:t>6500</w:t>
      </w:r>
    </w:p>
    <w:p>
      <w:pPr>
        <w:pStyle w:val="BodyText"/>
        <w:ind w:left="820"/>
      </w:pPr>
      <w:r>
        <w:rPr/>
        <w:t>(Revised </w:t>
      </w:r>
      <w:r>
        <w:rPr>
          <w:strike/>
          <w:color w:val="2E97D3"/>
        </w:rPr>
        <w:t>9/2010</w:t>
      </w:r>
      <w:r>
        <w:rPr>
          <w:strike w:val="0"/>
          <w:color w:val="2E97D3"/>
          <w:u w:val="single" w:color="2E97D3"/>
        </w:rPr>
        <w:t>10/2017</w:t>
      </w:r>
      <w:r>
        <w:rPr>
          <w:strike w:val="0"/>
        </w:rPr>
        <w:t>)</w:t>
      </w:r>
    </w:p>
    <w:p>
      <w:pPr>
        <w:pStyle w:val="BodyText"/>
        <w:spacing w:before="11"/>
        <w:rPr>
          <w:sz w:val="15"/>
        </w:rPr>
      </w:pPr>
    </w:p>
    <w:p>
      <w:pPr>
        <w:pStyle w:val="BodyText"/>
        <w:spacing w:before="92"/>
        <w:ind w:left="820"/>
      </w:pPr>
      <w:r>
        <w:rPr/>
        <w:pict>
          <v:line style="position:absolute;mso-position-horizontal-relative:page;mso-position-vertical-relative:paragraph;z-index:-460408" from="510.359985pt,26.835857pt" to="513.599985pt,26.835857pt" stroked="true" strokeweight=".6pt" strokecolor="#2e97d3">
            <v:stroke dashstyle="solid"/>
            <w10:wrap type="none"/>
          </v:line>
        </w:pict>
      </w:r>
      <w:r>
        <w:rPr/>
        <w:pict>
          <v:line style="position:absolute;mso-position-horizontal-relative:page;mso-position-vertical-relative:paragraph;z-index:12328" from="36.360001pt,18.615856pt" to="36.360001pt,46.215856pt" stroked="true" strokeweight=".72pt" strokecolor="#000000">
            <v:stroke dashstyle="solid"/>
            <w10:wrap type="none"/>
          </v:line>
        </w:pict>
      </w:r>
      <w:r>
        <w:rPr/>
        <w:t>The system for budget administration and control is provided in the State Constitution, Government Code provisions, and a number of control sections of the Budget Act. The system also adheres to the Attorney General’s opinions.</w:t>
      </w:r>
    </w:p>
    <w:p>
      <w:pPr>
        <w:pStyle w:val="BodyText"/>
        <w:spacing w:before="11"/>
        <w:rPr>
          <w:sz w:val="23"/>
        </w:rPr>
      </w:pPr>
    </w:p>
    <w:p>
      <w:pPr>
        <w:pStyle w:val="BodyText"/>
        <w:ind w:left="820" w:right="360"/>
      </w:pPr>
      <w:r>
        <w:rPr/>
        <w:pict>
          <v:line style="position:absolute;mso-position-horizontal-relative:page;mso-position-vertical-relative:paragraph;z-index:12352" from="36.360001pt,.214845pt" to="36.360001pt,14.015845pt" stroked="true" strokeweight=".72pt" strokecolor="#000000">
            <v:stroke dashstyle="solid"/>
            <w10:wrap type="none"/>
          </v:line>
        </w:pict>
      </w:r>
      <w:r>
        <w:rPr/>
        <w:pict>
          <v:line style="position:absolute;mso-position-horizontal-relative:page;mso-position-vertical-relative:paragraph;z-index:12376" from="36.360001pt,27.815845pt" to="36.360001pt,41.615845pt" stroked="true" strokeweight=".72pt" strokecolor="#000000">
            <v:stroke dashstyle="solid"/>
            <w10:wrap type="none"/>
          </v:line>
        </w:pict>
      </w:r>
      <w:r>
        <w:rPr/>
        <w:t>The operating budget is the total of all the expenditure authorizations provided by law. This includes the Budget Act, continuing or continuous authorizations provided by the </w:t>
      </w:r>
      <w:r>
        <w:rPr>
          <w:color w:val="2E97D3"/>
          <w:u w:val="single" w:color="2E97D3"/>
        </w:rPr>
        <w:t>State </w:t>
      </w:r>
      <w:r>
        <w:rPr/>
        <w:t>Constitution and statutory law, </w:t>
      </w:r>
      <w:r>
        <w:rPr>
          <w:color w:val="2E97D3"/>
          <w:u w:val="single" w:color="2E97D3"/>
        </w:rPr>
        <w:t>and </w:t>
      </w:r>
      <w:r>
        <w:rPr/>
        <w:t>separately enacted appropriation measures and initiatives.</w:t>
      </w:r>
    </w:p>
    <w:p>
      <w:pPr>
        <w:pStyle w:val="BodyText"/>
      </w:pPr>
    </w:p>
    <w:p>
      <w:pPr>
        <w:pStyle w:val="BodyText"/>
        <w:ind w:left="820" w:right="201"/>
      </w:pPr>
      <w:r>
        <w:rPr/>
        <w:pict>
          <v:line style="position:absolute;mso-position-horizontal-relative:page;mso-position-vertical-relative:paragraph;z-index:12400" from="36.360001pt,.215845pt" to="36.360001pt,110.615845pt" stroked="true" strokeweight=".72pt" strokecolor="#000000">
            <v:stroke dashstyle="solid"/>
            <w10:wrap type="none"/>
          </v:line>
        </w:pict>
      </w:r>
      <w:r>
        <w:rPr>
          <w:strike/>
          <w:color w:val="2E97D3"/>
        </w:rPr>
        <w:t>No single document is produced to represent a Final Budget. However, each year a Final Change Book, a publication that </w:t>
      </w:r>
      <w:r>
        <w:rPr>
          <w:strike w:val="0"/>
          <w:color w:val="2E97D3"/>
          <w:u w:val="single" w:color="2E97D3"/>
        </w:rPr>
        <w:t>The Department of Finance </w:t>
      </w:r>
      <w:r>
        <w:rPr>
          <w:strike w:val="0"/>
        </w:rPr>
        <w:t>provides </w:t>
      </w:r>
      <w:r>
        <w:rPr>
          <w:strike/>
          <w:color w:val="2E97D3"/>
        </w:rPr>
        <w:t>the </w:t>
      </w:r>
      <w:r>
        <w:rPr>
          <w:strike w:val="0"/>
          <w:color w:val="2E97D3"/>
          <w:u w:val="single" w:color="2E97D3"/>
        </w:rPr>
        <w:t>an Enacted Budget with departmental </w:t>
      </w:r>
      <w:r>
        <w:rPr>
          <w:strike w:val="0"/>
        </w:rPr>
        <w:t>details </w:t>
      </w:r>
      <w:r>
        <w:rPr>
          <w:strike/>
          <w:color w:val="2E97D3"/>
        </w:rPr>
        <w:t>of changes made</w:t>
      </w:r>
      <w:r>
        <w:rPr>
          <w:strike w:val="0"/>
          <w:color w:val="2E97D3"/>
          <w:u w:val="single" w:color="2E97D3"/>
        </w:rPr>
        <w:t>on its website </w:t>
      </w:r>
      <w:r>
        <w:rPr>
          <w:strike w:val="0"/>
        </w:rPr>
        <w:t>after </w:t>
      </w:r>
      <w:r>
        <w:rPr>
          <w:strike/>
          <w:color w:val="2E97D3"/>
        </w:rPr>
        <w:t>January Governor’s </w:t>
      </w:r>
      <w:r>
        <w:rPr>
          <w:strike w:val="0"/>
          <w:color w:val="2E97D3"/>
          <w:u w:val="single" w:color="2E97D3"/>
        </w:rPr>
        <w:t>the </w:t>
      </w:r>
      <w:r>
        <w:rPr>
          <w:strike w:val="0"/>
        </w:rPr>
        <w:t>Budget </w:t>
      </w:r>
      <w:r>
        <w:rPr>
          <w:strike/>
          <w:color w:val="2E97D3"/>
        </w:rPr>
        <w:t>and the Governor’s veto actions, is published</w:t>
      </w:r>
      <w:r>
        <w:rPr>
          <w:strike w:val="0"/>
          <w:color w:val="2E97D3"/>
          <w:u w:val="single" w:color="2E97D3"/>
        </w:rPr>
        <w:t>Bill is signed </w:t>
      </w:r>
      <w:r>
        <w:rPr>
          <w:strike w:val="0"/>
        </w:rPr>
        <w:t>by </w:t>
      </w:r>
      <w:r>
        <w:rPr>
          <w:strike/>
          <w:color w:val="2E97D3"/>
        </w:rPr>
        <w:t>Finance shortly after enactment of the Budget Act.  These changes are identified by item number. </w:t>
      </w:r>
      <w:r>
        <w:rPr>
          <w:strike w:val="0"/>
          <w:color w:val="2E97D3"/>
          <w:u w:val="single" w:color="2E97D3"/>
        </w:rPr>
        <w:t>the Governor. </w:t>
      </w:r>
      <w:r>
        <w:rPr>
          <w:strike w:val="0"/>
        </w:rPr>
        <w:t>Each department sets up its initial operating budget accounts based upon its portion of the </w:t>
      </w:r>
      <w:r>
        <w:rPr>
          <w:strike/>
          <w:color w:val="2E97D3"/>
        </w:rPr>
        <w:t>printed Governor's</w:t>
      </w:r>
      <w:r>
        <w:rPr>
          <w:strike w:val="0"/>
          <w:color w:val="2E97D3"/>
          <w:u w:val="single" w:color="2E97D3"/>
        </w:rPr>
        <w:t>Enacted </w:t>
      </w:r>
      <w:r>
        <w:rPr>
          <w:strike w:val="0"/>
        </w:rPr>
        <w:t>Budget</w:t>
      </w:r>
      <w:r>
        <w:rPr>
          <w:strike/>
          <w:color w:val="2E97D3"/>
        </w:rPr>
        <w:t>, the Budget Act </w:t>
      </w:r>
      <w:r>
        <w:rPr>
          <w:strike w:val="0"/>
        </w:rPr>
        <w:t>and the </w:t>
      </w:r>
      <w:r>
        <w:rPr>
          <w:strike/>
          <w:color w:val="2E97D3"/>
        </w:rPr>
        <w:t>Final Change Book.</w:t>
      </w:r>
      <w:r>
        <w:rPr>
          <w:strike w:val="0"/>
          <w:color w:val="2E97D3"/>
          <w:u w:val="single" w:color="2E97D3"/>
        </w:rPr>
        <w:t>Budget Act.</w:t>
      </w:r>
    </w:p>
    <w:p>
      <w:pPr>
        <w:pStyle w:val="BodyText"/>
        <w:spacing w:before="11"/>
        <w:rPr>
          <w:sz w:val="15"/>
        </w:rPr>
      </w:pPr>
    </w:p>
    <w:p>
      <w:pPr>
        <w:pStyle w:val="BodyText"/>
        <w:spacing w:before="92"/>
        <w:ind w:left="820" w:right="481"/>
      </w:pPr>
      <w:r>
        <w:rPr/>
        <w:pict>
          <v:line style="position:absolute;mso-position-horizontal-relative:page;mso-position-vertical-relative:paragraph;z-index:-460384" from="189.479996pt,40.636364pt" to="192.719996pt,40.636364pt" stroked="true" strokeweight=".599pt" strokecolor="#2e97d3">
            <v:stroke dashstyle="solid"/>
            <w10:wrap type="none"/>
          </v:line>
        </w:pict>
      </w:r>
      <w:r>
        <w:rPr/>
        <w:pict>
          <v:line style="position:absolute;mso-position-horizontal-relative:page;mso-position-vertical-relative:paragraph;z-index:12424" from="36.360001pt,4.815863pt" to="36.360001pt,18.615863pt" stroked="true" strokeweight=".72pt" strokecolor="#000000">
            <v:stroke dashstyle="solid"/>
            <w10:wrap type="none"/>
          </v:line>
        </w:pict>
      </w:r>
      <w:r>
        <w:rPr/>
        <w:pict>
          <v:line style="position:absolute;mso-position-horizontal-relative:page;mso-position-vertical-relative:paragraph;z-index:12448" from="36.360001pt,32.415863pt" to="36.360001pt,46.215863pt" stroked="true" strokeweight=".72pt" strokecolor="#000000">
            <v:stroke dashstyle="solid"/>
            <w10:wrap type="none"/>
          </v:line>
        </w:pict>
      </w:r>
      <w:r>
        <w:rPr/>
        <w:pict>
          <v:line style="position:absolute;mso-position-horizontal-relative:page;mso-position-vertical-relative:paragraph;z-index:12472" from="36.360001pt,60.014862pt" to="36.360001pt,83.175862pt" stroked="true" strokeweight=".72pt" strokecolor="#000000">
            <v:stroke dashstyle="solid"/>
            <w10:wrap type="none"/>
          </v:line>
        </w:pict>
      </w:r>
      <w:r>
        <w:rPr>
          <w:strike/>
          <w:color w:val="2E97D3"/>
        </w:rPr>
        <w:t>In large measure</w:t>
      </w:r>
      <w:r>
        <w:rPr>
          <w:strike w:val="0"/>
          <w:color w:val="2E97D3"/>
          <w:u w:val="single" w:color="2E97D3"/>
        </w:rPr>
        <w:t>In administering each department’s operating budget</w:t>
      </w:r>
      <w:r>
        <w:rPr>
          <w:strike w:val="0"/>
        </w:rPr>
        <w:t>, Finance has established a system of delegation of the approval authority for routine documents to the department head. Only those transactions which do not meet the criteria for delegation must be referred to Finance for budgetary approval.</w:t>
      </w:r>
    </w:p>
    <w:p>
      <w:pPr>
        <w:spacing w:after="0"/>
        <w:sectPr>
          <w:footerReference w:type="default" r:id="rId89"/>
          <w:pgSz w:w="12240" w:h="15840"/>
          <w:pgMar w:footer="792" w:header="724" w:top="980" w:bottom="980" w:left="620" w:right="1320"/>
        </w:sectPr>
      </w:pPr>
    </w:p>
    <w:p>
      <w:pPr>
        <w:pStyle w:val="BodyText"/>
        <w:spacing w:before="4"/>
        <w:rPr>
          <w:rFonts w:ascii="Times New Roman"/>
          <w:sz w:val="17"/>
        </w:rPr>
      </w:pPr>
      <w:r>
        <w:rPr/>
        <w:pict>
          <v:line style="position:absolute;mso-position-horizontal-relative:page;mso-position-vertical-relative:page;z-index:12496" from="36.360001pt,72pt" to="36.360001pt,97.92pt" stroked="true" strokeweight=".72pt" strokecolor="#000000">
            <v:stroke dashstyle="solid"/>
            <w10:wrap type="none"/>
          </v:line>
        </w:pict>
      </w:r>
    </w:p>
    <w:p>
      <w:pPr>
        <w:spacing w:after="0"/>
        <w:rPr>
          <w:rFonts w:ascii="Times New Roman"/>
          <w:sz w:val="17"/>
        </w:rPr>
        <w:sectPr>
          <w:pgSz w:w="12240" w:h="15840"/>
          <w:pgMar w:header="724" w:footer="792" w:top="980" w:bottom="980" w:left="620" w:right="1720"/>
        </w:sectPr>
      </w:pPr>
    </w:p>
    <w:p>
      <w:pPr>
        <w:pStyle w:val="BodyText"/>
        <w:spacing w:before="11"/>
        <w:rPr>
          <w:rFonts w:ascii="Times New Roman"/>
          <w:sz w:val="15"/>
        </w:rPr>
      </w:pPr>
    </w:p>
    <w:p>
      <w:pPr>
        <w:pStyle w:val="Heading2"/>
        <w:tabs>
          <w:tab w:pos="9587" w:val="left" w:leader="none"/>
        </w:tabs>
        <w:spacing w:before="92"/>
        <w:ind w:left="759"/>
      </w:pPr>
      <w:r>
        <w:rPr/>
        <w:pict>
          <v:line style="position:absolute;mso-position-horizontal-relative:page;mso-position-vertical-relative:paragraph;z-index:12568" from="33.360001pt,18.615854pt" to="33.360001pt,32.415854pt" stroked="true" strokeweight=".72pt" strokecolor="#000000">
            <v:stroke dashstyle="solid"/>
            <w10:wrap type="none"/>
          </v:line>
        </w:pict>
      </w:r>
      <w:r>
        <w:rPr/>
        <w:t>LEGAL BASIS FOR</w:t>
      </w:r>
      <w:r>
        <w:rPr>
          <w:spacing w:val="-7"/>
        </w:rPr>
        <w:t> </w:t>
      </w:r>
      <w:r>
        <w:rPr/>
        <w:t>BUDGETARY</w:t>
      </w:r>
      <w:r>
        <w:rPr>
          <w:spacing w:val="-5"/>
        </w:rPr>
        <w:t> </w:t>
      </w:r>
      <w:r>
        <w:rPr/>
        <w:t>CONTROL</w:t>
        <w:tab/>
        <w:t>6503</w:t>
      </w:r>
    </w:p>
    <w:p>
      <w:pPr>
        <w:pStyle w:val="BodyText"/>
        <w:ind w:left="760"/>
      </w:pPr>
      <w:r>
        <w:rPr/>
        <w:t>(Revised </w:t>
      </w:r>
      <w:r>
        <w:rPr>
          <w:strike/>
          <w:color w:val="2E97D3"/>
        </w:rPr>
        <w:t>9/2010</w:t>
      </w:r>
      <w:r>
        <w:rPr>
          <w:strike w:val="0"/>
          <w:color w:val="2E97D3"/>
          <w:u w:val="single" w:color="2E97D3"/>
        </w:rPr>
        <w:t>09/2017</w:t>
      </w:r>
      <w:r>
        <w:rPr>
          <w:strike w:val="0"/>
        </w:rPr>
        <w:t>)</w:t>
      </w:r>
    </w:p>
    <w:p>
      <w:pPr>
        <w:pStyle w:val="BodyText"/>
        <w:rPr>
          <w:sz w:val="16"/>
        </w:rPr>
      </w:pPr>
    </w:p>
    <w:p>
      <w:pPr>
        <w:pStyle w:val="BodyText"/>
        <w:spacing w:before="92"/>
        <w:ind w:left="760" w:right="214"/>
      </w:pPr>
      <w:r>
        <w:rPr/>
        <w:pict>
          <v:line style="position:absolute;mso-position-horizontal-relative:page;mso-position-vertical-relative:paragraph;z-index:-460144" from="165.479996pt,26.83633pt" to="168.839996pt,26.83633pt" stroked="true" strokeweight=".599pt" strokecolor="#2e97d3">
            <v:stroke dashstyle="solid"/>
            <w10:wrap type="none"/>
          </v:line>
        </w:pict>
      </w:r>
      <w:r>
        <w:rPr/>
        <w:pict>
          <v:line style="position:absolute;mso-position-horizontal-relative:page;mso-position-vertical-relative:paragraph;z-index:12592" from="33.360001pt,18.615829pt" to="33.360001pt,32.415829pt" stroked="true" strokeweight=".72pt" strokecolor="#000000">
            <v:stroke dashstyle="solid"/>
            <w10:wrap type="none"/>
          </v:line>
        </w:pict>
      </w:r>
      <w:r>
        <w:rPr/>
        <w:t>The following summaries are intended to serve as a guide to the applicable laws affecting budgetary control. Read the law, not the summary, for an accurate and complete understanding.</w:t>
      </w:r>
    </w:p>
    <w:p>
      <w:pPr>
        <w:pStyle w:val="BodyText"/>
        <w:spacing w:before="5"/>
        <w:rPr>
          <w:sz w:val="26"/>
        </w:rPr>
      </w:pPr>
    </w:p>
    <w:p>
      <w:pPr>
        <w:pStyle w:val="ListParagraph"/>
        <w:numPr>
          <w:ilvl w:val="0"/>
          <w:numId w:val="24"/>
        </w:numPr>
        <w:tabs>
          <w:tab w:pos="1240" w:val="left" w:leader="none"/>
        </w:tabs>
        <w:spacing w:line="240" w:lineRule="auto" w:before="0" w:after="0"/>
        <w:ind w:left="1240" w:right="0" w:hanging="360"/>
        <w:jc w:val="left"/>
        <w:rPr>
          <w:sz w:val="24"/>
        </w:rPr>
      </w:pPr>
      <w:r>
        <w:rPr/>
        <w:pict>
          <v:line style="position:absolute;mso-position-horizontal-relative:page;mso-position-vertical-relative:paragraph;z-index:12616" from="33.360001pt,.215876pt" to="33.360001pt,37.775876pt" stroked="true" strokeweight=".72pt" strokecolor="#000000">
            <v:stroke dashstyle="solid"/>
            <w10:wrap type="none"/>
          </v:line>
        </w:pict>
      </w:r>
      <w:r>
        <w:rPr>
          <w:strike/>
          <w:color w:val="2E97D3"/>
          <w:sz w:val="24"/>
        </w:rPr>
        <w:t>1.</w:t>
      </w:r>
      <w:r>
        <w:rPr>
          <w:strike/>
          <w:color w:val="2E97D3"/>
          <w:spacing w:val="-32"/>
          <w:sz w:val="24"/>
        </w:rPr>
        <w:t> </w:t>
      </w:r>
      <w:r>
        <w:rPr>
          <w:strike w:val="0"/>
          <w:sz w:val="24"/>
        </w:rPr>
        <w:t>Government</w:t>
      </w:r>
      <w:r>
        <w:rPr>
          <w:strike w:val="0"/>
          <w:spacing w:val="-4"/>
          <w:sz w:val="24"/>
        </w:rPr>
        <w:t> </w:t>
      </w:r>
      <w:r>
        <w:rPr>
          <w:strike w:val="0"/>
          <w:sz w:val="24"/>
        </w:rPr>
        <w:t>Code</w:t>
      </w:r>
      <w:r>
        <w:rPr>
          <w:strike w:val="0"/>
          <w:spacing w:val="-4"/>
          <w:sz w:val="24"/>
        </w:rPr>
        <w:t> </w:t>
      </w:r>
      <w:r>
        <w:rPr>
          <w:strike w:val="0"/>
          <w:sz w:val="24"/>
        </w:rPr>
        <w:t>provisions</w:t>
      </w:r>
      <w:r>
        <w:rPr>
          <w:strike w:val="0"/>
          <w:spacing w:val="-5"/>
          <w:sz w:val="24"/>
        </w:rPr>
        <w:t> </w:t>
      </w:r>
      <w:r>
        <w:rPr>
          <w:strike w:val="0"/>
          <w:sz w:val="24"/>
        </w:rPr>
        <w:t>relating</w:t>
      </w:r>
      <w:r>
        <w:rPr>
          <w:strike w:val="0"/>
          <w:spacing w:val="-5"/>
          <w:sz w:val="24"/>
        </w:rPr>
        <w:t> </w:t>
      </w:r>
      <w:r>
        <w:rPr>
          <w:strike w:val="0"/>
          <w:sz w:val="24"/>
        </w:rPr>
        <w:t>to</w:t>
      </w:r>
      <w:r>
        <w:rPr>
          <w:strike w:val="0"/>
          <w:spacing w:val="-5"/>
          <w:sz w:val="24"/>
        </w:rPr>
        <w:t> </w:t>
      </w:r>
      <w:r>
        <w:rPr>
          <w:strike w:val="0"/>
          <w:sz w:val="24"/>
        </w:rPr>
        <w:t>fiscal</w:t>
      </w:r>
      <w:r>
        <w:rPr>
          <w:strike w:val="0"/>
          <w:spacing w:val="-5"/>
          <w:sz w:val="24"/>
        </w:rPr>
        <w:t> </w:t>
      </w:r>
      <w:r>
        <w:rPr>
          <w:strike w:val="0"/>
          <w:sz w:val="24"/>
        </w:rPr>
        <w:t>year</w:t>
      </w:r>
      <w:r>
        <w:rPr>
          <w:strike w:val="0"/>
          <w:spacing w:val="-35"/>
          <w:sz w:val="24"/>
        </w:rPr>
        <w:t> </w:t>
      </w:r>
      <w:r>
        <w:rPr>
          <w:strike w:val="0"/>
          <w:sz w:val="24"/>
        </w:rPr>
        <w:t>budgets:</w:t>
      </w:r>
    </w:p>
    <w:p>
      <w:pPr>
        <w:pStyle w:val="BodyText"/>
        <w:spacing w:line="242" w:lineRule="auto" w:before="196"/>
        <w:ind w:left="1240" w:right="41"/>
      </w:pPr>
      <w:r>
        <w:rPr/>
        <w:t>Section </w:t>
      </w:r>
      <w:r>
        <w:rPr>
          <w:b/>
          <w:strike/>
          <w:color w:val="2E97D3"/>
          <w:u w:val="thick" w:color="2E97D3"/>
        </w:rPr>
        <w:t>13070</w:t>
      </w:r>
      <w:r>
        <w:rPr>
          <w:b/>
          <w:strike/>
          <w:color w:val="2E97D3"/>
        </w:rPr>
        <w:t>: Gives the</w:t>
      </w:r>
      <w:hyperlink r:id="rId90">
        <w:r>
          <w:rPr>
            <w:strike w:val="0"/>
            <w:color w:val="2E97D3"/>
            <w:u w:val="single" w:color="2E97D3"/>
          </w:rPr>
          <w:t>13070</w:t>
        </w:r>
      </w:hyperlink>
      <w:r>
        <w:rPr>
          <w:strike w:val="0"/>
          <w:color w:val="2E97D3"/>
          <w:u w:val="single" w:color="2E97D3"/>
        </w:rPr>
        <w:t>: Gives the Department of </w:t>
      </w:r>
      <w:r>
        <w:rPr>
          <w:strike w:val="0"/>
        </w:rPr>
        <w:t>Finance general powers of supervision over all matters concerning the financial and business policies of the state.</w:t>
      </w:r>
    </w:p>
    <w:p>
      <w:pPr>
        <w:pStyle w:val="BodyText"/>
        <w:spacing w:before="196"/>
        <w:ind w:left="1240" w:right="449"/>
        <w:jc w:val="both"/>
      </w:pPr>
      <w:r>
        <w:rPr/>
        <w:pict>
          <v:line style="position:absolute;mso-position-horizontal-relative:page;mso-position-vertical-relative:paragraph;z-index:12640" from="33.360001pt,6.175869pt" to="33.360001pt,23.695869pt" stroked="true" strokeweight=".72pt" strokecolor="#000000">
            <v:stroke dashstyle="solid"/>
            <w10:wrap type="none"/>
          </v:line>
        </w:pict>
      </w:r>
      <w:r>
        <w:rPr/>
        <w:t>Section </w:t>
      </w:r>
      <w:r>
        <w:rPr>
          <w:b/>
          <w:strike/>
          <w:color w:val="2E97D3"/>
          <w:u w:val="thick" w:color="2E97D3"/>
        </w:rPr>
        <w:t>13310</w:t>
      </w:r>
      <w:r>
        <w:rPr>
          <w:b/>
          <w:strike/>
          <w:color w:val="2E97D3"/>
        </w:rPr>
        <w:t>: </w:t>
      </w:r>
      <w:hyperlink r:id="rId91">
        <w:r>
          <w:rPr>
            <w:strike w:val="0"/>
            <w:color w:val="2E97D3"/>
            <w:u w:val="single" w:color="2E97D3"/>
          </w:rPr>
          <w:t>13310</w:t>
        </w:r>
      </w:hyperlink>
      <w:r>
        <w:rPr>
          <w:strike w:val="0"/>
          <w:color w:val="2E97D3"/>
          <w:u w:val="single" w:color="2E97D3"/>
        </w:rPr>
        <w:t>: </w:t>
      </w:r>
      <w:r>
        <w:rPr>
          <w:strike w:val="0"/>
        </w:rPr>
        <w:t>States that Finance sets statewide fiscal and accounting policies and procedures, and provides adequate fiscal and accounting training, advice,</w:t>
      </w:r>
      <w:r>
        <w:rPr>
          <w:strike w:val="0"/>
          <w:spacing w:val="-7"/>
        </w:rPr>
        <w:t> </w:t>
      </w:r>
      <w:r>
        <w:rPr>
          <w:strike w:val="0"/>
        </w:rPr>
        <w:t>and</w:t>
      </w:r>
      <w:r>
        <w:rPr>
          <w:strike w:val="0"/>
          <w:spacing w:val="-7"/>
        </w:rPr>
        <w:t> </w:t>
      </w:r>
      <w:r>
        <w:rPr>
          <w:strike w:val="0"/>
        </w:rPr>
        <w:t>consulting</w:t>
      </w:r>
      <w:r>
        <w:rPr>
          <w:strike w:val="0"/>
          <w:spacing w:val="-12"/>
        </w:rPr>
        <w:t> </w:t>
      </w:r>
      <w:r>
        <w:rPr>
          <w:strike w:val="0"/>
        </w:rPr>
        <w:t>services</w:t>
      </w:r>
      <w:r>
        <w:rPr>
          <w:strike w:val="0"/>
          <w:spacing w:val="-8"/>
        </w:rPr>
        <w:t> </w:t>
      </w:r>
      <w:r>
        <w:rPr>
          <w:strike w:val="0"/>
        </w:rPr>
        <w:t>to</w:t>
      </w:r>
      <w:r>
        <w:rPr>
          <w:strike w:val="0"/>
          <w:spacing w:val="-7"/>
        </w:rPr>
        <w:t> </w:t>
      </w:r>
      <w:r>
        <w:rPr>
          <w:strike w:val="0"/>
        </w:rPr>
        <w:t>any</w:t>
      </w:r>
      <w:r>
        <w:rPr>
          <w:strike w:val="0"/>
          <w:spacing w:val="-10"/>
        </w:rPr>
        <w:t> </w:t>
      </w:r>
      <w:r>
        <w:rPr>
          <w:strike w:val="0"/>
        </w:rPr>
        <w:t>state</w:t>
      </w:r>
      <w:r>
        <w:rPr>
          <w:strike w:val="0"/>
          <w:spacing w:val="-9"/>
        </w:rPr>
        <w:t> </w:t>
      </w:r>
      <w:r>
        <w:rPr>
          <w:strike w:val="0"/>
        </w:rPr>
        <w:t>agency</w:t>
      </w:r>
      <w:r>
        <w:rPr>
          <w:strike w:val="0"/>
          <w:spacing w:val="-10"/>
        </w:rPr>
        <w:t> </w:t>
      </w:r>
      <w:r>
        <w:rPr>
          <w:strike w:val="0"/>
        </w:rPr>
        <w:t>that</w:t>
      </w:r>
      <w:r>
        <w:rPr>
          <w:strike w:val="0"/>
          <w:spacing w:val="-7"/>
        </w:rPr>
        <w:t> </w:t>
      </w:r>
      <w:r>
        <w:rPr>
          <w:strike w:val="0"/>
        </w:rPr>
        <w:t>is</w:t>
      </w:r>
      <w:r>
        <w:rPr>
          <w:strike w:val="0"/>
          <w:spacing w:val="-10"/>
        </w:rPr>
        <w:t> </w:t>
      </w:r>
      <w:r>
        <w:rPr>
          <w:strike w:val="0"/>
        </w:rPr>
        <w:t>authorized</w:t>
      </w:r>
      <w:r>
        <w:rPr>
          <w:strike w:val="0"/>
          <w:spacing w:val="-7"/>
        </w:rPr>
        <w:t> </w:t>
      </w:r>
      <w:r>
        <w:rPr>
          <w:strike w:val="0"/>
        </w:rPr>
        <w:t>or</w:t>
      </w:r>
      <w:r>
        <w:rPr>
          <w:strike w:val="0"/>
          <w:spacing w:val="-11"/>
        </w:rPr>
        <w:t> </w:t>
      </w:r>
      <w:r>
        <w:rPr>
          <w:strike w:val="0"/>
        </w:rPr>
        <w:t>required</w:t>
      </w:r>
      <w:r>
        <w:rPr>
          <w:strike w:val="0"/>
          <w:spacing w:val="-7"/>
        </w:rPr>
        <w:t> </w:t>
      </w:r>
      <w:r>
        <w:rPr>
          <w:strike w:val="0"/>
        </w:rPr>
        <w:t>to handle public money or its</w:t>
      </w:r>
      <w:r>
        <w:rPr>
          <w:strike w:val="0"/>
          <w:spacing w:val="-21"/>
        </w:rPr>
        <w:t> </w:t>
      </w:r>
      <w:r>
        <w:rPr>
          <w:strike w:val="0"/>
        </w:rPr>
        <w:t>equivalent.</w:t>
      </w:r>
    </w:p>
    <w:p>
      <w:pPr>
        <w:pStyle w:val="BodyText"/>
        <w:spacing w:line="242" w:lineRule="auto" w:before="197"/>
        <w:ind w:left="1240" w:right="253"/>
      </w:pPr>
      <w:r>
        <w:rPr/>
        <w:pict>
          <v:line style="position:absolute;mso-position-horizontal-relative:page;mso-position-vertical-relative:paragraph;z-index:12664" from="33.360001pt,6.225856pt" to="33.360001pt,23.985856pt" stroked="true" strokeweight=".72pt" strokecolor="#000000">
            <v:stroke dashstyle="solid"/>
            <w10:wrap type="none"/>
          </v:line>
        </w:pict>
      </w:r>
      <w:r>
        <w:rPr>
          <w:b/>
          <w:strike/>
          <w:color w:val="2E97D3"/>
          <w:w w:val="100"/>
        </w:rPr>
        <w:t> </w:t>
      </w:r>
      <w:r>
        <w:rPr>
          <w:b/>
          <w:strike/>
          <w:color w:val="2E97D3"/>
        </w:rPr>
        <w:t>  </w:t>
      </w:r>
      <w:r>
        <w:rPr>
          <w:b/>
          <w:strike/>
          <w:color w:val="2E97D3"/>
          <w:spacing w:val="-27"/>
        </w:rPr>
        <w:t> </w:t>
      </w:r>
      <w:r>
        <w:rPr>
          <w:b/>
          <w:strike/>
          <w:color w:val="2E97D3"/>
        </w:rPr>
        <w:t>Section</w:t>
      </w:r>
      <w:r>
        <w:rPr>
          <w:b/>
          <w:strike/>
          <w:color w:val="2E97D3"/>
          <w:spacing w:val="-21"/>
        </w:rPr>
        <w:t> </w:t>
      </w:r>
      <w:r>
        <w:rPr>
          <w:b/>
          <w:strike/>
          <w:color w:val="2E97D3"/>
          <w:u w:val="thick" w:color="2E97D3"/>
        </w:rPr>
        <w:t>13320</w:t>
      </w:r>
      <w:r>
        <w:rPr>
          <w:b/>
          <w:strike/>
          <w:color w:val="2E97D3"/>
        </w:rPr>
        <w:t>:</w:t>
      </w:r>
      <w:r>
        <w:rPr>
          <w:b/>
          <w:strike/>
          <w:color w:val="2E97D3"/>
          <w:spacing w:val="-19"/>
        </w:rPr>
        <w:t> </w:t>
      </w:r>
      <w:r>
        <w:rPr>
          <w:strike w:val="0"/>
          <w:color w:val="2E97D3"/>
          <w:u w:val="single" w:color="2E97D3"/>
        </w:rPr>
        <w:t>Section</w:t>
      </w:r>
      <w:r>
        <w:rPr>
          <w:strike w:val="0"/>
          <w:color w:val="2E97D3"/>
          <w:spacing w:val="-17"/>
          <w:u w:val="single" w:color="2E97D3"/>
        </w:rPr>
        <w:t> </w:t>
      </w:r>
      <w:hyperlink r:id="rId92">
        <w:r>
          <w:rPr>
            <w:strike w:val="0"/>
            <w:color w:val="2E97D3"/>
            <w:u w:val="single" w:color="2E97D3"/>
          </w:rPr>
          <w:t>13320</w:t>
        </w:r>
      </w:hyperlink>
      <w:r>
        <w:rPr>
          <w:strike w:val="0"/>
          <w:color w:val="2E97D3"/>
          <w:u w:val="single" w:color="2E97D3"/>
        </w:rPr>
        <w:t>:</w:t>
      </w:r>
      <w:r>
        <w:rPr>
          <w:strike w:val="0"/>
          <w:color w:val="2E97D3"/>
          <w:spacing w:val="-20"/>
          <w:u w:val="single" w:color="2E97D3"/>
        </w:rPr>
        <w:t> </w:t>
      </w:r>
      <w:r>
        <w:rPr>
          <w:strike w:val="0"/>
        </w:rPr>
        <w:t>Every</w:t>
      </w:r>
      <w:r>
        <w:rPr>
          <w:strike w:val="0"/>
          <w:spacing w:val="-21"/>
        </w:rPr>
        <w:t> </w:t>
      </w:r>
      <w:r>
        <w:rPr>
          <w:strike w:val="0"/>
        </w:rPr>
        <w:t>agency</w:t>
      </w:r>
      <w:r>
        <w:rPr>
          <w:strike w:val="0"/>
          <w:spacing w:val="-18"/>
        </w:rPr>
        <w:t> </w:t>
      </w:r>
      <w:r>
        <w:rPr>
          <w:strike w:val="0"/>
        </w:rPr>
        <w:t>and</w:t>
      </w:r>
      <w:r>
        <w:rPr>
          <w:strike w:val="0"/>
          <w:spacing w:val="-17"/>
        </w:rPr>
        <w:t> </w:t>
      </w:r>
      <w:r>
        <w:rPr>
          <w:strike w:val="0"/>
        </w:rPr>
        <w:t>court</w:t>
      </w:r>
      <w:r>
        <w:rPr>
          <w:strike w:val="0"/>
          <w:spacing w:val="-22"/>
        </w:rPr>
        <w:t> </w:t>
      </w:r>
      <w:r>
        <w:rPr>
          <w:strike w:val="0"/>
        </w:rPr>
        <w:t>for</w:t>
      </w:r>
      <w:r>
        <w:rPr>
          <w:strike w:val="0"/>
          <w:spacing w:val="-21"/>
        </w:rPr>
        <w:t> </w:t>
      </w:r>
      <w:r>
        <w:rPr>
          <w:strike w:val="0"/>
        </w:rPr>
        <w:t>which</w:t>
      </w:r>
      <w:r>
        <w:rPr>
          <w:strike w:val="0"/>
          <w:spacing w:val="-17"/>
        </w:rPr>
        <w:t> </w:t>
      </w:r>
      <w:r>
        <w:rPr>
          <w:strike w:val="0"/>
        </w:rPr>
        <w:t>an</w:t>
      </w:r>
      <w:r>
        <w:rPr>
          <w:strike w:val="0"/>
          <w:spacing w:val="-21"/>
        </w:rPr>
        <w:t> </w:t>
      </w:r>
      <w:r>
        <w:rPr>
          <w:strike w:val="0"/>
        </w:rPr>
        <w:t>appropriation has been made is required to submit an operating budget for the fiscal</w:t>
      </w:r>
      <w:r>
        <w:rPr>
          <w:strike w:val="0"/>
          <w:spacing w:val="-39"/>
        </w:rPr>
        <w:t> </w:t>
      </w:r>
      <w:r>
        <w:rPr>
          <w:strike w:val="0"/>
        </w:rPr>
        <w:t>year.</w:t>
      </w:r>
    </w:p>
    <w:p>
      <w:pPr>
        <w:pStyle w:val="BodyText"/>
        <w:spacing w:before="194"/>
        <w:ind w:left="1240" w:right="287"/>
        <w:jc w:val="both"/>
      </w:pPr>
      <w:r>
        <w:rPr/>
        <w:pict>
          <v:line style="position:absolute;mso-position-horizontal-relative:page;mso-position-vertical-relative:paragraph;z-index:12688" from="33.360001pt,6.194858pt" to="33.360001pt,23.595858pt" stroked="true" strokeweight=".72pt" strokecolor="#000000">
            <v:stroke dashstyle="solid"/>
            <w10:wrap type="none"/>
          </v:line>
        </w:pict>
      </w:r>
      <w:r>
        <w:rPr>
          <w:b/>
          <w:strike/>
          <w:color w:val="2E97D3"/>
          <w:w w:val="100"/>
        </w:rPr>
        <w:t> </w:t>
      </w:r>
      <w:r>
        <w:rPr>
          <w:b/>
          <w:strike/>
          <w:color w:val="2E97D3"/>
        </w:rPr>
        <w:t>  </w:t>
      </w:r>
      <w:r>
        <w:rPr>
          <w:b/>
          <w:strike/>
          <w:color w:val="2E97D3"/>
          <w:spacing w:val="-27"/>
        </w:rPr>
        <w:t> </w:t>
      </w:r>
      <w:r>
        <w:rPr>
          <w:b/>
          <w:strike/>
          <w:color w:val="2E97D3"/>
        </w:rPr>
        <w:t>Section </w:t>
      </w:r>
      <w:r>
        <w:rPr>
          <w:b/>
          <w:strike/>
          <w:color w:val="2E97D3"/>
          <w:u w:val="thick" w:color="2E97D3"/>
        </w:rPr>
        <w:t>13321</w:t>
      </w:r>
      <w:r>
        <w:rPr>
          <w:b/>
          <w:strike/>
          <w:color w:val="2E97D3"/>
        </w:rPr>
        <w:t>: </w:t>
      </w:r>
      <w:r>
        <w:rPr>
          <w:strike w:val="0"/>
          <w:color w:val="2E97D3"/>
          <w:u w:val="single" w:color="2E97D3"/>
        </w:rPr>
        <w:t>Section </w:t>
      </w:r>
      <w:hyperlink r:id="rId93">
        <w:r>
          <w:rPr>
            <w:strike w:val="0"/>
            <w:color w:val="2E97D3"/>
            <w:u w:val="single" w:color="2E97D3"/>
          </w:rPr>
          <w:t>13321</w:t>
        </w:r>
      </w:hyperlink>
      <w:r>
        <w:rPr>
          <w:strike w:val="0"/>
          <w:color w:val="2E97D3"/>
          <w:u w:val="single" w:color="2E97D3"/>
        </w:rPr>
        <w:t>: </w:t>
      </w:r>
      <w:r>
        <w:rPr>
          <w:strike w:val="0"/>
        </w:rPr>
        <w:t>Prescribes that the operating budget documents display allotments of appropriations or other funds by quarter or other period of time and</w:t>
      </w:r>
      <w:r>
        <w:rPr>
          <w:strike w:val="0"/>
          <w:spacing w:val="-11"/>
        </w:rPr>
        <w:t> </w:t>
      </w:r>
      <w:r>
        <w:rPr>
          <w:strike w:val="0"/>
        </w:rPr>
        <w:t>by</w:t>
      </w:r>
      <w:r>
        <w:rPr>
          <w:strike w:val="0"/>
          <w:spacing w:val="-12"/>
        </w:rPr>
        <w:t> </w:t>
      </w:r>
      <w:r>
        <w:rPr>
          <w:strike w:val="0"/>
        </w:rPr>
        <w:t>organization</w:t>
      </w:r>
      <w:r>
        <w:rPr>
          <w:strike w:val="0"/>
          <w:spacing w:val="-9"/>
        </w:rPr>
        <w:t> </w:t>
      </w:r>
      <w:r>
        <w:rPr>
          <w:strike w:val="0"/>
        </w:rPr>
        <w:t>unit.</w:t>
      </w:r>
      <w:r>
        <w:rPr>
          <w:strike w:val="0"/>
          <w:spacing w:val="49"/>
        </w:rPr>
        <w:t> </w:t>
      </w:r>
      <w:r>
        <w:rPr>
          <w:strike w:val="0"/>
        </w:rPr>
        <w:t>Authorizes</w:t>
      </w:r>
      <w:r>
        <w:rPr>
          <w:strike w:val="0"/>
          <w:spacing w:val="-10"/>
        </w:rPr>
        <w:t> </w:t>
      </w:r>
      <w:r>
        <w:rPr>
          <w:strike w:val="0"/>
        </w:rPr>
        <w:t>Finance</w:t>
      </w:r>
      <w:r>
        <w:rPr>
          <w:strike w:val="0"/>
          <w:spacing w:val="-11"/>
        </w:rPr>
        <w:t> </w:t>
      </w:r>
      <w:r>
        <w:rPr>
          <w:strike w:val="0"/>
        </w:rPr>
        <w:t>to</w:t>
      </w:r>
      <w:r>
        <w:rPr>
          <w:strike w:val="0"/>
          <w:spacing w:val="-9"/>
        </w:rPr>
        <w:t> </w:t>
      </w:r>
      <w:r>
        <w:rPr>
          <w:strike w:val="0"/>
        </w:rPr>
        <w:t>require</w:t>
      </w:r>
      <w:r>
        <w:rPr>
          <w:strike w:val="0"/>
          <w:spacing w:val="-9"/>
        </w:rPr>
        <w:t> </w:t>
      </w:r>
      <w:r>
        <w:rPr>
          <w:strike w:val="0"/>
        </w:rPr>
        <w:t>a</w:t>
      </w:r>
      <w:r>
        <w:rPr>
          <w:strike w:val="0"/>
          <w:spacing w:val="-9"/>
        </w:rPr>
        <w:t> </w:t>
      </w:r>
      <w:r>
        <w:rPr>
          <w:strike w:val="0"/>
        </w:rPr>
        <w:t>state</w:t>
      </w:r>
      <w:r>
        <w:rPr>
          <w:strike w:val="0"/>
          <w:spacing w:val="-9"/>
        </w:rPr>
        <w:t> </w:t>
      </w:r>
      <w:r>
        <w:rPr>
          <w:strike w:val="0"/>
        </w:rPr>
        <w:t>agency</w:t>
      </w:r>
      <w:r>
        <w:rPr>
          <w:strike w:val="0"/>
          <w:spacing w:val="-12"/>
        </w:rPr>
        <w:t> </w:t>
      </w:r>
      <w:r>
        <w:rPr>
          <w:strike w:val="0"/>
        </w:rPr>
        <w:t>or</w:t>
      </w:r>
      <w:r>
        <w:rPr>
          <w:strike w:val="0"/>
          <w:spacing w:val="-11"/>
        </w:rPr>
        <w:t> </w:t>
      </w:r>
      <w:r>
        <w:rPr>
          <w:strike w:val="0"/>
        </w:rPr>
        <w:t>court</w:t>
      </w:r>
      <w:r>
        <w:rPr>
          <w:strike w:val="0"/>
          <w:spacing w:val="-10"/>
        </w:rPr>
        <w:t> </w:t>
      </w:r>
      <w:r>
        <w:rPr>
          <w:strike w:val="0"/>
        </w:rPr>
        <w:t>to</w:t>
      </w:r>
      <w:r>
        <w:rPr>
          <w:strike w:val="0"/>
          <w:spacing w:val="-9"/>
        </w:rPr>
        <w:t> </w:t>
      </w:r>
      <w:r>
        <w:rPr>
          <w:strike w:val="0"/>
        </w:rPr>
        <w:t>set aside a reserve for contingencies or other purposes in an amount as specified by Finance.</w:t>
      </w:r>
    </w:p>
    <w:p>
      <w:pPr>
        <w:pStyle w:val="BodyText"/>
        <w:spacing w:line="242" w:lineRule="auto" w:before="196"/>
        <w:ind w:left="1240" w:firstLine="240"/>
      </w:pPr>
      <w:r>
        <w:rPr/>
        <w:pict>
          <v:line style="position:absolute;mso-position-horizontal-relative:page;mso-position-vertical-relative:paragraph;z-index:-460120" from="90pt,18.235857pt" to="102pt,18.235857pt" stroked="true" strokeweight=".6pt" strokecolor="#2e97d3">
            <v:stroke dashstyle="solid"/>
            <w10:wrap type="none"/>
          </v:line>
        </w:pict>
      </w:r>
      <w:r>
        <w:rPr/>
        <w:pict>
          <v:line style="position:absolute;mso-position-horizontal-relative:page;mso-position-vertical-relative:paragraph;z-index:12712" from="33.360001pt,6.175857pt" to="33.360001pt,23.935857pt" stroked="true" strokeweight=".72pt" strokecolor="#000000">
            <v:stroke dashstyle="solid"/>
            <w10:wrap type="none"/>
          </v:line>
        </w:pict>
      </w:r>
      <w:r>
        <w:rPr/>
        <w:t>Section</w:t>
      </w:r>
      <w:r>
        <w:rPr>
          <w:spacing w:val="-16"/>
        </w:rPr>
        <w:t> </w:t>
      </w:r>
      <w:r>
        <w:rPr>
          <w:b/>
          <w:strike/>
          <w:color w:val="2E97D3"/>
          <w:u w:val="thick" w:color="2E97D3"/>
        </w:rPr>
        <w:t>13322</w:t>
      </w:r>
      <w:r>
        <w:rPr>
          <w:b/>
          <w:strike/>
          <w:color w:val="2E97D3"/>
        </w:rPr>
        <w:t>:</w:t>
      </w:r>
      <w:r>
        <w:rPr>
          <w:b/>
          <w:strike/>
          <w:color w:val="2E97D3"/>
          <w:spacing w:val="-13"/>
        </w:rPr>
        <w:t> </w:t>
      </w:r>
      <w:hyperlink r:id="rId94">
        <w:r>
          <w:rPr>
            <w:strike w:val="0"/>
            <w:color w:val="2E97D3"/>
            <w:u w:val="single" w:color="2E97D3"/>
          </w:rPr>
          <w:t>13322</w:t>
        </w:r>
      </w:hyperlink>
      <w:r>
        <w:rPr>
          <w:strike w:val="0"/>
          <w:color w:val="2E97D3"/>
          <w:u w:val="single" w:color="2E97D3"/>
        </w:rPr>
        <w:t>:</w:t>
      </w:r>
      <w:r>
        <w:rPr>
          <w:strike w:val="0"/>
          <w:color w:val="2E97D3"/>
          <w:spacing w:val="-17"/>
          <w:u w:val="single" w:color="2E97D3"/>
        </w:rPr>
        <w:t> </w:t>
      </w:r>
      <w:r>
        <w:rPr>
          <w:strike w:val="0"/>
        </w:rPr>
        <w:t>Authorizes</w:t>
      </w:r>
      <w:r>
        <w:rPr>
          <w:strike w:val="0"/>
          <w:spacing w:val="-15"/>
        </w:rPr>
        <w:t> </w:t>
      </w:r>
      <w:r>
        <w:rPr>
          <w:strike w:val="0"/>
        </w:rPr>
        <w:t>Finance</w:t>
      </w:r>
      <w:r>
        <w:rPr>
          <w:strike w:val="0"/>
          <w:spacing w:val="-14"/>
        </w:rPr>
        <w:t> </w:t>
      </w:r>
      <w:r>
        <w:rPr>
          <w:strike w:val="0"/>
        </w:rPr>
        <w:t>to</w:t>
      </w:r>
      <w:r>
        <w:rPr>
          <w:strike w:val="0"/>
          <w:spacing w:val="-16"/>
        </w:rPr>
        <w:t> </w:t>
      </w:r>
      <w:r>
        <w:rPr>
          <w:strike w:val="0"/>
        </w:rPr>
        <w:t>amend,</w:t>
      </w:r>
      <w:r>
        <w:rPr>
          <w:strike w:val="0"/>
          <w:spacing w:val="-17"/>
        </w:rPr>
        <w:t> </w:t>
      </w:r>
      <w:r>
        <w:rPr>
          <w:strike w:val="0"/>
        </w:rPr>
        <w:t>alter,</w:t>
      </w:r>
      <w:r>
        <w:rPr>
          <w:strike w:val="0"/>
          <w:spacing w:val="-17"/>
        </w:rPr>
        <w:t> </w:t>
      </w:r>
      <w:r>
        <w:rPr>
          <w:strike w:val="0"/>
        </w:rPr>
        <w:t>or</w:t>
      </w:r>
      <w:r>
        <w:rPr>
          <w:strike w:val="0"/>
          <w:spacing w:val="-16"/>
        </w:rPr>
        <w:t> </w:t>
      </w:r>
      <w:r>
        <w:rPr>
          <w:strike w:val="0"/>
        </w:rPr>
        <w:t>revise</w:t>
      </w:r>
      <w:r>
        <w:rPr>
          <w:strike w:val="0"/>
          <w:spacing w:val="-14"/>
        </w:rPr>
        <w:t> </w:t>
      </w:r>
      <w:r>
        <w:rPr>
          <w:strike w:val="0"/>
        </w:rPr>
        <w:t>any</w:t>
      </w:r>
      <w:r>
        <w:rPr>
          <w:strike w:val="0"/>
          <w:spacing w:val="-17"/>
        </w:rPr>
        <w:t> </w:t>
      </w:r>
      <w:r>
        <w:rPr>
          <w:strike w:val="0"/>
        </w:rPr>
        <w:t>budget</w:t>
      </w:r>
      <w:r>
        <w:rPr>
          <w:strike w:val="0"/>
          <w:spacing w:val="-14"/>
        </w:rPr>
        <w:t> </w:t>
      </w:r>
      <w:r>
        <w:rPr>
          <w:strike w:val="0"/>
        </w:rPr>
        <w:t>until enactment of the</w:t>
      </w:r>
      <w:r>
        <w:rPr>
          <w:strike w:val="0"/>
          <w:spacing w:val="-12"/>
        </w:rPr>
        <w:t> </w:t>
      </w:r>
      <w:r>
        <w:rPr>
          <w:strike w:val="0"/>
        </w:rPr>
        <w:t>Budget.</w:t>
      </w:r>
    </w:p>
    <w:p>
      <w:pPr>
        <w:pStyle w:val="BodyText"/>
        <w:spacing w:before="196"/>
        <w:ind w:left="1240"/>
      </w:pPr>
      <w:r>
        <w:rPr/>
        <w:pict>
          <v:line style="position:absolute;mso-position-horizontal-relative:page;mso-position-vertical-relative:paragraph;z-index:12736" from="33.360001pt,6.175864pt" to="33.360001pt,23.815864pt" stroked="true" strokeweight=".72pt" strokecolor="#000000">
            <v:stroke dashstyle="solid"/>
            <w10:wrap type="none"/>
          </v:line>
        </w:pict>
      </w:r>
      <w:r>
        <w:rPr>
          <w:b/>
          <w:strike/>
          <w:color w:val="2E97D3"/>
          <w:w w:val="100"/>
        </w:rPr>
        <w:t> </w:t>
      </w:r>
      <w:r>
        <w:rPr>
          <w:b/>
          <w:strike/>
          <w:color w:val="2E97D3"/>
        </w:rPr>
        <w:t>   Section </w:t>
      </w:r>
      <w:r>
        <w:rPr>
          <w:b/>
          <w:strike/>
          <w:color w:val="2E97D3"/>
          <w:u w:val="thick" w:color="2E97D3"/>
        </w:rPr>
        <w:t>13324</w:t>
      </w:r>
      <w:r>
        <w:rPr>
          <w:b/>
          <w:strike/>
          <w:color w:val="2E97D3"/>
        </w:rPr>
        <w:t>: </w:t>
      </w:r>
      <w:r>
        <w:rPr>
          <w:strike w:val="0"/>
          <w:color w:val="2E97D3"/>
          <w:u w:val="single" w:color="2E97D3"/>
        </w:rPr>
        <w:t>Section </w:t>
      </w:r>
      <w:hyperlink r:id="rId95">
        <w:r>
          <w:rPr>
            <w:strike w:val="0"/>
            <w:color w:val="2E97D3"/>
            <w:u w:val="single" w:color="2E97D3"/>
          </w:rPr>
          <w:t>13324</w:t>
        </w:r>
      </w:hyperlink>
      <w:r>
        <w:rPr>
          <w:strike w:val="0"/>
          <w:color w:val="2E97D3"/>
          <w:u w:val="single" w:color="2E97D3"/>
        </w:rPr>
        <w:t>: </w:t>
      </w:r>
      <w:r>
        <w:rPr>
          <w:strike w:val="0"/>
        </w:rPr>
        <w:t>Fixes liability of persons, both personally and on official bond, who incur expenditures in excess of budget.</w:t>
      </w:r>
    </w:p>
    <w:p>
      <w:pPr>
        <w:pStyle w:val="BodyText"/>
        <w:spacing w:before="196"/>
        <w:ind w:left="1240" w:right="293"/>
        <w:jc w:val="both"/>
      </w:pPr>
      <w:r>
        <w:rPr/>
        <w:pict>
          <v:line style="position:absolute;mso-position-horizontal-relative:page;mso-position-vertical-relative:paragraph;z-index:12760" from="33.360001pt,6.296862pt" to="33.360001pt,23.815862pt" stroked="true" strokeweight=".72pt" strokecolor="#000000">
            <v:stroke dashstyle="solid"/>
            <w10:wrap type="none"/>
          </v:line>
        </w:pict>
      </w:r>
      <w:r>
        <w:rPr/>
        <w:pict>
          <v:line style="position:absolute;mso-position-horizontal-relative:page;mso-position-vertical-relative:paragraph;z-index:12784" from="33.360001pt,37.61586pt" to="33.360001pt,51.41586pt" stroked="true" strokeweight=".72pt" strokecolor="#000000">
            <v:stroke dashstyle="solid"/>
            <w10:wrap type="none"/>
          </v:line>
        </w:pict>
      </w:r>
      <w:r>
        <w:rPr/>
        <w:pict>
          <v:line style="position:absolute;mso-position-horizontal-relative:page;mso-position-vertical-relative:paragraph;z-index:12808" from="33.360001pt,65.214859pt" to="33.360001pt,102.775859pt" stroked="true" strokeweight=".72pt" strokecolor="#000000">
            <v:stroke dashstyle="solid"/>
            <w10:wrap type="none"/>
          </v:line>
        </w:pict>
      </w:r>
      <w:r>
        <w:rPr>
          <w:b/>
          <w:strike/>
          <w:color w:val="2E97D3"/>
          <w:w w:val="100"/>
        </w:rPr>
        <w:t> </w:t>
      </w:r>
      <w:r>
        <w:rPr>
          <w:b/>
          <w:strike/>
          <w:color w:val="2E97D3"/>
        </w:rPr>
        <w:t>   Section </w:t>
      </w:r>
      <w:r>
        <w:rPr>
          <w:b/>
          <w:strike/>
          <w:color w:val="2E97D3"/>
          <w:u w:val="thick" w:color="2E97D3"/>
        </w:rPr>
        <w:t>13326</w:t>
      </w:r>
      <w:r>
        <w:rPr>
          <w:b/>
          <w:strike/>
          <w:color w:val="2E97D3"/>
        </w:rPr>
        <w:t>: </w:t>
      </w:r>
      <w:r>
        <w:rPr>
          <w:strike w:val="0"/>
          <w:color w:val="2E97D3"/>
          <w:u w:val="single" w:color="2E97D3"/>
        </w:rPr>
        <w:t>Section </w:t>
      </w:r>
      <w:hyperlink r:id="rId96">
        <w:r>
          <w:rPr>
            <w:strike w:val="0"/>
            <w:color w:val="2E97D3"/>
            <w:u w:val="single" w:color="2E97D3"/>
          </w:rPr>
          <w:t>13326</w:t>
        </w:r>
      </w:hyperlink>
      <w:r>
        <w:rPr>
          <w:strike w:val="0"/>
          <w:color w:val="2E97D3"/>
          <w:u w:val="single" w:color="2E97D3"/>
        </w:rPr>
        <w:t>: </w:t>
      </w:r>
      <w:r>
        <w:rPr>
          <w:strike w:val="0"/>
        </w:rPr>
        <w:t>Requires every state agency to submit requests for federal funds through Finance, for advanced approval before such requests are submitted to the Federal Government, except as specified in SAM Section 0912. Authorizes Finance to approve, disapprove, modify, or amend any request before it is submitted to the Federal Government.</w:t>
      </w:r>
    </w:p>
    <w:p>
      <w:pPr>
        <w:pStyle w:val="BodyText"/>
        <w:spacing w:before="198"/>
        <w:ind w:left="1240"/>
      </w:pPr>
      <w:r>
        <w:rPr>
          <w:b/>
          <w:strike/>
          <w:color w:val="2E97D3"/>
          <w:w w:val="100"/>
        </w:rPr>
        <w:t> </w:t>
      </w:r>
      <w:r>
        <w:rPr>
          <w:b/>
          <w:strike/>
          <w:color w:val="2E97D3"/>
        </w:rPr>
        <w:t>   Section </w:t>
      </w:r>
      <w:r>
        <w:rPr>
          <w:b/>
          <w:strike/>
          <w:color w:val="2E97D3"/>
          <w:u w:val="thick" w:color="2E97D3"/>
        </w:rPr>
        <w:t>13335</w:t>
      </w:r>
      <w:r>
        <w:rPr>
          <w:b/>
          <w:strike/>
          <w:color w:val="2E97D3"/>
        </w:rPr>
        <w:t>: </w:t>
      </w:r>
      <w:r>
        <w:rPr>
          <w:strike w:val="0"/>
          <w:color w:val="2E97D3"/>
          <w:u w:val="single" w:color="2E97D3"/>
        </w:rPr>
        <w:t>Section </w:t>
      </w:r>
      <w:hyperlink r:id="rId97">
        <w:r>
          <w:rPr>
            <w:strike w:val="0"/>
            <w:color w:val="2E97D3"/>
            <w:u w:val="single" w:color="2E97D3"/>
          </w:rPr>
          <w:t>13335</w:t>
        </w:r>
      </w:hyperlink>
      <w:r>
        <w:rPr>
          <w:strike w:val="0"/>
          <w:color w:val="2E97D3"/>
          <w:u w:val="single" w:color="2E97D3"/>
        </w:rPr>
        <w:t>: </w:t>
      </w:r>
      <w:r>
        <w:rPr>
          <w:strike w:val="0"/>
        </w:rPr>
        <w:t>Requires Finance to develop, issue, and implement consistent and adequate guidelines to be utilized by departments to submit budgets.</w:t>
      </w:r>
    </w:p>
    <w:p>
      <w:pPr>
        <w:pStyle w:val="BodyText"/>
        <w:spacing w:line="242" w:lineRule="auto" w:before="198"/>
        <w:ind w:left="1240"/>
      </w:pPr>
      <w:r>
        <w:rPr/>
        <w:pict>
          <v:line style="position:absolute;mso-position-horizontal-relative:page;mso-position-vertical-relative:paragraph;z-index:12832" from="33.360001pt,6.275857pt" to="33.360001pt,24.035857pt" stroked="true" strokeweight=".72pt" strokecolor="#000000">
            <v:stroke dashstyle="solid"/>
            <w10:wrap type="none"/>
          </v:line>
        </w:pict>
      </w:r>
      <w:r>
        <w:rPr>
          <w:b/>
          <w:strike/>
          <w:color w:val="2E97D3"/>
          <w:w w:val="100"/>
        </w:rPr>
        <w:t> </w:t>
      </w:r>
      <w:r>
        <w:rPr>
          <w:b/>
          <w:strike/>
          <w:color w:val="2E97D3"/>
        </w:rPr>
        <w:t>   Section </w:t>
      </w:r>
      <w:r>
        <w:rPr>
          <w:b/>
          <w:strike/>
          <w:color w:val="2E97D3"/>
          <w:u w:val="thick" w:color="2E97D3"/>
        </w:rPr>
        <w:t>13337</w:t>
      </w:r>
      <w:r>
        <w:rPr>
          <w:b/>
          <w:strike/>
          <w:color w:val="2E97D3"/>
        </w:rPr>
        <w:t>: </w:t>
      </w:r>
      <w:r>
        <w:rPr>
          <w:strike w:val="0"/>
          <w:color w:val="2E97D3"/>
          <w:u w:val="single" w:color="2E97D3"/>
        </w:rPr>
        <w:t>Section </w:t>
      </w:r>
      <w:hyperlink r:id="rId98">
        <w:r>
          <w:rPr>
            <w:strike w:val="0"/>
            <w:color w:val="2E97D3"/>
            <w:u w:val="single" w:color="2E97D3"/>
          </w:rPr>
          <w:t>13337</w:t>
        </w:r>
      </w:hyperlink>
      <w:r>
        <w:rPr>
          <w:strike w:val="0"/>
          <w:color w:val="2E97D3"/>
          <w:u w:val="single" w:color="2E97D3"/>
        </w:rPr>
        <w:t>: </w:t>
      </w:r>
      <w:r>
        <w:rPr>
          <w:strike w:val="0"/>
        </w:rPr>
        <w:t>Provides that the Governor’s Budget shall be prepared in accordance with guidelines and instructions adopted by Finance.</w:t>
      </w:r>
    </w:p>
    <w:p>
      <w:pPr>
        <w:pStyle w:val="BodyText"/>
        <w:spacing w:line="242" w:lineRule="auto" w:before="195"/>
        <w:ind w:left="1240" w:right="113"/>
        <w:jc w:val="both"/>
      </w:pPr>
      <w:r>
        <w:rPr/>
        <w:pict>
          <v:line style="position:absolute;mso-position-horizontal-relative:page;mso-position-vertical-relative:paragraph;z-index:12856" from="33.360001pt,6.125865pt" to="33.360001pt,109.205865pt" stroked="true" strokeweight=".72pt" strokecolor="#000000">
            <v:stroke dashstyle="solid"/>
            <w10:wrap type="none"/>
          </v:line>
        </w:pict>
      </w:r>
      <w:r>
        <w:rPr>
          <w:color w:val="2E97D3"/>
          <w:u w:val="single" w:color="2E97D3"/>
        </w:rPr>
        <w:t>Section </w:t>
      </w:r>
      <w:hyperlink r:id="rId99">
        <w:r>
          <w:rPr>
            <w:color w:val="2E97D3"/>
            <w:u w:val="single" w:color="2E97D3"/>
          </w:rPr>
          <w:t>13344</w:t>
        </w:r>
      </w:hyperlink>
      <w:r>
        <w:rPr>
          <w:color w:val="2E97D3"/>
          <w:u w:val="single" w:color="2E97D3"/>
        </w:rPr>
        <w:t>: Requires state agencies to prepare and maintain financial and accounting data for inclusion in the Governor’s Budget, Budget Act and related documents, and the budgetary-legal basis annual report described in Section 12460, according to the methods directed by the Department of Finance.</w:t>
      </w:r>
    </w:p>
    <w:p>
      <w:pPr>
        <w:pStyle w:val="BodyText"/>
        <w:spacing w:line="242" w:lineRule="auto" w:before="195"/>
        <w:ind w:left="1240"/>
      </w:pPr>
      <w:r>
        <w:rPr>
          <w:color w:val="2E97D3"/>
          <w:u w:val="single" w:color="2E97D3"/>
        </w:rPr>
        <w:t>Section </w:t>
      </w:r>
      <w:hyperlink r:id="rId100">
        <w:r>
          <w:rPr>
            <w:color w:val="2E97D3"/>
            <w:u w:val="single" w:color="2E97D3"/>
          </w:rPr>
          <w:t>19818.12</w:t>
        </w:r>
      </w:hyperlink>
      <w:r>
        <w:rPr>
          <w:color w:val="2E97D3"/>
          <w:u w:val="single" w:color="2E97D3"/>
        </w:rPr>
        <w:t>: Position establishment subject to budgetary authorization and availability of funds.</w:t>
      </w:r>
    </w:p>
    <w:p>
      <w:pPr>
        <w:spacing w:after="0" w:line="242" w:lineRule="auto"/>
        <w:sectPr>
          <w:pgSz w:w="12240" w:h="15840"/>
          <w:pgMar w:header="724" w:footer="792" w:top="980" w:bottom="1060" w:left="560" w:right="1200"/>
        </w:sectPr>
      </w:pPr>
    </w:p>
    <w:p>
      <w:pPr>
        <w:pStyle w:val="BodyText"/>
        <w:spacing w:before="11"/>
        <w:rPr>
          <w:sz w:val="15"/>
        </w:rPr>
      </w:pPr>
    </w:p>
    <w:p>
      <w:pPr>
        <w:pStyle w:val="BodyText"/>
        <w:spacing w:before="92"/>
        <w:ind w:left="947"/>
      </w:pPr>
      <w:r>
        <w:rPr/>
        <w:pict>
          <v:line style="position:absolute;mso-position-horizontal-relative:page;mso-position-vertical-relative:paragraph;z-index:-459784" from="72pt,17.595854pt" to="75.36pt,17.595854pt" stroked="true" strokeweight=".84pt" strokecolor="#2e97d3">
            <v:stroke dashstyle="solid"/>
            <w10:wrap type="none"/>
          </v:line>
        </w:pict>
      </w:r>
      <w:r>
        <w:rPr/>
        <w:pict>
          <v:line style="position:absolute;mso-position-horizontal-relative:page;mso-position-vertical-relative:paragraph;z-index:12904" from="33.360001pt,4.815855pt" to="33.360001pt,50.415855pt" stroked="true" strokeweight=".72pt" strokecolor="#000000">
            <v:stroke dashstyle="solid"/>
            <w10:wrap type="none"/>
          </v:line>
        </w:pict>
      </w:r>
      <w:r>
        <w:rPr/>
        <w:t>(Continued)</w:t>
      </w:r>
    </w:p>
    <w:p>
      <w:pPr>
        <w:spacing w:after="0"/>
        <w:sectPr>
          <w:pgSz w:w="12240" w:h="15840"/>
          <w:pgMar w:header="724" w:footer="792" w:top="980" w:bottom="1060" w:left="560" w:right="1720"/>
        </w:sectPr>
      </w:pPr>
    </w:p>
    <w:p>
      <w:pPr>
        <w:pStyle w:val="BodyText"/>
        <w:rPr>
          <w:sz w:val="20"/>
        </w:rPr>
      </w:pPr>
    </w:p>
    <w:p>
      <w:pPr>
        <w:pStyle w:val="BodyText"/>
        <w:spacing w:before="214"/>
        <w:ind w:left="819"/>
      </w:pPr>
      <w:r>
        <w:rPr/>
        <w:pict>
          <v:line style="position:absolute;mso-position-horizontal-relative:page;mso-position-vertical-relative:paragraph;z-index:13024" from="36.360001pt,24.714882pt" to="36.360001pt,38.515882pt" stroked="true" strokeweight=".72pt" strokecolor="#000000">
            <v:stroke dashstyle="solid"/>
            <w10:wrap type="none"/>
          </v:line>
        </w:pict>
      </w:r>
      <w:r>
        <w:rPr/>
        <w:t>(Continued)</w:t>
      </w:r>
    </w:p>
    <w:p>
      <w:pPr>
        <w:pStyle w:val="Heading2"/>
        <w:tabs>
          <w:tab w:pos="6579" w:val="left" w:leader="none"/>
          <w:tab w:pos="9459" w:val="left" w:leader="none"/>
        </w:tabs>
        <w:ind w:left="820" w:right="838"/>
        <w:rPr>
          <w:b w:val="0"/>
        </w:rPr>
      </w:pPr>
      <w:r>
        <w:rPr/>
        <w:pict>
          <v:line style="position:absolute;mso-position-horizontal-relative:page;mso-position-vertical-relative:paragraph;z-index:-459688" from="323.279999pt,8.435833pt" to="359.999999pt,8.435833pt" stroked="true" strokeweight=".6pt" strokecolor="#2e97d3">
            <v:stroke dashstyle="solid"/>
            <w10:wrap type="none"/>
          </v:line>
        </w:pict>
      </w:r>
      <w:r>
        <w:rPr/>
        <w:pict>
          <v:line style="position:absolute;mso-position-horizontal-relative:page;mso-position-vertical-relative:paragraph;z-index:13048" from="36.360001pt,27.815832pt" to="36.360001pt,98.975832pt" stroked="true" strokeweight=".72pt" strokecolor="#000000">
            <v:stroke dashstyle="solid"/>
            <w10:wrap type="none"/>
          </v:line>
        </w:pict>
      </w:r>
      <w:r>
        <w:rPr/>
        <w:t>LEGAL BASIS FOR</w:t>
      </w:r>
      <w:r>
        <w:rPr>
          <w:spacing w:val="-11"/>
        </w:rPr>
        <w:t> </w:t>
      </w:r>
      <w:r>
        <w:rPr/>
        <w:t>BUDGETARY</w:t>
      </w:r>
      <w:r>
        <w:rPr>
          <w:spacing w:val="-6"/>
        </w:rPr>
        <w:t> </w:t>
      </w:r>
      <w:r>
        <w:rPr/>
        <w:t>CONTROL</w:t>
        <w:tab/>
      </w:r>
      <w:r>
        <w:rPr>
          <w:w w:val="100"/>
          <w:u w:val="thick" w:color="2E97D3"/>
        </w:rPr>
        <w:t> </w:t>
      </w:r>
      <w:r>
        <w:rPr>
          <w:u w:val="thick" w:color="2E97D3"/>
        </w:rPr>
        <w:tab/>
      </w:r>
      <w:r>
        <w:rPr/>
        <w:t> 6503 </w:t>
      </w:r>
      <w:r>
        <w:rPr>
          <w:b w:val="0"/>
        </w:rPr>
        <w:t>(Cont.</w:t>
      </w:r>
      <w:r>
        <w:rPr>
          <w:b w:val="0"/>
          <w:spacing w:val="-6"/>
        </w:rPr>
        <w:t> </w:t>
      </w:r>
      <w:r>
        <w:rPr>
          <w:b w:val="0"/>
        </w:rPr>
        <w:t>1)</w:t>
      </w:r>
    </w:p>
    <w:p>
      <w:pPr>
        <w:spacing w:before="0"/>
        <w:ind w:left="820" w:right="0" w:firstLine="0"/>
        <w:jc w:val="left"/>
        <w:rPr>
          <w:sz w:val="24"/>
        </w:rPr>
      </w:pPr>
      <w:r>
        <w:rPr>
          <w:sz w:val="24"/>
        </w:rPr>
        <w:t>(Revised </w:t>
      </w:r>
      <w:r>
        <w:rPr>
          <w:b/>
          <w:strike/>
          <w:color w:val="2E97D3"/>
          <w:sz w:val="24"/>
        </w:rPr>
        <w:t>9/2010</w:t>
      </w:r>
      <w:r>
        <w:rPr>
          <w:strike w:val="0"/>
          <w:color w:val="2E97D3"/>
          <w:sz w:val="24"/>
          <w:u w:val="single" w:color="2E97D3"/>
        </w:rPr>
        <w:t>09/2017</w:t>
      </w:r>
      <w:r>
        <w:rPr>
          <w:strike w:val="0"/>
          <w:sz w:val="24"/>
        </w:rPr>
        <w:t>)</w:t>
      </w:r>
    </w:p>
    <w:p>
      <w:pPr>
        <w:pStyle w:val="BodyText"/>
        <w:tabs>
          <w:tab w:pos="1179" w:val="left" w:leader="none"/>
        </w:tabs>
        <w:spacing w:line="242" w:lineRule="auto"/>
        <w:ind w:left="1180" w:right="509" w:hanging="360"/>
      </w:pPr>
      <w:r>
        <w:rPr>
          <w:strike/>
          <w:color w:val="2E97D3"/>
          <w:w w:val="100"/>
        </w:rPr>
        <w:t> </w:t>
      </w:r>
      <w:r>
        <w:rPr>
          <w:strike/>
          <w:color w:val="2E97D3"/>
        </w:rPr>
        <w:tab/>
        <w:t>Section </w:t>
      </w:r>
      <w:r>
        <w:rPr>
          <w:strike/>
          <w:color w:val="2E97D3"/>
          <w:u w:val="single" w:color="2E97D3"/>
        </w:rPr>
        <w:t>19818.12</w:t>
      </w:r>
      <w:r>
        <w:rPr>
          <w:strike/>
          <w:color w:val="2E97D3"/>
        </w:rPr>
        <w:t>:  Position establishment subject to budgetary</w:t>
      </w:r>
      <w:r>
        <w:rPr>
          <w:strike/>
          <w:color w:val="2E97D3"/>
          <w:spacing w:val="-36"/>
        </w:rPr>
        <w:t> </w:t>
      </w:r>
      <w:r>
        <w:rPr>
          <w:strike/>
          <w:color w:val="2E97D3"/>
        </w:rPr>
        <w:t>authorization</w:t>
      </w:r>
      <w:r>
        <w:rPr>
          <w:strike/>
          <w:color w:val="2E97D3"/>
          <w:spacing w:val="-4"/>
        </w:rPr>
        <w:t> </w:t>
      </w:r>
      <w:r>
        <w:rPr>
          <w:strike/>
          <w:color w:val="2E97D3"/>
        </w:rPr>
        <w:t>and</w:t>
      </w:r>
      <w:r>
        <w:rPr>
          <w:strike w:val="0"/>
          <w:color w:val="2E97D3"/>
          <w:w w:val="99"/>
        </w:rPr>
        <w:t> </w:t>
      </w:r>
      <w:r>
        <w:rPr>
          <w:strike/>
          <w:color w:val="2E97D3"/>
        </w:rPr>
        <w:t>availability of</w:t>
      </w:r>
      <w:r>
        <w:rPr>
          <w:strike/>
          <w:color w:val="2E97D3"/>
          <w:spacing w:val="-10"/>
        </w:rPr>
        <w:t> </w:t>
      </w:r>
      <w:r>
        <w:rPr>
          <w:strike/>
          <w:color w:val="2E97D3"/>
        </w:rPr>
        <w:t>funds.</w:t>
      </w:r>
    </w:p>
    <w:p>
      <w:pPr>
        <w:pStyle w:val="Heading2"/>
        <w:tabs>
          <w:tab w:pos="1539" w:val="left" w:leader="none"/>
        </w:tabs>
        <w:spacing w:before="194"/>
        <w:ind w:left="911"/>
      </w:pPr>
      <w:r>
        <w:rPr>
          <w:strike/>
          <w:color w:val="2E97D3"/>
        </w:rPr>
        <w:t>2.</w:t>
        <w:tab/>
      </w:r>
    </w:p>
    <w:p>
      <w:pPr>
        <w:pStyle w:val="ListParagraph"/>
        <w:numPr>
          <w:ilvl w:val="0"/>
          <w:numId w:val="24"/>
        </w:numPr>
        <w:tabs>
          <w:tab w:pos="1359" w:val="left" w:leader="none"/>
          <w:tab w:pos="1360" w:val="left" w:leader="none"/>
        </w:tabs>
        <w:spacing w:line="240" w:lineRule="auto" w:before="120" w:after="0"/>
        <w:ind w:left="1360" w:right="0" w:hanging="540"/>
        <w:jc w:val="left"/>
        <w:rPr>
          <w:sz w:val="24"/>
        </w:rPr>
      </w:pPr>
      <w:r>
        <w:rPr>
          <w:sz w:val="24"/>
        </w:rPr>
        <w:t>Control Sections of the Budget</w:t>
      </w:r>
      <w:r>
        <w:rPr>
          <w:spacing w:val="-28"/>
          <w:sz w:val="24"/>
        </w:rPr>
        <w:t> </w:t>
      </w:r>
      <w:r>
        <w:rPr>
          <w:sz w:val="24"/>
        </w:rPr>
        <w:t>Act:</w:t>
      </w:r>
    </w:p>
    <w:p>
      <w:pPr>
        <w:tabs>
          <w:tab w:pos="1354" w:val="left" w:leader="none"/>
        </w:tabs>
        <w:spacing w:line="240" w:lineRule="auto"/>
        <w:ind w:left="99" w:right="0" w:firstLine="0"/>
        <w:rPr>
          <w:sz w:val="20"/>
        </w:rPr>
      </w:pPr>
      <w:r>
        <w:rPr>
          <w:sz w:val="20"/>
        </w:rPr>
        <w:pict>
          <v:group style="width:.75pt;height:14.55pt;mso-position-horizontal-relative:char;mso-position-vertical-relative:line" coordorigin="0,0" coordsize="15,291">
            <v:line style="position:absolute" from="8,8" to="8,283" stroked="true" strokeweight=".72pt" strokecolor="#000000">
              <v:stroke dashstyle="solid"/>
            </v:line>
          </v:group>
        </w:pict>
      </w:r>
      <w:r>
        <w:rPr>
          <w:sz w:val="20"/>
        </w:rPr>
      </w:r>
      <w:r>
        <w:rPr>
          <w:sz w:val="20"/>
        </w:rPr>
        <w:tab/>
      </w:r>
      <w:r>
        <w:rPr>
          <w:position w:val="11"/>
          <w:sz w:val="20"/>
        </w:rPr>
        <w:pict>
          <v:group style="width:9.6pt;height:.6pt;mso-position-horizontal-relative:char;mso-position-vertical-relative:line" coordorigin="0,0" coordsize="192,12">
            <v:line style="position:absolute" from="6,6" to="186,6" stroked="true" strokeweight=".6pt" strokecolor="#2e97d3">
              <v:stroke dashstyle="solid"/>
            </v:line>
          </v:group>
        </w:pict>
      </w:r>
      <w:r>
        <w:rPr>
          <w:position w:val="11"/>
          <w:sz w:val="20"/>
        </w:rPr>
      </w:r>
    </w:p>
    <w:p>
      <w:pPr>
        <w:pStyle w:val="BodyText"/>
        <w:spacing w:line="229" w:lineRule="exact"/>
        <w:ind w:left="1360"/>
      </w:pPr>
      <w:r>
        <w:rPr/>
        <w:t>A number of sections of the Budget Act impose limitations on expenditures, extend</w:t>
      </w:r>
    </w:p>
    <w:p>
      <w:pPr>
        <w:pStyle w:val="BodyText"/>
        <w:ind w:left="1360" w:right="113"/>
      </w:pPr>
      <w:r>
        <w:rPr/>
        <w:pict>
          <v:line style="position:absolute;mso-position-horizontal-relative:page;mso-position-vertical-relative:paragraph;z-index:-459664" from="366.600006pt,22.235859pt" to="369.840006pt,22.235859pt" stroked="true" strokeweight=".6pt" strokecolor="#2e97d3">
            <v:stroke dashstyle="solid"/>
            <w10:wrap type="none"/>
          </v:line>
        </w:pict>
      </w:r>
      <w:r>
        <w:rPr/>
        <w:pict>
          <v:line style="position:absolute;mso-position-horizontal-relative:page;mso-position-vertical-relative:paragraph;z-index:13072" from="36.360001pt,14.01586pt" to="36.360001pt,27.81586pt" stroked="true" strokeweight=".72pt" strokecolor="#000000">
            <v:stroke dashstyle="solid"/>
            <w10:wrap type="none"/>
          </v:line>
        </w:pict>
      </w:r>
      <w:r>
        <w:rPr/>
        <w:pict>
          <v:line style="position:absolute;mso-position-horizontal-relative:page;mso-position-vertical-relative:paragraph;z-index:13096" from="36.360001pt,41.61586pt" to="36.360001pt,106.89586pt" stroked="true" strokeweight=".72pt" strokecolor="#000000">
            <v:stroke dashstyle="solid"/>
            <w10:wrap type="none"/>
          </v:line>
        </w:pict>
      </w:r>
      <w:r>
        <w:rPr/>
        <w:t>periods of availability of appropriations, authorize specific adjustments, authorize exceptions, and require reports to the Legislature. As appropriate, Budget Letters are issued to inform departments of long-standing or new or revised sections.</w:t>
      </w:r>
    </w:p>
    <w:p>
      <w:pPr>
        <w:pStyle w:val="BodyText"/>
      </w:pPr>
    </w:p>
    <w:p>
      <w:pPr>
        <w:pStyle w:val="BodyText"/>
        <w:ind w:left="1360" w:right="101"/>
      </w:pPr>
      <w:r>
        <w:rPr/>
        <w:t>Departmental budget staff should be familiar with all the sections in the Budget Act. The Budget Act includes an index of the sections and provides a short description </w:t>
      </w:r>
      <w:r>
        <w:rPr>
          <w:strike/>
          <w:color w:val="2E97D3"/>
        </w:rPr>
        <w:t>of the subject matter.</w:t>
      </w:r>
    </w:p>
    <w:p>
      <w:pPr>
        <w:pStyle w:val="BodyText"/>
        <w:rPr>
          <w:sz w:val="20"/>
        </w:rPr>
      </w:pPr>
    </w:p>
    <w:p>
      <w:pPr>
        <w:pStyle w:val="BodyText"/>
        <w:rPr>
          <w:sz w:val="20"/>
        </w:rPr>
      </w:pPr>
    </w:p>
    <w:p>
      <w:pPr>
        <w:pStyle w:val="Heading2"/>
        <w:tabs>
          <w:tab w:pos="9647" w:val="left" w:leader="none"/>
        </w:tabs>
        <w:spacing w:before="214"/>
        <w:ind w:left="820"/>
      </w:pPr>
      <w:r>
        <w:rPr/>
        <w:t>PERSONAL</w:t>
      </w:r>
      <w:r>
        <w:rPr>
          <w:spacing w:val="-4"/>
        </w:rPr>
        <w:t> </w:t>
      </w:r>
      <w:r>
        <w:rPr/>
        <w:t>SERVICES</w:t>
        <w:tab/>
        <w:t>6506</w:t>
      </w:r>
    </w:p>
    <w:p>
      <w:pPr>
        <w:pStyle w:val="BodyText"/>
        <w:ind w:left="820"/>
      </w:pPr>
      <w:r>
        <w:rPr/>
        <w:t>(Revised 9/2010)</w:t>
      </w:r>
    </w:p>
    <w:p>
      <w:pPr>
        <w:pStyle w:val="BodyText"/>
      </w:pPr>
    </w:p>
    <w:p>
      <w:pPr>
        <w:pStyle w:val="BodyText"/>
        <w:ind w:left="820"/>
      </w:pPr>
      <w:r>
        <w:rPr/>
        <w:t>Personal services are administered in the operating year by:</w:t>
      </w:r>
    </w:p>
    <w:p>
      <w:pPr>
        <w:pStyle w:val="BodyText"/>
        <w:spacing w:before="2"/>
      </w:pPr>
    </w:p>
    <w:p>
      <w:pPr>
        <w:pStyle w:val="ListParagraph"/>
        <w:numPr>
          <w:ilvl w:val="0"/>
          <w:numId w:val="25"/>
        </w:numPr>
        <w:tabs>
          <w:tab w:pos="1180" w:val="left" w:leader="none"/>
        </w:tabs>
        <w:spacing w:line="276" w:lineRule="auto" w:before="0" w:after="0"/>
        <w:ind w:left="1180" w:right="939" w:hanging="360"/>
        <w:jc w:val="left"/>
        <w:rPr>
          <w:sz w:val="24"/>
        </w:rPr>
      </w:pPr>
      <w:r>
        <w:rPr>
          <w:sz w:val="24"/>
        </w:rPr>
        <w:t>Reconciling the personnel roster to the number of positions authorized by the Legislature.</w:t>
      </w:r>
    </w:p>
    <w:p>
      <w:pPr>
        <w:pStyle w:val="ListParagraph"/>
        <w:numPr>
          <w:ilvl w:val="0"/>
          <w:numId w:val="25"/>
        </w:numPr>
        <w:tabs>
          <w:tab w:pos="1180" w:val="left" w:leader="none"/>
        </w:tabs>
        <w:spacing w:line="276" w:lineRule="auto" w:before="0" w:after="0"/>
        <w:ind w:left="1180" w:right="1456" w:hanging="360"/>
        <w:jc w:val="left"/>
        <w:rPr>
          <w:sz w:val="24"/>
        </w:rPr>
      </w:pPr>
      <w:r>
        <w:rPr>
          <w:sz w:val="24"/>
        </w:rPr>
        <w:t>Establishing and abolishing positions as necessary to stay within budget authorizations.</w:t>
      </w:r>
    </w:p>
    <w:p>
      <w:pPr>
        <w:pStyle w:val="ListParagraph"/>
        <w:numPr>
          <w:ilvl w:val="0"/>
          <w:numId w:val="25"/>
        </w:numPr>
        <w:tabs>
          <w:tab w:pos="1180" w:val="left" w:leader="none"/>
        </w:tabs>
        <w:spacing w:line="240" w:lineRule="auto" w:before="2" w:after="0"/>
        <w:ind w:left="1180" w:right="0" w:hanging="360"/>
        <w:jc w:val="left"/>
        <w:rPr>
          <w:sz w:val="24"/>
        </w:rPr>
      </w:pPr>
      <w:r>
        <w:rPr>
          <w:sz w:val="24"/>
        </w:rPr>
        <w:t>Certifying the continuance of authorized positions to the </w:t>
      </w:r>
      <w:hyperlink r:id="rId35">
        <w:r>
          <w:rPr>
            <w:color w:val="0000FF"/>
            <w:sz w:val="24"/>
            <w:u w:val="single" w:color="0000FF"/>
          </w:rPr>
          <w:t>Department of</w:t>
        </w:r>
        <w:r>
          <w:rPr>
            <w:color w:val="0000FF"/>
            <w:spacing w:val="-38"/>
            <w:sz w:val="24"/>
            <w:u w:val="single" w:color="0000FF"/>
          </w:rPr>
          <w:t> </w:t>
        </w:r>
        <w:r>
          <w:rPr>
            <w:color w:val="0000FF"/>
            <w:sz w:val="24"/>
            <w:u w:val="single" w:color="0000FF"/>
          </w:rPr>
          <w:t>Finance</w:t>
        </w:r>
      </w:hyperlink>
      <w:r>
        <w:rPr>
          <w:sz w:val="24"/>
        </w:rPr>
        <w:t>.</w:t>
      </w:r>
    </w:p>
    <w:p>
      <w:pPr>
        <w:pStyle w:val="ListParagraph"/>
        <w:numPr>
          <w:ilvl w:val="0"/>
          <w:numId w:val="25"/>
        </w:numPr>
        <w:tabs>
          <w:tab w:pos="1180" w:val="left" w:leader="none"/>
        </w:tabs>
        <w:spacing w:line="240" w:lineRule="auto" w:before="40" w:after="0"/>
        <w:ind w:left="1180" w:right="0" w:hanging="360"/>
        <w:jc w:val="left"/>
        <w:rPr>
          <w:sz w:val="24"/>
        </w:rPr>
      </w:pPr>
      <w:r>
        <w:rPr>
          <w:sz w:val="24"/>
        </w:rPr>
        <w:t>Making position changes to support authorized program</w:t>
      </w:r>
      <w:r>
        <w:rPr>
          <w:spacing w:val="-34"/>
          <w:sz w:val="24"/>
        </w:rPr>
        <w:t> </w:t>
      </w:r>
      <w:r>
        <w:rPr>
          <w:sz w:val="24"/>
        </w:rPr>
        <w:t>changes.</w:t>
      </w:r>
    </w:p>
    <w:p>
      <w:pPr>
        <w:pStyle w:val="ListParagraph"/>
        <w:numPr>
          <w:ilvl w:val="0"/>
          <w:numId w:val="25"/>
        </w:numPr>
        <w:tabs>
          <w:tab w:pos="1180" w:val="left" w:leader="none"/>
        </w:tabs>
        <w:spacing w:line="240" w:lineRule="auto" w:before="40" w:after="0"/>
        <w:ind w:left="1180" w:right="0" w:hanging="360"/>
        <w:jc w:val="left"/>
        <w:rPr>
          <w:sz w:val="24"/>
        </w:rPr>
      </w:pPr>
      <w:r>
        <w:rPr>
          <w:sz w:val="24"/>
        </w:rPr>
        <w:t>Supervising and controlling employment practices to stay within budgeted</w:t>
      </w:r>
      <w:r>
        <w:rPr>
          <w:spacing w:val="-38"/>
          <w:sz w:val="24"/>
        </w:rPr>
        <w:t> </w:t>
      </w:r>
      <w:r>
        <w:rPr>
          <w:sz w:val="24"/>
        </w:rPr>
        <w:t>totals.</w:t>
      </w:r>
    </w:p>
    <w:p>
      <w:pPr>
        <w:spacing w:after="0" w:line="240" w:lineRule="auto"/>
        <w:jc w:val="left"/>
        <w:rPr>
          <w:sz w:val="24"/>
        </w:rPr>
        <w:sectPr>
          <w:pgSz w:w="12240" w:h="15840"/>
          <w:pgMar w:header="724" w:footer="792" w:top="980" w:bottom="980" w:left="620" w:right="1320"/>
        </w:sectPr>
      </w:pPr>
    </w:p>
    <w:p>
      <w:pPr>
        <w:pStyle w:val="BodyText"/>
        <w:rPr>
          <w:sz w:val="20"/>
        </w:rPr>
      </w:pPr>
    </w:p>
    <w:p>
      <w:pPr>
        <w:tabs>
          <w:tab w:pos="8947" w:val="left" w:leader="none"/>
        </w:tabs>
        <w:spacing w:before="214"/>
        <w:ind w:left="119" w:right="0" w:firstLine="0"/>
        <w:jc w:val="left"/>
        <w:rPr>
          <w:b/>
          <w:sz w:val="24"/>
        </w:rPr>
      </w:pPr>
      <w:r>
        <w:rPr>
          <w:b/>
          <w:sz w:val="24"/>
        </w:rPr>
        <w:t>PERMANENT</w:t>
      </w:r>
      <w:r>
        <w:rPr>
          <w:b/>
          <w:spacing w:val="-4"/>
          <w:sz w:val="24"/>
        </w:rPr>
        <w:t> </w:t>
      </w:r>
      <w:r>
        <w:rPr>
          <w:b/>
          <w:sz w:val="24"/>
        </w:rPr>
        <w:t>POSITIONS</w:t>
        <w:tab/>
        <w:t>6509</w:t>
      </w:r>
    </w:p>
    <w:p>
      <w:pPr>
        <w:pStyle w:val="BodyText"/>
        <w:ind w:left="119"/>
      </w:pPr>
      <w:r>
        <w:rPr/>
        <w:t>(Revised 9/2010)</w:t>
      </w:r>
    </w:p>
    <w:p>
      <w:pPr>
        <w:pStyle w:val="BodyText"/>
      </w:pPr>
    </w:p>
    <w:p>
      <w:pPr>
        <w:pStyle w:val="BodyText"/>
        <w:ind w:left="119" w:right="482"/>
      </w:pPr>
      <w:r>
        <w:rPr/>
        <w:t>The budgetary definition of a permanent position is any position authorized by the Legislature for indefinite continuation within any classification established by a salary setting authority. They may be full-time, fractional time, or intermittent. Permanent positions must be certified for continuation at the beginning of each fiscal year. See SAM Section </w:t>
      </w:r>
      <w:hyperlink r:id="rId54">
        <w:r>
          <w:rPr>
            <w:color w:val="0000FF"/>
            <w:u w:val="single" w:color="0000FF"/>
          </w:rPr>
          <w:t>6521</w:t>
        </w:r>
      </w:hyperlink>
      <w:r>
        <w:rPr/>
        <w:t>.</w:t>
      </w:r>
    </w:p>
    <w:p>
      <w:pPr>
        <w:pStyle w:val="BodyText"/>
        <w:spacing w:before="11"/>
        <w:rPr>
          <w:sz w:val="15"/>
        </w:rPr>
      </w:pPr>
    </w:p>
    <w:p>
      <w:pPr>
        <w:pStyle w:val="BodyText"/>
        <w:spacing w:before="92"/>
        <w:ind w:left="120" w:right="121"/>
      </w:pPr>
      <w:r>
        <w:rPr/>
        <w:t>The continuation of permanent positions is accomplished by reconciling Schedule 8 with the Final Budget and comparing it with the State Controller’s Office roster of established positions. The amount shown in Column 11 of Schedule 8, after verification and correction, represents the encumbrance of salaries for which continuance is approved. Following certification for continuation at the beginning of the fiscal year, no further documentation is required to encumber such positions.</w:t>
      </w:r>
    </w:p>
    <w:p>
      <w:pPr>
        <w:pStyle w:val="BodyText"/>
        <w:spacing w:before="11"/>
        <w:rPr>
          <w:sz w:val="23"/>
        </w:rPr>
      </w:pPr>
    </w:p>
    <w:p>
      <w:pPr>
        <w:pStyle w:val="BodyText"/>
        <w:ind w:left="120"/>
      </w:pPr>
      <w:r>
        <w:rPr/>
        <w:t>As a matter of clarification, the appointment process is a method of filling positions. A permanent appointment is any appointment which continues for any length of time exceeding the probationary period for that class.</w:t>
      </w:r>
    </w:p>
    <w:p>
      <w:pPr>
        <w:pStyle w:val="BodyText"/>
        <w:rPr>
          <w:sz w:val="26"/>
        </w:rPr>
      </w:pPr>
    </w:p>
    <w:p>
      <w:pPr>
        <w:pStyle w:val="Heading2"/>
        <w:tabs>
          <w:tab w:pos="8947" w:val="left" w:leader="none"/>
        </w:tabs>
        <w:spacing w:before="164"/>
        <w:ind w:left="120"/>
      </w:pPr>
      <w:r>
        <w:rPr/>
        <w:t>NEW</w:t>
      </w:r>
      <w:r>
        <w:rPr>
          <w:spacing w:val="-1"/>
        </w:rPr>
        <w:t> </w:t>
      </w:r>
      <w:r>
        <w:rPr/>
        <w:t>POSITIONS</w:t>
        <w:tab/>
        <w:t>6512</w:t>
      </w:r>
    </w:p>
    <w:p>
      <w:pPr>
        <w:pStyle w:val="BodyText"/>
        <w:ind w:left="120"/>
      </w:pPr>
      <w:r>
        <w:rPr/>
        <w:t>(Revised 9/2010)</w:t>
      </w:r>
    </w:p>
    <w:p>
      <w:pPr>
        <w:pStyle w:val="BodyText"/>
      </w:pPr>
    </w:p>
    <w:p>
      <w:pPr>
        <w:pStyle w:val="BodyText"/>
        <w:ind w:left="120" w:right="133"/>
      </w:pPr>
      <w:r>
        <w:rPr/>
        <w:t>A new position is one which has been newly authorized for establishment in the approved budget. Normally these are presented in the Governor's Budget (“Changes In Authorized Positions” section) as Proposed New Positions.</w:t>
      </w:r>
    </w:p>
    <w:p>
      <w:pPr>
        <w:pStyle w:val="BodyText"/>
        <w:spacing w:before="11"/>
        <w:rPr>
          <w:sz w:val="23"/>
        </w:rPr>
      </w:pPr>
    </w:p>
    <w:p>
      <w:pPr>
        <w:pStyle w:val="BodyText"/>
        <w:ind w:left="120" w:right="134"/>
      </w:pPr>
      <w:r>
        <w:rPr/>
        <w:t>Proposed new positions (other than in the California State University System) that are likely to be approved by the Legislature should be established as soon as possible if they are to become effective on July 1.  The documentation should be submitted to reach the State Controller’s Office (SCO) by the June pay period document cut-off date. Departments should prepare the forms </w:t>
      </w:r>
      <w:hyperlink r:id="rId67">
        <w:r>
          <w:rPr>
            <w:color w:val="0000FF"/>
            <w:u w:val="single" w:color="0000FF"/>
          </w:rPr>
          <w:t>STD. 607 </w:t>
        </w:r>
      </w:hyperlink>
      <w:r>
        <w:rPr/>
        <w:t>and </w:t>
      </w:r>
      <w:hyperlink r:id="rId102">
        <w:r>
          <w:rPr>
            <w:color w:val="0000FF"/>
            <w:u w:val="single" w:color="0000FF"/>
          </w:rPr>
          <w:t>625 </w:t>
        </w:r>
      </w:hyperlink>
      <w:r>
        <w:rPr/>
        <w:t>(if necessary) in advance and release those as soon as the legislative intent and the Governor's veto actions are known. The certification in SAM Section </w:t>
      </w:r>
      <w:hyperlink r:id="rId54">
        <w:r>
          <w:rPr>
            <w:color w:val="0000FF"/>
            <w:u w:val="single" w:color="0000FF"/>
          </w:rPr>
          <w:t>6527 </w:t>
        </w:r>
      </w:hyperlink>
      <w:r>
        <w:rPr/>
        <w:t>may be used and will be accepted by the </w:t>
      </w:r>
      <w:hyperlink r:id="rId69">
        <w:r>
          <w:rPr>
            <w:color w:val="0000FF"/>
            <w:u w:val="single" w:color="0000FF"/>
          </w:rPr>
          <w:t>SCO</w:t>
        </w:r>
      </w:hyperlink>
      <w:r>
        <w:rPr/>
        <w:t>.  Documents reaching the </w:t>
      </w:r>
      <w:hyperlink r:id="rId69">
        <w:r>
          <w:rPr>
            <w:color w:val="0000FF"/>
            <w:u w:val="single" w:color="0000FF"/>
          </w:rPr>
          <w:t>SCO </w:t>
        </w:r>
      </w:hyperlink>
      <w:r>
        <w:rPr/>
        <w:t>after the June pay period document cut-off date will not be included in the Schedule 8 Tabulation and the initial galley (Schedule 7A) of the Salaries and Wages Supplement.</w:t>
      </w:r>
    </w:p>
    <w:p>
      <w:pPr>
        <w:pStyle w:val="BodyText"/>
        <w:rPr>
          <w:sz w:val="26"/>
        </w:rPr>
      </w:pPr>
    </w:p>
    <w:p>
      <w:pPr>
        <w:pStyle w:val="Heading2"/>
        <w:tabs>
          <w:tab w:pos="8947" w:val="left" w:leader="none"/>
        </w:tabs>
        <w:spacing w:before="166"/>
        <w:ind w:left="120"/>
      </w:pPr>
      <w:r>
        <w:rPr/>
        <w:t>LIMITED-TERM</w:t>
      </w:r>
      <w:r>
        <w:rPr>
          <w:spacing w:val="-5"/>
        </w:rPr>
        <w:t> </w:t>
      </w:r>
      <w:r>
        <w:rPr/>
        <w:t>POSITIONS</w:t>
        <w:tab/>
        <w:t>6515</w:t>
      </w:r>
    </w:p>
    <w:p>
      <w:pPr>
        <w:pStyle w:val="BodyText"/>
        <w:ind w:left="120"/>
      </w:pPr>
      <w:r>
        <w:rPr/>
        <w:t>(Revised 9/2010)</w:t>
      </w:r>
    </w:p>
    <w:p>
      <w:pPr>
        <w:pStyle w:val="BodyText"/>
      </w:pPr>
    </w:p>
    <w:p>
      <w:pPr>
        <w:pStyle w:val="BodyText"/>
        <w:ind w:left="120" w:right="133"/>
      </w:pPr>
      <w:r>
        <w:rPr/>
        <w:t>A </w:t>
      </w:r>
      <w:r>
        <w:rPr>
          <w:b/>
        </w:rPr>
        <w:t>limited-term position </w:t>
      </w:r>
      <w:r>
        <w:rPr/>
        <w:t>is any position which has been authorized for a specific length of time. Limited-term positions may be authorized during the budget process or in transactions approved by the Department of Finance. The limitation will be stated in the document establishing the authorization.</w:t>
      </w:r>
    </w:p>
    <w:p>
      <w:pPr>
        <w:spacing w:after="0"/>
        <w:sectPr>
          <w:footerReference w:type="default" r:id="rId101"/>
          <w:pgSz w:w="12240" w:h="15840"/>
          <w:pgMar w:footer="792" w:header="724" w:top="980" w:bottom="980" w:left="1320" w:right="1320"/>
        </w:sectPr>
      </w:pPr>
    </w:p>
    <w:p>
      <w:pPr>
        <w:pStyle w:val="BodyText"/>
        <w:rPr>
          <w:sz w:val="20"/>
        </w:rPr>
      </w:pPr>
    </w:p>
    <w:p>
      <w:pPr>
        <w:pStyle w:val="Heading2"/>
        <w:tabs>
          <w:tab w:pos="8947" w:val="left" w:leader="none"/>
        </w:tabs>
        <w:spacing w:before="214"/>
        <w:ind w:left="119"/>
      </w:pPr>
      <w:r>
        <w:rPr/>
        <w:t>TEMPORARY HELP OR</w:t>
      </w:r>
      <w:r>
        <w:rPr>
          <w:spacing w:val="-10"/>
        </w:rPr>
        <w:t> </w:t>
      </w:r>
      <w:r>
        <w:rPr/>
        <w:t>OVERTIME</w:t>
      </w:r>
      <w:r>
        <w:rPr>
          <w:spacing w:val="-2"/>
        </w:rPr>
        <w:t> </w:t>
      </w:r>
      <w:r>
        <w:rPr/>
        <w:t>BLANKETS</w:t>
        <w:tab/>
        <w:t>6518</w:t>
      </w:r>
    </w:p>
    <w:p>
      <w:pPr>
        <w:pStyle w:val="BodyText"/>
        <w:ind w:left="119"/>
      </w:pPr>
      <w:r>
        <w:rPr/>
        <w:t>(Revised 9/2010)</w:t>
      </w:r>
    </w:p>
    <w:p>
      <w:pPr>
        <w:pStyle w:val="BodyText"/>
      </w:pPr>
    </w:p>
    <w:p>
      <w:pPr>
        <w:pStyle w:val="BodyText"/>
        <w:ind w:left="119" w:right="133"/>
      </w:pPr>
      <w:r>
        <w:rPr/>
        <w:t>Most of the positions listed in the Salaries and Wages Supplement are defined in terms of the staffing authorized for various organizational units by classes established by the appropriate salary setting authority. This is the preferred method of presentation and provides for a clear understanding of staffing needs by the Administration and the Legislature. The second type of legislative authorization is the blanket position (or blanket authorization). Blanket authorizations in the approved budget must be reviewed annually or established by the submission or approval of </w:t>
      </w:r>
      <w:hyperlink r:id="rId67">
        <w:r>
          <w:rPr>
            <w:color w:val="0000FF"/>
            <w:u w:val="single" w:color="0000FF"/>
          </w:rPr>
          <w:t>STD. 607 </w:t>
        </w:r>
      </w:hyperlink>
      <w:r>
        <w:rPr/>
        <w:t>in accordance with the provisions of SAM Section </w:t>
      </w:r>
      <w:hyperlink r:id="rId54">
        <w:r>
          <w:rPr>
            <w:color w:val="0000FF"/>
            <w:u w:val="single" w:color="0000FF"/>
          </w:rPr>
          <w:t>6527</w:t>
        </w:r>
      </w:hyperlink>
      <w:r>
        <w:rPr/>
        <w:t>.</w:t>
      </w:r>
    </w:p>
    <w:p>
      <w:pPr>
        <w:pStyle w:val="BodyText"/>
        <w:spacing w:before="180"/>
        <w:ind w:left="119" w:right="109"/>
      </w:pPr>
      <w:r>
        <w:rPr>
          <w:b/>
        </w:rPr>
        <w:t>Blanket positions </w:t>
      </w:r>
      <w:r>
        <w:rPr/>
        <w:t>are authorizations in the approved budget (Salaries and Wages Supplement) in terms of full-time equivalent personnel years and amount of salaries and wages (but not by class) that may be spent for short-term or intermittent uses when it would be impracticable to express the needs in terms of classified positions. Such uses are characterized as being temporary, seasonal, or intermittent as contrasted to the classified positions which are normally used for longer-term, more permanent, staffing needs. Any type of position may be paid from a blanket position in the approved budget at the discretion of the department as long as the restrictions established for the use of blanket positions in this section and SAM Section </w:t>
      </w:r>
      <w:hyperlink r:id="rId54">
        <w:r>
          <w:rPr>
            <w:color w:val="0000FF"/>
            <w:u w:val="single" w:color="0000FF"/>
          </w:rPr>
          <w:t>6527 </w:t>
        </w:r>
      </w:hyperlink>
      <w:r>
        <w:rPr/>
        <w:t>are met.</w:t>
      </w:r>
    </w:p>
    <w:p>
      <w:pPr>
        <w:pStyle w:val="BodyText"/>
        <w:spacing w:before="180"/>
        <w:ind w:left="119" w:right="123"/>
      </w:pPr>
      <w:r>
        <w:rPr>
          <w:b/>
        </w:rPr>
        <w:t>Temporary help blankets </w:t>
      </w:r>
      <w:r>
        <w:rPr/>
        <w:t>are authorizations to be used only for payment of employees </w:t>
      </w:r>
      <w:r>
        <w:rPr>
          <w:b/>
        </w:rPr>
        <w:t>for a limited duration of time</w:t>
      </w:r>
      <w:r>
        <w:rPr/>
        <w:t>. Continuing monthly or periodic payments may not be made to any person for an indefinite period (on a permanent basis).  Employees, who are employed on a full year basis, whether full-time or part-time, should be paid from a classified position rather than a blanket authorization. Temporary help blankets may be used for the following purposes.</w:t>
      </w:r>
    </w:p>
    <w:p>
      <w:pPr>
        <w:spacing w:before="180"/>
        <w:ind w:left="479" w:right="0" w:firstLine="0"/>
        <w:jc w:val="left"/>
        <w:rPr>
          <w:sz w:val="24"/>
        </w:rPr>
      </w:pPr>
      <w:r>
        <w:rPr>
          <w:b/>
          <w:sz w:val="24"/>
        </w:rPr>
        <w:t>Position overlaps.  </w:t>
      </w:r>
      <w:r>
        <w:rPr>
          <w:sz w:val="24"/>
        </w:rPr>
        <w:t>This includes filling in behind:</w:t>
      </w:r>
    </w:p>
    <w:p>
      <w:pPr>
        <w:pStyle w:val="ListParagraph"/>
        <w:numPr>
          <w:ilvl w:val="0"/>
          <w:numId w:val="26"/>
        </w:numPr>
        <w:tabs>
          <w:tab w:pos="840" w:val="left" w:leader="none"/>
        </w:tabs>
        <w:spacing w:line="242" w:lineRule="auto" w:before="180" w:after="0"/>
        <w:ind w:left="840" w:right="669" w:hanging="360"/>
        <w:jc w:val="left"/>
        <w:rPr>
          <w:sz w:val="24"/>
        </w:rPr>
      </w:pPr>
      <w:r>
        <w:rPr>
          <w:sz w:val="24"/>
        </w:rPr>
        <w:t>Employees on temporary or extended leaves of absence, sick leave, military leave,</w:t>
      </w:r>
      <w:r>
        <w:rPr>
          <w:spacing w:val="-4"/>
          <w:sz w:val="24"/>
        </w:rPr>
        <w:t> </w:t>
      </w:r>
      <w:r>
        <w:rPr>
          <w:sz w:val="24"/>
        </w:rPr>
        <w:t>etc.</w:t>
      </w:r>
    </w:p>
    <w:p>
      <w:pPr>
        <w:pStyle w:val="ListParagraph"/>
        <w:numPr>
          <w:ilvl w:val="0"/>
          <w:numId w:val="26"/>
        </w:numPr>
        <w:tabs>
          <w:tab w:pos="840" w:val="left" w:leader="none"/>
        </w:tabs>
        <w:spacing w:line="242" w:lineRule="auto" w:before="194" w:after="0"/>
        <w:ind w:left="840" w:right="365" w:hanging="360"/>
        <w:jc w:val="left"/>
        <w:rPr>
          <w:sz w:val="24"/>
        </w:rPr>
      </w:pPr>
      <w:r>
        <w:rPr>
          <w:sz w:val="24"/>
        </w:rPr>
        <w:t>An employee for training purposes. This may be necessary to insure continuity of operations when an employee in a key role leaves a</w:t>
      </w:r>
      <w:r>
        <w:rPr>
          <w:spacing w:val="-29"/>
          <w:sz w:val="24"/>
        </w:rPr>
        <w:t> </w:t>
      </w:r>
      <w:r>
        <w:rPr>
          <w:sz w:val="24"/>
        </w:rPr>
        <w:t>department.</w:t>
      </w:r>
    </w:p>
    <w:p>
      <w:pPr>
        <w:pStyle w:val="ListParagraph"/>
        <w:numPr>
          <w:ilvl w:val="0"/>
          <w:numId w:val="26"/>
        </w:numPr>
        <w:tabs>
          <w:tab w:pos="840" w:val="left" w:leader="none"/>
        </w:tabs>
        <w:spacing w:line="415" w:lineRule="auto" w:before="196" w:after="0"/>
        <w:ind w:left="120" w:right="2152" w:firstLine="360"/>
        <w:jc w:val="left"/>
        <w:rPr>
          <w:sz w:val="24"/>
        </w:rPr>
      </w:pPr>
      <w:r>
        <w:rPr>
          <w:sz w:val="24"/>
        </w:rPr>
        <w:t>Payment to a separating employee for unused, accrued leave. (Continued)</w:t>
      </w:r>
    </w:p>
    <w:p>
      <w:pPr>
        <w:spacing w:after="0" w:line="415" w:lineRule="auto"/>
        <w:jc w:val="left"/>
        <w:rPr>
          <w:sz w:val="24"/>
        </w:rPr>
        <w:sectPr>
          <w:pgSz w:w="12240" w:h="15840"/>
          <w:pgMar w:header="724" w:footer="792" w:top="980" w:bottom="980" w:left="1320" w:right="1320"/>
        </w:sectPr>
      </w:pPr>
    </w:p>
    <w:p>
      <w:pPr>
        <w:pStyle w:val="BodyText"/>
        <w:rPr>
          <w:sz w:val="20"/>
        </w:rPr>
      </w:pPr>
    </w:p>
    <w:p>
      <w:pPr>
        <w:pStyle w:val="BodyText"/>
        <w:spacing w:before="214"/>
        <w:ind w:left="119"/>
      </w:pPr>
      <w:r>
        <w:rPr/>
        <w:t>(Continued)</w:t>
      </w:r>
    </w:p>
    <w:p>
      <w:pPr>
        <w:pStyle w:val="Heading2"/>
        <w:tabs>
          <w:tab w:pos="7946" w:val="left" w:leader="none"/>
        </w:tabs>
        <w:ind w:left="119"/>
        <w:rPr>
          <w:b w:val="0"/>
        </w:rPr>
      </w:pPr>
      <w:r>
        <w:rPr/>
        <w:t>TEMPORARY HELP OR</w:t>
      </w:r>
      <w:r>
        <w:rPr>
          <w:spacing w:val="-10"/>
        </w:rPr>
        <w:t> </w:t>
      </w:r>
      <w:r>
        <w:rPr/>
        <w:t>OVERTIME</w:t>
      </w:r>
      <w:r>
        <w:rPr>
          <w:spacing w:val="-2"/>
        </w:rPr>
        <w:t> </w:t>
      </w:r>
      <w:r>
        <w:rPr/>
        <w:t>BLANKETS</w:t>
        <w:tab/>
        <w:t>6518 </w:t>
      </w:r>
      <w:r>
        <w:rPr>
          <w:b w:val="0"/>
        </w:rPr>
        <w:t>(Cont.</w:t>
      </w:r>
      <w:r>
        <w:rPr>
          <w:b w:val="0"/>
          <w:spacing w:val="-6"/>
        </w:rPr>
        <w:t> </w:t>
      </w:r>
      <w:r>
        <w:rPr>
          <w:b w:val="0"/>
        </w:rPr>
        <w:t>1)</w:t>
      </w:r>
    </w:p>
    <w:p>
      <w:pPr>
        <w:pStyle w:val="BodyText"/>
        <w:ind w:left="120"/>
      </w:pPr>
      <w:r>
        <w:rPr/>
        <w:t>(Revised 9/2010)</w:t>
      </w:r>
    </w:p>
    <w:p>
      <w:pPr>
        <w:pStyle w:val="BodyText"/>
      </w:pPr>
    </w:p>
    <w:p>
      <w:pPr>
        <w:spacing w:before="0"/>
        <w:ind w:left="480" w:right="214" w:firstLine="0"/>
        <w:jc w:val="left"/>
        <w:rPr>
          <w:sz w:val="24"/>
        </w:rPr>
      </w:pPr>
      <w:r>
        <w:rPr>
          <w:b/>
          <w:sz w:val="24"/>
        </w:rPr>
        <w:t>Employment of limited duration or intermittent use. </w:t>
      </w:r>
      <w:r>
        <w:rPr>
          <w:sz w:val="24"/>
        </w:rPr>
        <w:t>Such usage would include, but not be limited to, the hiring of additional employees for the following uses:</w:t>
      </w:r>
    </w:p>
    <w:p>
      <w:pPr>
        <w:pStyle w:val="ListParagraph"/>
        <w:numPr>
          <w:ilvl w:val="0"/>
          <w:numId w:val="27"/>
        </w:numPr>
        <w:tabs>
          <w:tab w:pos="840" w:val="left" w:leader="none"/>
        </w:tabs>
        <w:spacing w:line="240" w:lineRule="auto" w:before="180" w:after="0"/>
        <w:ind w:left="840" w:right="0" w:hanging="360"/>
        <w:jc w:val="left"/>
        <w:rPr>
          <w:sz w:val="24"/>
        </w:rPr>
      </w:pPr>
      <w:r>
        <w:rPr>
          <w:sz w:val="24"/>
        </w:rPr>
        <w:t>Special consultant</w:t>
      </w:r>
      <w:r>
        <w:rPr>
          <w:spacing w:val="-13"/>
          <w:sz w:val="24"/>
        </w:rPr>
        <w:t> </w:t>
      </w:r>
      <w:r>
        <w:rPr>
          <w:sz w:val="24"/>
        </w:rPr>
        <w:t>studies.</w:t>
      </w:r>
    </w:p>
    <w:p>
      <w:pPr>
        <w:pStyle w:val="ListParagraph"/>
        <w:numPr>
          <w:ilvl w:val="0"/>
          <w:numId w:val="27"/>
        </w:numPr>
        <w:tabs>
          <w:tab w:pos="840" w:val="left" w:leader="none"/>
        </w:tabs>
        <w:spacing w:line="240" w:lineRule="auto" w:before="122" w:after="0"/>
        <w:ind w:left="840" w:right="0" w:hanging="360"/>
        <w:jc w:val="left"/>
        <w:rPr>
          <w:sz w:val="24"/>
        </w:rPr>
      </w:pPr>
      <w:r>
        <w:rPr>
          <w:sz w:val="24"/>
        </w:rPr>
        <w:t>Student</w:t>
      </w:r>
      <w:r>
        <w:rPr>
          <w:spacing w:val="-8"/>
          <w:sz w:val="24"/>
        </w:rPr>
        <w:t> </w:t>
      </w:r>
      <w:r>
        <w:rPr>
          <w:sz w:val="24"/>
        </w:rPr>
        <w:t>assistants.</w:t>
      </w:r>
    </w:p>
    <w:p>
      <w:pPr>
        <w:pStyle w:val="ListParagraph"/>
        <w:numPr>
          <w:ilvl w:val="0"/>
          <w:numId w:val="27"/>
        </w:numPr>
        <w:tabs>
          <w:tab w:pos="840" w:val="left" w:leader="none"/>
        </w:tabs>
        <w:spacing w:line="242" w:lineRule="auto" w:before="196" w:after="0"/>
        <w:ind w:left="840" w:right="270" w:hanging="360"/>
        <w:jc w:val="left"/>
        <w:rPr>
          <w:sz w:val="24"/>
        </w:rPr>
      </w:pPr>
      <w:r>
        <w:rPr>
          <w:sz w:val="24"/>
        </w:rPr>
        <w:t>Special projects or contracts of a limited nature such as compilation of statistical data or purge of</w:t>
      </w:r>
      <w:r>
        <w:rPr>
          <w:spacing w:val="-8"/>
          <w:sz w:val="24"/>
        </w:rPr>
        <w:t> </w:t>
      </w:r>
      <w:r>
        <w:rPr>
          <w:sz w:val="24"/>
        </w:rPr>
        <w:t>files.</w:t>
      </w:r>
    </w:p>
    <w:p>
      <w:pPr>
        <w:pStyle w:val="ListParagraph"/>
        <w:numPr>
          <w:ilvl w:val="0"/>
          <w:numId w:val="27"/>
        </w:numPr>
        <w:tabs>
          <w:tab w:pos="840" w:val="left" w:leader="none"/>
        </w:tabs>
        <w:spacing w:line="242" w:lineRule="auto" w:before="196" w:after="0"/>
        <w:ind w:left="840" w:right="953" w:hanging="360"/>
        <w:jc w:val="left"/>
        <w:rPr>
          <w:sz w:val="24"/>
        </w:rPr>
      </w:pPr>
      <w:r>
        <w:rPr>
          <w:sz w:val="24"/>
        </w:rPr>
        <w:t>Seasonal workload such as processing income tax forms, or inspection of produce before</w:t>
      </w:r>
      <w:r>
        <w:rPr>
          <w:spacing w:val="-13"/>
          <w:sz w:val="24"/>
        </w:rPr>
        <w:t> </w:t>
      </w:r>
      <w:r>
        <w:rPr>
          <w:sz w:val="24"/>
        </w:rPr>
        <w:t>shipment.</w:t>
      </w:r>
    </w:p>
    <w:p>
      <w:pPr>
        <w:pStyle w:val="ListParagraph"/>
        <w:numPr>
          <w:ilvl w:val="0"/>
          <w:numId w:val="27"/>
        </w:numPr>
        <w:tabs>
          <w:tab w:pos="840" w:val="left" w:leader="none"/>
        </w:tabs>
        <w:spacing w:line="242" w:lineRule="auto" w:before="194" w:after="0"/>
        <w:ind w:left="840" w:right="714" w:hanging="360"/>
        <w:jc w:val="left"/>
        <w:rPr>
          <w:sz w:val="24"/>
        </w:rPr>
      </w:pPr>
      <w:r>
        <w:rPr>
          <w:sz w:val="24"/>
        </w:rPr>
        <w:t>Overtime peak workloads that are anticipated in program and administrative areas.</w:t>
      </w:r>
    </w:p>
    <w:p>
      <w:pPr>
        <w:pStyle w:val="ListParagraph"/>
        <w:numPr>
          <w:ilvl w:val="0"/>
          <w:numId w:val="27"/>
        </w:numPr>
        <w:tabs>
          <w:tab w:pos="840" w:val="left" w:leader="none"/>
        </w:tabs>
        <w:spacing w:line="240" w:lineRule="auto" w:before="194" w:after="0"/>
        <w:ind w:left="840" w:right="121" w:hanging="360"/>
        <w:jc w:val="left"/>
        <w:rPr>
          <w:sz w:val="24"/>
        </w:rPr>
      </w:pPr>
      <w:r>
        <w:rPr>
          <w:sz w:val="24"/>
        </w:rPr>
        <w:t>Special uses may be established for blankets to keep track of funds expended for limited purposes such as escapes and emergencies and other differentiations meaningful to the</w:t>
      </w:r>
      <w:r>
        <w:rPr>
          <w:spacing w:val="-13"/>
          <w:sz w:val="24"/>
        </w:rPr>
        <w:t> </w:t>
      </w:r>
      <w:r>
        <w:rPr>
          <w:sz w:val="24"/>
        </w:rPr>
        <w:t>department.</w:t>
      </w:r>
    </w:p>
    <w:p>
      <w:pPr>
        <w:pStyle w:val="BodyText"/>
        <w:spacing w:before="199"/>
        <w:ind w:left="119" w:right="122"/>
      </w:pPr>
      <w:r>
        <w:rPr>
          <w:b/>
        </w:rPr>
        <w:t>Overtime blankets </w:t>
      </w:r>
      <w:r>
        <w:rPr/>
        <w:t>are authorizations used to pay employees for compensable, authorized time worked in excess of the regularly scheduled workweek.  At the discretion of the department and in accordance with personnel rules of the salary setting authority, overtime may be used in place of temporary help to meet peak workload requirements where feasible and economically</w:t>
      </w:r>
      <w:r>
        <w:rPr>
          <w:spacing w:val="-31"/>
        </w:rPr>
        <w:t> </w:t>
      </w:r>
      <w:r>
        <w:rPr/>
        <w:t>advantageous.</w:t>
      </w:r>
    </w:p>
    <w:p>
      <w:pPr>
        <w:pStyle w:val="BodyText"/>
        <w:spacing w:before="180"/>
        <w:ind w:left="119" w:right="215"/>
      </w:pPr>
      <w:r>
        <w:rPr/>
        <w:t>If a temporary help blanket has been established, but an overtime blanket has not, it may be more economical to make minor payments for overtime of short duration from the temporary help blanket than to establish a separate overtime blanket for a relatively small total amount.</w:t>
      </w:r>
    </w:p>
    <w:p>
      <w:pPr>
        <w:pStyle w:val="BodyText"/>
        <w:spacing w:before="180"/>
        <w:ind w:left="119" w:right="175"/>
      </w:pPr>
      <w:r>
        <w:rPr/>
        <w:t>Approval of the Department of Finance is required for the establishment of a permanent position by transfer of funds from a blanket authorization.</w:t>
      </w:r>
    </w:p>
    <w:p>
      <w:pPr>
        <w:spacing w:after="0"/>
        <w:sectPr>
          <w:pgSz w:w="12240" w:h="15840"/>
          <w:pgMar w:header="724" w:footer="792" w:top="980" w:bottom="980" w:left="1320" w:right="1320"/>
        </w:sectPr>
      </w:pPr>
    </w:p>
    <w:p>
      <w:pPr>
        <w:pStyle w:val="BodyText"/>
        <w:rPr>
          <w:sz w:val="20"/>
        </w:rPr>
      </w:pPr>
    </w:p>
    <w:p>
      <w:pPr>
        <w:pStyle w:val="Heading2"/>
        <w:spacing w:before="214"/>
        <w:ind w:left="119"/>
      </w:pPr>
      <w:r>
        <w:rPr/>
        <w:t>CERTIFICATION FOR CONTINUED PAYMENT OF</w:t>
      </w:r>
    </w:p>
    <w:p>
      <w:pPr>
        <w:tabs>
          <w:tab w:pos="8947" w:val="left" w:leader="none"/>
        </w:tabs>
        <w:spacing w:before="0"/>
        <w:ind w:left="119" w:right="0" w:firstLine="0"/>
        <w:jc w:val="left"/>
        <w:rPr>
          <w:b/>
          <w:sz w:val="24"/>
        </w:rPr>
      </w:pPr>
      <w:r>
        <w:rPr>
          <w:b/>
          <w:sz w:val="24"/>
        </w:rPr>
        <w:t>ESTABLISHED</w:t>
      </w:r>
      <w:r>
        <w:rPr>
          <w:b/>
          <w:spacing w:val="-4"/>
          <w:sz w:val="24"/>
        </w:rPr>
        <w:t> </w:t>
      </w:r>
      <w:r>
        <w:rPr>
          <w:b/>
          <w:sz w:val="24"/>
        </w:rPr>
        <w:t>POSITIONS</w:t>
        <w:tab/>
        <w:t>6521</w:t>
      </w:r>
    </w:p>
    <w:p>
      <w:pPr>
        <w:pStyle w:val="BodyText"/>
        <w:ind w:left="119"/>
      </w:pPr>
      <w:bookmarkStart w:name="(Revised 9/2010)" w:id="36"/>
      <w:bookmarkEnd w:id="36"/>
      <w:r>
        <w:rPr/>
      </w:r>
      <w:r>
        <w:rPr/>
        <w:t>(Revised 9/2010)</w:t>
      </w:r>
    </w:p>
    <w:p>
      <w:pPr>
        <w:pStyle w:val="BodyText"/>
        <w:spacing w:before="2"/>
        <w:rPr>
          <w:sz w:val="29"/>
        </w:rPr>
      </w:pPr>
    </w:p>
    <w:p>
      <w:pPr>
        <w:pStyle w:val="BodyText"/>
        <w:ind w:left="119" w:right="175"/>
      </w:pPr>
      <w:r>
        <w:rPr/>
        <w:t>It is the responsibility of each department to certify to the Department of Finance that existing positions established on the </w:t>
      </w:r>
      <w:hyperlink r:id="rId69">
        <w:r>
          <w:rPr>
            <w:color w:val="0000FF"/>
            <w:u w:val="single" w:color="0000FF"/>
          </w:rPr>
          <w:t>State Controller’s Office (SCO) </w:t>
        </w:r>
      </w:hyperlink>
      <w:r>
        <w:rPr/>
        <w:t>position roster, as amended by appropriate department payroll and position documents (</w:t>
      </w:r>
      <w:hyperlink r:id="rId67">
        <w:r>
          <w:rPr>
            <w:color w:val="0000FF"/>
            <w:u w:val="single" w:color="0000FF"/>
          </w:rPr>
          <w:t>STD. 607</w:t>
        </w:r>
      </w:hyperlink>
      <w:r>
        <w:rPr/>
        <w:t>), reflect the approved program. Each department must reconcile (see SAM Section </w:t>
      </w:r>
      <w:hyperlink r:id="rId54">
        <w:r>
          <w:rPr>
            <w:color w:val="0000FF"/>
            <w:u w:val="single" w:color="0000FF"/>
          </w:rPr>
          <w:t>6448</w:t>
        </w:r>
      </w:hyperlink>
      <w:r>
        <w:rPr/>
        <w:t>) the existing positions as reported in the Schedule 8 prepared by the SCO and the positions authorized in the department's Final Budget. The STD. 607s to adjust to authorized staffing need to be prepared and sent to the </w:t>
      </w:r>
      <w:hyperlink r:id="rId69">
        <w:r>
          <w:rPr>
            <w:color w:val="0000FF"/>
            <w:u w:val="single" w:color="0000FF"/>
          </w:rPr>
          <w:t>SCO</w:t>
        </w:r>
      </w:hyperlink>
      <w:r>
        <w:rPr/>
        <w:t>.</w:t>
      </w:r>
    </w:p>
    <w:p>
      <w:pPr>
        <w:pStyle w:val="BodyText"/>
        <w:spacing w:before="10"/>
        <w:rPr>
          <w:sz w:val="15"/>
        </w:rPr>
      </w:pPr>
    </w:p>
    <w:p>
      <w:pPr>
        <w:pStyle w:val="BodyText"/>
        <w:spacing w:before="93"/>
        <w:ind w:left="120"/>
      </w:pPr>
      <w:r>
        <w:rPr/>
        <w:t>This certification shall meet the following broad criteria:</w:t>
      </w:r>
    </w:p>
    <w:p>
      <w:pPr>
        <w:pStyle w:val="BodyText"/>
      </w:pPr>
    </w:p>
    <w:p>
      <w:pPr>
        <w:pStyle w:val="ListParagraph"/>
        <w:numPr>
          <w:ilvl w:val="0"/>
          <w:numId w:val="28"/>
        </w:numPr>
        <w:tabs>
          <w:tab w:pos="480" w:val="left" w:leader="none"/>
        </w:tabs>
        <w:spacing w:line="240" w:lineRule="auto" w:before="0" w:after="0"/>
        <w:ind w:left="480" w:right="1073" w:hanging="360"/>
        <w:jc w:val="left"/>
        <w:rPr>
          <w:sz w:val="24"/>
        </w:rPr>
      </w:pPr>
      <w:r>
        <w:rPr>
          <w:sz w:val="24"/>
        </w:rPr>
        <w:t>The positions have been established in accordance with approved program, legislative intent, and Administration</w:t>
      </w:r>
      <w:r>
        <w:rPr>
          <w:spacing w:val="-23"/>
          <w:sz w:val="24"/>
        </w:rPr>
        <w:t> </w:t>
      </w:r>
      <w:r>
        <w:rPr>
          <w:sz w:val="24"/>
        </w:rPr>
        <w:t>policy.</w:t>
      </w:r>
    </w:p>
    <w:p>
      <w:pPr>
        <w:pStyle w:val="ListParagraph"/>
        <w:numPr>
          <w:ilvl w:val="0"/>
          <w:numId w:val="28"/>
        </w:numPr>
        <w:tabs>
          <w:tab w:pos="480" w:val="left" w:leader="none"/>
        </w:tabs>
        <w:spacing w:line="240" w:lineRule="auto" w:before="199" w:after="0"/>
        <w:ind w:left="480" w:right="255" w:hanging="360"/>
        <w:jc w:val="left"/>
        <w:rPr>
          <w:sz w:val="24"/>
        </w:rPr>
      </w:pPr>
      <w:r>
        <w:rPr>
          <w:sz w:val="24"/>
        </w:rPr>
        <w:t>The positions in the roster have been established in accordance with pertinent statutory and administrative regulations including, but not limited to, the following: the control sections of the current Budget Act, pay scales, Department of Personnel Administration (DPA) rules, </w:t>
      </w:r>
      <w:hyperlink r:id="rId103">
        <w:r>
          <w:rPr>
            <w:color w:val="0000FF"/>
            <w:sz w:val="24"/>
            <w:u w:val="single" w:color="0000FF"/>
          </w:rPr>
          <w:t>State Personnel Board (SPB) </w:t>
        </w:r>
      </w:hyperlink>
      <w:r>
        <w:rPr>
          <w:sz w:val="24"/>
        </w:rPr>
        <w:t>rules (CEA established only), and prior approvals such as that of the DPA, SPB, or</w:t>
      </w:r>
      <w:r>
        <w:rPr>
          <w:spacing w:val="-30"/>
          <w:sz w:val="24"/>
        </w:rPr>
        <w:t> </w:t>
      </w:r>
      <w:r>
        <w:rPr>
          <w:sz w:val="24"/>
        </w:rPr>
        <w:t>Finance.</w:t>
      </w:r>
    </w:p>
    <w:p>
      <w:pPr>
        <w:pStyle w:val="BodyText"/>
        <w:spacing w:before="199"/>
        <w:ind w:left="120" w:right="415"/>
      </w:pPr>
      <w:r>
        <w:rPr/>
        <w:t>The following certification will be included on the Personnel Years System Worksheet which is distributed to each department with the Schedule 7A galley.</w:t>
      </w:r>
    </w:p>
    <w:p>
      <w:pPr>
        <w:spacing w:before="199"/>
        <w:ind w:left="480" w:right="255" w:firstLine="0"/>
        <w:jc w:val="left"/>
        <w:rPr>
          <w:i/>
          <w:sz w:val="24"/>
        </w:rPr>
      </w:pPr>
      <w:r>
        <w:rPr>
          <w:i/>
          <w:sz w:val="24"/>
        </w:rPr>
        <w:t>"I hereby certify that the positions in the SCO’s position roster as amended by </w:t>
      </w:r>
      <w:r>
        <w:rPr>
          <w:i/>
          <w:sz w:val="24"/>
        </w:rPr>
        <w:t>documentation submitted to the SCO and recorded on the Schedule 8 and 7A submission to Finance are in accordance with the broad criteria established in SAM Section 6521.”</w:t>
      </w:r>
    </w:p>
    <w:p>
      <w:pPr>
        <w:pStyle w:val="BodyText"/>
        <w:spacing w:before="201"/>
        <w:ind w:left="119" w:right="242"/>
      </w:pPr>
      <w:r>
        <w:rPr/>
        <w:t>The authority to sign the certification is limited to those officers who have been duly authorized by the agency head to execute this certification and whose names and position titles are on record with the SCO. The certifying department will maintain a record of all officers who have been authorized to sign the certification. Finance grants blanket approval to the SCO to use existing positions established on the position roster as amended by actions taken under the authority of Government Code Section </w:t>
      </w:r>
      <w:hyperlink r:id="rId66">
        <w:r>
          <w:rPr>
            <w:color w:val="0000FF"/>
            <w:u w:val="single" w:color="0000FF"/>
          </w:rPr>
          <w:t>12439</w:t>
        </w:r>
      </w:hyperlink>
      <w:r>
        <w:rPr>
          <w:color w:val="0000FF"/>
          <w:u w:val="single" w:color="0000FF"/>
        </w:rPr>
        <w:t> </w:t>
      </w:r>
      <w:r>
        <w:rPr/>
        <w:t>as the basis for payrolls for the July and August pay periods only.</w:t>
      </w:r>
    </w:p>
    <w:p>
      <w:pPr>
        <w:spacing w:after="0"/>
        <w:sectPr>
          <w:pgSz w:w="12240" w:h="15840"/>
          <w:pgMar w:header="724" w:footer="792" w:top="980" w:bottom="980" w:left="1320" w:right="1320"/>
        </w:sectPr>
      </w:pPr>
    </w:p>
    <w:p>
      <w:pPr>
        <w:pStyle w:val="BodyText"/>
        <w:rPr>
          <w:sz w:val="20"/>
        </w:rPr>
      </w:pPr>
    </w:p>
    <w:p>
      <w:pPr>
        <w:spacing w:before="214"/>
        <w:ind w:left="119" w:right="0" w:firstLine="0"/>
        <w:jc w:val="left"/>
        <w:rPr>
          <w:b/>
          <w:sz w:val="24"/>
        </w:rPr>
      </w:pPr>
      <w:r>
        <w:rPr>
          <w:b/>
          <w:sz w:val="24"/>
        </w:rPr>
        <w:t>BUDGETARY APPROVAL OF POSITION-RELATED</w:t>
      </w:r>
    </w:p>
    <w:p>
      <w:pPr>
        <w:tabs>
          <w:tab w:pos="8947" w:val="left" w:leader="none"/>
        </w:tabs>
        <w:spacing w:before="0"/>
        <w:ind w:left="119" w:right="0" w:firstLine="0"/>
        <w:jc w:val="left"/>
        <w:rPr>
          <w:b/>
          <w:sz w:val="24"/>
        </w:rPr>
      </w:pPr>
      <w:r>
        <w:rPr>
          <w:b/>
          <w:sz w:val="24"/>
        </w:rPr>
        <w:t>TRANSACTIONS</w:t>
        <w:tab/>
        <w:t>6527</w:t>
      </w:r>
    </w:p>
    <w:p>
      <w:pPr>
        <w:pStyle w:val="BodyText"/>
        <w:ind w:left="119"/>
      </w:pPr>
      <w:r>
        <w:rPr/>
        <w:t>(Revised 6/2008)</w:t>
      </w:r>
    </w:p>
    <w:p>
      <w:pPr>
        <w:pStyle w:val="BodyText"/>
      </w:pPr>
    </w:p>
    <w:p>
      <w:pPr>
        <w:pStyle w:val="BodyText"/>
        <w:ind w:left="119" w:right="277"/>
      </w:pPr>
      <w:r>
        <w:rPr/>
        <w:t>Establishment, amendment, or abolishment of positions, blanket positions, and other position-related transactions are documented by the use of the "Change in Established Positions form," </w:t>
      </w:r>
      <w:hyperlink r:id="rId67">
        <w:r>
          <w:rPr>
            <w:color w:val="0000FF"/>
            <w:u w:val="single" w:color="0000FF"/>
          </w:rPr>
          <w:t>STD. 607</w:t>
        </w:r>
      </w:hyperlink>
      <w:r>
        <w:rPr/>
        <w:t>.</w:t>
      </w:r>
    </w:p>
    <w:p>
      <w:pPr>
        <w:pStyle w:val="BodyText"/>
        <w:spacing w:before="11"/>
        <w:rPr>
          <w:sz w:val="15"/>
        </w:rPr>
      </w:pPr>
    </w:p>
    <w:p>
      <w:pPr>
        <w:pStyle w:val="BodyText"/>
        <w:spacing w:before="92"/>
        <w:ind w:left="119" w:right="335"/>
      </w:pPr>
      <w:r>
        <w:rPr/>
        <w:t>The temporary downgrading of positions through the use STD. 607 shall not be permitted, except when extraordinary situations occur that require such downgrading. In those situations, STD. 607 must be submitted with appropriate justification and lead time to be evaluated and approved by the DOF prior to the effective date.</w:t>
      </w:r>
    </w:p>
    <w:p>
      <w:pPr>
        <w:pStyle w:val="BodyText"/>
        <w:spacing w:before="11"/>
        <w:rPr>
          <w:sz w:val="23"/>
        </w:rPr>
      </w:pPr>
    </w:p>
    <w:p>
      <w:pPr>
        <w:pStyle w:val="BodyText"/>
        <w:ind w:left="119" w:right="830"/>
      </w:pPr>
      <w:r>
        <w:rPr/>
        <w:t>Form STD. 607 which meet the following four criteria are exempt from review and approval of DOF provided budgetary review is not otherwise mandated for that transaction.</w:t>
      </w:r>
    </w:p>
    <w:p>
      <w:pPr>
        <w:pStyle w:val="BodyText"/>
      </w:pPr>
    </w:p>
    <w:p>
      <w:pPr>
        <w:pStyle w:val="ListParagraph"/>
        <w:numPr>
          <w:ilvl w:val="0"/>
          <w:numId w:val="29"/>
        </w:numPr>
        <w:tabs>
          <w:tab w:pos="480" w:val="left" w:leader="none"/>
        </w:tabs>
        <w:spacing w:line="240" w:lineRule="auto" w:before="0" w:after="0"/>
        <w:ind w:left="480" w:right="725" w:hanging="360"/>
        <w:jc w:val="left"/>
        <w:rPr>
          <w:sz w:val="24"/>
        </w:rPr>
      </w:pPr>
      <w:r>
        <w:rPr>
          <w:sz w:val="24"/>
        </w:rPr>
        <w:t>The position has been: (a) specifically identified in the Governor’s Budget and approved by the Legislature or; (b) approved by the Legislature and specifically documented in the Final Change Book or enacted</w:t>
      </w:r>
      <w:r>
        <w:rPr>
          <w:spacing w:val="-29"/>
          <w:sz w:val="24"/>
        </w:rPr>
        <w:t> </w:t>
      </w:r>
      <w:r>
        <w:rPr>
          <w:sz w:val="24"/>
        </w:rPr>
        <w:t>legislation.</w:t>
      </w:r>
    </w:p>
    <w:p>
      <w:pPr>
        <w:pStyle w:val="BodyText"/>
      </w:pPr>
    </w:p>
    <w:p>
      <w:pPr>
        <w:pStyle w:val="ListParagraph"/>
        <w:numPr>
          <w:ilvl w:val="0"/>
          <w:numId w:val="29"/>
        </w:numPr>
        <w:tabs>
          <w:tab w:pos="480" w:val="left" w:leader="none"/>
        </w:tabs>
        <w:spacing w:line="240" w:lineRule="auto" w:before="0" w:after="0"/>
        <w:ind w:left="480" w:right="272" w:hanging="360"/>
        <w:jc w:val="left"/>
        <w:rPr>
          <w:sz w:val="24"/>
        </w:rPr>
      </w:pPr>
      <w:r>
        <w:rPr>
          <w:sz w:val="24"/>
        </w:rPr>
        <w:t>The purposes are consistent with approved program, with legislative intent and with Administration policy. The STD. 607 does not provide for new or expanded programs in this or any subsequent fiscal year nor require supplemental</w:t>
      </w:r>
      <w:r>
        <w:rPr>
          <w:spacing w:val="-44"/>
          <w:sz w:val="24"/>
        </w:rPr>
        <w:t> </w:t>
      </w:r>
      <w:r>
        <w:rPr>
          <w:sz w:val="24"/>
        </w:rPr>
        <w:t>financing.</w:t>
      </w:r>
    </w:p>
    <w:p>
      <w:pPr>
        <w:pStyle w:val="BodyText"/>
      </w:pPr>
    </w:p>
    <w:p>
      <w:pPr>
        <w:pStyle w:val="ListParagraph"/>
        <w:numPr>
          <w:ilvl w:val="0"/>
          <w:numId w:val="29"/>
        </w:numPr>
        <w:tabs>
          <w:tab w:pos="480" w:val="left" w:leader="none"/>
        </w:tabs>
        <w:spacing w:line="240" w:lineRule="auto" w:before="0" w:after="0"/>
        <w:ind w:left="480" w:right="136" w:hanging="360"/>
        <w:jc w:val="left"/>
        <w:rPr>
          <w:sz w:val="24"/>
        </w:rPr>
      </w:pPr>
      <w:r>
        <w:rPr>
          <w:sz w:val="24"/>
        </w:rPr>
        <w:t>The position transaction is in accordance with a staffing plan for the program or a change to the staffing plan which has been approved by DOF as part of the department proposal approved by the Legislature either before or after enactment by the Legislature. The departmental staffing plan and amendments will be maintained as part of departmental</w:t>
      </w:r>
      <w:r>
        <w:rPr>
          <w:spacing w:val="-15"/>
          <w:sz w:val="24"/>
        </w:rPr>
        <w:t> </w:t>
      </w:r>
      <w:r>
        <w:rPr>
          <w:sz w:val="24"/>
        </w:rPr>
        <w:t>records.</w:t>
      </w:r>
    </w:p>
    <w:p>
      <w:pPr>
        <w:pStyle w:val="BodyText"/>
      </w:pPr>
    </w:p>
    <w:p>
      <w:pPr>
        <w:pStyle w:val="ListParagraph"/>
        <w:numPr>
          <w:ilvl w:val="0"/>
          <w:numId w:val="29"/>
        </w:numPr>
        <w:tabs>
          <w:tab w:pos="480" w:val="left" w:leader="none"/>
        </w:tabs>
        <w:spacing w:line="240" w:lineRule="auto" w:before="0" w:after="0"/>
        <w:ind w:left="480" w:right="550" w:hanging="360"/>
        <w:jc w:val="left"/>
        <w:rPr>
          <w:sz w:val="24"/>
        </w:rPr>
      </w:pPr>
      <w:r>
        <w:rPr>
          <w:sz w:val="24"/>
        </w:rPr>
        <w:t>All pertinent statutory and administrative regulations such as those of DPA, </w:t>
      </w:r>
      <w:hyperlink r:id="rId103">
        <w:r>
          <w:rPr>
            <w:color w:val="0000FF"/>
            <w:sz w:val="24"/>
            <w:u w:val="single" w:color="0000FF"/>
          </w:rPr>
          <w:t>SPB</w:t>
        </w:r>
      </w:hyperlink>
      <w:r>
        <w:rPr>
          <w:sz w:val="24"/>
        </w:rPr>
        <w:t>, BOC, </w:t>
      </w:r>
      <w:hyperlink r:id="rId69">
        <w:r>
          <w:rPr>
            <w:color w:val="0000FF"/>
            <w:sz w:val="24"/>
            <w:u w:val="single" w:color="0000FF"/>
          </w:rPr>
          <w:t>SCO </w:t>
        </w:r>
      </w:hyperlink>
      <w:r>
        <w:rPr>
          <w:sz w:val="24"/>
        </w:rPr>
        <w:t>have been applied and prior approvals secured when</w:t>
      </w:r>
      <w:r>
        <w:rPr>
          <w:spacing w:val="-36"/>
          <w:sz w:val="24"/>
        </w:rPr>
        <w:t> </w:t>
      </w:r>
      <w:r>
        <w:rPr>
          <w:sz w:val="24"/>
        </w:rPr>
        <w:t>necessary.</w:t>
      </w:r>
    </w:p>
    <w:p>
      <w:pPr>
        <w:pStyle w:val="BodyText"/>
        <w:spacing w:before="11"/>
        <w:rPr>
          <w:sz w:val="15"/>
        </w:rPr>
      </w:pPr>
    </w:p>
    <w:p>
      <w:pPr>
        <w:pStyle w:val="BodyText"/>
        <w:spacing w:before="92"/>
        <w:ind w:left="120" w:right="548"/>
      </w:pPr>
      <w:r>
        <w:rPr/>
        <w:t>Notwithstanding the general criteria for exemption listed above, budgetary review by DOF is mandated for the types of transactions listed below.</w:t>
      </w:r>
    </w:p>
    <w:p>
      <w:pPr>
        <w:pStyle w:val="BodyText"/>
        <w:tabs>
          <w:tab w:pos="1199" w:val="left" w:leader="none"/>
        </w:tabs>
        <w:spacing w:line="470" w:lineRule="atLeast" w:before="84"/>
        <w:ind w:left="480" w:right="443"/>
      </w:pPr>
      <w:r>
        <w:rPr>
          <w:strike/>
          <w:color w:val="2E97D3"/>
        </w:rPr>
        <w:t>a.</w:t>
      </w:r>
      <w:r>
        <w:rPr>
          <w:strike w:val="0"/>
          <w:color w:val="2E97D3"/>
          <w:u w:val="single" w:color="2E97D3"/>
        </w:rPr>
        <w:t>1.</w:t>
        <w:tab/>
      </w:r>
      <w:r>
        <w:rPr>
          <w:strike w:val="0"/>
        </w:rPr>
        <w:t>Administrative establishment of positions not authorized by</w:t>
      </w:r>
      <w:r>
        <w:rPr>
          <w:strike w:val="0"/>
          <w:spacing w:val="-35"/>
        </w:rPr>
        <w:t> </w:t>
      </w:r>
      <w:r>
        <w:rPr>
          <w:strike w:val="0"/>
        </w:rPr>
        <w:t>the</w:t>
      </w:r>
      <w:r>
        <w:rPr>
          <w:strike w:val="0"/>
          <w:spacing w:val="-4"/>
        </w:rPr>
        <w:t> </w:t>
      </w:r>
      <w:r>
        <w:rPr>
          <w:strike w:val="0"/>
        </w:rPr>
        <w:t>Legislature,</w:t>
      </w:r>
      <w:r>
        <w:rPr>
          <w:strike w:val="0"/>
          <w:w w:val="100"/>
        </w:rPr>
        <w:t> </w:t>
      </w:r>
      <w:r>
        <w:rPr>
          <w:strike/>
          <w:color w:val="2E97D3"/>
        </w:rPr>
        <w:t>b.</w:t>
      </w:r>
      <w:r>
        <w:rPr>
          <w:strike w:val="0"/>
          <w:color w:val="2E97D3"/>
          <w:u w:val="single" w:color="2E97D3"/>
        </w:rPr>
        <w:t>2.</w:t>
        <w:tab/>
      </w:r>
      <w:r>
        <w:rPr>
          <w:strike w:val="0"/>
        </w:rPr>
        <w:t>Reclassification to positions with a minimum step per month as specified</w:t>
      </w:r>
      <w:r>
        <w:rPr>
          <w:strike w:val="0"/>
          <w:spacing w:val="-33"/>
        </w:rPr>
        <w:t> </w:t>
      </w:r>
      <w:r>
        <w:rPr>
          <w:strike w:val="0"/>
        </w:rPr>
        <w:t>in</w:t>
      </w:r>
    </w:p>
    <w:p>
      <w:pPr>
        <w:pStyle w:val="BodyText"/>
        <w:ind w:left="1200"/>
      </w:pPr>
      <w:r>
        <w:rPr/>
        <w:t>Section 31 of the Budget Act,</w:t>
      </w:r>
    </w:p>
    <w:p>
      <w:pPr>
        <w:pStyle w:val="BodyText"/>
        <w:spacing w:before="11"/>
        <w:rPr>
          <w:sz w:val="23"/>
        </w:rPr>
      </w:pPr>
    </w:p>
    <w:p>
      <w:pPr>
        <w:pStyle w:val="BodyText"/>
        <w:tabs>
          <w:tab w:pos="1199" w:val="left" w:leader="none"/>
        </w:tabs>
        <w:ind w:left="480"/>
      </w:pPr>
      <w:r>
        <w:rPr>
          <w:strike/>
          <w:color w:val="2E97D3"/>
        </w:rPr>
        <w:t>c.</w:t>
      </w:r>
      <w:r>
        <w:rPr>
          <w:strike w:val="0"/>
          <w:color w:val="2E97D3"/>
          <w:u w:val="single" w:color="2E97D3"/>
        </w:rPr>
        <w:t>3.</w:t>
        <w:tab/>
      </w:r>
      <w:r>
        <w:rPr>
          <w:strike w:val="0"/>
        </w:rPr>
        <w:t>Establishment of permanent positions out of the blanket authorizations,</w:t>
      </w:r>
      <w:r>
        <w:rPr>
          <w:strike w:val="0"/>
          <w:spacing w:val="-39"/>
        </w:rPr>
        <w:t> </w:t>
      </w:r>
      <w:r>
        <w:rPr>
          <w:strike w:val="0"/>
        </w:rPr>
        <w:t>and</w:t>
      </w:r>
    </w:p>
    <w:p>
      <w:pPr>
        <w:pStyle w:val="BodyText"/>
        <w:spacing w:before="11"/>
        <w:rPr>
          <w:sz w:val="15"/>
        </w:rPr>
      </w:pPr>
    </w:p>
    <w:p>
      <w:pPr>
        <w:pStyle w:val="ListParagraph"/>
        <w:numPr>
          <w:ilvl w:val="1"/>
          <w:numId w:val="30"/>
        </w:numPr>
        <w:tabs>
          <w:tab w:pos="1199" w:val="left" w:leader="none"/>
          <w:tab w:pos="1200" w:val="left" w:leader="none"/>
        </w:tabs>
        <w:spacing w:line="240" w:lineRule="auto" w:before="92" w:after="0"/>
        <w:ind w:left="1200" w:right="0" w:hanging="720"/>
        <w:jc w:val="left"/>
        <w:rPr>
          <w:sz w:val="24"/>
        </w:rPr>
      </w:pPr>
      <w:r>
        <w:rPr>
          <w:strike w:val="0"/>
          <w:sz w:val="24"/>
        </w:rPr>
        <w:t>Temporary downgrading positions through the use of STD.</w:t>
      </w:r>
      <w:r>
        <w:rPr>
          <w:strike w:val="0"/>
          <w:spacing w:val="-26"/>
          <w:sz w:val="24"/>
        </w:rPr>
        <w:t> </w:t>
      </w:r>
      <w:r>
        <w:rPr>
          <w:strike w:val="0"/>
          <w:sz w:val="24"/>
        </w:rPr>
        <w:t>607.</w:t>
      </w:r>
    </w:p>
    <w:p>
      <w:pPr>
        <w:pStyle w:val="BodyText"/>
        <w:spacing w:before="11"/>
        <w:rPr>
          <w:sz w:val="15"/>
        </w:rPr>
      </w:pPr>
    </w:p>
    <w:p>
      <w:pPr>
        <w:pStyle w:val="BodyText"/>
        <w:spacing w:before="92"/>
        <w:ind w:left="120"/>
      </w:pPr>
      <w:r>
        <w:rPr/>
        <w:t>(Continued)</w:t>
      </w:r>
    </w:p>
    <w:p>
      <w:pPr>
        <w:spacing w:after="0"/>
        <w:sectPr>
          <w:footerReference w:type="default" r:id="rId104"/>
          <w:pgSz w:w="12240" w:h="15840"/>
          <w:pgMar w:footer="792" w:header="724" w:top="980" w:bottom="980" w:left="1320" w:right="1320"/>
        </w:sectPr>
      </w:pPr>
    </w:p>
    <w:p>
      <w:pPr>
        <w:pStyle w:val="BodyText"/>
        <w:rPr>
          <w:sz w:val="20"/>
        </w:rPr>
      </w:pPr>
    </w:p>
    <w:p>
      <w:pPr>
        <w:pStyle w:val="BodyText"/>
        <w:spacing w:before="214"/>
        <w:ind w:left="119"/>
      </w:pPr>
      <w:r>
        <w:rPr/>
        <w:t>(Continued)</w:t>
      </w:r>
    </w:p>
    <w:p>
      <w:pPr>
        <w:pStyle w:val="Heading2"/>
        <w:ind w:left="119"/>
      </w:pPr>
      <w:r>
        <w:rPr/>
        <w:t>BUDGETARY APPROVAL OF POSITION-RELATED</w:t>
      </w:r>
    </w:p>
    <w:p>
      <w:pPr>
        <w:tabs>
          <w:tab w:pos="7946" w:val="left" w:leader="none"/>
        </w:tabs>
        <w:spacing w:before="0"/>
        <w:ind w:left="119" w:right="0" w:firstLine="0"/>
        <w:jc w:val="left"/>
        <w:rPr>
          <w:sz w:val="24"/>
        </w:rPr>
      </w:pPr>
      <w:r>
        <w:rPr>
          <w:b/>
          <w:sz w:val="24"/>
        </w:rPr>
        <w:t>TRANSACTIONS</w:t>
        <w:tab/>
        <w:t>6527 </w:t>
      </w:r>
      <w:r>
        <w:rPr>
          <w:sz w:val="24"/>
        </w:rPr>
        <w:t>(Cont.</w:t>
      </w:r>
      <w:r>
        <w:rPr>
          <w:spacing w:val="-6"/>
          <w:sz w:val="24"/>
        </w:rPr>
        <w:t> </w:t>
      </w:r>
      <w:r>
        <w:rPr>
          <w:sz w:val="24"/>
        </w:rPr>
        <w:t>1)</w:t>
      </w:r>
    </w:p>
    <w:p>
      <w:pPr>
        <w:pStyle w:val="BodyText"/>
        <w:ind w:left="120"/>
      </w:pPr>
      <w:r>
        <w:rPr/>
        <w:t>(Revised 6/2008)</w:t>
      </w:r>
    </w:p>
    <w:p>
      <w:pPr>
        <w:pStyle w:val="BodyText"/>
      </w:pPr>
    </w:p>
    <w:p>
      <w:pPr>
        <w:pStyle w:val="BodyText"/>
        <w:ind w:left="120" w:right="181"/>
      </w:pPr>
      <w:r>
        <w:rPr/>
        <w:t>All departments that are members of the Uniform State Payroll System, except those to which Section 31.00 is not applicable, as stated in Section </w:t>
      </w:r>
      <w:hyperlink r:id="rId105">
        <w:r>
          <w:rPr>
            <w:color w:val="0000FF"/>
            <w:u w:val="single" w:color="0000FF"/>
          </w:rPr>
          <w:t>13332</w:t>
        </w:r>
      </w:hyperlink>
      <w:r>
        <w:rPr/>
        <w:t>.16 of the Government Code, should conform to Section 31.00 of the Budget Act.  Departments that are exempt per Section 31.00 of the Budget Act must place the required certificate on each copy of STD. 607 prepared in accordance with the instructions in this section.</w:t>
      </w:r>
    </w:p>
    <w:p>
      <w:pPr>
        <w:pStyle w:val="BodyText"/>
        <w:spacing w:before="11"/>
        <w:rPr>
          <w:sz w:val="23"/>
        </w:rPr>
      </w:pPr>
    </w:p>
    <w:p>
      <w:pPr>
        <w:pStyle w:val="BodyText"/>
        <w:ind w:left="120" w:right="694"/>
      </w:pPr>
      <w:r>
        <w:rPr/>
        <w:t>The officer or employee signing on behalf of the department shall use the following certification which shall appear on all copies of the STD. 607.</w:t>
      </w:r>
    </w:p>
    <w:p>
      <w:pPr>
        <w:pStyle w:val="BodyText"/>
        <w:spacing w:before="8"/>
        <w:rPr>
          <w:sz w:val="23"/>
        </w:rPr>
      </w:pPr>
    </w:p>
    <w:p>
      <w:pPr>
        <w:spacing w:before="0"/>
        <w:ind w:left="480" w:right="170" w:firstLine="0"/>
        <w:jc w:val="left"/>
        <w:rPr>
          <w:i/>
          <w:sz w:val="24"/>
        </w:rPr>
      </w:pPr>
      <w:r>
        <w:rPr>
          <w:i/>
          <w:sz w:val="24"/>
        </w:rPr>
        <w:t>"I hereby certify that all conditions for exemption set forth in SAM Section 6527 have </w:t>
      </w:r>
      <w:r>
        <w:rPr>
          <w:i/>
          <w:sz w:val="24"/>
        </w:rPr>
        <w:t>been complied with and this action is exempt from review by DOF.”</w:t>
      </w:r>
    </w:p>
    <w:p>
      <w:pPr>
        <w:pStyle w:val="BodyText"/>
        <w:spacing w:before="1"/>
        <w:rPr>
          <w:i/>
        </w:rPr>
      </w:pPr>
    </w:p>
    <w:p>
      <w:pPr>
        <w:pStyle w:val="BodyText"/>
        <w:ind w:left="120" w:right="602"/>
      </w:pPr>
      <w:r>
        <w:rPr/>
        <w:t>The authority to sign this certification is limited to those officers who have been duly authorized by the department head to execute STD. 607s and whose names and position titles are on record with SCO and maintained in the department records for audit purposes.</w:t>
      </w:r>
    </w:p>
    <w:p>
      <w:pPr>
        <w:pStyle w:val="BodyText"/>
        <w:spacing w:before="10"/>
        <w:rPr>
          <w:sz w:val="23"/>
        </w:rPr>
      </w:pPr>
    </w:p>
    <w:p>
      <w:pPr>
        <w:pStyle w:val="BodyText"/>
        <w:ind w:left="120" w:right="722"/>
      </w:pPr>
      <w:r>
        <w:rPr/>
        <w:t>No STD. 607 executed for the above purposes will be exempt from review by DOF under the provisions of this manual or any special exemptions heretofore granted unless it meets the preceding criteria.</w:t>
      </w:r>
    </w:p>
    <w:p>
      <w:pPr>
        <w:pStyle w:val="BodyText"/>
        <w:spacing w:before="10"/>
        <w:rPr>
          <w:sz w:val="23"/>
        </w:rPr>
      </w:pPr>
    </w:p>
    <w:p>
      <w:pPr>
        <w:pStyle w:val="BodyText"/>
        <w:ind w:left="120" w:right="202"/>
      </w:pPr>
      <w:r>
        <w:rPr/>
        <w:t>All STD. 607s with justification as deemed appropriate, will be forwarded for review and approval to DOF if they do not bear this certificate. The STD. 607s with this certificate may be forwarded directly to SCO without further reference to DOF.</w:t>
      </w:r>
    </w:p>
    <w:p>
      <w:pPr>
        <w:pStyle w:val="BodyText"/>
        <w:spacing w:before="10"/>
        <w:rPr>
          <w:sz w:val="23"/>
        </w:rPr>
      </w:pPr>
    </w:p>
    <w:p>
      <w:pPr>
        <w:pStyle w:val="BodyText"/>
        <w:ind w:left="120" w:right="175"/>
      </w:pPr>
      <w:r>
        <w:rPr/>
        <w:t>All proposed establishment of positions and reclassification of positions with a minimum salary step per month as specified in Section 31 of the Budget Act require full justification and explanation on the personnel document. If changes to Budget Act appropriations are involved, the personnel document is to be accompanied by a Budget Revision (BR) form, </w:t>
      </w:r>
      <w:hyperlink r:id="rId106">
        <w:r>
          <w:rPr>
            <w:color w:val="0000FF"/>
            <w:u w:val="single" w:color="0000FF"/>
          </w:rPr>
          <w:t>STD. 26</w:t>
        </w:r>
      </w:hyperlink>
      <w:r>
        <w:rPr/>
        <w:t>.  See SAM Section 6542.</w:t>
      </w:r>
    </w:p>
    <w:p>
      <w:pPr>
        <w:pStyle w:val="BodyText"/>
        <w:spacing w:before="10"/>
        <w:rPr>
          <w:sz w:val="15"/>
        </w:rPr>
      </w:pPr>
    </w:p>
    <w:p>
      <w:pPr>
        <w:pStyle w:val="BodyText"/>
        <w:spacing w:before="92"/>
        <w:ind w:left="120" w:right="361"/>
      </w:pPr>
      <w:r>
        <w:rPr/>
        <w:t>Transactions documented under the provisions of this section shall be subject to audit by representatives of DOF, and a copy of such documents shall be retained for this review.</w:t>
      </w:r>
    </w:p>
    <w:p>
      <w:pPr>
        <w:spacing w:after="0"/>
        <w:sectPr>
          <w:pgSz w:w="12240" w:h="15840"/>
          <w:pgMar w:header="724" w:footer="792" w:top="980" w:bottom="980" w:left="1320" w:right="1320"/>
        </w:sectPr>
      </w:pPr>
    </w:p>
    <w:p>
      <w:pPr>
        <w:pStyle w:val="BodyText"/>
        <w:rPr>
          <w:sz w:val="20"/>
        </w:rPr>
      </w:pPr>
    </w:p>
    <w:p>
      <w:pPr>
        <w:tabs>
          <w:tab w:pos="9647" w:val="left" w:leader="none"/>
        </w:tabs>
        <w:spacing w:before="214"/>
        <w:ind w:left="819" w:right="0" w:firstLine="0"/>
        <w:jc w:val="left"/>
        <w:rPr>
          <w:b/>
          <w:sz w:val="24"/>
        </w:rPr>
      </w:pPr>
      <w:r>
        <w:rPr/>
        <w:pict>
          <v:line style="position:absolute;mso-position-horizontal-relative:page;mso-position-vertical-relative:paragraph;z-index:13240" from="36.360001pt,24.714882pt" to="36.360001pt,38.515882pt" stroked="true" strokeweight=".72pt" strokecolor="#000000">
            <v:stroke dashstyle="solid"/>
            <w10:wrap type="none"/>
          </v:line>
        </w:pict>
      </w:r>
      <w:r>
        <w:rPr>
          <w:b/>
          <w:sz w:val="24"/>
        </w:rPr>
        <w:t>REVISION OF PROGRAMS</w:t>
      </w:r>
      <w:r>
        <w:rPr>
          <w:b/>
          <w:spacing w:val="-10"/>
          <w:sz w:val="24"/>
        </w:rPr>
        <w:t> </w:t>
      </w:r>
      <w:r>
        <w:rPr>
          <w:b/>
          <w:sz w:val="24"/>
        </w:rPr>
        <w:t>AND</w:t>
      </w:r>
      <w:r>
        <w:rPr>
          <w:b/>
          <w:spacing w:val="-1"/>
          <w:sz w:val="24"/>
        </w:rPr>
        <w:t> </w:t>
      </w:r>
      <w:r>
        <w:rPr>
          <w:b/>
          <w:sz w:val="24"/>
        </w:rPr>
        <w:t>ALLOTMENTS</w:t>
        <w:tab/>
        <w:t>6533</w:t>
      </w:r>
    </w:p>
    <w:p>
      <w:pPr>
        <w:pStyle w:val="BodyText"/>
        <w:ind w:left="820"/>
      </w:pPr>
      <w:r>
        <w:rPr/>
        <w:t>(Revised </w:t>
      </w:r>
      <w:r>
        <w:rPr>
          <w:strike/>
          <w:color w:val="2E97D3"/>
        </w:rPr>
        <w:t>9/2010</w:t>
      </w:r>
      <w:r>
        <w:rPr>
          <w:strike w:val="0"/>
          <w:color w:val="2E97D3"/>
          <w:u w:val="single" w:color="2E97D3"/>
        </w:rPr>
        <w:t>10/2017</w:t>
      </w:r>
      <w:r>
        <w:rPr>
          <w:strike w:val="0"/>
        </w:rPr>
        <w:t>)</w:t>
      </w:r>
    </w:p>
    <w:p>
      <w:pPr>
        <w:pStyle w:val="BodyText"/>
        <w:spacing w:before="11"/>
        <w:rPr>
          <w:sz w:val="15"/>
        </w:rPr>
      </w:pPr>
    </w:p>
    <w:p>
      <w:pPr>
        <w:pStyle w:val="BodyText"/>
        <w:spacing w:before="92"/>
        <w:ind w:left="820" w:right="1615"/>
      </w:pPr>
      <w:r>
        <w:rPr/>
        <w:pict>
          <v:line style="position:absolute;mso-position-horizontal-relative:page;mso-position-vertical-relative:paragraph;z-index:-459544" from="116.639999pt,26.835857pt" to="119.999999pt,26.835857pt" stroked="true" strokeweight=".6pt" strokecolor="#2e97d3">
            <v:stroke dashstyle="solid"/>
            <w10:wrap type="none"/>
          </v:line>
        </w:pict>
      </w:r>
      <w:r>
        <w:rPr/>
        <w:pict>
          <v:line style="position:absolute;mso-position-horizontal-relative:page;mso-position-vertical-relative:paragraph;z-index:13264" from="36.360001pt,18.614857pt" to="36.360001pt,32.415857pt" stroked="true" strokeweight=".72pt" strokecolor="#000000">
            <v:stroke dashstyle="solid"/>
            <w10:wrap type="none"/>
          </v:line>
        </w:pict>
      </w:r>
      <w:r>
        <w:rPr/>
        <w:t>The annual expenditure program approved by the Legislature may require revision.  Each revision must be made separately.</w:t>
      </w:r>
    </w:p>
    <w:p>
      <w:pPr>
        <w:pStyle w:val="BodyText"/>
        <w:spacing w:before="10"/>
        <w:rPr>
          <w:sz w:val="15"/>
        </w:rPr>
      </w:pPr>
    </w:p>
    <w:p>
      <w:pPr>
        <w:pStyle w:val="BodyText"/>
        <w:spacing w:before="93"/>
        <w:ind w:left="820" w:right="838"/>
      </w:pPr>
      <w:r>
        <w:rPr/>
        <w:pict>
          <v:line style="position:absolute;mso-position-horizontal-relative:page;mso-position-vertical-relative:paragraph;z-index:-459520" from="293.519989pt,31.445833pt" to="296.880989pt,31.445833pt" stroked="true" strokeweight=".84pt" strokecolor="#2e97d3">
            <v:stroke dashstyle="solid"/>
            <w10:wrap type="none"/>
          </v:line>
        </w:pict>
      </w:r>
      <w:r>
        <w:rPr/>
        <w:pict>
          <v:line style="position:absolute;mso-position-horizontal-relative:page;mso-position-vertical-relative:paragraph;z-index:13288" from="36.360001pt,18.665833pt" to="36.360001pt,60.065833pt" stroked="true" strokeweight=".72pt" strokecolor="#000000">
            <v:stroke dashstyle="solid"/>
            <w10:wrap type="none"/>
          </v:line>
        </w:pict>
      </w:r>
      <w:r>
        <w:rPr/>
        <w:t>The authority for revising a budget may be provided by existing statute, Budget Act language, and </w:t>
      </w:r>
      <w:r>
        <w:rPr>
          <w:strike/>
          <w:color w:val="2E97D3"/>
        </w:rPr>
        <w:t>special</w:t>
      </w:r>
      <w:r>
        <w:rPr>
          <w:strike w:val="0"/>
          <w:color w:val="2E97D3"/>
          <w:u w:val="single" w:color="2E97D3"/>
        </w:rPr>
        <w:t>other </w:t>
      </w:r>
      <w:r>
        <w:rPr>
          <w:strike w:val="0"/>
        </w:rPr>
        <w:t>legislation</w:t>
      </w:r>
      <w:r>
        <w:rPr>
          <w:strike w:val="0"/>
          <w:color w:val="2E97D3"/>
        </w:rPr>
        <w:t>, </w:t>
      </w:r>
      <w:r>
        <w:rPr>
          <w:strike w:val="0"/>
        </w:rPr>
        <w:t>and to some extent, by administrative authority.</w:t>
      </w:r>
    </w:p>
    <w:p>
      <w:pPr>
        <w:pStyle w:val="BodyText"/>
      </w:pPr>
    </w:p>
    <w:p>
      <w:pPr>
        <w:pStyle w:val="BodyText"/>
        <w:ind w:left="820" w:right="455"/>
      </w:pPr>
      <w:r>
        <w:rPr/>
        <w:t>Departmental budget officers should be thoroughly familiar with the “control sections” in the Budget Act which provide most of the authority for adjusting Budget Act appropriations.</w:t>
      </w:r>
    </w:p>
    <w:p>
      <w:pPr>
        <w:pStyle w:val="BodyText"/>
        <w:spacing w:before="11"/>
        <w:rPr>
          <w:sz w:val="23"/>
        </w:rPr>
      </w:pPr>
    </w:p>
    <w:p>
      <w:pPr>
        <w:pStyle w:val="BodyText"/>
        <w:ind w:left="820" w:right="454"/>
      </w:pPr>
      <w:r>
        <w:rPr/>
        <w:pict>
          <v:line style="position:absolute;mso-position-horizontal-relative:page;mso-position-vertical-relative:paragraph;z-index:-459496" from="397.679993pt,22.235868pt" to="401.039993pt,22.235868pt" stroked="true" strokeweight=".6pt" strokecolor="#2e97d3">
            <v:stroke dashstyle="solid"/>
            <w10:wrap type="none"/>
          </v:line>
        </w:pict>
      </w:r>
      <w:r>
        <w:rPr/>
        <w:pict>
          <v:line style="position:absolute;mso-position-horizontal-relative:page;mso-position-vertical-relative:paragraph;z-index:13312" from="36.360001pt,14.015869pt" to="36.360001pt,27.815869pt" stroked="true" strokeweight=".72pt" strokecolor="#000000">
            <v:stroke dashstyle="solid"/>
            <w10:wrap type="none"/>
          </v:line>
        </w:pict>
      </w:r>
      <w:r>
        <w:rPr/>
        <w:pict>
          <v:line style="position:absolute;mso-position-horizontal-relative:page;mso-position-vertical-relative:paragraph;z-index:13336" from="36.360001pt,41.615868pt" to="36.360001pt,208.415868pt" stroked="true" strokeweight=".72pt" strokecolor="#000000">
            <v:stroke dashstyle="solid"/>
            <w10:wrap type="none"/>
          </v:line>
        </w:pict>
      </w:r>
      <w:r>
        <w:rPr/>
        <w:t>Departments should track bills regularly to determine any impact that financial legislation may have on departmental programs and funding. Adjustments must be estimated and viewed carefully for timely submission of revisions.</w:t>
      </w:r>
    </w:p>
    <w:p>
      <w:pPr>
        <w:pStyle w:val="BodyText"/>
        <w:spacing w:before="11"/>
        <w:rPr>
          <w:sz w:val="23"/>
        </w:rPr>
      </w:pPr>
    </w:p>
    <w:p>
      <w:pPr>
        <w:pStyle w:val="BodyText"/>
        <w:ind w:left="820" w:right="494"/>
      </w:pPr>
      <w:r>
        <w:rPr>
          <w:strike/>
          <w:color w:val="2E97D3"/>
        </w:rPr>
        <w:t>Departments should revise allotments so that balances may be made available for encumbrance of items of an urgent nature and so that the department’s operating budget and the report based thereon will show the current status of the department’s financial plan.</w:t>
      </w:r>
    </w:p>
    <w:p>
      <w:pPr>
        <w:pStyle w:val="BodyText"/>
        <w:spacing w:before="11"/>
        <w:rPr>
          <w:sz w:val="15"/>
        </w:rPr>
      </w:pPr>
    </w:p>
    <w:p>
      <w:pPr>
        <w:pStyle w:val="BodyText"/>
        <w:spacing w:before="92"/>
        <w:ind w:left="820" w:right="629"/>
      </w:pPr>
      <w:r>
        <w:rPr>
          <w:strike/>
          <w:color w:val="2E97D3"/>
        </w:rPr>
        <w:t>Transfer of Budget Allotment forms, </w:t>
      </w:r>
      <w:r>
        <w:rPr>
          <w:strike/>
          <w:color w:val="2E97D3"/>
          <w:u w:val="single" w:color="2E97D3"/>
        </w:rPr>
        <w:t>STD. 25 </w:t>
      </w:r>
      <w:r>
        <w:rPr>
          <w:strike/>
          <w:color w:val="2E97D3"/>
        </w:rPr>
        <w:t>and </w:t>
      </w:r>
      <w:r>
        <w:rPr>
          <w:strike/>
          <w:color w:val="2E97D3"/>
          <w:u w:val="single" w:color="2E97D3"/>
        </w:rPr>
        <w:t>STD. 26 </w:t>
      </w:r>
      <w:r>
        <w:rPr>
          <w:strike/>
          <w:color w:val="2E97D3"/>
        </w:rPr>
        <w:t>are both used in order to change allotments, but they may not be used interchangeably.</w:t>
      </w:r>
    </w:p>
    <w:p>
      <w:pPr>
        <w:pStyle w:val="BodyText"/>
        <w:spacing w:before="9"/>
        <w:rPr>
          <w:sz w:val="20"/>
        </w:rPr>
      </w:pPr>
    </w:p>
    <w:p>
      <w:pPr>
        <w:pStyle w:val="Heading2"/>
        <w:ind w:left="820" w:right="218"/>
      </w:pPr>
      <w:bookmarkStart w:name="Revision of allotments either on STD. 25" w:id="37"/>
      <w:bookmarkEnd w:id="37"/>
      <w:r>
        <w:rPr>
          <w:b w:val="0"/>
        </w:rPr>
      </w:r>
      <w:r>
        <w:rPr>
          <w:strike/>
          <w:color w:val="2E97D3"/>
        </w:rPr>
        <w:t>Revision of allotments either on STD. 25 or STD. 26 is recorded in the agency allotment expenditure ledger upon submission, subject to reversal or adjustment if not approved or if approved only in part.  See SAM Section </w:t>
      </w:r>
      <w:r>
        <w:rPr>
          <w:strike/>
          <w:color w:val="2E97D3"/>
          <w:u w:val="thick" w:color="2E97D3"/>
        </w:rPr>
        <w:t>8302</w:t>
      </w:r>
      <w:r>
        <w:rPr>
          <w:strike/>
          <w:color w:val="2E97D3"/>
        </w:rPr>
        <w:t>.</w:t>
      </w:r>
    </w:p>
    <w:p>
      <w:pPr>
        <w:pStyle w:val="BodyText"/>
        <w:rPr>
          <w:b/>
          <w:sz w:val="20"/>
        </w:rPr>
      </w:pPr>
    </w:p>
    <w:p>
      <w:pPr>
        <w:pStyle w:val="BodyText"/>
        <w:spacing w:before="5"/>
        <w:rPr>
          <w:b/>
          <w:sz w:val="17"/>
        </w:rPr>
      </w:pPr>
    </w:p>
    <w:p>
      <w:pPr>
        <w:tabs>
          <w:tab w:pos="9647" w:val="left" w:leader="none"/>
        </w:tabs>
        <w:spacing w:before="92"/>
        <w:ind w:left="820" w:right="0" w:firstLine="0"/>
        <w:jc w:val="left"/>
        <w:rPr>
          <w:b/>
          <w:sz w:val="24"/>
        </w:rPr>
      </w:pPr>
      <w:r>
        <w:rPr/>
        <w:pict>
          <v:line style="position:absolute;mso-position-horizontal-relative:page;mso-position-vertical-relative:paragraph;z-index:13360" from="36.360001pt,18.615852pt" to="36.360001pt,32.415852pt" stroked="true" strokeweight=".72pt" strokecolor="#000000">
            <v:stroke dashstyle="solid"/>
            <w10:wrap type="none"/>
          </v:line>
        </w:pict>
      </w:r>
      <w:r>
        <w:rPr>
          <w:b/>
          <w:sz w:val="24"/>
        </w:rPr>
        <w:t>REQUEST OF NECESSITY FOR</w:t>
      </w:r>
      <w:r>
        <w:rPr>
          <w:b/>
          <w:spacing w:val="-17"/>
          <w:sz w:val="24"/>
        </w:rPr>
        <w:t> </w:t>
      </w:r>
      <w:r>
        <w:rPr>
          <w:b/>
          <w:sz w:val="24"/>
        </w:rPr>
        <w:t>APPROPRIATION</w:t>
      </w:r>
      <w:r>
        <w:rPr>
          <w:b/>
          <w:spacing w:val="-1"/>
          <w:sz w:val="24"/>
        </w:rPr>
        <w:t> </w:t>
      </w:r>
      <w:r>
        <w:rPr>
          <w:b/>
          <w:sz w:val="24"/>
        </w:rPr>
        <w:t>AUGMENTATION</w:t>
        <w:tab/>
        <w:t>6536</w:t>
      </w:r>
    </w:p>
    <w:p>
      <w:pPr>
        <w:pStyle w:val="BodyText"/>
        <w:ind w:left="820"/>
      </w:pPr>
      <w:r>
        <w:rPr/>
        <w:t>(Revised </w:t>
      </w:r>
      <w:r>
        <w:rPr>
          <w:strike/>
          <w:color w:val="2E97D3"/>
        </w:rPr>
        <w:t>9/2010</w:t>
      </w:r>
      <w:r>
        <w:rPr>
          <w:strike w:val="0"/>
          <w:color w:val="2E97D3"/>
          <w:u w:val="single" w:color="2E97D3"/>
        </w:rPr>
        <w:t>10/2017</w:t>
      </w:r>
      <w:r>
        <w:rPr>
          <w:strike w:val="0"/>
        </w:rPr>
        <w:t>)</w:t>
      </w:r>
    </w:p>
    <w:p>
      <w:pPr>
        <w:pStyle w:val="BodyText"/>
        <w:rPr>
          <w:sz w:val="16"/>
        </w:rPr>
      </w:pPr>
    </w:p>
    <w:p>
      <w:pPr>
        <w:pStyle w:val="BodyText"/>
        <w:spacing w:before="92"/>
        <w:ind w:left="820" w:right="281"/>
      </w:pPr>
      <w:r>
        <w:rPr/>
        <w:pict>
          <v:line style="position:absolute;mso-position-horizontal-relative:page;mso-position-vertical-relative:paragraph;z-index:-459472" from="376.200012pt,26.836359pt" to="379.560012pt,26.836359pt" stroked="true" strokeweight=".599pt" strokecolor="#2e97d3">
            <v:stroke dashstyle="solid"/>
            <w10:wrap type="none"/>
          </v:line>
        </w:pict>
      </w:r>
      <w:r>
        <w:rPr/>
        <w:pict>
          <v:line style="position:absolute;mso-position-horizontal-relative:page;mso-position-vertical-relative:paragraph;z-index:-459448" from="266.760010pt,54.43586pt" to="270.120010pt,54.43586pt" stroked="true" strokeweight=".6pt" strokecolor="#2e97d3">
            <v:stroke dashstyle="solid"/>
            <w10:wrap type="none"/>
          </v:line>
        </w:pict>
      </w:r>
      <w:r>
        <w:rPr/>
        <w:pict>
          <v:line style="position:absolute;mso-position-horizontal-relative:page;mso-position-vertical-relative:paragraph;z-index:13384" from="36.360001pt,18.615860pt" to="36.360001pt,32.41586pt" stroked="true" strokeweight=".72pt" strokecolor="#000000">
            <v:stroke dashstyle="solid"/>
            <w10:wrap type="none"/>
          </v:line>
        </w:pict>
      </w:r>
      <w:r>
        <w:rPr/>
        <w:pict>
          <v:line style="position:absolute;mso-position-horizontal-relative:page;mso-position-vertical-relative:paragraph;z-index:13408" from="36.360001pt,46.215858pt" to="36.360001pt,129.015858pt" stroked="true" strokeweight=".72pt" strokecolor="#000000">
            <v:stroke dashstyle="solid"/>
            <w10:wrap type="none"/>
          </v:line>
        </w:pict>
      </w:r>
      <w:r>
        <w:rPr/>
        <w:t>The appropriations in the Budget Act for the Augmentation for Contingencies or Emergencies (</w:t>
      </w:r>
      <w:r>
        <w:rPr>
          <w:strike/>
          <w:color w:val="2E97D3"/>
        </w:rPr>
        <w:t>Org. Code</w:t>
      </w:r>
      <w:r>
        <w:rPr>
          <w:strike w:val="0"/>
          <w:color w:val="2E97D3"/>
          <w:u w:val="single" w:color="2E97D3"/>
        </w:rPr>
        <w:t>Business Unit </w:t>
      </w:r>
      <w:r>
        <w:rPr>
          <w:strike w:val="0"/>
        </w:rPr>
        <w:t>9840) require that funds may be allocated for contingencies or emergencies which, in the judgment of the Director of Finance, constitute cases of actual necessity. As a result, the Director of Finance requires submission of a signed form </w:t>
      </w:r>
      <w:r>
        <w:rPr>
          <w:strike/>
          <w:color w:val="2E97D3"/>
        </w:rPr>
        <w:t>DF-580 (Request for</w:t>
      </w:r>
      <w:hyperlink r:id="rId108">
        <w:r>
          <w:rPr>
            <w:strike w:val="0"/>
            <w:color w:val="2E97D3"/>
            <w:u w:val="single" w:color="2E97D3"/>
          </w:rPr>
          <w:t>DF-580</w:t>
        </w:r>
      </w:hyperlink>
      <w:r>
        <w:rPr>
          <w:strike w:val="0"/>
          <w:color w:val="2E97D3"/>
          <w:u w:val="single" w:color="2E97D3"/>
        </w:rPr>
        <w:t> (Unanticipated Cost </w:t>
      </w:r>
      <w:r>
        <w:rPr>
          <w:strike w:val="0"/>
        </w:rPr>
        <w:t>Funding </w:t>
      </w:r>
      <w:r>
        <w:rPr>
          <w:strike/>
          <w:color w:val="2E97D3"/>
        </w:rPr>
        <w:t>a Deficiency</w:t>
      </w:r>
      <w:r>
        <w:rPr>
          <w:strike w:val="0"/>
          <w:color w:val="2E97D3"/>
          <w:u w:val="single" w:color="2E97D3"/>
        </w:rPr>
        <w:t>Request</w:t>
      </w:r>
      <w:r>
        <w:rPr>
          <w:strike w:val="0"/>
        </w:rPr>
        <w:t>) from the head of each state department or agency when requesting an allocation from </w:t>
      </w:r>
      <w:r>
        <w:rPr>
          <w:strike/>
          <w:color w:val="2E97D3"/>
        </w:rPr>
        <w:t>the</w:t>
      </w:r>
      <w:r>
        <w:rPr>
          <w:strike w:val="0"/>
          <w:color w:val="2E97D3"/>
          <w:u w:val="single" w:color="2E97D3"/>
        </w:rPr>
        <w:t>an </w:t>
      </w:r>
      <w:r>
        <w:rPr>
          <w:strike w:val="0"/>
        </w:rPr>
        <w:t>Augmentation for Contingencies or Emergencies </w:t>
      </w:r>
      <w:r>
        <w:rPr>
          <w:strike/>
          <w:color w:val="2E97D3"/>
        </w:rPr>
        <w:t>(Org. Code 9840). </w:t>
      </w:r>
      <w:r>
        <w:rPr>
          <w:strike w:val="0"/>
          <w:color w:val="2E97D3"/>
          <w:u w:val="single" w:color="2E97D3"/>
        </w:rPr>
        <w:t>item. </w:t>
      </w:r>
      <w:r>
        <w:rPr>
          <w:strike w:val="0"/>
        </w:rPr>
        <w:t>The form should state why the additional funds are required to meet a case of actual necessity and the nature or cause of such need.</w:t>
      </w:r>
    </w:p>
    <w:p>
      <w:pPr>
        <w:pStyle w:val="BodyText"/>
        <w:spacing w:before="11"/>
        <w:rPr>
          <w:sz w:val="23"/>
        </w:rPr>
      </w:pPr>
    </w:p>
    <w:p>
      <w:pPr>
        <w:pStyle w:val="BodyText"/>
        <w:ind w:left="820" w:right="961"/>
      </w:pPr>
      <w:r>
        <w:rPr/>
        <w:t>Refer to the provisions of the 9840 items in the annual Budget Act for up-to-date information.</w:t>
      </w:r>
    </w:p>
    <w:p>
      <w:pPr>
        <w:spacing w:after="0"/>
        <w:sectPr>
          <w:footerReference w:type="default" r:id="rId107"/>
          <w:pgSz w:w="12240" w:h="15840"/>
          <w:pgMar w:footer="792" w:header="724" w:top="980" w:bottom="980" w:left="620" w:right="1320"/>
        </w:sectPr>
      </w:pPr>
    </w:p>
    <w:p>
      <w:pPr>
        <w:pStyle w:val="BodyText"/>
        <w:spacing w:before="11"/>
        <w:rPr>
          <w:sz w:val="15"/>
        </w:rPr>
      </w:pPr>
    </w:p>
    <w:p>
      <w:pPr>
        <w:pStyle w:val="Heading2"/>
        <w:tabs>
          <w:tab w:pos="9587" w:val="left" w:leader="none"/>
        </w:tabs>
        <w:spacing w:before="92"/>
        <w:ind w:left="759"/>
      </w:pPr>
      <w:r>
        <w:rPr/>
        <w:pict>
          <v:line style="position:absolute;mso-position-horizontal-relative:page;mso-position-vertical-relative:paragraph;z-index:13504" from="33.360001pt,18.615854pt" to="33.360001pt,32.415854pt" stroked="true" strokeweight=".72pt" strokecolor="#000000">
            <v:stroke dashstyle="solid"/>
            <w10:wrap type="none"/>
          </v:line>
        </w:pict>
      </w:r>
      <w:r>
        <w:rPr/>
        <w:t>TRANSFER OF BUDGET ALLOTMENT FORM,</w:t>
      </w:r>
      <w:r>
        <w:rPr>
          <w:spacing w:val="-10"/>
        </w:rPr>
        <w:t> </w:t>
      </w:r>
      <w:r>
        <w:rPr/>
        <w:t>STD.</w:t>
      </w:r>
      <w:r>
        <w:rPr>
          <w:spacing w:val="-2"/>
        </w:rPr>
        <w:t> </w:t>
      </w:r>
      <w:r>
        <w:rPr/>
        <w:t>25</w:t>
        <w:tab/>
        <w:t>6539</w:t>
      </w:r>
    </w:p>
    <w:p>
      <w:pPr>
        <w:pStyle w:val="BodyText"/>
        <w:ind w:left="760"/>
      </w:pPr>
      <w:r>
        <w:rPr/>
        <w:t>(Revised </w:t>
      </w:r>
      <w:r>
        <w:rPr>
          <w:strike/>
          <w:color w:val="2E97D3"/>
        </w:rPr>
        <w:t>9/2010</w:t>
      </w:r>
      <w:r>
        <w:rPr>
          <w:strike w:val="0"/>
          <w:color w:val="2E97D3"/>
          <w:u w:val="single" w:color="2E97D3"/>
        </w:rPr>
        <w:t>09/2017</w:t>
      </w:r>
      <w:r>
        <w:rPr>
          <w:strike w:val="0"/>
        </w:rPr>
        <w:t>)</w:t>
      </w:r>
    </w:p>
    <w:p>
      <w:pPr>
        <w:pStyle w:val="BodyText"/>
        <w:rPr>
          <w:sz w:val="16"/>
        </w:rPr>
      </w:pPr>
    </w:p>
    <w:p>
      <w:pPr>
        <w:pStyle w:val="BodyText"/>
        <w:spacing w:before="92"/>
        <w:ind w:left="880"/>
      </w:pPr>
      <w:r>
        <w:rPr/>
        <w:pict>
          <v:line style="position:absolute;mso-position-horizontal-relative:page;mso-position-vertical-relative:paragraph;z-index:13528" from="33.360001pt,4.81483pt" to="33.360001pt,18.61583pt" stroked="true" strokeweight=".72pt" strokecolor="#000000">
            <v:stroke dashstyle="solid"/>
            <w10:wrap type="none"/>
          </v:line>
        </w:pict>
      </w:r>
      <w:r>
        <w:rPr/>
        <w:t>The </w:t>
      </w:r>
      <w:r>
        <w:rPr>
          <w:strike/>
          <w:color w:val="2E97D3"/>
          <w:u w:val="single" w:color="2E97D3"/>
        </w:rPr>
        <w:t>STD. 25 </w:t>
      </w:r>
      <w:hyperlink r:id="rId109">
        <w:r>
          <w:rPr>
            <w:strike w:val="0"/>
            <w:color w:val="2E97D3"/>
            <w:u w:val="single" w:color="2E97D3"/>
          </w:rPr>
          <w:t>STD. 25 </w:t>
        </w:r>
      </w:hyperlink>
      <w:r>
        <w:rPr>
          <w:strike w:val="0"/>
        </w:rPr>
        <w:t>may be used </w:t>
      </w:r>
      <w:r>
        <w:rPr>
          <w:b/>
          <w:strike w:val="0"/>
        </w:rPr>
        <w:t>only </w:t>
      </w:r>
      <w:r>
        <w:rPr>
          <w:strike w:val="0"/>
        </w:rPr>
        <w:t>when the following criteria are met:</w:t>
      </w:r>
    </w:p>
    <w:p>
      <w:pPr>
        <w:pStyle w:val="BodyText"/>
        <w:spacing w:before="10"/>
        <w:rPr>
          <w:sz w:val="15"/>
        </w:rPr>
      </w:pPr>
    </w:p>
    <w:p>
      <w:pPr>
        <w:pStyle w:val="ListParagraph"/>
        <w:numPr>
          <w:ilvl w:val="2"/>
          <w:numId w:val="30"/>
        </w:numPr>
        <w:tabs>
          <w:tab w:pos="1240" w:val="left" w:leader="none"/>
        </w:tabs>
        <w:spacing w:line="259" w:lineRule="auto" w:before="93" w:after="0"/>
        <w:ind w:left="1240" w:right="115" w:hanging="360"/>
        <w:jc w:val="left"/>
        <w:rPr>
          <w:sz w:val="24"/>
        </w:rPr>
      </w:pPr>
      <w:r>
        <w:rPr/>
        <w:pict>
          <v:line style="position:absolute;mso-position-horizontal-relative:page;mso-position-vertical-relative:paragraph;z-index:13552" from="33.360001pt,.185854pt" to="33.360001pt,19.625854pt" stroked="true" strokeweight=".72pt" strokecolor="#000000">
            <v:stroke dashstyle="solid"/>
            <w10:wrap type="none"/>
          </v:line>
        </w:pict>
      </w:r>
      <w:r>
        <w:rPr>
          <w:strike/>
          <w:color w:val="2E97D3"/>
          <w:sz w:val="24"/>
        </w:rPr>
        <w:t>1. </w:t>
      </w:r>
      <w:r>
        <w:rPr>
          <w:strike w:val="0"/>
          <w:sz w:val="24"/>
        </w:rPr>
        <w:t>The purposes are consistent with approved program, with legislative intent, with Administration policies, and do not involve a change in policy or program, including a redirection of effort or a change in intensity in this or any subsequent</w:t>
      </w:r>
      <w:r>
        <w:rPr>
          <w:strike w:val="0"/>
          <w:spacing w:val="-15"/>
          <w:sz w:val="24"/>
        </w:rPr>
        <w:t> </w:t>
      </w:r>
      <w:r>
        <w:rPr>
          <w:strike w:val="0"/>
          <w:sz w:val="24"/>
        </w:rPr>
        <w:t>fiscalyear.</w:t>
      </w:r>
    </w:p>
    <w:p>
      <w:pPr>
        <w:pStyle w:val="BodyText"/>
        <w:spacing w:before="1"/>
        <w:rPr>
          <w:sz w:val="37"/>
        </w:rPr>
      </w:pPr>
    </w:p>
    <w:p>
      <w:pPr>
        <w:pStyle w:val="ListParagraph"/>
        <w:numPr>
          <w:ilvl w:val="2"/>
          <w:numId w:val="30"/>
        </w:numPr>
        <w:tabs>
          <w:tab w:pos="1240" w:val="left" w:leader="none"/>
        </w:tabs>
        <w:spacing w:line="259" w:lineRule="auto" w:before="1" w:after="0"/>
        <w:ind w:left="1240" w:right="117" w:hanging="360"/>
        <w:jc w:val="left"/>
        <w:rPr>
          <w:sz w:val="24"/>
        </w:rPr>
      </w:pPr>
      <w:r>
        <w:rPr/>
        <w:pict>
          <v:line style="position:absolute;mso-position-horizontal-relative:page;mso-position-vertical-relative:paragraph;z-index:13576" from="33.360001pt,.145854pt" to="33.360001pt,15.025854pt" stroked="true" strokeweight=".72pt" strokecolor="#000000">
            <v:stroke dashstyle="solid"/>
            <w10:wrap type="none"/>
          </v:line>
        </w:pict>
      </w:r>
      <w:r>
        <w:rPr>
          <w:strike/>
          <w:color w:val="2E97D3"/>
          <w:sz w:val="24"/>
        </w:rPr>
        <w:t>2. </w:t>
      </w:r>
      <w:r>
        <w:rPr>
          <w:strike w:val="0"/>
          <w:sz w:val="24"/>
        </w:rPr>
        <w:t>The change does not require augmentation of the appropriation, augmentation of scheduled programs and categories of support appropriations, augmentations of projects of major construction appropriations, or increases or decreases in unallotted balances of an</w:t>
      </w:r>
      <w:r>
        <w:rPr>
          <w:strike w:val="0"/>
          <w:spacing w:val="-34"/>
          <w:sz w:val="24"/>
        </w:rPr>
        <w:t> </w:t>
      </w:r>
      <w:r>
        <w:rPr>
          <w:strike w:val="0"/>
          <w:sz w:val="24"/>
        </w:rPr>
        <w:t>appropriation.</w:t>
      </w:r>
    </w:p>
    <w:p>
      <w:pPr>
        <w:pStyle w:val="BodyText"/>
        <w:spacing w:before="2"/>
        <w:rPr>
          <w:sz w:val="37"/>
        </w:rPr>
      </w:pPr>
    </w:p>
    <w:p>
      <w:pPr>
        <w:pStyle w:val="ListParagraph"/>
        <w:numPr>
          <w:ilvl w:val="2"/>
          <w:numId w:val="30"/>
        </w:numPr>
        <w:tabs>
          <w:tab w:pos="1240" w:val="left" w:leader="none"/>
        </w:tabs>
        <w:spacing w:line="256" w:lineRule="auto" w:before="0" w:after="0"/>
        <w:ind w:left="1240" w:right="1355" w:hanging="360"/>
        <w:jc w:val="left"/>
        <w:rPr>
          <w:sz w:val="24"/>
        </w:rPr>
      </w:pPr>
      <w:r>
        <w:rPr/>
        <w:pict>
          <v:line style="position:absolute;mso-position-horizontal-relative:page;mso-position-vertical-relative:paragraph;z-index:-459208" from="116.160004pt,23.196344pt" to="119.400004pt,23.196344pt" stroked="true" strokeweight=".599pt" strokecolor="#2e97d3">
            <v:stroke dashstyle="solid"/>
            <w10:wrap type="none"/>
          </v:line>
        </w:pict>
      </w:r>
      <w:r>
        <w:rPr/>
        <w:pict>
          <v:line style="position:absolute;mso-position-horizontal-relative:page;mso-position-vertical-relative:paragraph;z-index:13600" from="33.360001pt,.095845pt" to="33.360001pt,37.895845pt" stroked="true" strokeweight=".72pt" strokecolor="#000000">
            <v:stroke dashstyle="solid"/>
            <w10:wrap type="none"/>
          </v:line>
        </w:pict>
      </w:r>
      <w:r>
        <w:rPr>
          <w:strike/>
          <w:color w:val="2E97D3"/>
          <w:sz w:val="24"/>
        </w:rPr>
        <w:t>3.</w:t>
      </w:r>
      <w:r>
        <w:rPr>
          <w:strike/>
          <w:color w:val="2E97D3"/>
          <w:spacing w:val="-31"/>
          <w:sz w:val="24"/>
        </w:rPr>
        <w:t> </w:t>
      </w:r>
      <w:r>
        <w:rPr>
          <w:strike w:val="0"/>
          <w:sz w:val="24"/>
        </w:rPr>
        <w:t>The</w:t>
      </w:r>
      <w:r>
        <w:rPr>
          <w:strike w:val="0"/>
          <w:spacing w:val="-2"/>
          <w:sz w:val="24"/>
        </w:rPr>
        <w:t> </w:t>
      </w:r>
      <w:r>
        <w:rPr>
          <w:strike w:val="0"/>
          <w:sz w:val="24"/>
        </w:rPr>
        <w:t>change</w:t>
      </w:r>
      <w:r>
        <w:rPr>
          <w:strike w:val="0"/>
          <w:spacing w:val="-2"/>
          <w:sz w:val="24"/>
        </w:rPr>
        <w:t> </w:t>
      </w:r>
      <w:r>
        <w:rPr>
          <w:strike w:val="0"/>
          <w:sz w:val="24"/>
        </w:rPr>
        <w:t>does</w:t>
      </w:r>
      <w:r>
        <w:rPr>
          <w:strike w:val="0"/>
          <w:spacing w:val="-5"/>
          <w:sz w:val="24"/>
        </w:rPr>
        <w:t> </w:t>
      </w:r>
      <w:r>
        <w:rPr>
          <w:strike w:val="0"/>
          <w:sz w:val="24"/>
        </w:rPr>
        <w:t>not</w:t>
      </w:r>
      <w:r>
        <w:rPr>
          <w:strike w:val="0"/>
          <w:spacing w:val="-5"/>
          <w:sz w:val="24"/>
        </w:rPr>
        <w:t> </w:t>
      </w:r>
      <w:r>
        <w:rPr>
          <w:strike w:val="0"/>
          <w:sz w:val="24"/>
        </w:rPr>
        <w:t>require</w:t>
      </w:r>
      <w:r>
        <w:rPr>
          <w:strike w:val="0"/>
          <w:spacing w:val="-2"/>
          <w:sz w:val="24"/>
        </w:rPr>
        <w:t> </w:t>
      </w:r>
      <w:r>
        <w:rPr>
          <w:strike w:val="0"/>
          <w:sz w:val="24"/>
        </w:rPr>
        <w:t>the</w:t>
      </w:r>
      <w:r>
        <w:rPr>
          <w:strike w:val="0"/>
          <w:spacing w:val="-4"/>
          <w:sz w:val="24"/>
        </w:rPr>
        <w:t> </w:t>
      </w:r>
      <w:r>
        <w:rPr>
          <w:strike w:val="0"/>
          <w:sz w:val="24"/>
        </w:rPr>
        <w:t>augmentation</w:t>
      </w:r>
      <w:r>
        <w:rPr>
          <w:strike w:val="0"/>
          <w:spacing w:val="-2"/>
          <w:sz w:val="24"/>
        </w:rPr>
        <w:t> </w:t>
      </w:r>
      <w:r>
        <w:rPr>
          <w:strike w:val="0"/>
          <w:sz w:val="24"/>
        </w:rPr>
        <w:t>of</w:t>
      </w:r>
      <w:r>
        <w:rPr>
          <w:strike w:val="0"/>
          <w:spacing w:val="-2"/>
          <w:sz w:val="24"/>
        </w:rPr>
        <w:t> </w:t>
      </w:r>
      <w:r>
        <w:rPr>
          <w:strike w:val="0"/>
          <w:sz w:val="24"/>
        </w:rPr>
        <w:t>a</w:t>
      </w:r>
      <w:r>
        <w:rPr>
          <w:strike w:val="0"/>
          <w:spacing w:val="-2"/>
          <w:sz w:val="24"/>
        </w:rPr>
        <w:t> </w:t>
      </w:r>
      <w:r>
        <w:rPr>
          <w:strike w:val="0"/>
          <w:sz w:val="24"/>
        </w:rPr>
        <w:t>schedule</w:t>
      </w:r>
      <w:r>
        <w:rPr>
          <w:strike w:val="0"/>
          <w:spacing w:val="-2"/>
          <w:sz w:val="24"/>
        </w:rPr>
        <w:t> </w:t>
      </w:r>
      <w:r>
        <w:rPr>
          <w:strike w:val="0"/>
          <w:sz w:val="24"/>
        </w:rPr>
        <w:t>within</w:t>
      </w:r>
      <w:r>
        <w:rPr>
          <w:strike w:val="0"/>
          <w:spacing w:val="-2"/>
          <w:sz w:val="24"/>
        </w:rPr>
        <w:t> </w:t>
      </w:r>
      <w:r>
        <w:rPr>
          <w:strike w:val="0"/>
          <w:sz w:val="24"/>
        </w:rPr>
        <w:t>an item.  Funding changes for these items will be requested on </w:t>
      </w:r>
      <w:hyperlink r:id="rId106">
        <w:r>
          <w:rPr>
            <w:strike w:val="0"/>
            <w:sz w:val="24"/>
          </w:rPr>
          <w:t>STD.</w:t>
        </w:r>
        <w:r>
          <w:rPr>
            <w:strike w:val="0"/>
            <w:spacing w:val="-54"/>
            <w:sz w:val="24"/>
          </w:rPr>
          <w:t> </w:t>
        </w:r>
        <w:r>
          <w:rPr>
            <w:strike w:val="0"/>
            <w:sz w:val="24"/>
          </w:rPr>
          <w:t>26</w:t>
        </w:r>
      </w:hyperlink>
      <w:r>
        <w:rPr>
          <w:strike w:val="0"/>
          <w:sz w:val="24"/>
        </w:rPr>
        <w:t>.</w:t>
      </w:r>
    </w:p>
    <w:p>
      <w:pPr>
        <w:pStyle w:val="BodyText"/>
        <w:spacing w:before="4"/>
        <w:rPr>
          <w:sz w:val="29"/>
        </w:rPr>
      </w:pPr>
    </w:p>
    <w:p>
      <w:pPr>
        <w:pStyle w:val="ListParagraph"/>
        <w:numPr>
          <w:ilvl w:val="2"/>
          <w:numId w:val="30"/>
        </w:numPr>
        <w:tabs>
          <w:tab w:pos="1240" w:val="left" w:leader="none"/>
        </w:tabs>
        <w:spacing w:line="240" w:lineRule="auto" w:before="92" w:after="0"/>
        <w:ind w:left="1240" w:right="0" w:hanging="360"/>
        <w:jc w:val="left"/>
        <w:rPr>
          <w:sz w:val="24"/>
        </w:rPr>
      </w:pPr>
      <w:r>
        <w:rPr/>
        <w:pict>
          <v:line style="position:absolute;mso-position-horizontal-relative:page;mso-position-vertical-relative:paragraph;z-index:13624" from="33.360001pt,.134845pt" to="33.360001pt,27.615845pt" stroked="true" strokeweight=".72pt" strokecolor="#000000">
            <v:stroke dashstyle="solid"/>
            <w10:wrap type="none"/>
          </v:line>
        </w:pict>
      </w:r>
      <w:r>
        <w:rPr>
          <w:strike/>
          <w:color w:val="2E97D3"/>
          <w:sz w:val="24"/>
        </w:rPr>
        <w:t>4. </w:t>
      </w:r>
      <w:r>
        <w:rPr>
          <w:strike w:val="0"/>
          <w:sz w:val="24"/>
        </w:rPr>
        <w:t>All pertinent statutory and administrative regulations have</w:t>
      </w:r>
      <w:r>
        <w:rPr>
          <w:strike w:val="0"/>
          <w:spacing w:val="-38"/>
          <w:sz w:val="24"/>
        </w:rPr>
        <w:t> </w:t>
      </w:r>
      <w:r>
        <w:rPr>
          <w:strike w:val="0"/>
          <w:sz w:val="24"/>
        </w:rPr>
        <w:t>beenapplied.</w:t>
      </w:r>
    </w:p>
    <w:p>
      <w:pPr>
        <w:pStyle w:val="BodyText"/>
        <w:rPr>
          <w:sz w:val="20"/>
        </w:rPr>
      </w:pPr>
    </w:p>
    <w:p>
      <w:pPr>
        <w:pStyle w:val="ListParagraph"/>
        <w:numPr>
          <w:ilvl w:val="3"/>
          <w:numId w:val="30"/>
        </w:numPr>
        <w:tabs>
          <w:tab w:pos="2320" w:val="left" w:leader="none"/>
        </w:tabs>
        <w:spacing w:line="259" w:lineRule="auto" w:before="226" w:after="0"/>
        <w:ind w:left="2320" w:right="190" w:hanging="360"/>
        <w:jc w:val="both"/>
        <w:rPr>
          <w:sz w:val="24"/>
        </w:rPr>
      </w:pPr>
      <w:r>
        <w:rPr>
          <w:sz w:val="24"/>
        </w:rPr>
        <w:t>Finance exempts from budgetary review and grants advance approval for all Transfers of Budget Allotment which in the judgment of the department head</w:t>
      </w:r>
      <w:r>
        <w:rPr>
          <w:spacing w:val="-2"/>
          <w:sz w:val="24"/>
        </w:rPr>
        <w:t> </w:t>
      </w:r>
      <w:r>
        <w:rPr>
          <w:sz w:val="24"/>
        </w:rPr>
        <w:t>or</w:t>
      </w:r>
      <w:r>
        <w:rPr>
          <w:spacing w:val="-4"/>
          <w:sz w:val="24"/>
        </w:rPr>
        <w:t> </w:t>
      </w:r>
      <w:r>
        <w:rPr>
          <w:sz w:val="24"/>
        </w:rPr>
        <w:t>the</w:t>
      </w:r>
      <w:r>
        <w:rPr>
          <w:spacing w:val="-4"/>
          <w:sz w:val="24"/>
        </w:rPr>
        <w:t> </w:t>
      </w:r>
      <w:r>
        <w:rPr>
          <w:sz w:val="24"/>
        </w:rPr>
        <w:t>duly</w:t>
      </w:r>
      <w:r>
        <w:rPr>
          <w:spacing w:val="-5"/>
          <w:sz w:val="24"/>
        </w:rPr>
        <w:t> </w:t>
      </w:r>
      <w:r>
        <w:rPr>
          <w:sz w:val="24"/>
        </w:rPr>
        <w:t>authorized</w:t>
      </w:r>
      <w:r>
        <w:rPr>
          <w:spacing w:val="-2"/>
          <w:sz w:val="24"/>
        </w:rPr>
        <w:t> </w:t>
      </w:r>
      <w:r>
        <w:rPr>
          <w:sz w:val="24"/>
        </w:rPr>
        <w:t>officer</w:t>
      </w:r>
      <w:r>
        <w:rPr>
          <w:spacing w:val="-6"/>
          <w:sz w:val="24"/>
        </w:rPr>
        <w:t> </w:t>
      </w:r>
      <w:r>
        <w:rPr>
          <w:sz w:val="24"/>
        </w:rPr>
        <w:t>meets</w:t>
      </w:r>
      <w:r>
        <w:rPr>
          <w:spacing w:val="-3"/>
          <w:sz w:val="24"/>
        </w:rPr>
        <w:t> </w:t>
      </w:r>
      <w:r>
        <w:rPr>
          <w:sz w:val="24"/>
        </w:rPr>
        <w:t>the</w:t>
      </w:r>
      <w:r>
        <w:rPr>
          <w:spacing w:val="-4"/>
          <w:sz w:val="24"/>
        </w:rPr>
        <w:t> </w:t>
      </w:r>
      <w:r>
        <w:rPr>
          <w:sz w:val="24"/>
        </w:rPr>
        <w:t>preceding</w:t>
      </w:r>
      <w:r>
        <w:rPr>
          <w:spacing w:val="-35"/>
          <w:sz w:val="24"/>
        </w:rPr>
        <w:t> </w:t>
      </w:r>
      <w:r>
        <w:rPr>
          <w:sz w:val="24"/>
        </w:rPr>
        <w:t>criteria.</w:t>
      </w:r>
    </w:p>
    <w:p>
      <w:pPr>
        <w:pStyle w:val="BodyText"/>
      </w:pPr>
    </w:p>
    <w:p>
      <w:pPr>
        <w:pStyle w:val="ListParagraph"/>
        <w:numPr>
          <w:ilvl w:val="3"/>
          <w:numId w:val="30"/>
        </w:numPr>
        <w:tabs>
          <w:tab w:pos="2319" w:val="left" w:leader="none"/>
          <w:tab w:pos="2320" w:val="left" w:leader="none"/>
        </w:tabs>
        <w:spacing w:line="240" w:lineRule="auto" w:before="0" w:after="0"/>
        <w:ind w:left="2320" w:right="0" w:hanging="360"/>
        <w:jc w:val="left"/>
        <w:rPr>
          <w:sz w:val="24"/>
        </w:rPr>
      </w:pPr>
      <w:r>
        <w:rPr>
          <w:sz w:val="24"/>
        </w:rPr>
        <w:t>The</w:t>
      </w:r>
      <w:r>
        <w:rPr>
          <w:spacing w:val="-4"/>
          <w:sz w:val="24"/>
        </w:rPr>
        <w:t> </w:t>
      </w:r>
      <w:r>
        <w:rPr>
          <w:sz w:val="24"/>
        </w:rPr>
        <w:t>following</w:t>
      </w:r>
      <w:r>
        <w:rPr>
          <w:spacing w:val="-4"/>
          <w:sz w:val="24"/>
        </w:rPr>
        <w:t> </w:t>
      </w:r>
      <w:r>
        <w:rPr>
          <w:sz w:val="24"/>
        </w:rPr>
        <w:t>certification</w:t>
      </w:r>
      <w:r>
        <w:rPr>
          <w:spacing w:val="-2"/>
          <w:sz w:val="24"/>
        </w:rPr>
        <w:t> </w:t>
      </w:r>
      <w:r>
        <w:rPr>
          <w:sz w:val="24"/>
        </w:rPr>
        <w:t>shall</w:t>
      </w:r>
      <w:r>
        <w:rPr>
          <w:spacing w:val="-3"/>
          <w:sz w:val="24"/>
        </w:rPr>
        <w:t> </w:t>
      </w:r>
      <w:r>
        <w:rPr>
          <w:sz w:val="24"/>
        </w:rPr>
        <w:t>appear</w:t>
      </w:r>
      <w:r>
        <w:rPr>
          <w:spacing w:val="-6"/>
          <w:sz w:val="24"/>
        </w:rPr>
        <w:t> </w:t>
      </w:r>
      <w:r>
        <w:rPr>
          <w:sz w:val="24"/>
        </w:rPr>
        <w:t>on</w:t>
      </w:r>
      <w:r>
        <w:rPr>
          <w:spacing w:val="-4"/>
          <w:sz w:val="24"/>
        </w:rPr>
        <w:t> </w:t>
      </w:r>
      <w:r>
        <w:rPr>
          <w:sz w:val="24"/>
        </w:rPr>
        <w:t>all</w:t>
      </w:r>
      <w:r>
        <w:rPr>
          <w:spacing w:val="-3"/>
          <w:sz w:val="24"/>
        </w:rPr>
        <w:t> </w:t>
      </w:r>
      <w:r>
        <w:rPr>
          <w:sz w:val="24"/>
        </w:rPr>
        <w:t>copies</w:t>
      </w:r>
      <w:r>
        <w:rPr>
          <w:spacing w:val="-5"/>
          <w:sz w:val="24"/>
        </w:rPr>
        <w:t> </w:t>
      </w:r>
      <w:r>
        <w:rPr>
          <w:sz w:val="24"/>
        </w:rPr>
        <w:t>of the</w:t>
      </w:r>
      <w:r>
        <w:rPr>
          <w:spacing w:val="-32"/>
          <w:sz w:val="24"/>
        </w:rPr>
        <w:t> </w:t>
      </w:r>
      <w:r>
        <w:rPr>
          <w:sz w:val="24"/>
        </w:rPr>
        <w:t>document:</w:t>
      </w:r>
    </w:p>
    <w:p>
      <w:pPr>
        <w:pStyle w:val="BodyText"/>
        <w:spacing w:before="213"/>
        <w:ind w:left="2320" w:right="244" w:firstLine="600"/>
        <w:jc w:val="both"/>
      </w:pPr>
      <w:r>
        <w:rPr/>
        <w:pict>
          <v:line style="position:absolute;mso-position-horizontal-relative:page;mso-position-vertical-relative:paragraph;z-index:-459184" from="144pt,19.086372pt" to="174pt,19.086372pt" stroked="true" strokeweight=".599pt" strokecolor="#2e97d3">
            <v:stroke dashstyle="solid"/>
            <w10:wrap type="none"/>
          </v:line>
        </w:pict>
      </w:r>
      <w:r>
        <w:rPr/>
        <w:pict>
          <v:line style="position:absolute;mso-position-horizontal-relative:page;mso-position-vertical-relative:paragraph;z-index:13648" from="33.360001pt,9.066873pt" to="33.360001pt,38.465873pt" stroked="true" strokeweight=".72pt" strokecolor="#000000">
            <v:stroke dashstyle="solid"/>
            <w10:wrap type="none"/>
          </v:line>
        </w:pict>
      </w:r>
      <w:r>
        <w:rPr/>
        <w:t>"I hereby certify that all conditions for exemption for budgetary review set forth in SAM Section </w:t>
      </w:r>
      <w:r>
        <w:rPr>
          <w:strike/>
          <w:color w:val="2E97D3"/>
          <w:u w:val="single" w:color="2E97D3"/>
        </w:rPr>
        <w:t>6539 </w:t>
      </w:r>
      <w:hyperlink r:id="rId54">
        <w:r>
          <w:rPr>
            <w:strike w:val="0"/>
            <w:color w:val="2E97D3"/>
            <w:u w:val="single" w:color="2E97D3"/>
          </w:rPr>
          <w:t>6539</w:t>
        </w:r>
      </w:hyperlink>
      <w:r>
        <w:rPr>
          <w:strike w:val="0"/>
          <w:color w:val="2E97D3"/>
          <w:u w:val="single" w:color="2E97D3"/>
        </w:rPr>
        <w:t> </w:t>
      </w:r>
      <w:r>
        <w:rPr>
          <w:strike w:val="0"/>
        </w:rPr>
        <w:t>have been complied with and this document is exempt from budgetary review by Finance."</w:t>
      </w:r>
    </w:p>
    <w:p>
      <w:pPr>
        <w:pStyle w:val="ListParagraph"/>
        <w:numPr>
          <w:ilvl w:val="3"/>
          <w:numId w:val="30"/>
        </w:numPr>
        <w:tabs>
          <w:tab w:pos="2319" w:val="left" w:leader="none"/>
          <w:tab w:pos="2320" w:val="left" w:leader="none"/>
        </w:tabs>
        <w:spacing w:line="256" w:lineRule="auto" w:before="194" w:after="0"/>
        <w:ind w:left="2320" w:right="266" w:hanging="360"/>
        <w:jc w:val="left"/>
        <w:rPr>
          <w:sz w:val="24"/>
        </w:rPr>
      </w:pPr>
      <w:r>
        <w:rPr>
          <w:sz w:val="24"/>
        </w:rPr>
        <w:t>The authority to sign this certification is limited to those officers who have been</w:t>
      </w:r>
      <w:r>
        <w:rPr>
          <w:spacing w:val="-3"/>
          <w:sz w:val="24"/>
        </w:rPr>
        <w:t> </w:t>
      </w:r>
      <w:r>
        <w:rPr>
          <w:sz w:val="24"/>
        </w:rPr>
        <w:t>duly</w:t>
      </w:r>
      <w:r>
        <w:rPr>
          <w:spacing w:val="-6"/>
          <w:sz w:val="24"/>
        </w:rPr>
        <w:t> </w:t>
      </w:r>
      <w:r>
        <w:rPr>
          <w:sz w:val="24"/>
        </w:rPr>
        <w:t>authorized</w:t>
      </w:r>
      <w:r>
        <w:rPr>
          <w:spacing w:val="-3"/>
          <w:sz w:val="24"/>
        </w:rPr>
        <w:t> </w:t>
      </w:r>
      <w:r>
        <w:rPr>
          <w:sz w:val="24"/>
        </w:rPr>
        <w:t>by</w:t>
      </w:r>
      <w:r>
        <w:rPr>
          <w:spacing w:val="-6"/>
          <w:sz w:val="24"/>
        </w:rPr>
        <w:t> </w:t>
      </w:r>
      <w:r>
        <w:rPr>
          <w:sz w:val="24"/>
        </w:rPr>
        <w:t>the</w:t>
      </w:r>
      <w:r>
        <w:rPr>
          <w:spacing w:val="-3"/>
          <w:sz w:val="24"/>
        </w:rPr>
        <w:t> </w:t>
      </w:r>
      <w:r>
        <w:rPr>
          <w:sz w:val="24"/>
        </w:rPr>
        <w:t>agency</w:t>
      </w:r>
      <w:r>
        <w:rPr>
          <w:spacing w:val="-6"/>
          <w:sz w:val="24"/>
        </w:rPr>
        <w:t> </w:t>
      </w:r>
      <w:r>
        <w:rPr>
          <w:sz w:val="24"/>
        </w:rPr>
        <w:t>head</w:t>
      </w:r>
      <w:r>
        <w:rPr>
          <w:spacing w:val="-3"/>
          <w:sz w:val="24"/>
        </w:rPr>
        <w:t> </w:t>
      </w:r>
      <w:r>
        <w:rPr>
          <w:sz w:val="24"/>
        </w:rPr>
        <w:t>to</w:t>
      </w:r>
      <w:r>
        <w:rPr>
          <w:spacing w:val="-5"/>
          <w:sz w:val="24"/>
        </w:rPr>
        <w:t> </w:t>
      </w:r>
      <w:r>
        <w:rPr>
          <w:sz w:val="24"/>
        </w:rPr>
        <w:t>execute</w:t>
      </w:r>
      <w:r>
        <w:rPr>
          <w:spacing w:val="-3"/>
          <w:sz w:val="24"/>
        </w:rPr>
        <w:t> </w:t>
      </w:r>
      <w:r>
        <w:rPr>
          <w:sz w:val="24"/>
        </w:rPr>
        <w:t>these</w:t>
      </w:r>
      <w:r>
        <w:rPr>
          <w:spacing w:val="-35"/>
          <w:sz w:val="24"/>
        </w:rPr>
        <w:t> </w:t>
      </w:r>
      <w:r>
        <w:rPr>
          <w:sz w:val="24"/>
        </w:rPr>
        <w:t>documents.</w:t>
      </w:r>
    </w:p>
    <w:p>
      <w:pPr>
        <w:pStyle w:val="ListParagraph"/>
        <w:numPr>
          <w:ilvl w:val="3"/>
          <w:numId w:val="30"/>
        </w:numPr>
        <w:tabs>
          <w:tab w:pos="2319" w:val="left" w:leader="none"/>
          <w:tab w:pos="2320" w:val="left" w:leader="none"/>
        </w:tabs>
        <w:spacing w:line="254" w:lineRule="auto" w:before="202" w:after="0"/>
        <w:ind w:left="2320" w:right="252" w:hanging="360"/>
        <w:jc w:val="left"/>
        <w:rPr>
          <w:sz w:val="24"/>
        </w:rPr>
      </w:pPr>
      <w:r>
        <w:rPr>
          <w:sz w:val="24"/>
        </w:rPr>
        <w:t>Transactions which do not meet the above criteria must be prepared as a BR, STD.</w:t>
      </w:r>
      <w:r>
        <w:rPr>
          <w:spacing w:val="-5"/>
          <w:sz w:val="24"/>
        </w:rPr>
        <w:t> </w:t>
      </w:r>
      <w:r>
        <w:rPr>
          <w:sz w:val="24"/>
        </w:rPr>
        <w:t>26.</w:t>
      </w:r>
    </w:p>
    <w:p>
      <w:pPr>
        <w:pStyle w:val="ListParagraph"/>
        <w:numPr>
          <w:ilvl w:val="3"/>
          <w:numId w:val="30"/>
        </w:numPr>
        <w:tabs>
          <w:tab w:pos="2319" w:val="left" w:leader="none"/>
          <w:tab w:pos="2320" w:val="left" w:leader="none"/>
        </w:tabs>
        <w:spacing w:line="254" w:lineRule="auto" w:before="205" w:after="0"/>
        <w:ind w:left="2320" w:right="836" w:hanging="360"/>
        <w:jc w:val="left"/>
        <w:rPr>
          <w:sz w:val="24"/>
        </w:rPr>
      </w:pPr>
      <w:r>
        <w:rPr>
          <w:sz w:val="24"/>
        </w:rPr>
        <w:t>For accounting information see Allotment Expenditure Ledger, SAM Section</w:t>
      </w:r>
      <w:r>
        <w:rPr>
          <w:spacing w:val="-10"/>
          <w:sz w:val="24"/>
        </w:rPr>
        <w:t> </w:t>
      </w:r>
      <w:hyperlink r:id="rId110">
        <w:r>
          <w:rPr>
            <w:sz w:val="24"/>
          </w:rPr>
          <w:t>8324</w:t>
        </w:r>
      </w:hyperlink>
      <w:r>
        <w:rPr>
          <w:sz w:val="24"/>
        </w:rPr>
        <w:t>.</w:t>
      </w:r>
    </w:p>
    <w:p>
      <w:pPr>
        <w:pStyle w:val="ListParagraph"/>
        <w:numPr>
          <w:ilvl w:val="3"/>
          <w:numId w:val="30"/>
        </w:numPr>
        <w:tabs>
          <w:tab w:pos="2319" w:val="left" w:leader="none"/>
          <w:tab w:pos="2320" w:val="left" w:leader="none"/>
        </w:tabs>
        <w:spacing w:line="256" w:lineRule="auto" w:before="205" w:after="0"/>
        <w:ind w:left="2320" w:right="230" w:hanging="360"/>
        <w:jc w:val="left"/>
        <w:rPr>
          <w:sz w:val="24"/>
        </w:rPr>
      </w:pPr>
      <w:r>
        <w:rPr>
          <w:sz w:val="24"/>
        </w:rPr>
        <w:t>Although the Transfer of Budget Allotment is a departmental document, a full statement of the need for additional funds in the allotment to be augmented and the availability of unneeded funds in the allotment to be reduced</w:t>
      </w:r>
      <w:r>
        <w:rPr>
          <w:spacing w:val="-4"/>
          <w:sz w:val="24"/>
        </w:rPr>
        <w:t> </w:t>
      </w:r>
      <w:r>
        <w:rPr>
          <w:sz w:val="24"/>
        </w:rPr>
        <w:t>must</w:t>
      </w:r>
      <w:r>
        <w:rPr>
          <w:spacing w:val="-5"/>
          <w:sz w:val="24"/>
        </w:rPr>
        <w:t> </w:t>
      </w:r>
      <w:r>
        <w:rPr>
          <w:sz w:val="24"/>
        </w:rPr>
        <w:t>be</w:t>
      </w:r>
      <w:r>
        <w:rPr>
          <w:spacing w:val="-2"/>
          <w:sz w:val="24"/>
        </w:rPr>
        <w:t> </w:t>
      </w:r>
      <w:r>
        <w:rPr>
          <w:sz w:val="24"/>
        </w:rPr>
        <w:t>given</w:t>
      </w:r>
      <w:r>
        <w:rPr>
          <w:spacing w:val="-2"/>
          <w:sz w:val="24"/>
        </w:rPr>
        <w:t> </w:t>
      </w:r>
      <w:r>
        <w:rPr>
          <w:sz w:val="24"/>
        </w:rPr>
        <w:t>as</w:t>
      </w:r>
      <w:r>
        <w:rPr>
          <w:spacing w:val="-3"/>
          <w:sz w:val="24"/>
        </w:rPr>
        <w:t> </w:t>
      </w:r>
      <w:r>
        <w:rPr>
          <w:sz w:val="24"/>
        </w:rPr>
        <w:t>the</w:t>
      </w:r>
      <w:r>
        <w:rPr>
          <w:spacing w:val="-2"/>
          <w:sz w:val="24"/>
        </w:rPr>
        <w:t> </w:t>
      </w:r>
      <w:r>
        <w:rPr>
          <w:sz w:val="24"/>
        </w:rPr>
        <w:t>basis</w:t>
      </w:r>
      <w:r>
        <w:rPr>
          <w:spacing w:val="-5"/>
          <w:sz w:val="24"/>
        </w:rPr>
        <w:t> </w:t>
      </w:r>
      <w:r>
        <w:rPr>
          <w:sz w:val="24"/>
        </w:rPr>
        <w:t>for</w:t>
      </w:r>
      <w:r>
        <w:rPr>
          <w:spacing w:val="-4"/>
          <w:sz w:val="24"/>
        </w:rPr>
        <w:t> </w:t>
      </w:r>
      <w:r>
        <w:rPr>
          <w:sz w:val="24"/>
        </w:rPr>
        <w:t>the</w:t>
      </w:r>
      <w:r>
        <w:rPr>
          <w:spacing w:val="-4"/>
          <w:sz w:val="24"/>
        </w:rPr>
        <w:t> </w:t>
      </w:r>
      <w:r>
        <w:rPr>
          <w:sz w:val="24"/>
        </w:rPr>
        <w:t>transaction</w:t>
      </w:r>
      <w:r>
        <w:rPr>
          <w:spacing w:val="-4"/>
          <w:sz w:val="24"/>
        </w:rPr>
        <w:t> </w:t>
      </w:r>
      <w:r>
        <w:rPr>
          <w:sz w:val="24"/>
        </w:rPr>
        <w:t>for</w:t>
      </w:r>
      <w:r>
        <w:rPr>
          <w:spacing w:val="-5"/>
          <w:sz w:val="24"/>
        </w:rPr>
        <w:t> </w:t>
      </w:r>
      <w:r>
        <w:rPr>
          <w:sz w:val="24"/>
        </w:rPr>
        <w:t>audit</w:t>
      </w:r>
      <w:r>
        <w:rPr>
          <w:spacing w:val="-35"/>
          <w:sz w:val="24"/>
        </w:rPr>
        <w:t> </w:t>
      </w:r>
      <w:r>
        <w:rPr>
          <w:sz w:val="24"/>
        </w:rPr>
        <w:t>purposes.</w:t>
      </w:r>
    </w:p>
    <w:p>
      <w:pPr>
        <w:pStyle w:val="BodyText"/>
        <w:spacing w:before="4"/>
        <w:rPr>
          <w:sz w:val="10"/>
        </w:rPr>
      </w:pPr>
      <w:r>
        <w:rPr/>
        <w:pict>
          <v:line style="position:absolute;mso-position-horizontal-relative:page;mso-position-vertical-relative:paragraph;z-index:13432;mso-wrap-distance-left:0;mso-wrap-distance-right:0" from="33.360001pt,8.278428pt" to="33.360001pt,13.557428pt" stroked="true" strokeweight=".72pt" strokecolor="#000000">
            <v:stroke dashstyle="solid"/>
            <w10:wrap type="topAndBottom"/>
          </v:line>
        </w:pict>
      </w:r>
    </w:p>
    <w:p>
      <w:pPr>
        <w:pStyle w:val="BodyText"/>
        <w:spacing w:before="52"/>
        <w:ind w:left="880"/>
      </w:pPr>
      <w:r>
        <w:rPr/>
        <w:t>(Continued)</w:t>
      </w:r>
    </w:p>
    <w:p>
      <w:pPr>
        <w:spacing w:after="0"/>
        <w:sectPr>
          <w:pgSz w:w="12240" w:h="15840"/>
          <w:pgMar w:header="724" w:footer="792" w:top="980" w:bottom="1060" w:left="560" w:right="1340"/>
        </w:sectPr>
      </w:pPr>
    </w:p>
    <w:p>
      <w:pPr>
        <w:pStyle w:val="BodyText"/>
        <w:spacing w:before="11"/>
        <w:rPr>
          <w:sz w:val="15"/>
        </w:rPr>
      </w:pPr>
    </w:p>
    <w:p>
      <w:pPr>
        <w:pStyle w:val="BodyText"/>
        <w:spacing w:before="92"/>
        <w:ind w:left="759"/>
      </w:pPr>
      <w:r>
        <w:rPr/>
        <w:pict>
          <v:line style="position:absolute;mso-position-horizontal-relative:page;mso-position-vertical-relative:paragraph;z-index:13744" from="33.360001pt,18.616854pt" to="33.360001pt,46.215854pt" stroked="true" strokeweight=".72pt" strokecolor="#000000">
            <v:stroke dashstyle="solid"/>
            <w10:wrap type="none"/>
          </v:line>
        </w:pict>
      </w:r>
      <w:r>
        <w:rPr/>
        <w:t>(Continued)</w:t>
      </w:r>
    </w:p>
    <w:p>
      <w:pPr>
        <w:pStyle w:val="Heading2"/>
        <w:tabs>
          <w:tab w:pos="8499" w:val="left" w:leader="none"/>
        </w:tabs>
        <w:ind w:left="760"/>
        <w:rPr>
          <w:b w:val="0"/>
        </w:rPr>
      </w:pPr>
      <w:r>
        <w:rPr/>
        <w:pict>
          <v:line style="position:absolute;mso-position-horizontal-relative:page;mso-position-vertical-relative:paragraph;z-index:-458968" from="372.23999pt,8.436367pt" to="375.47999pt,8.436367pt" stroked="true" strokeweight=".599pt" strokecolor="#2e97d3">
            <v:stroke dashstyle="solid"/>
            <w10:wrap type="none"/>
          </v:line>
        </w:pict>
      </w:r>
      <w:bookmarkStart w:name="TRANSFER OF BUDGET ALLOTMENT FORM, STD. " w:id="38"/>
      <w:bookmarkEnd w:id="38"/>
      <w:r>
        <w:rPr>
          <w:b w:val="0"/>
        </w:rPr>
      </w:r>
      <w:r>
        <w:rPr/>
        <w:t>TRANSFER OF BUDGET ALLOTMENT FORM,</w:t>
      </w:r>
      <w:r>
        <w:rPr>
          <w:spacing w:val="-9"/>
        </w:rPr>
        <w:t> </w:t>
      </w:r>
      <w:r>
        <w:rPr/>
        <w:t>STD.</w:t>
      </w:r>
      <w:r>
        <w:rPr>
          <w:spacing w:val="-2"/>
        </w:rPr>
        <w:t> </w:t>
      </w:r>
      <w:r>
        <w:rPr/>
        <w:t>25</w:t>
        <w:tab/>
        <w:t>6539 </w:t>
      </w:r>
      <w:r>
        <w:rPr>
          <w:b w:val="0"/>
        </w:rPr>
        <w:t>(Cont.</w:t>
      </w:r>
      <w:r>
        <w:rPr>
          <w:b w:val="0"/>
          <w:spacing w:val="-6"/>
        </w:rPr>
        <w:t> </w:t>
      </w:r>
      <w:r>
        <w:rPr>
          <w:b w:val="0"/>
        </w:rPr>
        <w:t>1)</w:t>
      </w:r>
    </w:p>
    <w:p>
      <w:pPr>
        <w:pStyle w:val="BodyText"/>
        <w:ind w:left="760"/>
      </w:pPr>
      <w:r>
        <w:rPr/>
        <w:t>(Revised </w:t>
      </w:r>
      <w:r>
        <w:rPr>
          <w:strike/>
          <w:color w:val="2E97D3"/>
        </w:rPr>
        <w:t>9/2010</w:t>
      </w:r>
      <w:r>
        <w:rPr>
          <w:strike w:val="0"/>
          <w:color w:val="2E97D3"/>
          <w:u w:val="single" w:color="2E97D3"/>
        </w:rPr>
        <w:t>09/2017</w:t>
      </w:r>
      <w:r>
        <w:rPr>
          <w:strike w:val="0"/>
        </w:rPr>
        <w:t>)</w:t>
      </w:r>
    </w:p>
    <w:p>
      <w:pPr>
        <w:pStyle w:val="BodyText"/>
        <w:spacing w:before="1"/>
        <w:rPr>
          <w:sz w:val="29"/>
        </w:rPr>
      </w:pPr>
    </w:p>
    <w:p>
      <w:pPr>
        <w:pStyle w:val="ListParagraph"/>
        <w:numPr>
          <w:ilvl w:val="2"/>
          <w:numId w:val="30"/>
        </w:numPr>
        <w:tabs>
          <w:tab w:pos="1240" w:val="left" w:leader="none"/>
        </w:tabs>
        <w:spacing w:line="240" w:lineRule="auto" w:before="92" w:after="0"/>
        <w:ind w:left="1240" w:right="0" w:hanging="360"/>
        <w:jc w:val="left"/>
        <w:rPr>
          <w:sz w:val="24"/>
        </w:rPr>
      </w:pPr>
      <w:r>
        <w:rPr/>
        <w:pict>
          <v:line style="position:absolute;mso-position-horizontal-relative:page;mso-position-vertical-relative:paragraph;z-index:13768" from="33.360001pt,4.694845pt" to="33.360001pt,19.575845pt" stroked="true" strokeweight=".72pt" strokecolor="#000000">
            <v:stroke dashstyle="solid"/>
            <w10:wrap type="none"/>
          </v:line>
        </w:pict>
      </w:r>
      <w:r>
        <w:rPr>
          <w:strike/>
          <w:color w:val="2E97D3"/>
          <w:sz w:val="24"/>
        </w:rPr>
        <w:t>5.</w:t>
      </w:r>
      <w:r>
        <w:rPr>
          <w:strike/>
          <w:color w:val="2E97D3"/>
          <w:spacing w:val="-31"/>
          <w:sz w:val="24"/>
        </w:rPr>
        <w:t> </w:t>
      </w:r>
      <w:r>
        <w:rPr>
          <w:strike w:val="0"/>
          <w:sz w:val="24"/>
        </w:rPr>
        <w:t>Uses</w:t>
      </w:r>
      <w:r>
        <w:rPr>
          <w:strike w:val="0"/>
          <w:spacing w:val="-4"/>
          <w:sz w:val="24"/>
        </w:rPr>
        <w:t> </w:t>
      </w:r>
      <w:r>
        <w:rPr>
          <w:strike w:val="0"/>
          <w:sz w:val="24"/>
        </w:rPr>
        <w:t>of</w:t>
      </w:r>
      <w:r>
        <w:rPr>
          <w:strike w:val="0"/>
          <w:spacing w:val="-3"/>
          <w:sz w:val="24"/>
        </w:rPr>
        <w:t> </w:t>
      </w:r>
      <w:r>
        <w:rPr>
          <w:strike w:val="0"/>
          <w:sz w:val="24"/>
        </w:rPr>
        <w:t>Transfer</w:t>
      </w:r>
      <w:r>
        <w:rPr>
          <w:strike w:val="0"/>
          <w:spacing w:val="-5"/>
          <w:sz w:val="24"/>
        </w:rPr>
        <w:t> </w:t>
      </w:r>
      <w:r>
        <w:rPr>
          <w:strike w:val="0"/>
          <w:sz w:val="24"/>
        </w:rPr>
        <w:t>of</w:t>
      </w:r>
      <w:r>
        <w:rPr>
          <w:strike w:val="0"/>
          <w:spacing w:val="-4"/>
          <w:sz w:val="24"/>
        </w:rPr>
        <w:t> </w:t>
      </w:r>
      <w:r>
        <w:rPr>
          <w:strike w:val="0"/>
          <w:sz w:val="24"/>
        </w:rPr>
        <w:t>Budget</w:t>
      </w:r>
      <w:r>
        <w:rPr>
          <w:strike w:val="0"/>
          <w:spacing w:val="-22"/>
          <w:sz w:val="24"/>
        </w:rPr>
        <w:t> </w:t>
      </w:r>
      <w:r>
        <w:rPr>
          <w:strike w:val="0"/>
          <w:sz w:val="24"/>
        </w:rPr>
        <w:t>Allotment</w:t>
      </w:r>
    </w:p>
    <w:p>
      <w:pPr>
        <w:pStyle w:val="BodyText"/>
        <w:spacing w:before="6"/>
        <w:rPr>
          <w:sz w:val="16"/>
        </w:rPr>
      </w:pPr>
    </w:p>
    <w:p>
      <w:pPr>
        <w:pStyle w:val="BodyText"/>
        <w:spacing w:before="93"/>
        <w:ind w:left="1240" w:right="642"/>
      </w:pPr>
      <w:r>
        <w:rPr/>
        <w:pict>
          <v:line style="position:absolute;mso-position-horizontal-relative:page;mso-position-vertical-relative:paragraph;z-index:13792" from="33.360001pt,4.864884pt" to="33.360001pt,18.665884pt" stroked="true" strokeweight=".72pt" strokecolor="#000000">
            <v:stroke dashstyle="solid"/>
            <w10:wrap type="none"/>
          </v:line>
        </w:pict>
      </w:r>
      <w:r>
        <w:rPr/>
        <w:t>The </w:t>
      </w:r>
      <w:r>
        <w:rPr>
          <w:strike/>
          <w:color w:val="2E97D3"/>
          <w:u w:val="single" w:color="2E97D3"/>
        </w:rPr>
        <w:t>STD. 25 </w:t>
      </w:r>
      <w:hyperlink r:id="rId109">
        <w:r>
          <w:rPr>
            <w:strike w:val="0"/>
            <w:color w:val="2E97D3"/>
            <w:u w:val="single" w:color="2E97D3"/>
          </w:rPr>
          <w:t>STD. 25 </w:t>
        </w:r>
      </w:hyperlink>
      <w:r>
        <w:rPr>
          <w:strike w:val="0"/>
        </w:rPr>
        <w:t>serves to make changes </w:t>
      </w:r>
      <w:r>
        <w:rPr>
          <w:b/>
          <w:strike w:val="0"/>
        </w:rPr>
        <w:t>only </w:t>
      </w:r>
      <w:r>
        <w:rPr>
          <w:strike w:val="0"/>
        </w:rPr>
        <w:t>between the allotments of a single appropriation and does not affect any accounts outside the Allotment Expenditure Ledger.</w:t>
      </w:r>
    </w:p>
    <w:p>
      <w:pPr>
        <w:pStyle w:val="BodyText"/>
      </w:pPr>
    </w:p>
    <w:p>
      <w:pPr>
        <w:pStyle w:val="BodyText"/>
        <w:ind w:left="1240" w:right="428"/>
      </w:pPr>
      <w:r>
        <w:rPr/>
        <w:t>Following are changes in expenditure allotments and receipt allotments which may be made by this means:</w:t>
      </w:r>
    </w:p>
    <w:p>
      <w:pPr>
        <w:pStyle w:val="BodyText"/>
        <w:spacing w:before="2"/>
      </w:pPr>
    </w:p>
    <w:p>
      <w:pPr>
        <w:pStyle w:val="ListParagraph"/>
        <w:numPr>
          <w:ilvl w:val="0"/>
          <w:numId w:val="31"/>
        </w:numPr>
        <w:tabs>
          <w:tab w:pos="1600" w:val="left" w:leader="none"/>
          <w:tab w:pos="2199" w:val="left" w:leader="none"/>
        </w:tabs>
        <w:spacing w:line="259" w:lineRule="auto" w:before="0" w:after="0"/>
        <w:ind w:left="1600" w:right="1525" w:hanging="360"/>
        <w:jc w:val="left"/>
        <w:rPr>
          <w:color w:val="2E97D3"/>
          <w:sz w:val="24"/>
        </w:rPr>
      </w:pPr>
      <w:r>
        <w:rPr/>
        <w:pict>
          <v:line style="position:absolute;mso-position-horizontal-relative:page;mso-position-vertical-relative:paragraph;z-index:13816" from="33.360001pt,.095852pt" to="33.360001pt,14.975852pt" stroked="true" strokeweight=".72pt" strokecolor="#000000">
            <v:stroke dashstyle="solid"/>
            <w10:wrap type="none"/>
          </v:line>
        </w:pict>
      </w:r>
      <w:r>
        <w:rPr>
          <w:strike/>
          <w:color w:val="2E97D3"/>
          <w:sz w:val="24"/>
        </w:rPr>
        <w:t>a.</w:t>
        <w:tab/>
      </w:r>
      <w:r>
        <w:rPr>
          <w:strike w:val="0"/>
          <w:sz w:val="24"/>
        </w:rPr>
        <w:t>Transfer between quarters within the same object</w:t>
      </w:r>
      <w:r>
        <w:rPr>
          <w:strike w:val="0"/>
          <w:spacing w:val="-24"/>
          <w:sz w:val="24"/>
        </w:rPr>
        <w:t> </w:t>
      </w:r>
      <w:r>
        <w:rPr>
          <w:strike w:val="0"/>
          <w:sz w:val="24"/>
        </w:rPr>
        <w:t>category</w:t>
      </w:r>
      <w:r>
        <w:rPr>
          <w:strike w:val="0"/>
          <w:spacing w:val="-6"/>
          <w:sz w:val="24"/>
        </w:rPr>
        <w:t> </w:t>
      </w:r>
      <w:r>
        <w:rPr>
          <w:strike w:val="0"/>
          <w:sz w:val="24"/>
        </w:rPr>
        <w:t>and</w:t>
      </w:r>
      <w:r>
        <w:rPr>
          <w:strike w:val="0"/>
          <w:w w:val="99"/>
          <w:sz w:val="24"/>
        </w:rPr>
        <w:t> </w:t>
      </w:r>
      <w:r>
        <w:rPr>
          <w:strike w:val="0"/>
          <w:sz w:val="24"/>
        </w:rPr>
        <w:t>appropriation.</w:t>
      </w:r>
    </w:p>
    <w:p>
      <w:pPr>
        <w:pStyle w:val="BodyText"/>
        <w:spacing w:before="11"/>
        <w:rPr>
          <w:sz w:val="23"/>
        </w:rPr>
      </w:pPr>
    </w:p>
    <w:p>
      <w:pPr>
        <w:pStyle w:val="ListParagraph"/>
        <w:numPr>
          <w:ilvl w:val="0"/>
          <w:numId w:val="31"/>
        </w:numPr>
        <w:tabs>
          <w:tab w:pos="1600" w:val="left" w:leader="none"/>
          <w:tab w:pos="2199" w:val="left" w:leader="none"/>
        </w:tabs>
        <w:spacing w:line="259" w:lineRule="auto" w:before="0" w:after="0"/>
        <w:ind w:left="1600" w:right="1259" w:hanging="360"/>
        <w:jc w:val="left"/>
        <w:rPr>
          <w:color w:val="2E97D3"/>
          <w:sz w:val="24"/>
        </w:rPr>
      </w:pPr>
      <w:r>
        <w:rPr/>
        <w:pict>
          <v:line style="position:absolute;mso-position-horizontal-relative:page;mso-position-vertical-relative:paragraph;z-index:13840" from="33.360001pt,.095854pt" to="33.360001pt,14.975854pt" stroked="true" strokeweight=".72pt" strokecolor="#000000">
            <v:stroke dashstyle="solid"/>
            <w10:wrap type="none"/>
          </v:line>
        </w:pict>
      </w:r>
      <w:r>
        <w:rPr>
          <w:strike/>
          <w:color w:val="2E97D3"/>
          <w:sz w:val="24"/>
        </w:rPr>
        <w:t>b.</w:t>
        <w:tab/>
      </w:r>
      <w:r>
        <w:rPr>
          <w:strike w:val="0"/>
          <w:sz w:val="24"/>
        </w:rPr>
        <w:t>Transfers between functions or organization units within</w:t>
      </w:r>
      <w:r>
        <w:rPr>
          <w:strike w:val="0"/>
          <w:spacing w:val="-28"/>
          <w:sz w:val="24"/>
        </w:rPr>
        <w:t> </w:t>
      </w:r>
      <w:r>
        <w:rPr>
          <w:strike w:val="0"/>
          <w:sz w:val="24"/>
        </w:rPr>
        <w:t>the</w:t>
      </w:r>
      <w:r>
        <w:rPr>
          <w:strike w:val="0"/>
          <w:spacing w:val="-5"/>
          <w:sz w:val="24"/>
        </w:rPr>
        <w:t> </w:t>
      </w:r>
      <w:r>
        <w:rPr>
          <w:strike w:val="0"/>
          <w:sz w:val="24"/>
        </w:rPr>
        <w:t>same</w:t>
      </w:r>
      <w:r>
        <w:rPr>
          <w:strike w:val="0"/>
          <w:w w:val="99"/>
          <w:sz w:val="24"/>
        </w:rPr>
        <w:t> </w:t>
      </w:r>
      <w:r>
        <w:rPr>
          <w:strike w:val="0"/>
          <w:sz w:val="24"/>
        </w:rPr>
        <w:t>object category and</w:t>
      </w:r>
      <w:r>
        <w:rPr>
          <w:strike w:val="0"/>
          <w:spacing w:val="-32"/>
          <w:sz w:val="24"/>
        </w:rPr>
        <w:t> </w:t>
      </w:r>
      <w:r>
        <w:rPr>
          <w:strike w:val="0"/>
          <w:sz w:val="24"/>
        </w:rPr>
        <w:t>appropriation.</w:t>
      </w:r>
    </w:p>
    <w:p>
      <w:pPr>
        <w:pStyle w:val="BodyText"/>
        <w:spacing w:before="11"/>
        <w:rPr>
          <w:sz w:val="23"/>
        </w:rPr>
      </w:pPr>
    </w:p>
    <w:p>
      <w:pPr>
        <w:pStyle w:val="ListParagraph"/>
        <w:numPr>
          <w:ilvl w:val="0"/>
          <w:numId w:val="31"/>
        </w:numPr>
        <w:tabs>
          <w:tab w:pos="1600" w:val="left" w:leader="none"/>
          <w:tab w:pos="2199" w:val="left" w:leader="none"/>
        </w:tabs>
        <w:spacing w:line="240" w:lineRule="auto" w:before="0" w:after="0"/>
        <w:ind w:left="1600" w:right="0" w:hanging="360"/>
        <w:jc w:val="left"/>
        <w:rPr>
          <w:color w:val="2E97D3"/>
          <w:sz w:val="24"/>
        </w:rPr>
      </w:pPr>
      <w:r>
        <w:rPr/>
        <w:pict>
          <v:line style="position:absolute;mso-position-horizontal-relative:page;mso-position-vertical-relative:paragraph;z-index:13864" from="33.360001pt,.095857pt" to="33.360001pt,14.975857pt" stroked="true" strokeweight=".72pt" strokecolor="#000000">
            <v:stroke dashstyle="solid"/>
            <w10:wrap type="none"/>
          </v:line>
        </w:pict>
      </w:r>
      <w:r>
        <w:rPr>
          <w:strike/>
          <w:color w:val="2E97D3"/>
          <w:sz w:val="24"/>
        </w:rPr>
        <w:t>c.</w:t>
        <w:tab/>
      </w:r>
      <w:r>
        <w:rPr>
          <w:strike w:val="0"/>
          <w:sz w:val="24"/>
        </w:rPr>
        <w:t>Transfer</w:t>
      </w:r>
      <w:r>
        <w:rPr>
          <w:strike w:val="0"/>
          <w:spacing w:val="-5"/>
          <w:sz w:val="24"/>
        </w:rPr>
        <w:t> </w:t>
      </w:r>
      <w:r>
        <w:rPr>
          <w:strike w:val="0"/>
          <w:sz w:val="24"/>
        </w:rPr>
        <w:t>between</w:t>
      </w:r>
      <w:r>
        <w:rPr>
          <w:strike w:val="0"/>
          <w:spacing w:val="-5"/>
          <w:sz w:val="24"/>
        </w:rPr>
        <w:t> </w:t>
      </w:r>
      <w:r>
        <w:rPr>
          <w:strike w:val="0"/>
          <w:sz w:val="24"/>
        </w:rPr>
        <w:t>minor</w:t>
      </w:r>
      <w:r>
        <w:rPr>
          <w:strike w:val="0"/>
          <w:spacing w:val="-5"/>
          <w:sz w:val="24"/>
        </w:rPr>
        <w:t> </w:t>
      </w:r>
      <w:r>
        <w:rPr>
          <w:strike w:val="0"/>
          <w:sz w:val="24"/>
        </w:rPr>
        <w:t>projects</w:t>
      </w:r>
      <w:r>
        <w:rPr>
          <w:strike w:val="0"/>
          <w:spacing w:val="-4"/>
          <w:sz w:val="24"/>
        </w:rPr>
        <w:t> </w:t>
      </w:r>
      <w:r>
        <w:rPr>
          <w:strike w:val="0"/>
          <w:sz w:val="24"/>
        </w:rPr>
        <w:t>within</w:t>
      </w:r>
      <w:r>
        <w:rPr>
          <w:strike w:val="0"/>
          <w:spacing w:val="-4"/>
          <w:sz w:val="24"/>
        </w:rPr>
        <w:t> </w:t>
      </w:r>
      <w:r>
        <w:rPr>
          <w:strike w:val="0"/>
          <w:sz w:val="24"/>
        </w:rPr>
        <w:t>the</w:t>
      </w:r>
      <w:r>
        <w:rPr>
          <w:strike w:val="0"/>
          <w:spacing w:val="-5"/>
          <w:sz w:val="24"/>
        </w:rPr>
        <w:t> </w:t>
      </w:r>
      <w:r>
        <w:rPr>
          <w:strike w:val="0"/>
          <w:sz w:val="24"/>
        </w:rPr>
        <w:t>same</w:t>
      </w:r>
      <w:r>
        <w:rPr>
          <w:strike w:val="0"/>
          <w:spacing w:val="-35"/>
          <w:sz w:val="24"/>
        </w:rPr>
        <w:t> </w:t>
      </w:r>
      <w:r>
        <w:rPr>
          <w:strike w:val="0"/>
          <w:sz w:val="24"/>
        </w:rPr>
        <w:t>appropriation.</w:t>
      </w:r>
    </w:p>
    <w:p>
      <w:pPr>
        <w:pStyle w:val="BodyText"/>
        <w:spacing w:before="9"/>
        <w:rPr>
          <w:sz w:val="17"/>
        </w:rPr>
      </w:pPr>
    </w:p>
    <w:p>
      <w:pPr>
        <w:pStyle w:val="ListParagraph"/>
        <w:numPr>
          <w:ilvl w:val="0"/>
          <w:numId w:val="31"/>
        </w:numPr>
        <w:tabs>
          <w:tab w:pos="1600" w:val="left" w:leader="none"/>
        </w:tabs>
        <w:spacing w:line="259" w:lineRule="auto" w:before="92" w:after="0"/>
        <w:ind w:left="1600" w:right="951" w:hanging="360"/>
        <w:jc w:val="left"/>
        <w:rPr>
          <w:sz w:val="24"/>
        </w:rPr>
      </w:pPr>
      <w:r>
        <w:rPr>
          <w:sz w:val="24"/>
        </w:rPr>
        <w:t>Redistribution of estimated reimbursements between sources when no net change</w:t>
      </w:r>
      <w:r>
        <w:rPr>
          <w:spacing w:val="-3"/>
          <w:sz w:val="24"/>
        </w:rPr>
        <w:t> </w:t>
      </w:r>
      <w:r>
        <w:rPr>
          <w:sz w:val="24"/>
        </w:rPr>
        <w:t>in</w:t>
      </w:r>
      <w:r>
        <w:rPr>
          <w:spacing w:val="-5"/>
          <w:sz w:val="24"/>
        </w:rPr>
        <w:t> </w:t>
      </w:r>
      <w:r>
        <w:rPr>
          <w:sz w:val="24"/>
        </w:rPr>
        <w:t>estimated</w:t>
      </w:r>
      <w:r>
        <w:rPr>
          <w:spacing w:val="-3"/>
          <w:sz w:val="24"/>
        </w:rPr>
        <w:t> </w:t>
      </w:r>
      <w:r>
        <w:rPr>
          <w:sz w:val="24"/>
        </w:rPr>
        <w:t>total</w:t>
      </w:r>
      <w:r>
        <w:rPr>
          <w:spacing w:val="-4"/>
          <w:sz w:val="24"/>
        </w:rPr>
        <w:t> </w:t>
      </w:r>
      <w:r>
        <w:rPr>
          <w:sz w:val="24"/>
        </w:rPr>
        <w:t>reimbursements</w:t>
      </w:r>
      <w:r>
        <w:rPr>
          <w:spacing w:val="-6"/>
          <w:sz w:val="24"/>
        </w:rPr>
        <w:t> </w:t>
      </w:r>
      <w:r>
        <w:rPr>
          <w:sz w:val="24"/>
        </w:rPr>
        <w:t>for</w:t>
      </w:r>
      <w:r>
        <w:rPr>
          <w:spacing w:val="-7"/>
          <w:sz w:val="24"/>
        </w:rPr>
        <w:t> </w:t>
      </w:r>
      <w:r>
        <w:rPr>
          <w:sz w:val="24"/>
        </w:rPr>
        <w:t>the</w:t>
      </w:r>
      <w:r>
        <w:rPr>
          <w:spacing w:val="-3"/>
          <w:sz w:val="24"/>
        </w:rPr>
        <w:t> </w:t>
      </w:r>
      <w:r>
        <w:rPr>
          <w:sz w:val="24"/>
        </w:rPr>
        <w:t>year</w:t>
      </w:r>
      <w:r>
        <w:rPr>
          <w:spacing w:val="-5"/>
          <w:sz w:val="24"/>
        </w:rPr>
        <w:t> </w:t>
      </w:r>
      <w:r>
        <w:rPr>
          <w:sz w:val="24"/>
        </w:rPr>
        <w:t>is</w:t>
      </w:r>
      <w:r>
        <w:rPr>
          <w:spacing w:val="-36"/>
          <w:sz w:val="24"/>
        </w:rPr>
        <w:t> </w:t>
      </w:r>
      <w:r>
        <w:rPr>
          <w:sz w:val="24"/>
        </w:rPr>
        <w:t>involved.</w:t>
      </w:r>
    </w:p>
    <w:p>
      <w:pPr>
        <w:pStyle w:val="BodyText"/>
        <w:rPr>
          <w:sz w:val="26"/>
        </w:rPr>
      </w:pPr>
    </w:p>
    <w:p>
      <w:pPr>
        <w:pStyle w:val="Heading2"/>
        <w:tabs>
          <w:tab w:pos="9587" w:val="left" w:leader="none"/>
        </w:tabs>
        <w:spacing w:before="214"/>
        <w:ind w:left="851"/>
      </w:pPr>
      <w:r>
        <w:rPr/>
        <w:t>BUDGET REVISION FORM,</w:t>
      </w:r>
      <w:r>
        <w:rPr>
          <w:spacing w:val="-5"/>
        </w:rPr>
        <w:t> </w:t>
      </w:r>
      <w:r>
        <w:rPr/>
        <w:t>STD.</w:t>
      </w:r>
      <w:r>
        <w:rPr>
          <w:spacing w:val="-1"/>
        </w:rPr>
        <w:t> </w:t>
      </w:r>
      <w:r>
        <w:rPr/>
        <w:t>26</w:t>
        <w:tab/>
        <w:t>6542</w:t>
      </w:r>
    </w:p>
    <w:p>
      <w:pPr>
        <w:pStyle w:val="BodyText"/>
        <w:ind w:left="851"/>
      </w:pPr>
      <w:r>
        <w:rPr/>
        <w:t>(Revised 9/2010)</w:t>
      </w:r>
    </w:p>
    <w:p>
      <w:pPr>
        <w:pStyle w:val="BodyText"/>
      </w:pPr>
    </w:p>
    <w:p>
      <w:pPr>
        <w:pStyle w:val="BodyText"/>
        <w:ind w:left="880" w:right="148"/>
      </w:pPr>
      <w:r>
        <w:rPr/>
        <w:pict>
          <v:line style="position:absolute;mso-position-horizontal-relative:page;mso-position-vertical-relative:paragraph;z-index:13888" from="33.360001pt,.215868pt" to="33.360001pt,14.015868pt" stroked="true" strokeweight=".72pt" strokecolor="#000000">
            <v:stroke dashstyle="solid"/>
            <w10:wrap type="none"/>
          </v:line>
        </w:pict>
      </w:r>
      <w:r>
        <w:rPr/>
        <w:t>The </w:t>
      </w:r>
      <w:r>
        <w:rPr>
          <w:strike/>
          <w:color w:val="2E97D3"/>
          <w:u w:val="single" w:color="2E97D3"/>
        </w:rPr>
        <w:t>STD. 26</w:t>
      </w:r>
      <w:hyperlink r:id="rId108">
        <w:r>
          <w:rPr>
            <w:strike w:val="0"/>
            <w:color w:val="2E97D3"/>
            <w:u w:val="single" w:color="2E97D3"/>
          </w:rPr>
          <w:t>STD. 26</w:t>
        </w:r>
      </w:hyperlink>
      <w:r>
        <w:rPr>
          <w:strike w:val="0"/>
          <w:color w:val="2E97D3"/>
          <w:u w:val="single" w:color="2E97D3"/>
        </w:rPr>
        <w:t>, generally prepared by the department, </w:t>
      </w:r>
      <w:r>
        <w:rPr>
          <w:strike w:val="0"/>
        </w:rPr>
        <w:t>is required when any of the following are proposed:</w:t>
      </w:r>
    </w:p>
    <w:p>
      <w:pPr>
        <w:pStyle w:val="ListParagraph"/>
        <w:numPr>
          <w:ilvl w:val="0"/>
          <w:numId w:val="32"/>
        </w:numPr>
        <w:tabs>
          <w:tab w:pos="1240" w:val="left" w:leader="none"/>
        </w:tabs>
        <w:spacing w:line="240" w:lineRule="auto" w:before="172" w:after="0"/>
        <w:ind w:left="1240" w:right="0" w:hanging="360"/>
        <w:jc w:val="left"/>
        <w:rPr>
          <w:sz w:val="24"/>
        </w:rPr>
      </w:pPr>
      <w:r>
        <w:rPr/>
        <w:pict>
          <v:line style="position:absolute;mso-position-horizontal-relative:page;mso-position-vertical-relative:paragraph;z-index:13912" from="33.360001pt,8.814847pt" to="33.360001pt,22.615847pt" stroked="true" strokeweight=".72pt" strokecolor="#000000">
            <v:stroke dashstyle="solid"/>
            <w10:wrap type="none"/>
          </v:line>
        </w:pict>
      </w:r>
      <w:r>
        <w:rPr>
          <w:strike/>
          <w:color w:val="2E97D3"/>
          <w:sz w:val="24"/>
        </w:rPr>
        <w:t>1.</w:t>
      </w:r>
      <w:r>
        <w:rPr>
          <w:strike/>
          <w:color w:val="2E97D3"/>
          <w:spacing w:val="-32"/>
          <w:sz w:val="24"/>
        </w:rPr>
        <w:t> </w:t>
      </w:r>
      <w:r>
        <w:rPr>
          <w:strike w:val="0"/>
          <w:sz w:val="24"/>
        </w:rPr>
        <w:t>Program</w:t>
      </w:r>
      <w:r>
        <w:rPr>
          <w:strike w:val="0"/>
          <w:spacing w:val="-4"/>
          <w:sz w:val="24"/>
        </w:rPr>
        <w:t> </w:t>
      </w:r>
      <w:r>
        <w:rPr>
          <w:strike w:val="0"/>
          <w:sz w:val="24"/>
        </w:rPr>
        <w:t>changes</w:t>
      </w:r>
      <w:r>
        <w:rPr>
          <w:strike w:val="0"/>
          <w:spacing w:val="-6"/>
          <w:sz w:val="24"/>
        </w:rPr>
        <w:t> </w:t>
      </w:r>
      <w:r>
        <w:rPr>
          <w:strike w:val="0"/>
          <w:sz w:val="24"/>
        </w:rPr>
        <w:t>are</w:t>
      </w:r>
      <w:r>
        <w:rPr>
          <w:strike w:val="0"/>
          <w:spacing w:val="-22"/>
          <w:sz w:val="24"/>
        </w:rPr>
        <w:t> </w:t>
      </w:r>
      <w:r>
        <w:rPr>
          <w:strike w:val="0"/>
          <w:sz w:val="24"/>
        </w:rPr>
        <w:t>involved.</w:t>
      </w:r>
    </w:p>
    <w:p>
      <w:pPr>
        <w:pStyle w:val="BodyText"/>
        <w:spacing w:before="10"/>
        <w:rPr>
          <w:sz w:val="14"/>
        </w:rPr>
      </w:pPr>
    </w:p>
    <w:p>
      <w:pPr>
        <w:pStyle w:val="ListParagraph"/>
        <w:numPr>
          <w:ilvl w:val="0"/>
          <w:numId w:val="32"/>
        </w:numPr>
        <w:tabs>
          <w:tab w:pos="1240" w:val="left" w:leader="none"/>
        </w:tabs>
        <w:spacing w:line="240" w:lineRule="auto" w:before="92" w:after="0"/>
        <w:ind w:left="1240" w:right="0" w:hanging="360"/>
        <w:jc w:val="left"/>
        <w:rPr>
          <w:sz w:val="24"/>
        </w:rPr>
      </w:pPr>
      <w:r>
        <w:rPr/>
        <w:pict>
          <v:line style="position:absolute;mso-position-horizontal-relative:page;mso-position-vertical-relative:paragraph;z-index:13936" from="33.360001pt,4.814862pt" to="33.360001pt,18.615862pt" stroked="true" strokeweight=".72pt" strokecolor="#000000">
            <v:stroke dashstyle="solid"/>
            <w10:wrap type="none"/>
          </v:line>
        </w:pict>
      </w:r>
      <w:r>
        <w:rPr>
          <w:strike/>
          <w:color w:val="2E97D3"/>
          <w:sz w:val="24"/>
        </w:rPr>
        <w:t>2.</w:t>
      </w:r>
      <w:r>
        <w:rPr>
          <w:strike/>
          <w:color w:val="2E97D3"/>
          <w:spacing w:val="-31"/>
          <w:sz w:val="24"/>
        </w:rPr>
        <w:t> </w:t>
      </w:r>
      <w:r>
        <w:rPr>
          <w:strike w:val="0"/>
          <w:sz w:val="24"/>
        </w:rPr>
        <w:t>The</w:t>
      </w:r>
      <w:r>
        <w:rPr>
          <w:strike w:val="0"/>
          <w:spacing w:val="-2"/>
          <w:sz w:val="24"/>
        </w:rPr>
        <w:t> </w:t>
      </w:r>
      <w:r>
        <w:rPr>
          <w:strike w:val="0"/>
          <w:sz w:val="24"/>
        </w:rPr>
        <w:t>changes</w:t>
      </w:r>
      <w:r>
        <w:rPr>
          <w:strike w:val="0"/>
          <w:spacing w:val="-3"/>
          <w:sz w:val="24"/>
        </w:rPr>
        <w:t> </w:t>
      </w:r>
      <w:r>
        <w:rPr>
          <w:strike w:val="0"/>
          <w:sz w:val="24"/>
        </w:rPr>
        <w:t>require</w:t>
      </w:r>
      <w:r>
        <w:rPr>
          <w:strike w:val="0"/>
          <w:spacing w:val="-2"/>
          <w:sz w:val="24"/>
        </w:rPr>
        <w:t> </w:t>
      </w:r>
      <w:r>
        <w:rPr>
          <w:strike w:val="0"/>
          <w:sz w:val="24"/>
        </w:rPr>
        <w:t>additional</w:t>
      </w:r>
      <w:r>
        <w:rPr>
          <w:strike w:val="0"/>
          <w:spacing w:val="-6"/>
          <w:sz w:val="24"/>
        </w:rPr>
        <w:t> </w:t>
      </w:r>
      <w:r>
        <w:rPr>
          <w:strike w:val="0"/>
          <w:sz w:val="24"/>
        </w:rPr>
        <w:t>funds</w:t>
      </w:r>
      <w:r>
        <w:rPr>
          <w:strike w:val="0"/>
          <w:spacing w:val="-5"/>
          <w:sz w:val="24"/>
        </w:rPr>
        <w:t> </w:t>
      </w:r>
      <w:r>
        <w:rPr>
          <w:strike w:val="0"/>
          <w:sz w:val="24"/>
        </w:rPr>
        <w:t>and</w:t>
      </w:r>
      <w:r>
        <w:rPr>
          <w:strike w:val="0"/>
          <w:spacing w:val="-4"/>
          <w:sz w:val="24"/>
        </w:rPr>
        <w:t> </w:t>
      </w:r>
      <w:r>
        <w:rPr>
          <w:strike w:val="0"/>
          <w:sz w:val="24"/>
        </w:rPr>
        <w:t>an</w:t>
      </w:r>
      <w:r>
        <w:rPr>
          <w:strike w:val="0"/>
          <w:spacing w:val="-7"/>
          <w:sz w:val="24"/>
        </w:rPr>
        <w:t> </w:t>
      </w:r>
      <w:r>
        <w:rPr>
          <w:strike w:val="0"/>
          <w:sz w:val="24"/>
        </w:rPr>
        <w:t>Executive</w:t>
      </w:r>
      <w:r>
        <w:rPr>
          <w:strike w:val="0"/>
          <w:spacing w:val="-2"/>
          <w:sz w:val="24"/>
        </w:rPr>
        <w:t> </w:t>
      </w:r>
      <w:r>
        <w:rPr>
          <w:strike w:val="0"/>
          <w:sz w:val="24"/>
        </w:rPr>
        <w:t>Order</w:t>
      </w:r>
      <w:r>
        <w:rPr>
          <w:strike w:val="0"/>
          <w:spacing w:val="-4"/>
          <w:sz w:val="24"/>
        </w:rPr>
        <w:t> </w:t>
      </w:r>
      <w:r>
        <w:rPr>
          <w:strike w:val="0"/>
          <w:sz w:val="24"/>
        </w:rPr>
        <w:t>(EO)</w:t>
      </w:r>
      <w:r>
        <w:rPr>
          <w:strike w:val="0"/>
          <w:spacing w:val="-4"/>
          <w:sz w:val="24"/>
        </w:rPr>
        <w:t> </w:t>
      </w:r>
      <w:r>
        <w:rPr>
          <w:strike w:val="0"/>
          <w:sz w:val="24"/>
        </w:rPr>
        <w:t>cannot</w:t>
      </w:r>
      <w:r>
        <w:rPr>
          <w:strike w:val="0"/>
          <w:spacing w:val="-2"/>
          <w:sz w:val="24"/>
        </w:rPr>
        <w:t> </w:t>
      </w:r>
      <w:r>
        <w:rPr>
          <w:strike w:val="0"/>
          <w:spacing w:val="3"/>
          <w:sz w:val="24"/>
        </w:rPr>
        <w:t>beused.</w:t>
      </w:r>
    </w:p>
    <w:p>
      <w:pPr>
        <w:pStyle w:val="BodyText"/>
        <w:spacing w:before="10"/>
        <w:rPr>
          <w:sz w:val="14"/>
        </w:rPr>
      </w:pPr>
    </w:p>
    <w:p>
      <w:pPr>
        <w:pStyle w:val="ListParagraph"/>
        <w:numPr>
          <w:ilvl w:val="0"/>
          <w:numId w:val="32"/>
        </w:numPr>
        <w:tabs>
          <w:tab w:pos="1240" w:val="left" w:leader="none"/>
        </w:tabs>
        <w:spacing w:line="240" w:lineRule="auto" w:before="92" w:after="0"/>
        <w:ind w:left="1240" w:right="1112" w:hanging="360"/>
        <w:jc w:val="left"/>
        <w:rPr>
          <w:sz w:val="24"/>
        </w:rPr>
      </w:pPr>
      <w:r>
        <w:rPr/>
        <w:pict>
          <v:line style="position:absolute;mso-position-horizontal-relative:page;mso-position-vertical-relative:paragraph;z-index:-458944" from="449.279999pt,17.595863pt" to="452.639999pt,17.595863pt" stroked="true" strokeweight=".84pt" strokecolor="#0000ff">
            <v:stroke dashstyle="solid"/>
            <w10:wrap type="none"/>
          </v:line>
        </w:pict>
      </w:r>
      <w:r>
        <w:rPr/>
        <w:pict>
          <v:line style="position:absolute;mso-position-horizontal-relative:page;mso-position-vertical-relative:paragraph;z-index:13960" from="33.360001pt,4.815863pt" to="33.360001pt,46.215863pt" stroked="true" strokeweight=".72pt" strokecolor="#000000">
            <v:stroke dashstyle="solid"/>
            <w10:wrap type="none"/>
          </v:line>
        </w:pict>
      </w:r>
      <w:r>
        <w:rPr>
          <w:strike/>
          <w:color w:val="2E97D3"/>
          <w:sz w:val="24"/>
        </w:rPr>
        <w:t>3. </w:t>
      </w:r>
      <w:r>
        <w:rPr>
          <w:strike w:val="0"/>
          <w:sz w:val="24"/>
        </w:rPr>
        <w:t>Funds are to be transferred </w:t>
      </w:r>
      <w:r>
        <w:rPr>
          <w:strike/>
          <w:color w:val="2E97D3"/>
          <w:sz w:val="24"/>
        </w:rPr>
        <w:t>on</w:t>
      </w:r>
      <w:r>
        <w:rPr>
          <w:strike w:val="0"/>
          <w:color w:val="2E97D3"/>
          <w:sz w:val="24"/>
          <w:u w:val="single" w:color="2E97D3"/>
        </w:rPr>
        <w:t>in </w:t>
      </w:r>
      <w:r>
        <w:rPr>
          <w:strike w:val="0"/>
          <w:sz w:val="24"/>
        </w:rPr>
        <w:t>the </w:t>
      </w:r>
      <w:r>
        <w:rPr>
          <w:strike/>
          <w:color w:val="2E97D3"/>
          <w:sz w:val="24"/>
          <w:u w:val="single" w:color="2E97D3"/>
        </w:rPr>
        <w:t>SCO</w:t>
      </w:r>
      <w:hyperlink r:id="rId59">
        <w:r>
          <w:rPr>
            <w:strike w:val="0"/>
            <w:color w:val="2E97D3"/>
            <w:sz w:val="24"/>
            <w:u w:val="single" w:color="2E97D3"/>
          </w:rPr>
          <w:t>State Controller's Office </w:t>
        </w:r>
      </w:hyperlink>
      <w:r>
        <w:rPr>
          <w:strike w:val="0"/>
          <w:sz w:val="24"/>
        </w:rPr>
        <w:t>records between programs</w:t>
      </w:r>
      <w:r>
        <w:rPr>
          <w:strike/>
          <w:color w:val="2E97D3"/>
          <w:sz w:val="24"/>
        </w:rPr>
        <w:t>, projects and functions. Generally, capital outlay appropriation adjustments are made by EO. </w:t>
      </w:r>
      <w:r>
        <w:rPr>
          <w:strike w:val="0"/>
          <w:color w:val="2E97D3"/>
          <w:sz w:val="24"/>
          <w:u w:val="single" w:color="2E97D3"/>
        </w:rPr>
        <w:t>or phases within the same</w:t>
      </w:r>
      <w:r>
        <w:rPr>
          <w:strike w:val="0"/>
          <w:color w:val="2E97D3"/>
          <w:spacing w:val="-36"/>
          <w:sz w:val="24"/>
          <w:u w:val="single" w:color="2E97D3"/>
        </w:rPr>
        <w:t> </w:t>
      </w:r>
      <w:r>
        <w:rPr>
          <w:strike w:val="0"/>
          <w:color w:val="2E97D3"/>
          <w:sz w:val="24"/>
          <w:u w:val="single" w:color="2E97D3"/>
        </w:rPr>
        <w:t>item.</w:t>
      </w:r>
    </w:p>
    <w:p>
      <w:pPr>
        <w:pStyle w:val="BodyText"/>
        <w:spacing w:before="1"/>
        <w:rPr>
          <w:sz w:val="15"/>
        </w:rPr>
      </w:pPr>
    </w:p>
    <w:p>
      <w:pPr>
        <w:pStyle w:val="ListParagraph"/>
        <w:numPr>
          <w:ilvl w:val="0"/>
          <w:numId w:val="32"/>
        </w:numPr>
        <w:tabs>
          <w:tab w:pos="1240" w:val="left" w:leader="none"/>
        </w:tabs>
        <w:spacing w:line="240" w:lineRule="auto" w:before="92" w:after="0"/>
        <w:ind w:left="1240" w:right="1805" w:hanging="360"/>
        <w:jc w:val="left"/>
        <w:rPr>
          <w:sz w:val="24"/>
        </w:rPr>
      </w:pPr>
      <w:r>
        <w:rPr/>
        <w:pict>
          <v:line style="position:absolute;mso-position-horizontal-relative:page;mso-position-vertical-relative:paragraph;z-index:13984" from="33.360001pt,4.814861pt" to="33.360001pt,18.615861pt" stroked="true" strokeweight=".72pt" strokecolor="#000000">
            <v:stroke dashstyle="solid"/>
            <w10:wrap type="none"/>
          </v:line>
        </w:pict>
      </w:r>
      <w:r>
        <w:rPr/>
        <w:pict>
          <v:line style="position:absolute;mso-position-horizontal-relative:page;mso-position-vertical-relative:paragraph;z-index:14008" from="33.360001pt,32.415863pt" to="33.360001pt,46.215863pt" stroked="true" strokeweight=".72pt" strokecolor="#000000">
            <v:stroke dashstyle="solid"/>
            <w10:wrap type="none"/>
          </v:line>
        </w:pict>
      </w:r>
      <w:r>
        <w:rPr>
          <w:strike/>
          <w:color w:val="2E97D3"/>
          <w:sz w:val="24"/>
        </w:rPr>
        <w:t>4. </w:t>
      </w:r>
      <w:r>
        <w:rPr>
          <w:strike w:val="0"/>
          <w:sz w:val="24"/>
        </w:rPr>
        <w:t>It is desired to augment (or reduce) a category or program, with a corresponding increase (or decrease) in an estimated source of funds (reimbursements,</w:t>
      </w:r>
      <w:r>
        <w:rPr>
          <w:strike w:val="0"/>
          <w:spacing w:val="-43"/>
          <w:sz w:val="24"/>
        </w:rPr>
        <w:t> </w:t>
      </w:r>
      <w:r>
        <w:rPr>
          <w:strike w:val="0"/>
          <w:sz w:val="24"/>
        </w:rPr>
        <w:t>etc.).</w:t>
      </w:r>
    </w:p>
    <w:p>
      <w:pPr>
        <w:pStyle w:val="BodyText"/>
        <w:spacing w:before="11"/>
        <w:rPr>
          <w:sz w:val="23"/>
        </w:rPr>
      </w:pPr>
    </w:p>
    <w:p>
      <w:pPr>
        <w:pStyle w:val="ListParagraph"/>
        <w:numPr>
          <w:ilvl w:val="0"/>
          <w:numId w:val="32"/>
        </w:numPr>
        <w:tabs>
          <w:tab w:pos="1240" w:val="left" w:leader="none"/>
        </w:tabs>
        <w:spacing w:line="240" w:lineRule="auto" w:before="0" w:after="0"/>
        <w:ind w:left="1240" w:right="1042" w:hanging="360"/>
        <w:jc w:val="left"/>
        <w:rPr>
          <w:sz w:val="24"/>
        </w:rPr>
      </w:pPr>
      <w:r>
        <w:rPr/>
        <w:pict>
          <v:line style="position:absolute;mso-position-horizontal-relative:page;mso-position-vertical-relative:paragraph;z-index:14032" from="33.360001pt,.215857pt" to="33.360001pt,14.015857pt" stroked="true" strokeweight=".72pt" strokecolor="#000000">
            <v:stroke dashstyle="solid"/>
            <w10:wrap type="none"/>
          </v:line>
        </w:pict>
      </w:r>
      <w:r>
        <w:rPr>
          <w:strike/>
          <w:color w:val="2E97D3"/>
          <w:sz w:val="24"/>
        </w:rPr>
        <w:t>5.</w:t>
      </w:r>
      <w:r>
        <w:rPr>
          <w:strike/>
          <w:color w:val="2E97D3"/>
          <w:spacing w:val="-31"/>
          <w:sz w:val="24"/>
        </w:rPr>
        <w:t> </w:t>
      </w:r>
      <w:r>
        <w:rPr>
          <w:strike w:val="0"/>
          <w:sz w:val="24"/>
        </w:rPr>
        <w:t>The</w:t>
      </w:r>
      <w:r>
        <w:rPr>
          <w:strike w:val="0"/>
          <w:spacing w:val="-3"/>
          <w:sz w:val="24"/>
        </w:rPr>
        <w:t> </w:t>
      </w:r>
      <w:r>
        <w:rPr>
          <w:strike w:val="0"/>
          <w:sz w:val="24"/>
        </w:rPr>
        <w:t>change</w:t>
      </w:r>
      <w:r>
        <w:rPr>
          <w:strike w:val="0"/>
          <w:spacing w:val="-3"/>
          <w:sz w:val="24"/>
        </w:rPr>
        <w:t> </w:t>
      </w:r>
      <w:r>
        <w:rPr>
          <w:strike w:val="0"/>
          <w:sz w:val="24"/>
        </w:rPr>
        <w:t>requires</w:t>
      </w:r>
      <w:r>
        <w:rPr>
          <w:strike w:val="0"/>
          <w:spacing w:val="-3"/>
          <w:sz w:val="24"/>
        </w:rPr>
        <w:t> </w:t>
      </w:r>
      <w:r>
        <w:rPr>
          <w:strike w:val="0"/>
          <w:sz w:val="24"/>
        </w:rPr>
        <w:t>reduction</w:t>
      </w:r>
      <w:r>
        <w:rPr>
          <w:strike w:val="0"/>
          <w:spacing w:val="-3"/>
          <w:sz w:val="24"/>
        </w:rPr>
        <w:t> </w:t>
      </w:r>
      <w:r>
        <w:rPr>
          <w:strike w:val="0"/>
          <w:sz w:val="24"/>
        </w:rPr>
        <w:t>or</w:t>
      </w:r>
      <w:r>
        <w:rPr>
          <w:strike w:val="0"/>
          <w:spacing w:val="-4"/>
          <w:sz w:val="24"/>
        </w:rPr>
        <w:t> </w:t>
      </w:r>
      <w:r>
        <w:rPr>
          <w:strike w:val="0"/>
          <w:sz w:val="24"/>
        </w:rPr>
        <w:t>increases</w:t>
      </w:r>
      <w:r>
        <w:rPr>
          <w:strike w:val="0"/>
          <w:spacing w:val="-5"/>
          <w:sz w:val="24"/>
        </w:rPr>
        <w:t> </w:t>
      </w:r>
      <w:r>
        <w:rPr>
          <w:strike w:val="0"/>
          <w:sz w:val="24"/>
        </w:rPr>
        <w:t>in</w:t>
      </w:r>
      <w:r>
        <w:rPr>
          <w:strike w:val="0"/>
          <w:spacing w:val="-3"/>
          <w:sz w:val="24"/>
        </w:rPr>
        <w:t> </w:t>
      </w:r>
      <w:r>
        <w:rPr>
          <w:strike w:val="0"/>
          <w:sz w:val="24"/>
        </w:rPr>
        <w:t>the</w:t>
      </w:r>
      <w:r>
        <w:rPr>
          <w:strike w:val="0"/>
          <w:spacing w:val="-3"/>
          <w:sz w:val="24"/>
        </w:rPr>
        <w:t> </w:t>
      </w:r>
      <w:r>
        <w:rPr>
          <w:strike w:val="0"/>
          <w:sz w:val="24"/>
        </w:rPr>
        <w:t>remaining</w:t>
      </w:r>
      <w:r>
        <w:rPr>
          <w:strike w:val="0"/>
          <w:spacing w:val="-4"/>
          <w:sz w:val="24"/>
        </w:rPr>
        <w:t> </w:t>
      </w:r>
      <w:r>
        <w:rPr>
          <w:strike w:val="0"/>
          <w:sz w:val="24"/>
        </w:rPr>
        <w:t>balance</w:t>
      </w:r>
      <w:r>
        <w:rPr>
          <w:strike w:val="0"/>
          <w:spacing w:val="-3"/>
          <w:sz w:val="24"/>
        </w:rPr>
        <w:t> </w:t>
      </w:r>
      <w:r>
        <w:rPr>
          <w:strike w:val="0"/>
          <w:sz w:val="24"/>
        </w:rPr>
        <w:t>of</w:t>
      </w:r>
      <w:r>
        <w:rPr>
          <w:strike w:val="0"/>
          <w:spacing w:val="-3"/>
          <w:sz w:val="24"/>
        </w:rPr>
        <w:t> </w:t>
      </w:r>
      <w:r>
        <w:rPr>
          <w:strike w:val="0"/>
          <w:sz w:val="24"/>
        </w:rPr>
        <w:t>an appropriation.</w:t>
      </w:r>
    </w:p>
    <w:p>
      <w:pPr>
        <w:pStyle w:val="BodyText"/>
        <w:ind w:left="99"/>
        <w:rPr>
          <w:sz w:val="20"/>
        </w:rPr>
      </w:pPr>
      <w:r>
        <w:rPr>
          <w:sz w:val="20"/>
        </w:rPr>
        <w:pict>
          <v:group style="width:.75pt;height:14.6pt;mso-position-horizontal-relative:char;mso-position-vertical-relative:line" coordorigin="0,0" coordsize="15,292">
            <v:line style="position:absolute" from="8,8" to="8,284" stroked="true" strokeweight=".72pt" strokecolor="#000000">
              <v:stroke dashstyle="solid"/>
            </v:line>
          </v:group>
        </w:pict>
      </w:r>
      <w:r>
        <w:rPr>
          <w:sz w:val="20"/>
        </w:rPr>
      </w:r>
    </w:p>
    <w:p>
      <w:pPr>
        <w:spacing w:after="0"/>
        <w:rPr>
          <w:sz w:val="20"/>
        </w:rPr>
        <w:sectPr>
          <w:pgSz w:w="12240" w:h="15840"/>
          <w:pgMar w:header="724" w:footer="792" w:top="980" w:bottom="1060" w:left="560" w:right="1240"/>
        </w:sectPr>
      </w:pPr>
    </w:p>
    <w:p>
      <w:pPr>
        <w:pStyle w:val="BodyText"/>
        <w:spacing w:before="11"/>
        <w:rPr>
          <w:sz w:val="15"/>
        </w:rPr>
      </w:pPr>
    </w:p>
    <w:p>
      <w:pPr>
        <w:pStyle w:val="Heading2"/>
        <w:tabs>
          <w:tab w:pos="9587" w:val="left" w:leader="none"/>
        </w:tabs>
        <w:spacing w:before="92"/>
        <w:ind w:left="759"/>
      </w:pPr>
      <w:r>
        <w:rPr/>
        <w:pict>
          <v:line style="position:absolute;mso-position-horizontal-relative:page;mso-position-vertical-relative:paragraph;z-index:14536" from="33.360001pt,18.615854pt" to="33.360001pt,32.415854pt" stroked="true" strokeweight=".72pt" strokecolor="#000000">
            <v:stroke dashstyle="solid"/>
            <w10:wrap type="none"/>
          </v:line>
        </w:pict>
      </w:r>
      <w:r>
        <w:rPr/>
        <w:t>PREPARATION OF BUDGET REVISION, STD.</w:t>
      </w:r>
      <w:r>
        <w:rPr>
          <w:spacing w:val="-11"/>
        </w:rPr>
        <w:t> </w:t>
      </w:r>
      <w:r>
        <w:rPr/>
        <w:t>FORM</w:t>
      </w:r>
      <w:r>
        <w:rPr>
          <w:spacing w:val="-3"/>
        </w:rPr>
        <w:t> </w:t>
      </w:r>
      <w:r>
        <w:rPr/>
        <w:t>26</w:t>
        <w:tab/>
        <w:t>6545</w:t>
      </w:r>
    </w:p>
    <w:p>
      <w:pPr>
        <w:pStyle w:val="BodyText"/>
        <w:ind w:left="760"/>
      </w:pPr>
      <w:r>
        <w:rPr/>
        <w:t>(Revised </w:t>
      </w:r>
      <w:r>
        <w:rPr>
          <w:strike/>
          <w:color w:val="2E97D3"/>
        </w:rPr>
        <w:t>9/2010</w:t>
      </w:r>
      <w:r>
        <w:rPr>
          <w:strike w:val="0"/>
          <w:color w:val="2E97D3"/>
          <w:u w:val="single" w:color="2E97D3"/>
        </w:rPr>
        <w:t>10/2017</w:t>
      </w:r>
      <w:r>
        <w:rPr>
          <w:strike w:val="0"/>
        </w:rPr>
        <w:t>)</w:t>
      </w:r>
    </w:p>
    <w:p>
      <w:pPr>
        <w:pStyle w:val="BodyText"/>
        <w:rPr>
          <w:sz w:val="16"/>
        </w:rPr>
      </w:pPr>
    </w:p>
    <w:p>
      <w:pPr>
        <w:pStyle w:val="BodyText"/>
        <w:spacing w:before="92"/>
        <w:ind w:left="760"/>
      </w:pPr>
      <w:r>
        <w:rPr/>
        <w:pict>
          <v:line style="position:absolute;mso-position-horizontal-relative:page;mso-position-vertical-relative:paragraph;z-index:14560" from="33.360001pt,4.81483pt" to="33.360001pt,18.61583pt" stroked="true" strokeweight=".72pt" strokecolor="#000000">
            <v:stroke dashstyle="solid"/>
            <w10:wrap type="none"/>
          </v:line>
        </w:pict>
      </w:r>
      <w:r>
        <w:rPr/>
        <w:t>These instructions apply to changes to a schedule within an item </w:t>
      </w:r>
      <w:r>
        <w:rPr>
          <w:color w:val="2E97D3"/>
          <w:u w:val="single" w:color="2E97D3"/>
        </w:rPr>
        <w:t>of appropriation</w:t>
      </w:r>
      <w:r>
        <w:rPr/>
        <w:t>.</w:t>
      </w:r>
    </w:p>
    <w:p>
      <w:pPr>
        <w:pStyle w:val="BodyText"/>
        <w:spacing w:before="5"/>
        <w:rPr>
          <w:sz w:val="19"/>
        </w:rPr>
      </w:pPr>
    </w:p>
    <w:p>
      <w:pPr>
        <w:pStyle w:val="Heading1"/>
        <w:numPr>
          <w:ilvl w:val="0"/>
          <w:numId w:val="33"/>
        </w:numPr>
        <w:tabs>
          <w:tab w:pos="1211" w:val="left" w:leader="none"/>
          <w:tab w:pos="1212" w:val="left" w:leader="none"/>
        </w:tabs>
        <w:spacing w:line="240" w:lineRule="auto" w:before="91" w:after="0"/>
        <w:ind w:left="1211" w:right="0" w:hanging="451"/>
        <w:jc w:val="left"/>
        <w:rPr>
          <w:u w:val="none"/>
        </w:rPr>
      </w:pPr>
      <w:r>
        <w:rPr/>
        <w:pict>
          <v:line style="position:absolute;mso-position-horizontal-relative:page;mso-position-vertical-relative:paragraph;z-index:14584" from="33.360001pt,2.703838pt" to="33.360001pt,48.423838pt" stroked="true" strokeweight=".72pt" strokecolor="#000000">
            <v:stroke dashstyle="solid"/>
            <w10:wrap type="none"/>
          </v:line>
        </w:pict>
      </w:r>
      <w:bookmarkStart w:name="1. 1. Separation of Requests" w:id="39"/>
      <w:bookmarkEnd w:id="39"/>
      <w:r>
        <w:rPr>
          <w:b w:val="0"/>
          <w:u w:val="none"/>
        </w:rPr>
      </w:r>
      <w:bookmarkStart w:name="1. 1. Separation of Requests" w:id="40"/>
      <w:bookmarkEnd w:id="40"/>
      <w:r>
        <w:rPr>
          <w:strike/>
          <w:color w:val="2E97D3"/>
          <w:sz w:val="24"/>
          <w:u w:val="none"/>
        </w:rPr>
        <w:t>1</w:t>
      </w:r>
      <w:r>
        <w:rPr>
          <w:b w:val="0"/>
          <w:strike/>
          <w:color w:val="2E97D3"/>
          <w:sz w:val="24"/>
          <w:u w:val="none"/>
        </w:rPr>
        <w:t>. </w:t>
      </w:r>
      <w:r>
        <w:rPr>
          <w:strike w:val="0"/>
          <w:u w:val="none"/>
        </w:rPr>
        <w:t>Separation of</w:t>
      </w:r>
      <w:r>
        <w:rPr>
          <w:strike w:val="0"/>
          <w:spacing w:val="-23"/>
          <w:u w:val="none"/>
        </w:rPr>
        <w:t> </w:t>
      </w:r>
      <w:r>
        <w:rPr>
          <w:strike w:val="0"/>
          <w:u w:val="none"/>
        </w:rPr>
        <w:t>Requests</w:t>
      </w:r>
    </w:p>
    <w:p>
      <w:pPr>
        <w:pStyle w:val="BodyText"/>
        <w:spacing w:before="22"/>
        <w:ind w:left="1240" w:right="2090" w:firstLine="240"/>
      </w:pPr>
      <w:r>
        <w:rPr/>
        <w:pict>
          <v:line style="position:absolute;mso-position-horizontal-relative:page;mso-position-vertical-relative:paragraph;z-index:-458608" from="90pt,9.535854pt" to="102pt,9.535854pt" stroked="true" strokeweight=".6pt" strokecolor="#2e97d3">
            <v:stroke dashstyle="solid"/>
            <w10:wrap type="none"/>
          </v:line>
        </w:pict>
      </w:r>
      <w:r>
        <w:rPr/>
        <w:pict>
          <v:line style="position:absolute;mso-position-horizontal-relative:page;mso-position-vertical-relative:paragraph;z-index:-458584" from="438.359985pt,9.535854pt" to="441.719985pt,9.535854pt" stroked="true" strokeweight=".6pt" strokecolor="#2e97d3">
            <v:stroke dashstyle="solid"/>
            <w10:wrap type="none"/>
          </v:line>
        </w:pict>
      </w:r>
      <w:r>
        <w:rPr/>
        <w:pict>
          <v:line style="position:absolute;mso-position-horizontal-relative:page;mso-position-vertical-relative:paragraph;z-index:-458560" from="376.920013pt,27.895855pt" to="380.160013pt,27.895855pt" stroked="true" strokeweight=".84pt" strokecolor="#2e97d3">
            <v:stroke dashstyle="solid"/>
            <w10:wrap type="none"/>
          </v:line>
        </w:pict>
      </w:r>
      <w:r>
        <w:rPr/>
        <w:t>The </w:t>
      </w:r>
      <w:r>
        <w:rPr>
          <w:strike/>
          <w:color w:val="2E97D3"/>
          <w:u w:val="single" w:color="2E97D3"/>
        </w:rPr>
        <w:t>STD. 26,</w:t>
      </w:r>
      <w:hyperlink r:id="rId106">
        <w:r>
          <w:rPr>
            <w:strike w:val="0"/>
            <w:color w:val="2E97D3"/>
            <w:u w:val="single" w:color="2E97D3"/>
          </w:rPr>
          <w:t>STD. 26 </w:t>
        </w:r>
      </w:hyperlink>
      <w:r>
        <w:rPr>
          <w:strike w:val="0"/>
        </w:rPr>
        <w:t>is limited to a single </w:t>
      </w:r>
      <w:r>
        <w:rPr>
          <w:strike w:val="0"/>
          <w:color w:val="2E97D3"/>
          <w:u w:val="single" w:color="2E97D3"/>
        </w:rPr>
        <w:t>item of </w:t>
      </w:r>
      <w:r>
        <w:rPr>
          <w:strike w:val="0"/>
        </w:rPr>
        <w:t>appropriation</w:t>
      </w:r>
      <w:r>
        <w:rPr>
          <w:strike w:val="0"/>
          <w:color w:val="2E97D3"/>
        </w:rPr>
        <w:t>, </w:t>
      </w:r>
      <w:r>
        <w:rPr>
          <w:strike/>
          <w:color w:val="2E97D3"/>
        </w:rPr>
        <w:t>including supplemental appropriations augmenting it. </w:t>
      </w:r>
      <w:r>
        <w:rPr>
          <w:strike w:val="0"/>
          <w:color w:val="2E97D3"/>
        </w:rPr>
        <w:t>.</w:t>
      </w:r>
    </w:p>
    <w:p>
      <w:pPr>
        <w:pStyle w:val="BodyText"/>
        <w:spacing w:before="11"/>
        <w:rPr>
          <w:sz w:val="15"/>
        </w:rPr>
      </w:pPr>
    </w:p>
    <w:p>
      <w:pPr>
        <w:pStyle w:val="BodyText"/>
        <w:spacing w:before="92"/>
        <w:ind w:left="1240" w:right="315" w:firstLine="240"/>
      </w:pPr>
      <w:r>
        <w:rPr/>
        <w:pict>
          <v:line style="position:absolute;mso-position-horizontal-relative:page;mso-position-vertical-relative:paragraph;z-index:-458536" from="90pt,13.03583pt" to="102pt,13.03583pt" stroked="true" strokeweight=".6pt" strokecolor="#2e97d3">
            <v:stroke dashstyle="solid"/>
            <w10:wrap type="none"/>
          </v:line>
        </w:pict>
      </w:r>
      <w:r>
        <w:rPr/>
        <w:pict>
          <v:line style="position:absolute;mso-position-horizontal-relative:page;mso-position-vertical-relative:paragraph;z-index:-458512" from="340.799988pt,26.835831pt" to="344.159988pt,26.835831pt" stroked="true" strokeweight=".6pt" strokecolor="#2e97d3">
            <v:stroke dashstyle="solid"/>
            <w10:wrap type="none"/>
          </v:line>
        </w:pict>
      </w:r>
      <w:r>
        <w:rPr/>
        <w:pict>
          <v:line style="position:absolute;mso-position-horizontal-relative:page;mso-position-vertical-relative:paragraph;z-index:-458488" from="413.040009pt,45.195831pt" to="416.401009pt,45.195831pt" stroked="true" strokeweight=".84pt" strokecolor="#2e97d3">
            <v:stroke dashstyle="solid"/>
            <w10:wrap type="none"/>
          </v:line>
        </w:pict>
      </w:r>
      <w:r>
        <w:rPr/>
        <w:pict>
          <v:line style="position:absolute;mso-position-horizontal-relative:page;mso-position-vertical-relative:paragraph;z-index:-458464" from="218.160004pt,68.235832pt" to="221.520004pt,68.235832pt" stroked="true" strokeweight=".6pt" strokecolor="#2e97d3">
            <v:stroke dashstyle="solid"/>
            <w10:wrap type="none"/>
          </v:line>
        </w:pict>
      </w:r>
      <w:r>
        <w:rPr/>
        <w:pict>
          <v:line style="position:absolute;mso-position-horizontal-relative:page;mso-position-vertical-relative:paragraph;z-index:14608" from="33.360001pt,4.81583pt" to="33.360001pt,73.815830pt" stroked="true" strokeweight=".72pt" strokecolor="#000000">
            <v:stroke dashstyle="solid"/>
            <w10:wrap type="none"/>
          </v:line>
        </w:pict>
      </w:r>
      <w:r>
        <w:rPr/>
        <w:t>Each request for </w:t>
      </w:r>
      <w:r>
        <w:rPr>
          <w:strike/>
          <w:color w:val="2E97D3"/>
        </w:rPr>
        <w:t>the </w:t>
      </w:r>
      <w:r>
        <w:rPr>
          <w:strike w:val="0"/>
        </w:rPr>
        <w:t>revision </w:t>
      </w:r>
      <w:r>
        <w:rPr>
          <w:strike/>
          <w:color w:val="2E97D3"/>
        </w:rPr>
        <w:t>of a change </w:t>
      </w:r>
      <w:r>
        <w:rPr>
          <w:strike w:val="0"/>
        </w:rPr>
        <w:t>within an item must be limited to transactions associated with a single proposal. Accordingly, each will be reviewed on its own merits </w:t>
      </w:r>
      <w:r>
        <w:rPr>
          <w:strike/>
          <w:color w:val="2E97D3"/>
        </w:rPr>
        <w:t>without concern for unrelated transactions. </w:t>
      </w:r>
      <w:r>
        <w:rPr>
          <w:strike w:val="0"/>
          <w:color w:val="2E97D3"/>
        </w:rPr>
        <w:t>. </w:t>
      </w:r>
      <w:r>
        <w:rPr>
          <w:strike w:val="0"/>
        </w:rPr>
        <w:t>However, all budget changes </w:t>
      </w:r>
      <w:r>
        <w:rPr>
          <w:strike w:val="0"/>
          <w:color w:val="2E97D3"/>
          <w:u w:val="single" w:color="2E97D3"/>
        </w:rPr>
        <w:t>within the item </w:t>
      </w:r>
      <w:r>
        <w:rPr>
          <w:strike w:val="0"/>
        </w:rPr>
        <w:t>dependent upon approval of the proposal </w:t>
      </w:r>
      <w:r>
        <w:rPr>
          <w:strike/>
          <w:color w:val="2E97D3"/>
        </w:rPr>
        <w:t>are</w:t>
      </w:r>
      <w:r>
        <w:rPr>
          <w:strike w:val="0"/>
          <w:color w:val="2E97D3"/>
          <w:u w:val="single" w:color="2E97D3"/>
        </w:rPr>
        <w:t>should be </w:t>
      </w:r>
      <w:r>
        <w:rPr>
          <w:strike w:val="0"/>
        </w:rPr>
        <w:t>included in </w:t>
      </w:r>
      <w:r>
        <w:rPr>
          <w:strike w:val="0"/>
          <w:color w:val="2E97D3"/>
          <w:u w:val="single" w:color="2E97D3"/>
        </w:rPr>
        <w:t>the </w:t>
      </w:r>
      <w:r>
        <w:rPr>
          <w:strike w:val="0"/>
        </w:rPr>
        <w:t>STD. 26. If space on the form is insufficient, insert totals only and include detail in a supporting schedule.</w:t>
      </w:r>
    </w:p>
    <w:p>
      <w:pPr>
        <w:pStyle w:val="BodyText"/>
        <w:spacing w:before="6"/>
        <w:rPr>
          <w:sz w:val="27"/>
        </w:rPr>
      </w:pPr>
    </w:p>
    <w:p>
      <w:pPr>
        <w:pStyle w:val="ListParagraph"/>
        <w:numPr>
          <w:ilvl w:val="0"/>
          <w:numId w:val="33"/>
        </w:numPr>
        <w:tabs>
          <w:tab w:pos="1211" w:val="left" w:leader="none"/>
          <w:tab w:pos="1212" w:val="left" w:leader="none"/>
        </w:tabs>
        <w:spacing w:line="240" w:lineRule="auto" w:before="0" w:after="0"/>
        <w:ind w:left="1211" w:right="0" w:hanging="451"/>
        <w:jc w:val="left"/>
        <w:rPr>
          <w:b/>
          <w:sz w:val="26"/>
        </w:rPr>
      </w:pPr>
      <w:r>
        <w:rPr/>
        <w:pict>
          <v:line style="position:absolute;mso-position-horizontal-relative:page;mso-position-vertical-relative:paragraph;z-index:14632" from="33.360001pt,-1.846157pt" to="33.360001pt,112.873843pt" stroked="true" strokeweight=".72pt" strokecolor="#000000">
            <v:stroke dashstyle="solid"/>
            <w10:wrap type="none"/>
          </v:line>
        </w:pict>
      </w:r>
      <w:bookmarkStart w:name="2. 2. BR Number" w:id="41"/>
      <w:bookmarkEnd w:id="41"/>
      <w:r>
        <w:rPr/>
      </w:r>
      <w:bookmarkStart w:name="2. 2. BR Number" w:id="42"/>
      <w:bookmarkEnd w:id="42"/>
      <w:r>
        <w:rPr>
          <w:b/>
          <w:strike/>
          <w:color w:val="2E97D3"/>
          <w:sz w:val="24"/>
        </w:rPr>
        <w:t>2</w:t>
      </w:r>
      <w:r>
        <w:rPr>
          <w:strike/>
          <w:color w:val="2E97D3"/>
          <w:sz w:val="24"/>
        </w:rPr>
        <w:t>. </w:t>
      </w:r>
      <w:r>
        <w:rPr>
          <w:b/>
          <w:strike w:val="0"/>
          <w:sz w:val="26"/>
        </w:rPr>
        <w:t>BR</w:t>
      </w:r>
      <w:r>
        <w:rPr>
          <w:b/>
          <w:strike w:val="0"/>
          <w:spacing w:val="-3"/>
          <w:sz w:val="26"/>
        </w:rPr>
        <w:t> </w:t>
      </w:r>
      <w:r>
        <w:rPr>
          <w:b/>
          <w:strike w:val="0"/>
          <w:sz w:val="26"/>
        </w:rPr>
        <w:t>Number</w:t>
      </w:r>
    </w:p>
    <w:p>
      <w:pPr>
        <w:pStyle w:val="BodyText"/>
        <w:spacing w:before="21"/>
        <w:ind w:left="1240" w:right="835"/>
      </w:pPr>
      <w:r>
        <w:rPr/>
        <w:pict>
          <v:line style="position:absolute;mso-position-horizontal-relative:page;mso-position-vertical-relative:paragraph;z-index:-458440" from="156.839996pt,23.28586pt" to="160.079996pt,23.28586pt" stroked="true" strokeweight=".6pt" strokecolor="#2e97d3">
            <v:stroke dashstyle="solid"/>
            <w10:wrap type="none"/>
          </v:line>
        </w:pict>
      </w:r>
      <w:r>
        <w:rPr/>
        <w:t>Document numbers are assigned by the </w:t>
      </w:r>
      <w:r>
        <w:rPr>
          <w:strike/>
          <w:color w:val="2E97D3"/>
        </w:rPr>
        <w:t>agency</w:t>
      </w:r>
      <w:r>
        <w:rPr>
          <w:strike w:val="0"/>
          <w:color w:val="2E97D3"/>
          <w:u w:val="single" w:color="2E97D3"/>
        </w:rPr>
        <w:t>department </w:t>
      </w:r>
      <w:r>
        <w:rPr>
          <w:strike w:val="0"/>
        </w:rPr>
        <w:t>in order of submission. A new series is started each fiscal year. </w:t>
      </w:r>
      <w:r>
        <w:rPr>
          <w:strike/>
          <w:color w:val="2E97D3"/>
        </w:rPr>
        <w:t>To allow for direct expenditure charges to subsidiary appropriations and funds, departments may need to process a budget revision to remove the payables and schedule the subsidiary items. Budget revisions to remove the payables and schedule the subsidiary items must be processed prior to any other budget revision or executive order.</w:t>
      </w:r>
    </w:p>
    <w:p>
      <w:pPr>
        <w:pStyle w:val="BodyText"/>
        <w:spacing w:before="10"/>
        <w:rPr>
          <w:sz w:val="15"/>
        </w:rPr>
      </w:pPr>
    </w:p>
    <w:p>
      <w:pPr>
        <w:pStyle w:val="BodyText"/>
        <w:tabs>
          <w:tab w:pos="1119" w:val="left" w:leader="none"/>
        </w:tabs>
        <w:spacing w:before="93"/>
        <w:ind w:left="1120" w:right="116" w:hanging="360"/>
      </w:pPr>
      <w:r>
        <w:rPr/>
        <w:pict>
          <v:line style="position:absolute;mso-position-horizontal-relative:page;mso-position-vertical-relative:paragraph;z-index:14656" from="33.360001pt,4.865866pt" to="33.360001pt,160.985866pt" stroked="true" strokeweight=".72pt" strokecolor="#000000">
            <v:stroke dashstyle="solid"/>
            <w10:wrap type="none"/>
          </v:line>
        </w:pict>
      </w:r>
      <w:r>
        <w:rPr>
          <w:strike/>
          <w:color w:val="2E97D3"/>
          <w:w w:val="100"/>
        </w:rPr>
        <w:t> </w:t>
      </w:r>
      <w:r>
        <w:rPr>
          <w:strike/>
          <w:color w:val="2E97D3"/>
        </w:rPr>
        <w:tab/>
        <w:t>Departments must identify these budget revisions as BR-1 for both the</w:t>
      </w:r>
      <w:r>
        <w:rPr>
          <w:strike/>
          <w:color w:val="2E97D3"/>
          <w:spacing w:val="-34"/>
        </w:rPr>
        <w:t> </w:t>
      </w:r>
      <w:r>
        <w:rPr>
          <w:strike/>
          <w:color w:val="2E97D3"/>
        </w:rPr>
        <w:t>main</w:t>
      </w:r>
      <w:r>
        <w:rPr>
          <w:strike/>
          <w:color w:val="2E97D3"/>
          <w:spacing w:val="-4"/>
        </w:rPr>
        <w:t> </w:t>
      </w:r>
      <w:r>
        <w:rPr>
          <w:strike/>
          <w:color w:val="2E97D3"/>
        </w:rPr>
        <w:t>and</w:t>
      </w:r>
      <w:r>
        <w:rPr>
          <w:strike w:val="0"/>
          <w:color w:val="2E97D3"/>
          <w:w w:val="99"/>
        </w:rPr>
        <w:t> </w:t>
      </w:r>
      <w:r>
        <w:rPr>
          <w:strike/>
          <w:color w:val="2E97D3"/>
        </w:rPr>
        <w:t>subsidiary items. The “BR-1” is reserved solely for removing payables and scheduling subsidiary items. Any department that does not need to remove payables and schedule the subsidiary items must designate their first budget revision as</w:t>
      </w:r>
      <w:r>
        <w:rPr>
          <w:strike/>
          <w:color w:val="2E97D3"/>
          <w:spacing w:val="-39"/>
        </w:rPr>
        <w:t> </w:t>
      </w:r>
      <w:r>
        <w:rPr>
          <w:strike/>
          <w:color w:val="2E97D3"/>
        </w:rPr>
        <w:t>“BR-2”.</w:t>
      </w:r>
    </w:p>
    <w:p>
      <w:pPr>
        <w:pStyle w:val="BodyText"/>
        <w:spacing w:before="8"/>
        <w:rPr>
          <w:sz w:val="19"/>
        </w:rPr>
      </w:pPr>
    </w:p>
    <w:p>
      <w:pPr>
        <w:pStyle w:val="Heading1"/>
        <w:numPr>
          <w:ilvl w:val="0"/>
          <w:numId w:val="33"/>
        </w:numPr>
        <w:tabs>
          <w:tab w:pos="451" w:val="left" w:leader="none"/>
          <w:tab w:pos="1212" w:val="left" w:leader="none"/>
        </w:tabs>
        <w:spacing w:line="240" w:lineRule="auto" w:before="91" w:after="0"/>
        <w:ind w:left="1211" w:right="2377" w:hanging="451"/>
        <w:jc w:val="left"/>
        <w:rPr>
          <w:u w:val="none"/>
        </w:rPr>
      </w:pPr>
      <w:bookmarkStart w:name="3. 3. Appropriations–Source of Funds (To" w:id="43"/>
      <w:bookmarkEnd w:id="43"/>
      <w:r>
        <w:rPr>
          <w:b w:val="0"/>
          <w:u w:val="none"/>
        </w:rPr>
      </w:r>
      <w:bookmarkStart w:name="3. 3. Appropriations–Source of Funds (To" w:id="44"/>
      <w:bookmarkEnd w:id="44"/>
      <w:r>
        <w:rPr>
          <w:strike/>
          <w:color w:val="2E97D3"/>
          <w:sz w:val="24"/>
          <w:u w:val="none"/>
        </w:rPr>
        <w:t>3</w:t>
      </w:r>
      <w:r>
        <w:rPr>
          <w:strike/>
          <w:color w:val="2E97D3"/>
          <w:sz w:val="24"/>
          <w:u w:val="none"/>
        </w:rPr>
        <w:t>. </w:t>
      </w:r>
      <w:r>
        <w:rPr>
          <w:strike w:val="0"/>
          <w:u w:val="none"/>
        </w:rPr>
        <w:t>Appropriations–Source of Funds (Top</w:t>
      </w:r>
      <w:r>
        <w:rPr>
          <w:strike w:val="0"/>
          <w:spacing w:val="-10"/>
          <w:u w:val="none"/>
        </w:rPr>
        <w:t> </w:t>
      </w:r>
      <w:r>
        <w:rPr>
          <w:strike w:val="0"/>
          <w:u w:val="none"/>
        </w:rPr>
        <w:t>Portion)</w:t>
      </w:r>
    </w:p>
    <w:p>
      <w:pPr>
        <w:pStyle w:val="BodyText"/>
        <w:spacing w:before="22"/>
        <w:ind w:left="1240" w:right="315" w:firstLine="240"/>
      </w:pPr>
      <w:r>
        <w:rPr/>
        <w:pict>
          <v:line style="position:absolute;mso-position-horizontal-relative:page;mso-position-vertical-relative:paragraph;z-index:-458416" from="90pt,9.535871pt" to="102pt,9.535871pt" stroked="true" strokeweight=".6pt" strokecolor="#2e97d3">
            <v:stroke dashstyle="solid"/>
            <w10:wrap type="none"/>
          </v:line>
        </w:pict>
      </w:r>
      <w:r>
        <w:rPr/>
        <w:pict>
          <v:line style="position:absolute;mso-position-horizontal-relative:page;mso-position-vertical-relative:paragraph;z-index:-458392" from="112.800003pt,37.135872pt" to="116.040003pt,37.135872pt" stroked="true" strokeweight=".6pt" strokecolor="#2e97d3">
            <v:stroke dashstyle="solid"/>
            <w10:wrap type="none"/>
          </v:line>
        </w:pict>
      </w:r>
      <w:r>
        <w:rPr/>
        <w:pict>
          <v:line style="position:absolute;mso-position-horizontal-relative:page;mso-position-vertical-relative:paragraph;z-index:-458368" from="148.080002pt,50.935871pt" to="151.320002pt,50.935871pt" stroked="true" strokeweight=".6pt" strokecolor="#2e97d3">
            <v:stroke dashstyle="solid"/>
            <w10:wrap type="none"/>
          </v:line>
        </w:pict>
      </w:r>
      <w:r>
        <w:rPr/>
        <w:pict>
          <v:line style="position:absolute;mso-position-horizontal-relative:page;mso-position-vertical-relative:paragraph;z-index:-458344" from="142.800003pt,64.736374pt" to="146.160003pt,64.736374pt" stroked="true" strokeweight=".599pt" strokecolor="#2e97d3">
            <v:stroke dashstyle="solid"/>
            <w10:wrap type="none"/>
          </v:line>
        </w:pict>
      </w:r>
      <w:r>
        <w:rPr/>
        <w:t>Under this section, list the </w:t>
      </w:r>
      <w:r>
        <w:rPr>
          <w:strike/>
          <w:color w:val="2E97D3"/>
        </w:rPr>
        <w:t>appropriate </w:t>
      </w:r>
      <w:r>
        <w:rPr>
          <w:strike w:val="0"/>
          <w:color w:val="2E97D3"/>
          <w:u w:val="single" w:color="2E97D3"/>
        </w:rPr>
        <w:t>appropriation </w:t>
      </w:r>
      <w:r>
        <w:rPr>
          <w:strike w:val="0"/>
        </w:rPr>
        <w:t>(e.g., Budget Act Item) to be revised followed by prior budget revisions, </w:t>
      </w:r>
      <w:r>
        <w:rPr>
          <w:strike/>
          <w:color w:val="2E97D3"/>
        </w:rPr>
        <w:t>misc.</w:t>
      </w:r>
      <w:r>
        <w:rPr>
          <w:strike w:val="0"/>
          <w:color w:val="2E97D3"/>
          <w:u w:val="single" w:color="2E97D3"/>
        </w:rPr>
        <w:t>miscellaneous </w:t>
      </w:r>
      <w:r>
        <w:rPr>
          <w:strike w:val="0"/>
        </w:rPr>
        <w:t>adjustments, EOs, etc. The beginning appropriation amount must agree with the Final Budget Summary. This section must agree with the appropriation accounts maintained by the SCO. For a current operations budget revision, the format of available funds includes such items as:</w:t>
      </w:r>
    </w:p>
    <w:p>
      <w:pPr>
        <w:pStyle w:val="BodyText"/>
        <w:spacing w:before="2"/>
      </w:pPr>
    </w:p>
    <w:p>
      <w:pPr>
        <w:pStyle w:val="BodyText"/>
        <w:tabs>
          <w:tab w:pos="3044" w:val="left" w:leader="none"/>
          <w:tab w:pos="5552" w:val="left" w:leader="none"/>
        </w:tabs>
        <w:ind w:left="1600"/>
      </w:pPr>
      <w:r>
        <w:rPr/>
        <w:pict>
          <v:group style="position:absolute;margin-left:407pt;margin-top:12.570354pt;width:55.45pt;height:1.1pt;mso-position-horizontal-relative:page;mso-position-vertical-relative:paragraph;z-index:-458320" coordorigin="8140,251" coordsize="1109,22">
            <v:line style="position:absolute" from="8681,260" to="9240,260" stroked="true" strokeweight=".841pt" strokecolor="#2e97d3">
              <v:stroke dashstyle="solid"/>
            </v:line>
            <v:line style="position:absolute" from="8148,265" to="8678,265" stroked="true" strokeweight=".756pt" strokecolor="#2d96d2">
              <v:stroke dashstyle="solid"/>
            </v:line>
            <w10:wrap type="none"/>
          </v:group>
        </w:pict>
      </w:r>
      <w:r>
        <w:rPr/>
        <w:pict>
          <v:line style="position:absolute;mso-position-horizontal-relative:page;mso-position-vertical-relative:paragraph;z-index:-458296" from="390.720001pt,8.435854pt" to="394.081001pt,8.435854pt" stroked="true" strokeweight=".6pt" strokecolor="#2e97d3">
            <v:stroke dashstyle="solid"/>
            <w10:wrap type="none"/>
          </v:line>
        </w:pict>
      </w:r>
      <w:r>
        <w:rPr/>
        <w:pict>
          <v:line style="position:absolute;mso-position-horizontal-relative:page;mso-position-vertical-relative:paragraph;z-index:14392" from="407.399994pt,8.435854pt" to="434.039994pt,8.435854pt" stroked="true" strokeweight=".6pt" strokecolor="#2e97d3">
            <v:stroke dashstyle="solid"/>
            <w10:wrap type="none"/>
          </v:line>
        </w:pict>
      </w:r>
      <w:r>
        <w:rPr/>
        <w:pict>
          <v:line style="position:absolute;mso-position-horizontal-relative:page;mso-position-vertical-relative:paragraph;z-index:14680" from="33.360001pt,.215854pt" to="33.360001pt,126.575854pt" stroked="true" strokeweight=".72pt" strokecolor="#000000">
            <v:stroke dashstyle="solid"/>
            <w10:wrap type="none"/>
          </v:line>
        </w:pict>
      </w:r>
      <w:r>
        <w:rPr/>
        <w:t>Item</w:t>
      </w:r>
      <w:r>
        <w:rPr>
          <w:spacing w:val="1"/>
        </w:rPr>
        <w:t> </w:t>
      </w:r>
      <w:r>
        <w:rPr/>
        <w:t>No</w:t>
      </w:r>
      <w:r>
        <w:rPr>
          <w:strike/>
          <w:color w:val="2E97D3"/>
        </w:rPr>
        <w:t>.</w:t>
        <w:tab/>
        <w:t>,</w:t>
      </w:r>
      <w:r>
        <w:rPr>
          <w:strike w:val="0"/>
          <w:color w:val="2E97D3"/>
          <w:u w:val="single" w:color="2E97D3"/>
        </w:rPr>
        <w:t>.</w:t>
        <w:tab/>
        <w:t>, </w:t>
      </w:r>
      <w:r>
        <w:rPr>
          <w:strike w:val="0"/>
        </w:rPr>
        <w:t>Budget Act of </w:t>
      </w:r>
      <w:r>
        <w:rPr>
          <w:strike w:val="0"/>
          <w:spacing w:val="49"/>
        </w:rPr>
        <w:t> </w:t>
      </w:r>
      <w:r>
        <w:rPr>
          <w:strike w:val="0"/>
        </w:rPr>
        <w:t>20</w:t>
      </w:r>
    </w:p>
    <w:p>
      <w:pPr>
        <w:tabs>
          <w:tab w:pos="2677" w:val="left" w:leader="none"/>
        </w:tabs>
        <w:spacing w:before="2"/>
        <w:ind w:left="1480" w:right="0" w:firstLine="0"/>
        <w:jc w:val="left"/>
        <w:rPr>
          <w:rFonts w:ascii="Times New Roman"/>
          <w:sz w:val="20"/>
        </w:rPr>
      </w:pPr>
      <w:r>
        <w:rPr/>
        <w:pict>
          <v:group style="position:absolute;margin-left:132.350006pt;margin-top:12.425356pt;width:29.95pt;height:1.35pt;mso-position-horizontal-relative:page;mso-position-vertical-relative:paragraph;z-index:-458248" coordorigin="2647,249" coordsize="599,27">
            <v:line style="position:absolute" from="2652,254" to="2702,254" stroked="true" strokeweight=".481pt" strokecolor="#000000">
              <v:stroke dashstyle="solid"/>
            </v:line>
            <v:line style="position:absolute" from="2702,267" to="3238,267" stroked="true" strokeweight=".756pt" strokecolor="#2d96d2">
              <v:stroke dashstyle="solid"/>
            </v:line>
            <w10:wrap type="none"/>
          </v:group>
        </w:pict>
      </w:r>
      <w:r>
        <w:rPr>
          <w:rFonts w:ascii="Times New Roman"/>
          <w:sz w:val="20"/>
        </w:rPr>
        <w:t>EO</w:t>
      </w:r>
      <w:r>
        <w:rPr>
          <w:rFonts w:ascii="Times New Roman"/>
          <w:spacing w:val="-1"/>
          <w:sz w:val="20"/>
        </w:rPr>
        <w:t> </w:t>
      </w:r>
      <w:r>
        <w:rPr>
          <w:rFonts w:ascii="Times New Roman"/>
          <w:sz w:val="20"/>
        </w:rPr>
        <w:t>No.</w:t>
      </w:r>
      <w:r>
        <w:rPr>
          <w:strike/>
          <w:color w:val="2E97D3"/>
          <w:sz w:val="24"/>
        </w:rPr>
        <w:tab/>
        <w:t>,  </w:t>
      </w:r>
      <w:r>
        <w:rPr>
          <w:rFonts w:ascii="Times New Roman"/>
          <w:strike w:val="0"/>
          <w:color w:val="2E97D3"/>
          <w:sz w:val="20"/>
          <w:u w:val="single" w:color="2E97D3"/>
        </w:rPr>
        <w:t>, </w:t>
      </w:r>
      <w:r>
        <w:rPr>
          <w:rFonts w:ascii="Times New Roman"/>
          <w:strike w:val="0"/>
          <w:sz w:val="20"/>
        </w:rPr>
        <w:t>Allocation for Contingencies and</w:t>
      </w:r>
      <w:r>
        <w:rPr>
          <w:rFonts w:ascii="Times New Roman"/>
          <w:strike w:val="0"/>
          <w:spacing w:val="-6"/>
          <w:sz w:val="20"/>
        </w:rPr>
        <w:t> </w:t>
      </w:r>
      <w:r>
        <w:rPr>
          <w:rFonts w:ascii="Times New Roman"/>
          <w:strike w:val="0"/>
          <w:sz w:val="20"/>
        </w:rPr>
        <w:t>Emergencies</w:t>
      </w:r>
    </w:p>
    <w:p>
      <w:pPr>
        <w:pStyle w:val="BodyText"/>
        <w:tabs>
          <w:tab w:pos="3054" w:val="left" w:leader="none"/>
          <w:tab w:pos="3639" w:val="left" w:leader="none"/>
        </w:tabs>
        <w:spacing w:before="199"/>
        <w:ind w:left="1664"/>
      </w:pPr>
      <w:r>
        <w:rPr/>
        <w:pict>
          <v:line style="position:absolute;mso-position-horizontal-relative:page;mso-position-vertical-relative:paragraph;z-index:-458224" from="108pt,22.945862pt" to="111.24pt,22.945862pt" stroked="true" strokeweight=".84pt" strokecolor="#2e97d3">
            <v:stroke dashstyle="solid"/>
            <w10:wrap type="none"/>
          </v:line>
        </w:pict>
      </w:r>
      <w:r>
        <w:rPr/>
        <w:pict>
          <v:group style="position:absolute;margin-left:150.294998pt;margin-top:22.520861pt;width:30.85pt;height:1.1pt;mso-position-horizontal-relative:page;mso-position-vertical-relative:paragraph;z-index:-458200" coordorigin="3006,450" coordsize="617,22">
            <v:line style="position:absolute" from="3014,459" to="3082,459" stroked="true" strokeweight=".84pt" strokecolor="#000000">
              <v:stroke dashstyle="solid"/>
            </v:line>
            <v:shape style="position:absolute;left:3082;top:464;width:533;height:2" coordorigin="3082,464" coordsize="533,0" path="m3082,464l3346,464m3348,464l3614,464e" filled="false" stroked="true" strokeweight=".756pt" strokecolor="#2d96d2">
              <v:path arrowok="t"/>
              <v:stroke dashstyle="solid"/>
            </v:shape>
            <w10:wrap type="none"/>
          </v:group>
        </w:pict>
      </w:r>
      <w:r>
        <w:rPr/>
        <w:t>EO No.</w:t>
      </w:r>
      <w:r>
        <w:rPr>
          <w:strike/>
          <w:color w:val="2E97D3"/>
        </w:rPr>
        <w:tab/>
        <w:t>,</w:t>
      </w:r>
      <w:r>
        <w:rPr>
          <w:strike w:val="0"/>
          <w:color w:val="2E97D3"/>
          <w:u w:val="single" w:color="2E97D3"/>
        </w:rPr>
        <w:t> </w:t>
        <w:tab/>
        <w:t>, </w:t>
      </w:r>
      <w:r>
        <w:rPr>
          <w:strike w:val="0"/>
        </w:rPr>
        <w:t>Deficiency</w:t>
      </w:r>
      <w:r>
        <w:rPr>
          <w:strike w:val="0"/>
          <w:spacing w:val="-28"/>
        </w:rPr>
        <w:t> </w:t>
      </w:r>
      <w:r>
        <w:rPr>
          <w:strike w:val="0"/>
        </w:rPr>
        <w:t>Authorization</w:t>
      </w:r>
    </w:p>
    <w:p>
      <w:pPr>
        <w:pStyle w:val="BodyText"/>
        <w:tabs>
          <w:tab w:pos="4237" w:val="left" w:leader="none"/>
          <w:tab w:pos="6416" w:val="left" w:leader="none"/>
          <w:tab w:pos="8586" w:val="left" w:leader="none"/>
        </w:tabs>
        <w:spacing w:before="197"/>
        <w:ind w:left="1600"/>
      </w:pPr>
      <w:r>
        <w:rPr/>
        <w:pict>
          <v:group style="position:absolute;margin-left:209.455002pt;margin-top:22.420862pt;width:30.85pt;height:1.1pt;mso-position-horizontal-relative:page;mso-position-vertical-relative:paragraph;z-index:-458176" coordorigin="4189,448" coordsize="617,22">
            <v:line style="position:absolute" from="4198,457" to="4262,457" stroked="true" strokeweight=".84pt" strokecolor="#000000">
              <v:stroke dashstyle="solid"/>
            </v:line>
            <v:line style="position:absolute" from="4262,462" to="4798,462" stroked="true" strokeweight=".756pt" strokecolor="#2d96d2">
              <v:stroke dashstyle="solid"/>
            </v:line>
            <w10:wrap type="none"/>
          </v:group>
        </w:pict>
      </w:r>
      <w:r>
        <w:rPr/>
        <w:pict>
          <v:group style="position:absolute;margin-left:426.774994pt;margin-top:22.420862pt;width:30.95pt;height:1.1pt;mso-position-horizontal-relative:page;mso-position-vertical-relative:paragraph;z-index:-458152" coordorigin="8535,448" coordsize="619,22">
            <v:line style="position:absolute" from="8544,457" to="8611,457" stroked="true" strokeweight=".84pt" strokecolor="#000000">
              <v:stroke dashstyle="solid"/>
            </v:line>
            <v:line style="position:absolute" from="8611,462" to="9146,462" stroked="true" strokeweight=".756pt" strokecolor="#2d96d2">
              <v:stroke dashstyle="solid"/>
            </v:line>
            <w10:wrap type="none"/>
          </v:group>
        </w:pict>
      </w:r>
      <w:r>
        <w:rPr/>
        <w:t>Transfer</w:t>
      </w:r>
      <w:r>
        <w:rPr>
          <w:spacing w:val="-7"/>
        </w:rPr>
        <w:t> </w:t>
      </w:r>
      <w:r>
        <w:rPr/>
        <w:t>(from</w:t>
      </w:r>
      <w:r>
        <w:rPr>
          <w:spacing w:val="-3"/>
        </w:rPr>
        <w:t> </w:t>
      </w:r>
      <w:r>
        <w:rPr/>
        <w:t>item</w:t>
      </w:r>
      <w:r>
        <w:rPr>
          <w:strike/>
          <w:color w:val="2E97D3"/>
        </w:rPr>
        <w:tab/>
        <w:t>,</w:t>
      </w:r>
      <w:r>
        <w:rPr>
          <w:strike w:val="0"/>
          <w:color w:val="2E97D3"/>
          <w:u w:val="single" w:color="2E97D3"/>
        </w:rPr>
        <w:t> </w:t>
        <w:tab/>
        <w:t>, </w:t>
      </w:r>
      <w:r>
        <w:rPr>
          <w:strike w:val="0"/>
        </w:rPr>
        <w:t>Budget</w:t>
      </w:r>
      <w:r>
        <w:rPr>
          <w:strike w:val="0"/>
          <w:spacing w:val="-8"/>
        </w:rPr>
        <w:t> </w:t>
      </w:r>
      <w:r>
        <w:rPr>
          <w:strike w:val="0"/>
        </w:rPr>
        <w:t>Act</w:t>
      </w:r>
      <w:r>
        <w:rPr>
          <w:strike w:val="0"/>
          <w:spacing w:val="-8"/>
        </w:rPr>
        <w:t> </w:t>
      </w:r>
      <w:r>
        <w:rPr>
          <w:strike w:val="0"/>
        </w:rPr>
        <w:t>of</w:t>
      </w:r>
      <w:r>
        <w:rPr>
          <w:strike/>
          <w:color w:val="2E97D3"/>
        </w:rPr>
        <w:tab/>
      </w:r>
      <w:r>
        <w:rPr>
          <w:strike/>
          <w:color w:val="2E97D3"/>
          <w:spacing w:val="6"/>
        </w:rPr>
        <w:t>)</w:t>
      </w:r>
      <w:r>
        <w:rPr>
          <w:strike w:val="0"/>
          <w:color w:val="2E97D3"/>
          <w:spacing w:val="6"/>
          <w:u w:val="single" w:color="2E97D3"/>
        </w:rPr>
        <w:t>)</w:t>
      </w:r>
    </w:p>
    <w:p>
      <w:pPr>
        <w:pStyle w:val="BodyText"/>
        <w:spacing w:before="2"/>
        <w:ind w:left="1600"/>
      </w:pPr>
      <w:r>
        <w:rPr/>
        <w:t>Totals</w:t>
      </w:r>
    </w:p>
    <w:p>
      <w:pPr>
        <w:pStyle w:val="BodyText"/>
        <w:spacing w:before="194"/>
        <w:ind w:left="880" w:right="8225"/>
      </w:pPr>
      <w:r>
        <w:rPr>
          <w:strike/>
          <w:color w:val="2C6234"/>
        </w:rPr>
        <w:t>(Continued) (Continued)</w:t>
      </w:r>
    </w:p>
    <w:p>
      <w:pPr>
        <w:spacing w:after="0"/>
        <w:sectPr>
          <w:pgSz w:w="12240" w:h="15840"/>
          <w:pgMar w:header="724" w:footer="792" w:top="980" w:bottom="1060" w:left="560" w:right="1300"/>
        </w:sectPr>
      </w:pPr>
    </w:p>
    <w:p>
      <w:pPr>
        <w:pStyle w:val="BodyText"/>
        <w:spacing w:before="11"/>
        <w:rPr>
          <w:sz w:val="15"/>
        </w:rPr>
      </w:pPr>
    </w:p>
    <w:p>
      <w:pPr>
        <w:tabs>
          <w:tab w:pos="8586" w:val="left" w:leader="none"/>
        </w:tabs>
        <w:spacing w:before="92"/>
        <w:ind w:left="760" w:right="0" w:firstLine="0"/>
        <w:jc w:val="left"/>
        <w:rPr>
          <w:sz w:val="24"/>
        </w:rPr>
      </w:pPr>
      <w:r>
        <w:rPr/>
        <w:pict>
          <v:group style="position:absolute;margin-left:65.75pt;margin-top:12.735854pt;width:468.55pt;height:1.6pt;mso-position-horizontal-relative:page;mso-position-vertical-relative:paragraph;z-index:-457960" coordorigin="1315,255" coordsize="9371,32">
            <v:line style="position:absolute" from="1320,281" to="5426,281" stroked="true" strokeweight=".481pt" strokecolor="#2c6234">
              <v:stroke dashstyle="solid"/>
            </v:line>
            <v:line style="position:absolute" from="1320,262" to="5426,262" stroked="true" strokeweight=".48pt" strokecolor="#2c6234">
              <v:stroke dashstyle="solid"/>
            </v:line>
            <v:line style="position:absolute" from="5426,261" to="10680,261" stroked="true" strokeweight=".6pt" strokecolor="#2e97d3">
              <v:stroke dashstyle="solid"/>
            </v:line>
            <w10:wrap type="none"/>
          </v:group>
        </w:pict>
      </w:r>
      <w:r>
        <w:rPr/>
        <w:pict>
          <v:line style="position:absolute;mso-position-horizontal-relative:page;mso-position-vertical-relative:paragraph;z-index:14800" from="33.360001pt,4.814855pt" to="33.360001pt,72.255855pt" stroked="true" strokeweight=".72pt" strokecolor="#000000">
            <v:stroke dashstyle="solid"/>
            <w10:wrap type="none"/>
          </v:line>
        </w:pict>
      </w:r>
      <w:r>
        <w:rPr>
          <w:rFonts w:ascii="Times New Roman"/>
          <w:color w:val="2C6234"/>
          <w:sz w:val="20"/>
        </w:rPr>
        <w:t>PREPARATION OF BUDGET REVISION, STD.</w:t>
      </w:r>
      <w:r>
        <w:rPr>
          <w:rFonts w:ascii="Times New Roman"/>
          <w:color w:val="2C6234"/>
          <w:spacing w:val="-15"/>
          <w:sz w:val="20"/>
        </w:rPr>
        <w:t> </w:t>
      </w:r>
      <w:r>
        <w:rPr>
          <w:b/>
          <w:color w:val="2E97D3"/>
          <w:sz w:val="24"/>
        </w:rPr>
        <w:t>FORM</w:t>
      </w:r>
      <w:r>
        <w:rPr>
          <w:b/>
          <w:color w:val="2E97D3"/>
          <w:spacing w:val="-4"/>
          <w:sz w:val="24"/>
        </w:rPr>
        <w:t> </w:t>
      </w:r>
      <w:r>
        <w:rPr>
          <w:b/>
          <w:color w:val="2E97D3"/>
          <w:sz w:val="24"/>
        </w:rPr>
        <w:t>26</w:t>
        <w:tab/>
        <w:t>6545 </w:t>
      </w:r>
      <w:r>
        <w:rPr>
          <w:color w:val="2E97D3"/>
          <w:sz w:val="24"/>
        </w:rPr>
        <w:t>(Cont.</w:t>
      </w:r>
      <w:r>
        <w:rPr>
          <w:color w:val="2E97D3"/>
          <w:spacing w:val="-6"/>
          <w:sz w:val="24"/>
        </w:rPr>
        <w:t> </w:t>
      </w:r>
      <w:r>
        <w:rPr>
          <w:color w:val="2E97D3"/>
          <w:sz w:val="24"/>
        </w:rPr>
        <w:t>1)</w:t>
      </w:r>
    </w:p>
    <w:p>
      <w:pPr>
        <w:pStyle w:val="BodyText"/>
        <w:ind w:left="760"/>
      </w:pPr>
      <w:r>
        <w:rPr>
          <w:strike/>
          <w:color w:val="2E97D3"/>
        </w:rPr>
        <w:t>(Revised 9/2010)</w:t>
      </w:r>
    </w:p>
    <w:p>
      <w:pPr>
        <w:pStyle w:val="BodyText"/>
        <w:rPr>
          <w:sz w:val="20"/>
        </w:rPr>
      </w:pPr>
    </w:p>
    <w:p>
      <w:pPr>
        <w:pStyle w:val="Heading1"/>
        <w:numPr>
          <w:ilvl w:val="0"/>
          <w:numId w:val="33"/>
        </w:numPr>
        <w:tabs>
          <w:tab w:pos="1211" w:val="left" w:leader="none"/>
          <w:tab w:pos="1212" w:val="left" w:leader="none"/>
        </w:tabs>
        <w:spacing w:line="240" w:lineRule="auto" w:before="246" w:after="0"/>
        <w:ind w:left="1211" w:right="0" w:hanging="451"/>
        <w:jc w:val="left"/>
        <w:rPr>
          <w:u w:val="none"/>
        </w:rPr>
      </w:pPr>
      <w:bookmarkStart w:name="4. 4. Appropriations–Amounts Available (" w:id="45"/>
      <w:bookmarkEnd w:id="45"/>
      <w:r>
        <w:rPr>
          <w:b w:val="0"/>
          <w:u w:val="none"/>
        </w:rPr>
      </w:r>
      <w:bookmarkStart w:name="4. 4. Appropriations–Amounts Available (" w:id="46"/>
      <w:bookmarkEnd w:id="46"/>
      <w:r>
        <w:rPr>
          <w:strike/>
          <w:color w:val="2E97D3"/>
          <w:sz w:val="24"/>
          <w:u w:val="none"/>
        </w:rPr>
        <w:t>4</w:t>
      </w:r>
      <w:r>
        <w:rPr>
          <w:strike/>
          <w:color w:val="2E97D3"/>
          <w:sz w:val="24"/>
          <w:u w:val="none"/>
        </w:rPr>
        <w:t>. </w:t>
      </w:r>
      <w:r>
        <w:rPr>
          <w:strike w:val="0"/>
          <w:u w:val="none"/>
        </w:rPr>
        <w:t>Appropriations–Amounts Available (Top</w:t>
      </w:r>
      <w:r>
        <w:rPr>
          <w:strike w:val="0"/>
          <w:spacing w:val="-10"/>
          <w:u w:val="none"/>
        </w:rPr>
        <w:t> </w:t>
      </w:r>
      <w:r>
        <w:rPr>
          <w:strike w:val="0"/>
          <w:u w:val="none"/>
        </w:rPr>
        <w:t>Portion)</w:t>
      </w:r>
    </w:p>
    <w:p>
      <w:pPr>
        <w:pStyle w:val="BodyText"/>
        <w:spacing w:before="22"/>
        <w:ind w:left="1240" w:right="949" w:firstLine="240"/>
      </w:pPr>
      <w:r>
        <w:rPr/>
        <w:pict>
          <v:line style="position:absolute;mso-position-horizontal-relative:page;mso-position-vertical-relative:paragraph;z-index:-457936" from="90pt,9.536352pt" to="102pt,9.536352pt" stroked="true" strokeweight=".599pt" strokecolor="#2e97d3">
            <v:stroke dashstyle="solid"/>
            <w10:wrap type="none"/>
          </v:line>
        </w:pict>
      </w:r>
      <w:r>
        <w:rPr/>
        <w:t>This column will carry the dollar amounts available (before giving effect to this revision) of items listed under the Appropriations–Source of Funds column.</w:t>
      </w:r>
    </w:p>
    <w:p>
      <w:pPr>
        <w:pStyle w:val="BodyText"/>
        <w:spacing w:before="6"/>
        <w:rPr>
          <w:sz w:val="27"/>
        </w:rPr>
      </w:pPr>
    </w:p>
    <w:p>
      <w:pPr>
        <w:pStyle w:val="Heading1"/>
        <w:numPr>
          <w:ilvl w:val="0"/>
          <w:numId w:val="33"/>
        </w:numPr>
        <w:tabs>
          <w:tab w:pos="1211" w:val="left" w:leader="none"/>
          <w:tab w:pos="1212" w:val="left" w:leader="none"/>
        </w:tabs>
        <w:spacing w:line="240" w:lineRule="auto" w:before="1" w:after="0"/>
        <w:ind w:left="1211" w:right="0" w:hanging="451"/>
        <w:jc w:val="left"/>
        <w:rPr>
          <w:u w:val="none"/>
        </w:rPr>
      </w:pPr>
      <w:r>
        <w:rPr/>
        <w:pict>
          <v:line style="position:absolute;mso-position-horizontal-relative:page;mso-position-vertical-relative:paragraph;z-index:14824" from="33.360001pt,-1.796172pt" to="33.360001pt,16.323828pt" stroked="true" strokeweight=".72pt" strokecolor="#000000">
            <v:stroke dashstyle="solid"/>
            <w10:wrap type="none"/>
          </v:line>
        </w:pict>
      </w:r>
      <w:bookmarkStart w:name="5. 5. Appropriations–Revision Requested " w:id="47"/>
      <w:bookmarkEnd w:id="47"/>
      <w:r>
        <w:rPr>
          <w:b w:val="0"/>
          <w:u w:val="none"/>
        </w:rPr>
      </w:r>
      <w:bookmarkStart w:name="5. 5. Appropriations–Revision Requested " w:id="48"/>
      <w:bookmarkEnd w:id="48"/>
      <w:r>
        <w:rPr>
          <w:strike/>
          <w:color w:val="2E97D3"/>
          <w:sz w:val="24"/>
          <w:u w:val="none"/>
        </w:rPr>
        <w:t>5</w:t>
      </w:r>
      <w:r>
        <w:rPr>
          <w:strike/>
          <w:color w:val="2E97D3"/>
          <w:sz w:val="24"/>
          <w:u w:val="none"/>
        </w:rPr>
        <w:t>. </w:t>
      </w:r>
      <w:r>
        <w:rPr>
          <w:strike w:val="0"/>
          <w:u w:val="none"/>
        </w:rPr>
        <w:t>Appropriations–Revision Requested (Top</w:t>
      </w:r>
      <w:r>
        <w:rPr>
          <w:strike w:val="0"/>
          <w:spacing w:val="-11"/>
          <w:u w:val="none"/>
        </w:rPr>
        <w:t> </w:t>
      </w:r>
      <w:r>
        <w:rPr>
          <w:strike w:val="0"/>
          <w:u w:val="none"/>
        </w:rPr>
        <w:t>Portion)</w:t>
      </w:r>
    </w:p>
    <w:p>
      <w:pPr>
        <w:pStyle w:val="BodyText"/>
        <w:spacing w:before="22"/>
        <w:ind w:left="1240" w:right="308" w:firstLine="240"/>
      </w:pPr>
      <w:r>
        <w:rPr/>
        <w:pict>
          <v:line style="position:absolute;mso-position-horizontal-relative:page;mso-position-vertical-relative:paragraph;z-index:-457912" from="90pt,9.535845pt" to="102pt,9.535845pt" stroked="true" strokeweight=".6pt" strokecolor="#2e97d3">
            <v:stroke dashstyle="solid"/>
            <w10:wrap type="none"/>
          </v:line>
        </w:pict>
      </w:r>
      <w:r>
        <w:rPr/>
        <w:t>This column reflects the dollar amounts of the proposed revision as listed under the Appropriations–Source of Funds column.</w:t>
      </w:r>
    </w:p>
    <w:p>
      <w:pPr>
        <w:pStyle w:val="BodyText"/>
        <w:spacing w:before="11"/>
        <w:rPr>
          <w:sz w:val="23"/>
        </w:rPr>
      </w:pPr>
    </w:p>
    <w:p>
      <w:pPr>
        <w:pStyle w:val="BodyText"/>
        <w:ind w:left="1240" w:right="428"/>
      </w:pPr>
      <w:r>
        <w:rPr/>
        <w:pict>
          <v:line style="position:absolute;mso-position-horizontal-relative:page;mso-position-vertical-relative:paragraph;z-index:-457888" from="217.440002pt,22.236382pt" to="220.800002pt,22.236382pt" stroked="true" strokeweight=".599pt" strokecolor="#2e97d3">
            <v:stroke dashstyle="solid"/>
            <w10:wrap type="none"/>
          </v:line>
        </w:pict>
      </w:r>
      <w:r>
        <w:rPr/>
        <w:pict>
          <v:line style="position:absolute;mso-position-horizontal-relative:page;mso-position-vertical-relative:paragraph;z-index:14848" from="33.360001pt,.215881pt" to="33.360001pt,27.815881pt" stroked="true" strokeweight=".72pt" strokecolor="#000000">
            <v:stroke dashstyle="solid"/>
            <w10:wrap type="none"/>
          </v:line>
        </w:pict>
      </w:r>
      <w:r>
        <w:rPr/>
        <w:t>Show “no change” in this column if the revision does not affect the appropriated</w:t>
      </w:r>
      <w:r>
        <w:rPr>
          <w:strike/>
          <w:color w:val="2E97D3"/>
        </w:rPr>
        <w:t>– </w:t>
      </w:r>
      <w:r>
        <w:rPr>
          <w:strike w:val="0"/>
        </w:rPr>
        <w:t>amount at the item level</w:t>
      </w:r>
      <w:r>
        <w:rPr>
          <w:strike w:val="0"/>
          <w:color w:val="2E97D3"/>
        </w:rPr>
        <w:t>. </w:t>
      </w:r>
      <w:r>
        <w:rPr>
          <w:strike w:val="0"/>
          <w:color w:val="2E97D3"/>
          <w:u w:val="single" w:color="2E97D3"/>
        </w:rPr>
        <w:t>(e.g., reimbursement authority).</w:t>
      </w:r>
    </w:p>
    <w:p>
      <w:pPr>
        <w:pStyle w:val="BodyText"/>
        <w:spacing w:before="11"/>
        <w:rPr>
          <w:sz w:val="15"/>
        </w:rPr>
      </w:pPr>
    </w:p>
    <w:p>
      <w:pPr>
        <w:pStyle w:val="BodyText"/>
        <w:spacing w:before="92"/>
        <w:ind w:left="880"/>
      </w:pPr>
      <w:r>
        <w:rPr/>
        <w:pict>
          <v:line style="position:absolute;mso-position-horizontal-relative:page;mso-position-vertical-relative:paragraph;z-index:14872" from="33.360001pt,4.814857pt" to="33.360001pt,18.615857pt" stroked="true" strokeweight=".72pt" strokecolor="#000000">
            <v:stroke dashstyle="solid"/>
            <w10:wrap type="none"/>
          </v:line>
        </w:pict>
      </w:r>
      <w:r>
        <w:rPr>
          <w:color w:val="2C6234"/>
          <w:u w:val="thick" w:color="2C6234"/>
        </w:rPr>
        <w:t>(Continued)</w:t>
      </w:r>
    </w:p>
    <w:p>
      <w:pPr>
        <w:spacing w:after="0"/>
        <w:sectPr>
          <w:pgSz w:w="12240" w:h="15840"/>
          <w:pgMar w:header="724" w:footer="792" w:top="980" w:bottom="1060" w:left="560" w:right="1440"/>
        </w:sectPr>
      </w:pPr>
    </w:p>
    <w:p>
      <w:pPr>
        <w:pStyle w:val="Heading2"/>
        <w:tabs>
          <w:tab w:pos="8771" w:val="left" w:leader="none"/>
        </w:tabs>
        <w:ind w:left="880"/>
      </w:pPr>
      <w:r>
        <w:rPr/>
        <w:pict>
          <v:line style="position:absolute;mso-position-horizontal-relative:page;mso-position-vertical-relative:page;z-index:15040" from="33.360001pt,63.84pt" to="33.360001pt,133.920pt" stroked="true" strokeweight=".72pt" strokecolor="#000000">
            <v:stroke dashstyle="solid"/>
            <w10:wrap type="none"/>
          </v:line>
        </w:pict>
      </w:r>
      <w:bookmarkStart w:name="PREPARATION OF BUDGET REVISION, STD. 6. " w:id="49"/>
      <w:bookmarkEnd w:id="49"/>
      <w:r>
        <w:rPr>
          <w:b w:val="0"/>
        </w:rPr>
      </w:r>
      <w:r>
        <w:rPr>
          <w:color w:val="2C6234"/>
          <w:u w:val="thick" w:color="2C6234"/>
        </w:rPr>
        <w:t>PREPARATION OF BUDGET REVISION,</w:t>
      </w:r>
      <w:r>
        <w:rPr>
          <w:color w:val="2C6234"/>
          <w:spacing w:val="-10"/>
          <w:u w:val="thick" w:color="2C6234"/>
        </w:rPr>
        <w:t> </w:t>
      </w:r>
      <w:r>
        <w:rPr>
          <w:color w:val="2C6234"/>
          <w:u w:val="thick" w:color="2C6234"/>
        </w:rPr>
        <w:t>STD.</w:t>
      </w:r>
      <w:r>
        <w:rPr>
          <w:color w:val="2C6234"/>
          <w:spacing w:val="-1"/>
          <w:u w:val="thick" w:color="2C6234"/>
        </w:rPr>
        <w:t> </w:t>
      </w:r>
      <w:r>
        <w:rPr>
          <w:strike/>
          <w:color w:val="2E97D3"/>
        </w:rPr>
        <w:t>6.</w:t>
        <w:tab/>
      </w:r>
      <w:r>
        <w:rPr>
          <w:strike w:val="0"/>
          <w:color w:val="2E97D3"/>
          <w:u w:val="thick" w:color="2E97D3"/>
        </w:rPr>
        <w:t>FORM</w:t>
      </w:r>
      <w:r>
        <w:rPr>
          <w:strike w:val="0"/>
          <w:color w:val="2E97D3"/>
          <w:spacing w:val="-4"/>
          <w:u w:val="thick" w:color="2E97D3"/>
        </w:rPr>
        <w:t> </w:t>
      </w:r>
      <w:r>
        <w:rPr>
          <w:strike w:val="0"/>
          <w:color w:val="2E97D3"/>
          <w:u w:val="thick" w:color="2E97D3"/>
        </w:rPr>
        <w:t>26</w:t>
      </w:r>
    </w:p>
    <w:p>
      <w:pPr>
        <w:tabs>
          <w:tab w:pos="8771" w:val="left" w:leader="none"/>
        </w:tabs>
        <w:spacing w:before="0"/>
        <w:ind w:left="880" w:right="109" w:firstLine="0"/>
        <w:jc w:val="left"/>
        <w:rPr>
          <w:sz w:val="24"/>
        </w:rPr>
      </w:pPr>
      <w:r>
        <w:rPr>
          <w:b/>
          <w:color w:val="2E97D3"/>
          <w:w w:val="100"/>
          <w:sz w:val="24"/>
          <w:u w:val="thick" w:color="2E97D3"/>
        </w:rPr>
        <w:t> </w:t>
      </w:r>
      <w:r>
        <w:rPr>
          <w:b/>
          <w:color w:val="2E97D3"/>
          <w:sz w:val="24"/>
          <w:u w:val="thick" w:color="2E97D3"/>
        </w:rPr>
        <w:tab/>
        <w:t>6545</w:t>
      </w:r>
      <w:r>
        <w:rPr>
          <w:b/>
          <w:color w:val="2E97D3"/>
          <w:spacing w:val="-2"/>
          <w:sz w:val="24"/>
          <w:u w:val="thick" w:color="2E97D3"/>
        </w:rPr>
        <w:t> </w:t>
      </w:r>
      <w:r>
        <w:rPr>
          <w:color w:val="2E97D3"/>
          <w:sz w:val="24"/>
          <w:u w:val="thick" w:color="2E97D3"/>
        </w:rPr>
        <w:t>(Cont.</w:t>
      </w:r>
      <w:r>
        <w:rPr>
          <w:color w:val="2E97D3"/>
          <w:spacing w:val="-5"/>
          <w:sz w:val="24"/>
          <w:u w:val="thick" w:color="2E97D3"/>
        </w:rPr>
        <w:t> </w:t>
      </w:r>
      <w:r>
        <w:rPr>
          <w:color w:val="2E97D3"/>
          <w:sz w:val="24"/>
          <w:u w:val="thick" w:color="2E97D3"/>
        </w:rPr>
        <w:t>1)</w:t>
      </w:r>
      <w:r>
        <w:rPr>
          <w:color w:val="2E97D3"/>
          <w:w w:val="99"/>
          <w:sz w:val="24"/>
        </w:rPr>
        <w:t> </w:t>
      </w:r>
      <w:r>
        <w:rPr>
          <w:color w:val="2E97D3"/>
          <w:sz w:val="24"/>
          <w:u w:val="single" w:color="2E97D3"/>
        </w:rPr>
        <w:t>(Revised</w:t>
      </w:r>
      <w:r>
        <w:rPr>
          <w:color w:val="2E97D3"/>
          <w:spacing w:val="-8"/>
          <w:sz w:val="24"/>
          <w:u w:val="single" w:color="2E97D3"/>
        </w:rPr>
        <w:t> </w:t>
      </w:r>
      <w:r>
        <w:rPr>
          <w:color w:val="2E97D3"/>
          <w:sz w:val="24"/>
          <w:u w:val="single" w:color="2E97D3"/>
        </w:rPr>
        <w:t>10/2017)</w:t>
      </w:r>
    </w:p>
    <w:p>
      <w:pPr>
        <w:pStyle w:val="BodyText"/>
        <w:spacing w:before="6"/>
        <w:rPr>
          <w:sz w:val="21"/>
        </w:rPr>
      </w:pPr>
    </w:p>
    <w:p>
      <w:pPr>
        <w:pStyle w:val="Heading1"/>
        <w:numPr>
          <w:ilvl w:val="0"/>
          <w:numId w:val="33"/>
        </w:numPr>
        <w:tabs>
          <w:tab w:pos="1210" w:val="left" w:leader="none"/>
          <w:tab w:pos="1211" w:val="left" w:leader="none"/>
        </w:tabs>
        <w:spacing w:line="240" w:lineRule="auto" w:before="91" w:after="0"/>
        <w:ind w:left="1211" w:right="0" w:hanging="451"/>
        <w:jc w:val="left"/>
        <w:rPr>
          <w:u w:val="none"/>
        </w:rPr>
      </w:pPr>
      <w:bookmarkStart w:name="6. Source of Funds (Bottom Portion)" w:id="50"/>
      <w:bookmarkEnd w:id="50"/>
      <w:r>
        <w:rPr>
          <w:b w:val="0"/>
          <w:u w:val="none"/>
        </w:rPr>
      </w:r>
      <w:bookmarkStart w:name="6. Source of Funds (Bottom Portion)" w:id="51"/>
      <w:bookmarkEnd w:id="51"/>
      <w:r>
        <w:rPr>
          <w:u w:val="none"/>
        </w:rPr>
        <w:t>Sour</w:t>
      </w:r>
      <w:r>
        <w:rPr>
          <w:u w:val="none"/>
        </w:rPr>
        <w:t>ce of Funds (Bottom</w:t>
      </w:r>
      <w:r>
        <w:rPr>
          <w:spacing w:val="-8"/>
          <w:u w:val="none"/>
        </w:rPr>
        <w:t> </w:t>
      </w:r>
      <w:r>
        <w:rPr>
          <w:u w:val="none"/>
        </w:rPr>
        <w:t>Portion)</w:t>
      </w:r>
    </w:p>
    <w:p>
      <w:pPr>
        <w:pStyle w:val="BodyText"/>
        <w:spacing w:before="22"/>
        <w:ind w:left="1240" w:right="1062" w:firstLine="240"/>
      </w:pPr>
      <w:r>
        <w:rPr/>
        <w:pict>
          <v:line style="position:absolute;mso-position-horizontal-relative:page;mso-position-vertical-relative:paragraph;z-index:-457768" from="90pt,9.535842pt" to="102pt,9.535842pt" stroked="true" strokeweight=".6pt" strokecolor="#2e97d3">
            <v:stroke dashstyle="solid"/>
            <w10:wrap type="none"/>
          </v:line>
        </w:pict>
      </w:r>
      <w:r>
        <w:rPr/>
        <w:t>This section will reflect the distribution of funds when there is an applicable appropriation schedule, by listing the individual programs and any existing or proposed appropriated</w:t>
      </w:r>
      <w:r>
        <w:rPr>
          <w:spacing w:val="-25"/>
        </w:rPr>
        <w:t> </w:t>
      </w:r>
      <w:r>
        <w:rPr/>
        <w:t>reimbursement.</w:t>
      </w:r>
    </w:p>
    <w:p>
      <w:pPr>
        <w:pStyle w:val="BodyText"/>
        <w:spacing w:before="7"/>
        <w:rPr>
          <w:sz w:val="27"/>
        </w:rPr>
      </w:pPr>
    </w:p>
    <w:p>
      <w:pPr>
        <w:pStyle w:val="Heading1"/>
        <w:numPr>
          <w:ilvl w:val="0"/>
          <w:numId w:val="33"/>
        </w:numPr>
        <w:tabs>
          <w:tab w:pos="1211" w:val="left" w:leader="none"/>
          <w:tab w:pos="1212" w:val="left" w:leader="none"/>
        </w:tabs>
        <w:spacing w:line="240" w:lineRule="auto" w:before="0" w:after="0"/>
        <w:ind w:left="1211" w:right="0" w:hanging="451"/>
        <w:jc w:val="left"/>
        <w:rPr>
          <w:u w:val="none"/>
        </w:rPr>
      </w:pPr>
      <w:r>
        <w:rPr/>
        <w:pict>
          <v:line style="position:absolute;mso-position-horizontal-relative:page;mso-position-vertical-relative:paragraph;z-index:15064" from="33.360001pt,-1.846182pt" to="33.360001pt,16.273818pt" stroked="true" strokeweight=".72pt" strokecolor="#000000">
            <v:stroke dashstyle="solid"/>
            <w10:wrap type="none"/>
          </v:line>
        </w:pict>
      </w:r>
      <w:bookmarkStart w:name="7. 7. Amounts Available (Bottom Portion)" w:id="52"/>
      <w:bookmarkEnd w:id="52"/>
      <w:r>
        <w:rPr>
          <w:b w:val="0"/>
          <w:u w:val="none"/>
        </w:rPr>
      </w:r>
      <w:bookmarkStart w:name="7. 7. Amounts Available (Bottom Portion)" w:id="53"/>
      <w:bookmarkEnd w:id="53"/>
      <w:r>
        <w:rPr>
          <w:strike/>
          <w:color w:val="2E97D3"/>
          <w:sz w:val="24"/>
          <w:u w:val="none"/>
        </w:rPr>
        <w:t>7</w:t>
      </w:r>
      <w:r>
        <w:rPr>
          <w:strike/>
          <w:color w:val="2E97D3"/>
          <w:sz w:val="24"/>
          <w:u w:val="none"/>
        </w:rPr>
        <w:t>. </w:t>
      </w:r>
      <w:r>
        <w:rPr>
          <w:strike w:val="0"/>
          <w:u w:val="none"/>
        </w:rPr>
        <w:t>Amounts Available (Bottom</w:t>
      </w:r>
      <w:r>
        <w:rPr>
          <w:strike w:val="0"/>
          <w:spacing w:val="-9"/>
          <w:u w:val="none"/>
        </w:rPr>
        <w:t> </w:t>
      </w:r>
      <w:r>
        <w:rPr>
          <w:strike w:val="0"/>
          <w:u w:val="none"/>
        </w:rPr>
        <w:t>Portion)</w:t>
      </w:r>
    </w:p>
    <w:p>
      <w:pPr>
        <w:pStyle w:val="BodyText"/>
        <w:spacing w:before="22"/>
        <w:ind w:left="1240" w:right="408" w:firstLine="240"/>
      </w:pPr>
      <w:r>
        <w:rPr/>
        <w:pict>
          <v:line style="position:absolute;mso-position-horizontal-relative:page;mso-position-vertical-relative:paragraph;z-index:-457744" from="90pt,9.535835pt" to="102pt,9.535835pt" stroked="true" strokeweight=".6pt" strokecolor="#2e97d3">
            <v:stroke dashstyle="solid"/>
            <w10:wrap type="none"/>
          </v:line>
        </w:pict>
      </w:r>
      <w:r>
        <w:rPr/>
        <w:pict>
          <v:line style="position:absolute;mso-position-horizontal-relative:page;mso-position-vertical-relative:paragraph;z-index:-457720" from="150.839996pt,37.136333pt" to="154.079996pt,37.136333pt" stroked="true" strokeweight=".599pt" strokecolor="#2e97d3">
            <v:stroke dashstyle="solid"/>
            <w10:wrap type="none"/>
          </v:line>
        </w:pict>
      </w:r>
      <w:r>
        <w:rPr/>
        <w:pict>
          <v:line style="position:absolute;mso-position-horizontal-relative:page;mso-position-vertical-relative:paragraph;z-index:15088" from="33.360001pt,28.915834pt" to="33.360001pt,42.715834pt" stroked="true" strokeweight=".72pt" strokecolor="#000000">
            <v:stroke dashstyle="solid"/>
            <w10:wrap type="none"/>
          </v:line>
        </w:pict>
      </w:r>
      <w:r>
        <w:rPr/>
        <w:t>This column will carry the distribution of the dollar amounts available, (before giving effect to this revision) for funds to which an appropriation schedule is applicable. All amounts of appropriated reimbursements will be deducted from the Total of Schedule amount to arrive at the Net Appropriations Total which will agree with the total of the balances maintained by SCO.</w:t>
      </w:r>
    </w:p>
    <w:p>
      <w:pPr>
        <w:pStyle w:val="BodyText"/>
        <w:spacing w:before="6"/>
        <w:rPr>
          <w:sz w:val="27"/>
        </w:rPr>
      </w:pPr>
    </w:p>
    <w:p>
      <w:pPr>
        <w:pStyle w:val="Heading1"/>
        <w:numPr>
          <w:ilvl w:val="0"/>
          <w:numId w:val="33"/>
        </w:numPr>
        <w:tabs>
          <w:tab w:pos="1211" w:val="left" w:leader="none"/>
          <w:tab w:pos="1212" w:val="left" w:leader="none"/>
        </w:tabs>
        <w:spacing w:line="240" w:lineRule="auto" w:before="0" w:after="0"/>
        <w:ind w:left="1211" w:right="0" w:hanging="451"/>
        <w:jc w:val="left"/>
        <w:rPr>
          <w:u w:val="none"/>
        </w:rPr>
      </w:pPr>
      <w:r>
        <w:rPr/>
        <w:pict>
          <v:line style="position:absolute;mso-position-horizontal-relative:page;mso-position-vertical-relative:paragraph;z-index:15112" from="33.360001pt,-1.846165pt" to="33.360001pt,16.273835pt" stroked="true" strokeweight=".72pt" strokecolor="#000000">
            <v:stroke dashstyle="solid"/>
            <w10:wrap type="none"/>
          </v:line>
        </w:pict>
      </w:r>
      <w:bookmarkStart w:name="8. 8. Revision Requested Column (Bottom " w:id="54"/>
      <w:bookmarkEnd w:id="54"/>
      <w:r>
        <w:rPr>
          <w:b w:val="0"/>
          <w:u w:val="none"/>
        </w:rPr>
      </w:r>
      <w:bookmarkStart w:name="8. 8. Revision Requested Column (Bottom " w:id="55"/>
      <w:bookmarkEnd w:id="55"/>
      <w:r>
        <w:rPr>
          <w:strike/>
          <w:color w:val="2E97D3"/>
          <w:sz w:val="24"/>
          <w:u w:val="none"/>
        </w:rPr>
        <w:t>8</w:t>
      </w:r>
      <w:r>
        <w:rPr>
          <w:strike/>
          <w:color w:val="2E97D3"/>
          <w:sz w:val="24"/>
          <w:u w:val="none"/>
        </w:rPr>
        <w:t>. </w:t>
      </w:r>
      <w:r>
        <w:rPr>
          <w:strike w:val="0"/>
          <w:u w:val="none"/>
        </w:rPr>
        <w:t>Revision Requested Column (Bottom</w:t>
      </w:r>
      <w:r>
        <w:rPr>
          <w:strike w:val="0"/>
          <w:spacing w:val="-8"/>
          <w:u w:val="none"/>
        </w:rPr>
        <w:t> </w:t>
      </w:r>
      <w:r>
        <w:rPr>
          <w:strike w:val="0"/>
          <w:u w:val="none"/>
        </w:rPr>
        <w:t>Portion)</w:t>
      </w:r>
    </w:p>
    <w:p>
      <w:pPr>
        <w:pStyle w:val="BodyText"/>
        <w:spacing w:before="21"/>
        <w:ind w:left="1240" w:right="556" w:firstLine="240"/>
      </w:pPr>
      <w:r>
        <w:rPr/>
        <w:pict>
          <v:line style="position:absolute;mso-position-horizontal-relative:page;mso-position-vertical-relative:paragraph;z-index:-457696" from="90pt,9.485852pt" to="102pt,9.485852pt" stroked="true" strokeweight=".6pt" strokecolor="#2e97d3">
            <v:stroke dashstyle="solid"/>
            <w10:wrap type="none"/>
          </v:line>
        </w:pict>
      </w:r>
      <w:r>
        <w:rPr/>
        <w:t>This column will reflect the distribution, by individual programs or categories, of the dollar amounts related to any proposed increase (+) or decrease (-).</w:t>
      </w:r>
    </w:p>
    <w:p>
      <w:pPr>
        <w:pStyle w:val="BodyText"/>
        <w:spacing w:before="10"/>
        <w:rPr>
          <w:sz w:val="23"/>
        </w:rPr>
      </w:pPr>
    </w:p>
    <w:p>
      <w:pPr>
        <w:pStyle w:val="BodyText"/>
        <w:spacing w:before="1"/>
        <w:ind w:left="1240" w:right="942" w:firstLine="240"/>
      </w:pPr>
      <w:r>
        <w:rPr/>
        <w:pict>
          <v:line style="position:absolute;mso-position-horizontal-relative:page;mso-position-vertical-relative:paragraph;z-index:-457672" from="90pt,8.485858pt" to="102pt,8.485858pt" stroked="true" strokeweight=".6pt" strokecolor="#2e97d3">
            <v:stroke dashstyle="solid"/>
            <w10:wrap type="none"/>
          </v:line>
        </w:pict>
      </w:r>
      <w:r>
        <w:rPr/>
        <w:t>Any proposed change in appropriated reimbursements will be shown in this column and either added to or deducted from the Total of Schedule amount.</w:t>
      </w:r>
    </w:p>
    <w:p>
      <w:pPr>
        <w:pStyle w:val="BodyText"/>
      </w:pPr>
    </w:p>
    <w:p>
      <w:pPr>
        <w:pStyle w:val="BodyText"/>
        <w:ind w:left="1240" w:right="1142" w:firstLine="240"/>
      </w:pPr>
      <w:r>
        <w:rPr/>
        <w:pict>
          <v:line style="position:absolute;mso-position-horizontal-relative:page;mso-position-vertical-relative:paragraph;z-index:-457648" from="90pt,8.435864pt" to="102pt,8.435864pt" stroked="true" strokeweight=".6pt" strokecolor="#2e97d3">
            <v:stroke dashstyle="solid"/>
            <w10:wrap type="none"/>
          </v:line>
        </w:pict>
      </w:r>
      <w:r>
        <w:rPr/>
        <w:t>To avoid doubt of intended distribution place a dash ( - ) in the column for each program or category line not used.</w:t>
      </w:r>
    </w:p>
    <w:p>
      <w:pPr>
        <w:pStyle w:val="BodyText"/>
        <w:spacing w:before="2"/>
      </w:pPr>
    </w:p>
    <w:p>
      <w:pPr>
        <w:pStyle w:val="BodyText"/>
        <w:ind w:left="880"/>
      </w:pPr>
      <w:r>
        <w:rPr/>
        <w:pict>
          <v:line style="position:absolute;mso-position-horizontal-relative:page;mso-position-vertical-relative:paragraph;z-index:15136" from="33.360001pt,.216845pt" to="33.360001pt,37.175845pt" stroked="true" strokeweight=".72pt" strokecolor="#000000">
            <v:stroke dashstyle="solid"/>
            <w10:wrap type="none"/>
          </v:line>
        </w:pict>
      </w:r>
      <w:r>
        <w:rPr>
          <w:strike/>
          <w:color w:val="2C6234"/>
        </w:rPr>
        <w:t>(Continued)</w:t>
      </w:r>
    </w:p>
    <w:p>
      <w:pPr>
        <w:spacing w:after="0"/>
        <w:sectPr>
          <w:headerReference w:type="default" r:id="rId111"/>
          <w:pgSz w:w="12240" w:h="15840"/>
          <w:pgMar w:header="728" w:footer="792" w:top="1540" w:bottom="1060" w:left="560" w:right="1260"/>
        </w:sectPr>
      </w:pPr>
    </w:p>
    <w:p>
      <w:pPr>
        <w:tabs>
          <w:tab w:pos="8586" w:val="left" w:leader="none"/>
        </w:tabs>
        <w:spacing w:before="0"/>
        <w:ind w:left="760" w:right="0" w:firstLine="0"/>
        <w:jc w:val="left"/>
        <w:rPr>
          <w:sz w:val="24"/>
        </w:rPr>
      </w:pPr>
      <w:r>
        <w:rPr/>
        <w:pict>
          <v:group style="position:absolute;margin-left:65.75pt;margin-top:8.136367pt;width:468.55pt;height:1.6pt;mso-position-horizontal-relative:page;mso-position-vertical-relative:paragraph;z-index:-457504" coordorigin="1315,163" coordsize="9371,32">
            <v:shape style="position:absolute;left:1320;top:170;width:4107;height:20" coordorigin="1320,170" coordsize="4107,20" path="m1320,189l5426,189m1320,170l5426,170e" filled="false" stroked="true" strokeweight=".48pt" strokecolor="#2c6234">
              <v:path arrowok="t"/>
              <v:stroke dashstyle="solid"/>
            </v:shape>
            <v:line style="position:absolute" from="5426,169" to="10680,169" stroked="true" strokeweight=".599pt" strokecolor="#2e97d3">
              <v:stroke dashstyle="solid"/>
            </v:line>
            <w10:wrap type="none"/>
          </v:group>
        </w:pict>
      </w:r>
      <w:r>
        <w:rPr/>
        <w:pict>
          <v:line style="position:absolute;mso-position-horizontal-relative:page;mso-position-vertical-relative:page;z-index:15280" from="33.360001pt,63.84pt" to="33.360001pt,150.96pt" stroked="true" strokeweight=".72pt" strokecolor="#000000">
            <v:stroke dashstyle="solid"/>
            <w10:wrap type="none"/>
          </v:line>
        </w:pict>
      </w:r>
      <w:r>
        <w:rPr>
          <w:rFonts w:ascii="Times New Roman"/>
          <w:color w:val="2C6234"/>
          <w:sz w:val="20"/>
        </w:rPr>
        <w:t>PREPARATION OF BUDGET REVISION, STD.</w:t>
      </w:r>
      <w:r>
        <w:rPr>
          <w:rFonts w:ascii="Times New Roman"/>
          <w:color w:val="2C6234"/>
          <w:spacing w:val="-15"/>
          <w:sz w:val="20"/>
        </w:rPr>
        <w:t> </w:t>
      </w:r>
      <w:r>
        <w:rPr>
          <w:b/>
          <w:color w:val="2E97D3"/>
          <w:sz w:val="24"/>
        </w:rPr>
        <w:t>FORM</w:t>
      </w:r>
      <w:r>
        <w:rPr>
          <w:b/>
          <w:color w:val="2E97D3"/>
          <w:spacing w:val="-4"/>
          <w:sz w:val="24"/>
        </w:rPr>
        <w:t> </w:t>
      </w:r>
      <w:r>
        <w:rPr>
          <w:b/>
          <w:color w:val="2E97D3"/>
          <w:sz w:val="24"/>
        </w:rPr>
        <w:t>26</w:t>
        <w:tab/>
        <w:t>6545 </w:t>
      </w:r>
      <w:r>
        <w:rPr>
          <w:color w:val="2E97D3"/>
          <w:sz w:val="24"/>
        </w:rPr>
        <w:t>(Cont.</w:t>
      </w:r>
      <w:r>
        <w:rPr>
          <w:color w:val="2E97D3"/>
          <w:spacing w:val="-6"/>
          <w:sz w:val="24"/>
        </w:rPr>
        <w:t> </w:t>
      </w:r>
      <w:r>
        <w:rPr>
          <w:color w:val="2E97D3"/>
          <w:sz w:val="24"/>
        </w:rPr>
        <w:t>2)</w:t>
      </w:r>
    </w:p>
    <w:p>
      <w:pPr>
        <w:pStyle w:val="BodyText"/>
        <w:ind w:left="760"/>
      </w:pPr>
      <w:r>
        <w:rPr>
          <w:strike/>
          <w:color w:val="2E97D3"/>
        </w:rPr>
        <w:t>(Revised 9/2010)</w:t>
      </w:r>
    </w:p>
    <w:p>
      <w:pPr>
        <w:pStyle w:val="BodyText"/>
        <w:spacing w:before="8"/>
        <w:rPr>
          <w:sz w:val="19"/>
        </w:rPr>
      </w:pPr>
    </w:p>
    <w:p>
      <w:pPr>
        <w:pStyle w:val="Heading1"/>
        <w:numPr>
          <w:ilvl w:val="0"/>
          <w:numId w:val="33"/>
        </w:numPr>
        <w:tabs>
          <w:tab w:pos="1211" w:val="left" w:leader="none"/>
          <w:tab w:pos="1212" w:val="left" w:leader="none"/>
        </w:tabs>
        <w:spacing w:line="240" w:lineRule="auto" w:before="90" w:after="0"/>
        <w:ind w:left="1211" w:right="0" w:hanging="451"/>
        <w:jc w:val="left"/>
        <w:rPr>
          <w:u w:val="none"/>
        </w:rPr>
      </w:pPr>
      <w:bookmarkStart w:name="9. 9. Revision Approved" w:id="56"/>
      <w:bookmarkEnd w:id="56"/>
      <w:r>
        <w:rPr>
          <w:b w:val="0"/>
          <w:u w:val="none"/>
        </w:rPr>
      </w:r>
      <w:bookmarkStart w:name="9. 9. Revision Approved" w:id="57"/>
      <w:bookmarkEnd w:id="57"/>
      <w:r>
        <w:rPr>
          <w:strike/>
          <w:color w:val="2E97D3"/>
          <w:sz w:val="24"/>
          <w:u w:val="none"/>
        </w:rPr>
        <w:t>9</w:t>
      </w:r>
      <w:r>
        <w:rPr>
          <w:strike/>
          <w:color w:val="2E97D3"/>
          <w:sz w:val="24"/>
          <w:u w:val="none"/>
        </w:rPr>
        <w:t>. </w:t>
      </w:r>
      <w:r>
        <w:rPr>
          <w:strike w:val="0"/>
          <w:u w:val="none"/>
        </w:rPr>
        <w:t>Revision</w:t>
      </w:r>
      <w:r>
        <w:rPr>
          <w:strike w:val="0"/>
          <w:spacing w:val="-7"/>
          <w:u w:val="none"/>
        </w:rPr>
        <w:t> </w:t>
      </w:r>
      <w:r>
        <w:rPr>
          <w:strike w:val="0"/>
          <w:u w:val="none"/>
        </w:rPr>
        <w:t>Approved</w:t>
      </w:r>
    </w:p>
    <w:p>
      <w:pPr>
        <w:pStyle w:val="BodyText"/>
        <w:spacing w:before="21"/>
        <w:ind w:left="1240" w:firstLine="240"/>
      </w:pPr>
      <w:r>
        <w:rPr/>
        <w:pict>
          <v:line style="position:absolute;mso-position-horizontal-relative:page;mso-position-vertical-relative:paragraph;z-index:-457480" from="90pt,9.485847pt" to="102pt,9.485847pt" stroked="true" strokeweight=".6pt" strokecolor="#2e97d3">
            <v:stroke dashstyle="solid"/>
            <w10:wrap type="none"/>
          </v:line>
        </w:pict>
      </w:r>
      <w:r>
        <w:rPr/>
        <w:pict>
          <v:line style="position:absolute;mso-position-horizontal-relative:page;mso-position-vertical-relative:paragraph;z-index:-457456" from="333.480011pt,9.485847pt" to="336.841011pt,9.485847pt" stroked="true" strokeweight=".6pt" strokecolor="#2e97d3">
            <v:stroke dashstyle="solid"/>
            <w10:wrap type="none"/>
          </v:line>
        </w:pict>
      </w:r>
      <w:r>
        <w:rPr/>
        <w:t>This column is left blank by the department. It is used by the Finance analyst to indicate amounts approved that are different than revision request column.</w:t>
      </w:r>
    </w:p>
    <w:p>
      <w:pPr>
        <w:pStyle w:val="BodyText"/>
        <w:spacing w:before="6"/>
        <w:rPr>
          <w:sz w:val="27"/>
        </w:rPr>
      </w:pPr>
    </w:p>
    <w:p>
      <w:pPr>
        <w:pStyle w:val="Heading1"/>
        <w:numPr>
          <w:ilvl w:val="0"/>
          <w:numId w:val="33"/>
        </w:numPr>
        <w:tabs>
          <w:tab w:pos="1212" w:val="left" w:leader="none"/>
          <w:tab w:pos="2199" w:val="left" w:leader="none"/>
        </w:tabs>
        <w:spacing w:line="240" w:lineRule="auto" w:before="0" w:after="0"/>
        <w:ind w:left="1211" w:right="0" w:hanging="451"/>
        <w:jc w:val="left"/>
        <w:rPr>
          <w:u w:val="none"/>
        </w:rPr>
      </w:pPr>
      <w:r>
        <w:rPr/>
        <w:pict>
          <v:line style="position:absolute;mso-position-horizontal-relative:page;mso-position-vertical-relative:paragraph;z-index:15304" from="33.360001pt,-1.846128pt" to="33.360001pt,43.873872pt" stroked="true" strokeweight=".72pt" strokecolor="#000000">
            <v:stroke dashstyle="solid"/>
            <w10:wrap type="none"/>
          </v:line>
        </w:pict>
      </w:r>
      <w:bookmarkStart w:name="10. 10. Purpose of Revision" w:id="58"/>
      <w:bookmarkEnd w:id="58"/>
      <w:r>
        <w:rPr>
          <w:b w:val="0"/>
          <w:u w:val="none"/>
        </w:rPr>
      </w:r>
      <w:bookmarkStart w:name="10. 10. Purpose of Revision" w:id="59"/>
      <w:bookmarkEnd w:id="59"/>
      <w:r>
        <w:rPr>
          <w:strike/>
          <w:color w:val="2E97D3"/>
          <w:sz w:val="24"/>
          <w:u w:val="none"/>
        </w:rPr>
        <w:t>10</w:t>
      </w:r>
      <w:r>
        <w:rPr>
          <w:strike/>
          <w:color w:val="2E97D3"/>
          <w:sz w:val="24"/>
          <w:u w:val="none"/>
        </w:rPr>
        <w:t>.</w:t>
        <w:tab/>
      </w:r>
      <w:r>
        <w:rPr>
          <w:strike w:val="0"/>
          <w:u w:val="none"/>
        </w:rPr>
        <w:t>Purpose of</w:t>
      </w:r>
      <w:r>
        <w:rPr>
          <w:strike w:val="0"/>
          <w:spacing w:val="-5"/>
          <w:u w:val="none"/>
        </w:rPr>
        <w:t> </w:t>
      </w:r>
      <w:r>
        <w:rPr>
          <w:strike w:val="0"/>
          <w:u w:val="none"/>
        </w:rPr>
        <w:t>Revision</w:t>
      </w:r>
    </w:p>
    <w:p>
      <w:pPr>
        <w:pStyle w:val="BodyText"/>
        <w:spacing w:before="21"/>
        <w:ind w:left="1240" w:firstLine="240"/>
      </w:pPr>
      <w:r>
        <w:rPr/>
        <w:pict>
          <v:line style="position:absolute;mso-position-horizontal-relative:page;mso-position-vertical-relative:paragraph;z-index:-457432" from="90pt,9.485888pt" to="102pt,9.485888pt" stroked="true" strokeweight=".6pt" strokecolor="#2e97d3">
            <v:stroke dashstyle="solid"/>
            <w10:wrap type="none"/>
          </v:line>
        </w:pict>
      </w:r>
      <w:r>
        <w:rPr/>
        <w:pict>
          <v:line style="position:absolute;mso-position-horizontal-relative:page;mso-position-vertical-relative:paragraph;z-index:-457408" from="250.919998pt,23.286388pt" to="254.279998pt,23.286388pt" stroked="true" strokeweight=".599pt" strokecolor="#2e97d3">
            <v:stroke dashstyle="solid"/>
            <w10:wrap type="none"/>
          </v:line>
        </w:pict>
      </w:r>
      <w:r>
        <w:rPr/>
        <w:pict>
          <v:line style="position:absolute;mso-position-horizontal-relative:page;mso-position-vertical-relative:paragraph;z-index:15328" from="33.360001pt,42.66589pt" to="33.360001pt,93.42589pt" stroked="true" strokeweight=".72pt" strokecolor="#000000">
            <v:stroke dashstyle="solid"/>
            <w10:wrap type="none"/>
          </v:line>
        </w:pict>
      </w:r>
      <w:r>
        <w:rPr/>
        <w:t>Present in this section, or in supporting schedules, all of the facts necessary for consideration of the proposal. Complete information will result in more expeditious handling of documents.</w:t>
      </w:r>
    </w:p>
    <w:p>
      <w:pPr>
        <w:pStyle w:val="BodyText"/>
        <w:spacing w:before="10"/>
        <w:rPr>
          <w:sz w:val="23"/>
        </w:rPr>
      </w:pPr>
    </w:p>
    <w:p>
      <w:pPr>
        <w:pStyle w:val="BodyText"/>
        <w:ind w:left="880"/>
      </w:pPr>
      <w:r>
        <w:rPr>
          <w:color w:val="2C6234"/>
          <w:u w:val="thick" w:color="2C6234"/>
        </w:rPr>
        <w:t>(Continued)</w:t>
      </w:r>
    </w:p>
    <w:p>
      <w:pPr>
        <w:spacing w:after="0"/>
        <w:sectPr>
          <w:pgSz w:w="12240" w:h="15840"/>
          <w:pgMar w:header="728" w:footer="792" w:top="1540" w:bottom="1060" w:left="560" w:right="1440"/>
        </w:sectPr>
      </w:pPr>
    </w:p>
    <w:p>
      <w:pPr>
        <w:pStyle w:val="Heading2"/>
        <w:tabs>
          <w:tab w:pos="8499" w:val="left" w:leader="none"/>
        </w:tabs>
        <w:ind w:left="880"/>
        <w:rPr>
          <w:b w:val="0"/>
        </w:rPr>
      </w:pPr>
      <w:r>
        <w:rPr/>
        <w:pict>
          <v:group style="position:absolute;margin-left:71.699997pt;margin-top:11.736366pt;width:458.55pt;height:2.2pt;mso-position-horizontal-relative:page;mso-position-vertical-relative:paragraph;z-index:-457312" coordorigin="1434,235" coordsize="9171,44">
            <v:line style="position:absolute" from="1440,241" to="6629,241" stroked="true" strokeweight=".599pt" strokecolor="#2c6234">
              <v:stroke dashstyle="solid"/>
            </v:line>
            <v:line style="position:absolute" from="1440,272" to="6629,272" stroked="true" strokeweight=".6pt" strokecolor="#2c6234">
              <v:stroke dashstyle="solid"/>
            </v:line>
            <v:line style="position:absolute" from="6629,262" to="10594,262" stroked="true" strokeweight="1.08pt" strokecolor="#2e97d3">
              <v:stroke dashstyle="solid"/>
            </v:line>
            <w10:wrap type="none"/>
          </v:group>
        </w:pict>
      </w:r>
      <w:r>
        <w:rPr/>
        <w:pict>
          <v:line style="position:absolute;mso-position-horizontal-relative:page;mso-position-vertical-relative:page;z-index:15472" from="33.360001pt,63.84pt" to="33.360001pt,105.24pt" stroked="true" strokeweight=".72pt" strokecolor="#000000">
            <v:stroke dashstyle="solid"/>
            <w10:wrap type="none"/>
          </v:line>
        </w:pict>
      </w:r>
      <w:bookmarkStart w:name="PREPARATION OF BUDGET REVISION, STD. FOR" w:id="60"/>
      <w:bookmarkEnd w:id="60"/>
      <w:r>
        <w:rPr>
          <w:b w:val="0"/>
        </w:rPr>
      </w:r>
      <w:r>
        <w:rPr>
          <w:color w:val="2C6234"/>
        </w:rPr>
        <w:t>PREPARATION OF BUDGET REVISION, STD.</w:t>
      </w:r>
      <w:r>
        <w:rPr>
          <w:color w:val="2C6234"/>
          <w:spacing w:val="-11"/>
        </w:rPr>
        <w:t> </w:t>
      </w:r>
      <w:r>
        <w:rPr>
          <w:color w:val="2E97D3"/>
        </w:rPr>
        <w:t>FORM</w:t>
      </w:r>
      <w:r>
        <w:rPr>
          <w:color w:val="2E97D3"/>
          <w:spacing w:val="-3"/>
        </w:rPr>
        <w:t> </w:t>
      </w:r>
      <w:r>
        <w:rPr>
          <w:color w:val="2E97D3"/>
        </w:rPr>
        <w:t>26</w:t>
        <w:tab/>
        <w:t>6545 </w:t>
      </w:r>
      <w:r>
        <w:rPr>
          <w:b w:val="0"/>
          <w:color w:val="2E97D3"/>
        </w:rPr>
        <w:t>(Cont.</w:t>
      </w:r>
      <w:r>
        <w:rPr>
          <w:b w:val="0"/>
          <w:color w:val="2E97D3"/>
          <w:spacing w:val="-6"/>
        </w:rPr>
        <w:t> </w:t>
      </w:r>
      <w:r>
        <w:rPr>
          <w:b w:val="0"/>
          <w:color w:val="2E97D3"/>
        </w:rPr>
        <w:t>2)</w:t>
      </w:r>
    </w:p>
    <w:p>
      <w:pPr>
        <w:pStyle w:val="BodyText"/>
        <w:ind w:left="880"/>
      </w:pPr>
      <w:r>
        <w:rPr>
          <w:color w:val="2E97D3"/>
          <w:u w:val="single" w:color="2E97D3"/>
        </w:rPr>
        <w:t>(Revised 10/2017)</w:t>
      </w:r>
    </w:p>
    <w:p>
      <w:pPr>
        <w:pStyle w:val="BodyText"/>
        <w:spacing w:before="8"/>
        <w:rPr>
          <w:sz w:val="19"/>
        </w:rPr>
      </w:pPr>
    </w:p>
    <w:p>
      <w:pPr>
        <w:pStyle w:val="Heading1"/>
        <w:spacing w:line="298" w:lineRule="exact" w:before="90"/>
        <w:ind w:firstLine="0"/>
        <w:rPr>
          <w:u w:val="none"/>
        </w:rPr>
      </w:pPr>
      <w:r>
        <w:rPr/>
        <w:pict>
          <v:line style="position:absolute;mso-position-horizontal-relative:page;mso-position-vertical-relative:paragraph;z-index:15496" from="33.360001pt,19.574831pt" to="33.360001pt,47.173831pt" stroked="true" strokeweight=".72pt" strokecolor="#000000">
            <v:stroke dashstyle="solid"/>
            <w10:wrap type="none"/>
          </v:line>
        </w:pict>
      </w:r>
      <w:bookmarkStart w:name="Number and Distribution of Copies:" w:id="61"/>
      <w:bookmarkEnd w:id="61"/>
      <w:r>
        <w:rPr>
          <w:b w:val="0"/>
          <w:u w:val="none"/>
        </w:rPr>
      </w:r>
      <w:r>
        <w:rPr>
          <w:u w:val="none"/>
        </w:rPr>
        <w:t>Number and Distribution of Copies:</w:t>
      </w:r>
    </w:p>
    <w:p>
      <w:pPr>
        <w:pStyle w:val="BodyText"/>
        <w:ind w:left="1240" w:right="133" w:firstLine="240"/>
      </w:pPr>
      <w:r>
        <w:rPr/>
        <w:pict>
          <v:line style="position:absolute;mso-position-horizontal-relative:page;mso-position-vertical-relative:paragraph;z-index:-457288" from="90pt,8.436359pt" to="102pt,8.436359pt" stroked="true" strokeweight=".599pt" strokecolor="#2e97d3">
            <v:stroke dashstyle="solid"/>
            <w10:wrap type="none"/>
          </v:line>
        </w:pict>
      </w:r>
      <w:r>
        <w:rPr/>
        <w:pict>
          <v:line style="position:absolute;mso-position-horizontal-relative:page;mso-position-vertical-relative:paragraph;z-index:-457264" from="277.440002pt,22.235859pt" to="280.800002pt,22.235859pt" stroked="true" strokeweight=".6pt" strokecolor="#2e97d3">
            <v:stroke dashstyle="solid"/>
            <w10:wrap type="none"/>
          </v:line>
        </w:pict>
      </w:r>
      <w:r>
        <w:rPr/>
        <w:t>Four copies of BR, </w:t>
      </w:r>
      <w:r>
        <w:rPr>
          <w:strike/>
          <w:color w:val="2E97D3"/>
          <w:u w:val="single" w:color="2E97D3"/>
        </w:rPr>
        <w:t>STD.26</w:t>
      </w:r>
      <w:hyperlink r:id="rId106">
        <w:r>
          <w:rPr>
            <w:strike w:val="0"/>
            <w:color w:val="2E97D3"/>
            <w:u w:val="single" w:color="2E97D3"/>
          </w:rPr>
          <w:t>STD.26</w:t>
        </w:r>
      </w:hyperlink>
      <w:r>
        <w:rPr>
          <w:strike w:val="0"/>
        </w:rPr>
        <w:t>, are required by the Finance budget staff, one of which is returned after approval. The original is forwarded to </w:t>
      </w:r>
      <w:r>
        <w:rPr>
          <w:strike/>
          <w:color w:val="2E97D3"/>
          <w:u w:val="single" w:color="2E97D3"/>
        </w:rPr>
        <w:t>SCO </w:t>
      </w:r>
      <w:hyperlink r:id="rId69">
        <w:r>
          <w:rPr>
            <w:strike w:val="0"/>
            <w:color w:val="2E97D3"/>
            <w:u w:val="single" w:color="2E97D3"/>
          </w:rPr>
          <w:t>SCO</w:t>
        </w:r>
      </w:hyperlink>
      <w:r>
        <w:rPr>
          <w:strike w:val="0"/>
          <w:color w:val="2E97D3"/>
          <w:u w:val="single" w:color="2E97D3"/>
        </w:rPr>
        <w:t> </w:t>
      </w:r>
      <w:r>
        <w:rPr>
          <w:strike w:val="0"/>
        </w:rPr>
        <w:t>whenever the request involves any of the following changes of a Budget Act appropriation:</w:t>
      </w:r>
    </w:p>
    <w:p>
      <w:pPr>
        <w:pStyle w:val="ListParagraph"/>
        <w:numPr>
          <w:ilvl w:val="1"/>
          <w:numId w:val="33"/>
        </w:numPr>
        <w:tabs>
          <w:tab w:pos="1480" w:val="left" w:leader="none"/>
          <w:tab w:pos="2199" w:val="left" w:leader="none"/>
        </w:tabs>
        <w:spacing w:line="470" w:lineRule="atLeast" w:before="88" w:after="0"/>
        <w:ind w:left="1240" w:right="358" w:hanging="120"/>
        <w:jc w:val="left"/>
        <w:rPr>
          <w:sz w:val="24"/>
        </w:rPr>
      </w:pPr>
      <w:r>
        <w:rPr/>
        <w:pict>
          <v:line style="position:absolute;mso-position-horizontal-relative:page;mso-position-vertical-relative:paragraph;z-index:-457240" from="291.480011pt,46.177029pt" to="294.840011pt,46.177029pt" stroked="true" strokeweight=".6pt" strokecolor="#2e97d3">
            <v:stroke dashstyle="solid"/>
            <w10:wrap type="none"/>
          </v:line>
        </w:pict>
      </w:r>
      <w:r>
        <w:rPr/>
        <w:pict>
          <v:line style="position:absolute;mso-position-horizontal-relative:page;mso-position-vertical-relative:paragraph;z-index:15520" from="33.360001pt,14.197029pt" to="33.360001pt,51.877029pt" stroked="true" strokeweight=".72pt" strokecolor="#000000">
            <v:stroke dashstyle="solid"/>
            <w10:wrap type="none"/>
          </v:line>
        </w:pict>
      </w:r>
      <w:r>
        <w:rPr>
          <w:strike/>
          <w:color w:val="2E97D3"/>
          <w:sz w:val="24"/>
        </w:rPr>
        <w:t>Remove payables from the main item and schedule the subsidiary items (BR-1). </w:t>
      </w:r>
      <w:r>
        <w:rPr>
          <w:strike w:val="0"/>
          <w:color w:val="2E97D3"/>
          <w:spacing w:val="-3"/>
          <w:sz w:val="24"/>
          <w:u w:val="single" w:color="2E97D3"/>
        </w:rPr>
        <w:t>a. </w:t>
      </w:r>
      <w:r>
        <w:rPr>
          <w:strike w:val="0"/>
          <w:color w:val="2E97D3"/>
          <w:spacing w:val="35"/>
          <w:sz w:val="24"/>
          <w:u w:val="single" w:color="2E97D3"/>
        </w:rPr>
        <w:t> </w:t>
      </w:r>
      <w:r>
        <w:rPr>
          <w:strike/>
          <w:color w:val="2E97D3"/>
          <w:sz w:val="24"/>
        </w:rPr>
        <w:t>b.</w:t>
        <w:tab/>
      </w:r>
      <w:r>
        <w:rPr>
          <w:strike w:val="0"/>
          <w:sz w:val="24"/>
        </w:rPr>
        <w:t>Transfers between programs</w:t>
      </w:r>
      <w:r>
        <w:rPr>
          <w:strike w:val="0"/>
          <w:color w:val="2E97D3"/>
          <w:sz w:val="24"/>
        </w:rPr>
        <w:t>, </w:t>
      </w:r>
      <w:r>
        <w:rPr>
          <w:strike w:val="0"/>
          <w:color w:val="2E97D3"/>
          <w:sz w:val="24"/>
          <w:u w:val="single" w:color="2E97D3"/>
        </w:rPr>
        <w:t>or </w:t>
      </w:r>
      <w:r>
        <w:rPr>
          <w:strike w:val="0"/>
          <w:sz w:val="24"/>
        </w:rPr>
        <w:t>projects</w:t>
      </w:r>
      <w:r>
        <w:rPr>
          <w:strike/>
          <w:color w:val="2E97D3"/>
          <w:sz w:val="24"/>
        </w:rPr>
        <w:t>, or categories </w:t>
      </w:r>
      <w:r>
        <w:rPr>
          <w:strike w:val="0"/>
          <w:sz w:val="24"/>
        </w:rPr>
        <w:t>scheduled</w:t>
      </w:r>
      <w:r>
        <w:rPr>
          <w:strike w:val="0"/>
          <w:spacing w:val="-33"/>
          <w:sz w:val="24"/>
        </w:rPr>
        <w:t> </w:t>
      </w:r>
      <w:r>
        <w:rPr>
          <w:strike w:val="0"/>
          <w:sz w:val="24"/>
        </w:rPr>
        <w:t>in</w:t>
      </w:r>
    </w:p>
    <w:p>
      <w:pPr>
        <w:pStyle w:val="BodyText"/>
        <w:spacing w:before="2"/>
        <w:ind w:left="1600"/>
      </w:pPr>
      <w:r>
        <w:rPr/>
        <w:t>the Budget Act.</w:t>
      </w:r>
    </w:p>
    <w:p>
      <w:pPr>
        <w:pStyle w:val="ListParagraph"/>
        <w:numPr>
          <w:ilvl w:val="1"/>
          <w:numId w:val="33"/>
        </w:numPr>
        <w:tabs>
          <w:tab w:pos="1600" w:val="left" w:leader="none"/>
          <w:tab w:pos="2199" w:val="left" w:leader="none"/>
        </w:tabs>
        <w:spacing w:line="240" w:lineRule="auto" w:before="197" w:after="0"/>
        <w:ind w:left="1600" w:right="0" w:hanging="360"/>
        <w:jc w:val="left"/>
        <w:rPr>
          <w:sz w:val="24"/>
        </w:rPr>
      </w:pPr>
      <w:r>
        <w:rPr/>
        <w:pict>
          <v:line style="position:absolute;mso-position-horizontal-relative:page;mso-position-vertical-relative:paragraph;z-index:15544" from="33.360001pt,8.385845pt" to="33.360001pt,23.865845pt" stroked="true" strokeweight=".72pt" strokecolor="#000000">
            <v:stroke dashstyle="solid"/>
            <w10:wrap type="none"/>
          </v:line>
        </w:pict>
      </w:r>
      <w:r>
        <w:rPr>
          <w:strike/>
          <w:color w:val="2E97D3"/>
          <w:sz w:val="24"/>
        </w:rPr>
        <w:t>c.</w:t>
        <w:tab/>
      </w:r>
      <w:r>
        <w:rPr>
          <w:strike w:val="0"/>
          <w:sz w:val="24"/>
        </w:rPr>
        <w:t>Transfers between projects of a major construction</w:t>
      </w:r>
      <w:r>
        <w:rPr>
          <w:strike w:val="0"/>
          <w:spacing w:val="-29"/>
          <w:sz w:val="24"/>
        </w:rPr>
        <w:t> </w:t>
      </w:r>
      <w:r>
        <w:rPr>
          <w:strike w:val="0"/>
          <w:sz w:val="24"/>
        </w:rPr>
        <w:t>appropriation.</w:t>
      </w:r>
    </w:p>
    <w:p>
      <w:pPr>
        <w:pStyle w:val="BodyText"/>
        <w:ind w:left="1600"/>
      </w:pPr>
      <w:r>
        <w:rPr/>
        <w:t>Generally, STD. 26 is not used for capital outlay</w:t>
      </w:r>
      <w:r>
        <w:rPr>
          <w:spacing w:val="-52"/>
        </w:rPr>
        <w:t> </w:t>
      </w:r>
      <w:r>
        <w:rPr/>
        <w:t>adjustments.</w:t>
      </w:r>
    </w:p>
    <w:p>
      <w:pPr>
        <w:pStyle w:val="ListParagraph"/>
        <w:numPr>
          <w:ilvl w:val="1"/>
          <w:numId w:val="33"/>
        </w:numPr>
        <w:tabs>
          <w:tab w:pos="1600" w:val="left" w:leader="none"/>
          <w:tab w:pos="2199" w:val="left" w:leader="none"/>
        </w:tabs>
        <w:spacing w:line="240" w:lineRule="auto" w:before="199" w:after="0"/>
        <w:ind w:left="1600" w:right="719" w:hanging="360"/>
        <w:jc w:val="left"/>
        <w:rPr>
          <w:sz w:val="24"/>
        </w:rPr>
      </w:pPr>
      <w:r>
        <w:rPr/>
        <w:pict>
          <v:line style="position:absolute;mso-position-horizontal-relative:page;mso-position-vertical-relative:paragraph;z-index:-457216" from="357.600006pt,18.385847pt" to="360.961006pt,18.385847pt" stroked="true" strokeweight=".6pt" strokecolor="#2e97d3">
            <v:stroke dashstyle="solid"/>
            <w10:wrap type="none"/>
          </v:line>
        </w:pict>
      </w:r>
      <w:r>
        <w:rPr/>
        <w:pict>
          <v:line style="position:absolute;mso-position-horizontal-relative:page;mso-position-vertical-relative:paragraph;z-index:15568" from="33.360001pt,8.365848pt" to="33.360001pt,23.965848pt" stroked="true" strokeweight=".72pt" strokecolor="#000000">
            <v:stroke dashstyle="solid"/>
            <w10:wrap type="none"/>
          </v:line>
        </w:pict>
      </w:r>
      <w:r>
        <w:rPr>
          <w:strike/>
          <w:color w:val="2E97D3"/>
          <w:sz w:val="24"/>
        </w:rPr>
        <w:t>d.</w:t>
        <w:tab/>
      </w:r>
      <w:r>
        <w:rPr>
          <w:strike w:val="0"/>
          <w:sz w:val="24"/>
        </w:rPr>
        <w:t>Augmentations or reductions in programs</w:t>
      </w:r>
      <w:r>
        <w:rPr>
          <w:strike w:val="0"/>
          <w:color w:val="2E97D3"/>
          <w:sz w:val="24"/>
        </w:rPr>
        <w:t>, </w:t>
      </w:r>
      <w:r>
        <w:rPr>
          <w:strike w:val="0"/>
          <w:color w:val="2E97D3"/>
          <w:sz w:val="24"/>
          <w:u w:val="single" w:color="2E97D3"/>
        </w:rPr>
        <w:t>or </w:t>
      </w:r>
      <w:r>
        <w:rPr>
          <w:strike w:val="0"/>
          <w:sz w:val="24"/>
        </w:rPr>
        <w:t>projects </w:t>
      </w:r>
      <w:r>
        <w:rPr>
          <w:strike/>
          <w:color w:val="2E97D3"/>
          <w:sz w:val="24"/>
        </w:rPr>
        <w:t>or</w:t>
      </w:r>
      <w:r>
        <w:rPr>
          <w:strike/>
          <w:color w:val="2E97D3"/>
          <w:spacing w:val="-33"/>
          <w:sz w:val="24"/>
        </w:rPr>
        <w:t> </w:t>
      </w:r>
      <w:r>
        <w:rPr>
          <w:strike/>
          <w:color w:val="2E97D3"/>
          <w:sz w:val="24"/>
        </w:rPr>
        <w:t>categories</w:t>
      </w:r>
      <w:r>
        <w:rPr>
          <w:strike/>
          <w:color w:val="2E97D3"/>
          <w:spacing w:val="-6"/>
          <w:sz w:val="24"/>
        </w:rPr>
        <w:t> </w:t>
      </w:r>
      <w:r>
        <w:rPr>
          <w:strike w:val="0"/>
          <w:sz w:val="24"/>
        </w:rPr>
        <w:t>by reason of increases or decreases in</w:t>
      </w:r>
      <w:r>
        <w:rPr>
          <w:strike w:val="0"/>
          <w:spacing w:val="-42"/>
          <w:sz w:val="24"/>
        </w:rPr>
        <w:t> </w:t>
      </w:r>
      <w:r>
        <w:rPr>
          <w:strike w:val="0"/>
          <w:sz w:val="24"/>
        </w:rPr>
        <w:t>reimbursements.</w:t>
      </w:r>
    </w:p>
    <w:p>
      <w:pPr>
        <w:pStyle w:val="ListParagraph"/>
        <w:numPr>
          <w:ilvl w:val="1"/>
          <w:numId w:val="33"/>
        </w:numPr>
        <w:tabs>
          <w:tab w:pos="1600" w:val="left" w:leader="none"/>
          <w:tab w:pos="2199" w:val="left" w:leader="none"/>
        </w:tabs>
        <w:spacing w:line="240" w:lineRule="auto" w:before="199" w:after="0"/>
        <w:ind w:left="1600" w:right="0" w:hanging="360"/>
        <w:jc w:val="left"/>
        <w:rPr>
          <w:sz w:val="24"/>
        </w:rPr>
      </w:pPr>
      <w:r>
        <w:rPr/>
        <w:pict>
          <v:line style="position:absolute;mso-position-horizontal-relative:page;mso-position-vertical-relative:paragraph;z-index:15592" from="33.360001pt,8.36485pt" to="33.360001pt,32.965850pt" stroked="true" strokeweight=".72pt" strokecolor="#000000">
            <v:stroke dashstyle="solid"/>
            <w10:wrap type="none"/>
          </v:line>
        </w:pict>
      </w:r>
      <w:r>
        <w:rPr>
          <w:strike/>
          <w:color w:val="2E97D3"/>
          <w:sz w:val="24"/>
        </w:rPr>
        <w:t>e.</w:t>
        <w:tab/>
      </w:r>
      <w:r>
        <w:rPr>
          <w:strike w:val="0"/>
          <w:sz w:val="24"/>
        </w:rPr>
        <w:t>Scheduling the detail of unallocated</w:t>
      </w:r>
      <w:r>
        <w:rPr>
          <w:strike w:val="0"/>
          <w:spacing w:val="-44"/>
          <w:sz w:val="24"/>
        </w:rPr>
        <w:t> </w:t>
      </w:r>
      <w:r>
        <w:rPr>
          <w:strike w:val="0"/>
          <w:sz w:val="24"/>
        </w:rPr>
        <w:t>adjustments.</w:t>
      </w:r>
    </w:p>
    <w:p>
      <w:pPr>
        <w:spacing w:after="0" w:line="240" w:lineRule="auto"/>
        <w:jc w:val="left"/>
        <w:rPr>
          <w:sz w:val="24"/>
        </w:rPr>
        <w:sectPr>
          <w:pgSz w:w="12240" w:h="15840"/>
          <w:pgMar w:header="728" w:footer="792" w:top="1540" w:bottom="1060" w:left="560" w:right="1340"/>
        </w:sectPr>
      </w:pPr>
    </w:p>
    <w:p>
      <w:pPr>
        <w:pStyle w:val="BodyText"/>
        <w:spacing w:before="4"/>
        <w:rPr>
          <w:sz w:val="16"/>
        </w:rPr>
      </w:pPr>
    </w:p>
    <w:p>
      <w:pPr>
        <w:tabs>
          <w:tab w:pos="9587" w:val="left" w:leader="none"/>
        </w:tabs>
        <w:spacing w:before="93"/>
        <w:ind w:left="759" w:right="0" w:firstLine="0"/>
        <w:jc w:val="left"/>
        <w:rPr>
          <w:b/>
          <w:sz w:val="24"/>
        </w:rPr>
      </w:pPr>
      <w:r>
        <w:rPr/>
        <w:pict>
          <v:line style="position:absolute;mso-position-horizontal-relative:page;mso-position-vertical-relative:paragraph;z-index:15688" from="33.360001pt,18.665855pt" to="33.360001pt,32.465855pt" stroked="true" strokeweight=".72pt" strokecolor="#000000">
            <v:stroke dashstyle="solid"/>
            <w10:wrap type="none"/>
          </v:line>
        </w:pict>
      </w:r>
      <w:r>
        <w:rPr>
          <w:b/>
          <w:sz w:val="24"/>
        </w:rPr>
        <w:t>INTRASCHEDULE TRANSFERS, SECTION 26.00 OF THE</w:t>
      </w:r>
      <w:r>
        <w:rPr>
          <w:b/>
          <w:spacing w:val="-13"/>
          <w:sz w:val="24"/>
        </w:rPr>
        <w:t> </w:t>
      </w:r>
      <w:r>
        <w:rPr>
          <w:b/>
          <w:sz w:val="24"/>
        </w:rPr>
        <w:t>BUDGET</w:t>
      </w:r>
      <w:r>
        <w:rPr>
          <w:b/>
          <w:spacing w:val="-1"/>
          <w:sz w:val="24"/>
        </w:rPr>
        <w:t> </w:t>
      </w:r>
      <w:r>
        <w:rPr>
          <w:b/>
          <w:spacing w:val="-3"/>
          <w:sz w:val="24"/>
        </w:rPr>
        <w:t>ACT</w:t>
        <w:tab/>
      </w:r>
      <w:r>
        <w:rPr>
          <w:b/>
          <w:sz w:val="24"/>
        </w:rPr>
        <w:t>6548</w:t>
      </w:r>
    </w:p>
    <w:p>
      <w:pPr>
        <w:pStyle w:val="BodyText"/>
        <w:ind w:left="760"/>
      </w:pPr>
      <w:r>
        <w:rPr/>
        <w:t>(Revised </w:t>
      </w:r>
      <w:r>
        <w:rPr>
          <w:strike/>
          <w:color w:val="2E97D3"/>
        </w:rPr>
        <w:t>9/2010</w:t>
      </w:r>
      <w:r>
        <w:rPr>
          <w:strike w:val="0"/>
          <w:color w:val="2E97D3"/>
          <w:u w:val="single" w:color="2E97D3"/>
        </w:rPr>
        <w:t>10/2017</w:t>
      </w:r>
      <w:r>
        <w:rPr>
          <w:strike w:val="0"/>
        </w:rPr>
        <w:t>)</w:t>
      </w:r>
    </w:p>
    <w:p>
      <w:pPr>
        <w:pStyle w:val="BodyText"/>
        <w:spacing w:before="11"/>
        <w:rPr>
          <w:sz w:val="15"/>
        </w:rPr>
      </w:pPr>
    </w:p>
    <w:p>
      <w:pPr>
        <w:pStyle w:val="BodyText"/>
        <w:spacing w:before="92"/>
        <w:ind w:left="760" w:right="515"/>
      </w:pPr>
      <w:r>
        <w:rPr/>
        <w:pict>
          <v:line style="position:absolute;mso-position-horizontal-relative:page;mso-position-vertical-relative:paragraph;z-index:-457048" from="195.479996pt,40.63583pt" to="198.839996pt,40.63583pt" stroked="true" strokeweight=".6pt" strokecolor="#2e97d3">
            <v:stroke dashstyle="solid"/>
            <w10:wrap type="none"/>
          </v:line>
        </w:pict>
      </w:r>
      <w:r>
        <w:rPr/>
        <w:pict>
          <v:line style="position:absolute;mso-position-horizontal-relative:page;mso-position-vertical-relative:paragraph;z-index:-457024" from="405.600006pt,54.435829pt" to="408.960006pt,54.435829pt" stroked="true" strokeweight=".6pt" strokecolor="#2e97d3">
            <v:stroke dashstyle="solid"/>
            <w10:wrap type="none"/>
          </v:line>
        </w:pict>
      </w:r>
      <w:r>
        <w:rPr/>
        <w:pict>
          <v:line style="position:absolute;mso-position-horizontal-relative:page;mso-position-vertical-relative:paragraph;z-index:15712" from="33.360001pt,32.415829pt" to="33.360001pt,60.015829pt" stroked="true" strokeweight=".72pt" strokecolor="#000000">
            <v:stroke dashstyle="solid"/>
            <w10:wrap type="none"/>
          </v:line>
        </w:pict>
      </w:r>
      <w:r>
        <w:rPr/>
        <w:t>Section 26.00 authorizes Finance to augment any program, project, or function of an appropriation by transfer from any other program, project, or function scheduled within the same appropriation. However, augmentations by such transfer are limited to specific percentage increases as detailed in the control section. Departmental fiscal staff should be familiar with all the provisions of this section.</w:t>
      </w:r>
    </w:p>
    <w:p>
      <w:pPr>
        <w:pStyle w:val="BodyText"/>
        <w:spacing w:before="8"/>
        <w:rPr>
          <w:sz w:val="23"/>
        </w:rPr>
      </w:pPr>
    </w:p>
    <w:p>
      <w:pPr>
        <w:pStyle w:val="BodyText"/>
        <w:ind w:left="760" w:right="101"/>
      </w:pPr>
      <w:r>
        <w:rPr/>
        <w:pict>
          <v:line style="position:absolute;mso-position-horizontal-relative:page;mso-position-vertical-relative:paragraph;z-index:15736" from="33.360001pt,.215837pt" to="33.360001pt,72.215837pt" stroked="true" strokeweight=".72pt" strokecolor="#000000">
            <v:stroke dashstyle="solid"/>
            <w10:wrap type="none"/>
          </v:line>
        </w:pict>
      </w:r>
      <w:r>
        <w:rPr>
          <w:strike/>
          <w:color w:val="2E97D3"/>
        </w:rPr>
        <w:t>To comply with Section 26.00, each</w:t>
      </w:r>
      <w:r>
        <w:rPr>
          <w:strike w:val="0"/>
          <w:color w:val="2E97D3"/>
          <w:u w:val="single" w:color="2E97D3"/>
        </w:rPr>
        <w:t>Each </w:t>
      </w:r>
      <w:r>
        <w:rPr>
          <w:strike w:val="0"/>
        </w:rPr>
        <w:t>department requesting a transfer </w:t>
      </w:r>
      <w:r>
        <w:rPr>
          <w:strike/>
          <w:color w:val="2E97D3"/>
        </w:rPr>
        <w:t>will proceed as follows:</w:t>
      </w:r>
    </w:p>
    <w:p>
      <w:pPr>
        <w:pStyle w:val="BodyText"/>
        <w:spacing w:before="11"/>
        <w:rPr>
          <w:sz w:val="23"/>
        </w:rPr>
      </w:pPr>
    </w:p>
    <w:p>
      <w:pPr>
        <w:pStyle w:val="ListParagraph"/>
        <w:numPr>
          <w:ilvl w:val="0"/>
          <w:numId w:val="34"/>
        </w:numPr>
        <w:tabs>
          <w:tab w:pos="1479" w:val="left" w:leader="none"/>
          <w:tab w:pos="1480" w:val="left" w:leader="none"/>
        </w:tabs>
        <w:spacing w:line="256" w:lineRule="auto" w:before="0" w:after="0"/>
        <w:ind w:left="760" w:right="182" w:firstLine="0"/>
        <w:jc w:val="left"/>
        <w:rPr>
          <w:sz w:val="24"/>
        </w:rPr>
      </w:pPr>
      <w:r>
        <w:rPr/>
        <w:pict>
          <v:line style="position:absolute;mso-position-horizontal-relative:page;mso-position-vertical-relative:paragraph;z-index:-457000" from="210.119995pt,24.24444pt" to="213.479995pt,24.24444pt" stroked="true" strokeweight=".6pt" strokecolor="#2e97d3">
            <v:stroke dashstyle="solid"/>
            <w10:wrap type="none"/>
          </v:line>
        </w:pict>
      </w:r>
      <w:r>
        <w:rPr/>
        <w:pict>
          <v:line style="position:absolute;mso-position-horizontal-relative:page;mso-position-vertical-relative:paragraph;z-index:15760" from="33.360001pt,53.705441pt" to="33.360001pt,109.744441pt" stroked="true" strokeweight=".72pt" strokecolor="#000000">
            <v:stroke dashstyle="solid"/>
            <w10:wrap type="none"/>
          </v:line>
        </w:pict>
      </w:r>
      <w:r>
        <w:rPr>
          <w:strike/>
          <w:color w:val="2E97D3"/>
          <w:sz w:val="24"/>
        </w:rPr>
        <w:t>A</w:t>
      </w:r>
      <w:r>
        <w:rPr>
          <w:strike w:val="0"/>
          <w:color w:val="2E97D3"/>
          <w:sz w:val="24"/>
          <w:u w:val="single" w:color="2E97D3"/>
        </w:rPr>
        <w:t>using Section 26.00 must submit a </w:t>
      </w:r>
      <w:r>
        <w:rPr>
          <w:strike w:val="0"/>
          <w:sz w:val="24"/>
        </w:rPr>
        <w:t>separate </w:t>
      </w:r>
      <w:r>
        <w:rPr>
          <w:strike/>
          <w:color w:val="2E97D3"/>
          <w:sz w:val="24"/>
          <w:u w:val="single" w:color="2E97D3"/>
        </w:rPr>
        <w:t>STD. 26 </w:t>
      </w:r>
      <w:r>
        <w:rPr>
          <w:strike/>
          <w:color w:val="2E97D3"/>
          <w:sz w:val="24"/>
        </w:rPr>
        <w:t>must be submitted </w:t>
      </w:r>
      <w:hyperlink r:id="rId106">
        <w:r>
          <w:rPr>
            <w:strike w:val="0"/>
            <w:color w:val="2E97D3"/>
            <w:sz w:val="24"/>
            <w:u w:val="single" w:color="2E97D3"/>
          </w:rPr>
          <w:t>STD. 26 </w:t>
        </w:r>
      </w:hyperlink>
      <w:r>
        <w:rPr>
          <w:strike w:val="0"/>
          <w:sz w:val="24"/>
        </w:rPr>
        <w:t>for each proposed transfer. The revision should contain no other transaction and clearly state the need and purpose for the</w:t>
      </w:r>
      <w:r>
        <w:rPr>
          <w:strike w:val="0"/>
          <w:spacing w:val="-19"/>
          <w:sz w:val="24"/>
        </w:rPr>
        <w:t> </w:t>
      </w:r>
      <w:r>
        <w:rPr>
          <w:strike w:val="0"/>
          <w:sz w:val="24"/>
        </w:rPr>
        <w:t>transfer.</w:t>
      </w:r>
    </w:p>
    <w:p>
      <w:pPr>
        <w:pStyle w:val="BodyText"/>
        <w:spacing w:before="2"/>
        <w:rPr>
          <w:sz w:val="38"/>
        </w:rPr>
      </w:pPr>
    </w:p>
    <w:p>
      <w:pPr>
        <w:pStyle w:val="ListParagraph"/>
        <w:numPr>
          <w:ilvl w:val="1"/>
          <w:numId w:val="34"/>
        </w:numPr>
        <w:tabs>
          <w:tab w:pos="1299" w:val="left" w:leader="none"/>
          <w:tab w:pos="1300" w:val="left" w:leader="none"/>
          <w:tab w:pos="6025" w:val="left" w:leader="none"/>
        </w:tabs>
        <w:spacing w:line="240" w:lineRule="auto" w:before="1" w:after="0"/>
        <w:ind w:left="1300" w:right="602" w:hanging="360"/>
        <w:jc w:val="left"/>
        <w:rPr>
          <w:sz w:val="24"/>
        </w:rPr>
      </w:pPr>
      <w:r>
        <w:rPr>
          <w:strike/>
          <w:color w:val="2E97D3"/>
          <w:sz w:val="24"/>
        </w:rPr>
        <w:t>The following certification will be typed on the face of the Budget Revision: “The provisions of Section 26, Budget Act</w:t>
      </w:r>
      <w:r>
        <w:rPr>
          <w:strike/>
          <w:color w:val="2E97D3"/>
          <w:spacing w:val="-11"/>
          <w:sz w:val="24"/>
        </w:rPr>
        <w:t> </w:t>
      </w:r>
      <w:r>
        <w:rPr>
          <w:strike/>
          <w:color w:val="2E97D3"/>
          <w:sz w:val="24"/>
        </w:rPr>
        <w:t>of</w:t>
      </w:r>
      <w:r>
        <w:rPr>
          <w:strike/>
          <w:color w:val="2E97D3"/>
          <w:spacing w:val="-2"/>
          <w:sz w:val="24"/>
        </w:rPr>
        <w:t> </w:t>
      </w:r>
      <w:r>
        <w:rPr>
          <w:strike/>
          <w:color w:val="2E97D3"/>
          <w:sz w:val="24"/>
        </w:rPr>
        <w:t>20</w:t>
        <w:tab/>
        <w:t>, have been</w:t>
      </w:r>
      <w:r>
        <w:rPr>
          <w:strike/>
          <w:color w:val="2E97D3"/>
          <w:spacing w:val="-13"/>
          <w:sz w:val="24"/>
        </w:rPr>
        <w:t> </w:t>
      </w:r>
      <w:r>
        <w:rPr>
          <w:strike/>
          <w:color w:val="2E97D3"/>
          <w:sz w:val="24"/>
        </w:rPr>
        <w:t>satisfied.”</w:t>
      </w:r>
    </w:p>
    <w:p>
      <w:pPr>
        <w:pStyle w:val="BodyText"/>
        <w:rPr>
          <w:sz w:val="20"/>
        </w:rPr>
      </w:pPr>
    </w:p>
    <w:p>
      <w:pPr>
        <w:pStyle w:val="BodyText"/>
        <w:spacing w:before="214"/>
        <w:ind w:left="760" w:right="167"/>
      </w:pPr>
      <w:r>
        <w:rPr/>
        <w:t>Any transfer in excess of $200,000, or in excess of the limitations provided in the control section, may be authorized not sooner than 30 days after notification in writing of the necessity for the request is provided to the Joint Legislative Budget Committee and to the Chair of each of the legislative committees and appropriate subcommittees.</w:t>
      </w:r>
    </w:p>
    <w:p>
      <w:pPr>
        <w:spacing w:after="0"/>
        <w:sectPr>
          <w:headerReference w:type="default" r:id="rId112"/>
          <w:pgSz w:w="12240" w:h="15840"/>
          <w:pgMar w:header="728" w:footer="792" w:top="980" w:bottom="1060" w:left="560" w:right="1260"/>
        </w:sectPr>
      </w:pPr>
    </w:p>
    <w:p>
      <w:pPr>
        <w:pStyle w:val="BodyText"/>
        <w:spacing w:before="11"/>
        <w:rPr>
          <w:sz w:val="15"/>
        </w:rPr>
      </w:pPr>
    </w:p>
    <w:p>
      <w:pPr>
        <w:pStyle w:val="Heading2"/>
        <w:tabs>
          <w:tab w:pos="9707" w:val="left" w:leader="none"/>
        </w:tabs>
        <w:spacing w:before="92"/>
        <w:ind w:left="880"/>
      </w:pPr>
      <w:r>
        <w:rPr/>
        <w:pict>
          <v:line style="position:absolute;mso-position-horizontal-relative:page;mso-position-vertical-relative:paragraph;z-index:-456880" from="351.959991pt,13.035854pt" to="355.319991pt,13.035854pt" stroked="true" strokeweight=".6pt" strokecolor="#2e97d3">
            <v:stroke dashstyle="solid"/>
            <w10:wrap type="none"/>
          </v:line>
        </w:pict>
      </w:r>
      <w:r>
        <w:rPr/>
        <w:pict>
          <v:line style="position:absolute;mso-position-horizontal-relative:page;mso-position-vertical-relative:paragraph;z-index:16120" from="33.360001pt,4.815855pt" to="33.360001pt,32.415855pt" stroked="true" strokeweight=".72pt" strokecolor="#000000">
            <v:stroke dashstyle="solid"/>
            <w10:wrap type="none"/>
          </v:line>
        </w:pict>
      </w:r>
      <w:bookmarkStart w:name="SECTION 28.00 AND SECTION 28.50 REPORTIN" w:id="62"/>
      <w:bookmarkEnd w:id="62"/>
      <w:r>
        <w:rPr>
          <w:b w:val="0"/>
        </w:rPr>
      </w:r>
      <w:r>
        <w:rPr/>
        <w:t>SECTION 28.00 </w:t>
      </w:r>
      <w:r>
        <w:rPr>
          <w:spacing w:val="-5"/>
        </w:rPr>
        <w:t>AND </w:t>
      </w:r>
      <w:r>
        <w:rPr/>
        <w:t>SECTION</w:t>
      </w:r>
      <w:r>
        <w:rPr>
          <w:spacing w:val="-7"/>
        </w:rPr>
        <w:t> </w:t>
      </w:r>
      <w:r>
        <w:rPr/>
        <w:t>28.50</w:t>
      </w:r>
      <w:r>
        <w:rPr>
          <w:spacing w:val="-4"/>
        </w:rPr>
        <w:t> </w:t>
      </w:r>
      <w:r>
        <w:rPr/>
        <w:t>REPORTING</w:t>
        <w:tab/>
        <w:t>6551</w:t>
      </w:r>
    </w:p>
    <w:p>
      <w:pPr>
        <w:pStyle w:val="BodyText"/>
        <w:ind w:left="880"/>
      </w:pPr>
      <w:r>
        <w:rPr/>
        <w:t>(Revised </w:t>
      </w:r>
      <w:r>
        <w:rPr>
          <w:strike/>
          <w:color w:val="2E97D3"/>
        </w:rPr>
        <w:t>9/2010</w:t>
      </w:r>
      <w:r>
        <w:rPr>
          <w:strike w:val="0"/>
          <w:color w:val="2E97D3"/>
          <w:u w:val="single" w:color="2E97D3"/>
        </w:rPr>
        <w:t>10/2017</w:t>
      </w:r>
      <w:r>
        <w:rPr>
          <w:strike w:val="0"/>
        </w:rPr>
        <w:t>)</w:t>
      </w:r>
    </w:p>
    <w:p>
      <w:pPr>
        <w:pStyle w:val="BodyText"/>
        <w:rPr>
          <w:sz w:val="16"/>
        </w:rPr>
      </w:pPr>
    </w:p>
    <w:p>
      <w:pPr>
        <w:pStyle w:val="BodyText"/>
        <w:spacing w:before="92"/>
        <w:ind w:left="880" w:right="160"/>
      </w:pPr>
      <w:r>
        <w:rPr/>
        <w:pict>
          <v:line style="position:absolute;mso-position-horizontal-relative:page;mso-position-vertical-relative:paragraph;z-index:16144" from="33.360001pt,4.81583pt" to="33.360001pt,32.41583pt" stroked="true" strokeweight=".72pt" strokecolor="#000000">
            <v:stroke dashstyle="solid"/>
            <w10:wrap type="none"/>
          </v:line>
        </w:pict>
      </w:r>
      <w:r>
        <w:rPr/>
        <w:pict>
          <v:line style="position:absolute;mso-position-horizontal-relative:page;mso-position-vertical-relative:paragraph;z-index:16168" from="33.360001pt,60.01683pt" to="33.360001pt,87.61583pt" stroked="true" strokeweight=".72pt" strokecolor="#000000">
            <v:stroke dashstyle="solid"/>
            <w10:wrap type="none"/>
          </v:line>
        </w:pict>
      </w:r>
      <w:r>
        <w:rPr/>
        <w:t>Departmental fiscal staff should be familiar with all the provisions of </w:t>
      </w:r>
      <w:r>
        <w:rPr>
          <w:strike/>
          <w:color w:val="2E97D3"/>
        </w:rPr>
        <w:t>these sections. </w:t>
      </w:r>
      <w:r>
        <w:rPr>
          <w:strike w:val="0"/>
          <w:color w:val="2E97D3"/>
          <w:u w:val="single" w:color="2E97D3"/>
        </w:rPr>
        <w:t>Section 28.00 and Section 28.50. </w:t>
      </w:r>
      <w:r>
        <w:rPr>
          <w:strike w:val="0"/>
        </w:rPr>
        <w:t>Section 28.00 (federal and other non-state funds) and Section 28.50 (reimbursements from state departments) require reporting to the Legislature of increases and decreases in the amounts available for expenditure which have not been previously considered and approved by the Legislature.</w:t>
      </w:r>
    </w:p>
    <w:p>
      <w:pPr>
        <w:pStyle w:val="BodyText"/>
        <w:spacing w:before="11"/>
        <w:rPr>
          <w:sz w:val="23"/>
        </w:rPr>
      </w:pPr>
    </w:p>
    <w:p>
      <w:pPr>
        <w:pStyle w:val="BodyText"/>
        <w:ind w:left="880" w:right="207"/>
      </w:pPr>
      <w:r>
        <w:rPr/>
        <w:pict>
          <v:line style="position:absolute;mso-position-horizontal-relative:page;mso-position-vertical-relative:paragraph;z-index:-456856" from="421.079987pt,68.195839pt" to="424.439987pt,68.195839pt" stroked="true" strokeweight=".84pt" strokecolor="#2e97d3">
            <v:stroke dashstyle="solid"/>
            <w10:wrap type="none"/>
          </v:line>
        </w:pict>
      </w:r>
      <w:r>
        <w:rPr/>
        <w:pict>
          <v:line style="position:absolute;mso-position-horizontal-relative:page;mso-position-vertical-relative:paragraph;z-index:16192" from="33.360001pt,27.815842pt" to="33.360001pt,83.015842pt" stroked="true" strokeweight=".72pt" strokecolor="#000000">
            <v:stroke dashstyle="solid"/>
            <w10:wrap type="none"/>
          </v:line>
        </w:pict>
      </w:r>
      <w:r>
        <w:rPr/>
        <w:t>The majority of Section 28.00 and Section 28.50 actions are necessitated by a department or agency receiving federal funds and reimbursements which have not been previously considered by the Legislature in the regular budget review process. </w:t>
      </w:r>
      <w:r>
        <w:rPr>
          <w:strike/>
          <w:color w:val="2E97D3"/>
        </w:rPr>
        <w:t>In order to</w:t>
      </w:r>
      <w:r>
        <w:rPr>
          <w:strike w:val="0"/>
          <w:color w:val="2E97D3"/>
          <w:u w:val="single" w:color="2E97D3"/>
        </w:rPr>
        <w:t>To </w:t>
      </w:r>
      <w:r>
        <w:rPr>
          <w:strike w:val="0"/>
        </w:rPr>
        <w:t>minimize the number of Section 28.00 reports, every effort should be made by departments to anticipate federal funds which may be received</w:t>
      </w:r>
      <w:r>
        <w:rPr>
          <w:strike w:val="0"/>
          <w:color w:val="2E97D3"/>
        </w:rPr>
        <w:t>, </w:t>
      </w:r>
      <w:r>
        <w:rPr>
          <w:strike w:val="0"/>
        </w:rPr>
        <w:t>and to include in the Governor's Budget </w:t>
      </w:r>
      <w:r>
        <w:rPr>
          <w:strike w:val="0"/>
          <w:color w:val="2E97D3"/>
          <w:u w:val="single" w:color="2E97D3"/>
        </w:rPr>
        <w:t>or May Revision </w:t>
      </w:r>
      <w:r>
        <w:rPr>
          <w:strike w:val="0"/>
        </w:rPr>
        <w:t>a description of the project and a cost estimate.</w:t>
      </w:r>
    </w:p>
    <w:p>
      <w:pPr>
        <w:pStyle w:val="BodyText"/>
        <w:spacing w:before="9"/>
        <w:rPr>
          <w:sz w:val="15"/>
        </w:rPr>
      </w:pPr>
    </w:p>
    <w:p>
      <w:pPr>
        <w:pStyle w:val="BodyText"/>
        <w:spacing w:before="92"/>
        <w:ind w:left="879" w:right="162"/>
      </w:pPr>
      <w:r>
        <w:rPr/>
        <w:pict>
          <v:line style="position:absolute;mso-position-horizontal-relative:page;mso-position-vertical-relative:paragraph;z-index:-456832" from="207.600006pt,54.435863pt" to="210.840006pt,54.435863pt" stroked="true" strokeweight=".6pt" strokecolor="#2e97d3">
            <v:stroke dashstyle="solid"/>
            <w10:wrap type="none"/>
          </v:line>
        </w:pict>
      </w:r>
      <w:r>
        <w:rPr/>
        <w:pict>
          <v:line style="position:absolute;mso-position-horizontal-relative:page;mso-position-vertical-relative:paragraph;z-index:16216" from="33.360001pt,4.815862pt" to="33.360001pt,32.415862pt" stroked="true" strokeweight=".72pt" strokecolor="#000000">
            <v:stroke dashstyle="solid"/>
            <w10:wrap type="none"/>
          </v:line>
        </w:pict>
      </w:r>
      <w:r>
        <w:rPr/>
        <w:pict>
          <v:line style="position:absolute;mso-position-horizontal-relative:page;mso-position-vertical-relative:paragraph;z-index:16240" from="33.360001pt,46.214863pt" to="33.360001pt,60.015863pt" stroked="true" strokeweight=".72pt" strokecolor="#000000">
            <v:stroke dashstyle="solid"/>
            <w10:wrap type="none"/>
          </v:line>
        </w:pict>
      </w:r>
      <w:r>
        <w:rPr/>
        <w:t>Forms </w:t>
      </w:r>
      <w:r>
        <w:rPr>
          <w:strike/>
          <w:color w:val="2E97D3"/>
          <w:u w:val="single" w:color="2E97D3"/>
        </w:rPr>
        <w:t>DF-90 </w:t>
      </w:r>
      <w:r>
        <w:rPr>
          <w:strike/>
          <w:color w:val="2E97D3"/>
        </w:rPr>
        <w:t>(</w:t>
      </w:r>
      <w:hyperlink r:id="rId108">
        <w:r>
          <w:rPr>
            <w:strike w:val="0"/>
            <w:color w:val="2E97D3"/>
            <w:u w:val="single" w:color="2E97D3"/>
          </w:rPr>
          <w:t>DF–90</w:t>
        </w:r>
      </w:hyperlink>
      <w:r>
        <w:rPr>
          <w:strike w:val="0"/>
          <w:color w:val="2E97D3"/>
          <w:u w:val="single" w:color="2E97D3"/>
        </w:rPr>
        <w:t> (</w:t>
      </w:r>
      <w:r>
        <w:rPr>
          <w:strike w:val="0"/>
        </w:rPr>
        <w:t>Section 28.00) and </w:t>
      </w:r>
      <w:r>
        <w:rPr>
          <w:strike/>
          <w:color w:val="2E97D3"/>
          <w:u w:val="single" w:color="2E97D3"/>
        </w:rPr>
        <w:t>DF-91 </w:t>
      </w:r>
      <w:r>
        <w:rPr>
          <w:strike/>
          <w:color w:val="2E97D3"/>
        </w:rPr>
        <w:t>(</w:t>
      </w:r>
      <w:hyperlink r:id="rId113">
        <w:r>
          <w:rPr>
            <w:strike w:val="0"/>
            <w:color w:val="2E97D3"/>
            <w:u w:val="single" w:color="2E97D3"/>
          </w:rPr>
          <w:t>DF-91</w:t>
        </w:r>
      </w:hyperlink>
      <w:r>
        <w:rPr>
          <w:strike w:val="0"/>
          <w:color w:val="2E97D3"/>
          <w:u w:val="single" w:color="2E97D3"/>
        </w:rPr>
        <w:t> (</w:t>
      </w:r>
      <w:r>
        <w:rPr>
          <w:strike w:val="0"/>
        </w:rPr>
        <w:t>Section 28.50) are to be used by departments to request adjustments</w:t>
      </w:r>
      <w:r>
        <w:rPr>
          <w:strike/>
          <w:color w:val="2E97D3"/>
        </w:rPr>
        <w:t>. </w:t>
      </w:r>
      <w:r>
        <w:rPr>
          <w:strike w:val="0"/>
          <w:color w:val="2E97D3"/>
          <w:u w:val="single" w:color="2E97D3"/>
        </w:rPr>
        <w:t>to existing spending authority. </w:t>
      </w:r>
      <w:r>
        <w:rPr>
          <w:strike w:val="0"/>
        </w:rPr>
        <w:t>The primary responsibility for completing the information on the Section 28.00/28.50 forms rests with the applying department. The completed form may serve as an attachment to a transmittal letter to the Legislature prepared by Finance following a review of the application submitted.</w:t>
      </w:r>
    </w:p>
    <w:p>
      <w:pPr>
        <w:pStyle w:val="BodyText"/>
        <w:spacing w:before="6"/>
        <w:rPr>
          <w:sz w:val="27"/>
        </w:rPr>
      </w:pPr>
    </w:p>
    <w:p>
      <w:pPr>
        <w:pStyle w:val="Heading2"/>
        <w:ind w:left="851"/>
      </w:pPr>
      <w:bookmarkStart w:name="Section 28.00" w:id="63"/>
      <w:bookmarkEnd w:id="63"/>
      <w:r>
        <w:rPr>
          <w:b w:val="0"/>
        </w:rPr>
      </w:r>
      <w:r>
        <w:rPr/>
        <w:t>Section 28.00</w:t>
      </w:r>
    </w:p>
    <w:p>
      <w:pPr>
        <w:pStyle w:val="BodyText"/>
        <w:spacing w:before="8"/>
        <w:rPr>
          <w:b/>
          <w:sz w:val="23"/>
        </w:rPr>
      </w:pPr>
    </w:p>
    <w:p>
      <w:pPr>
        <w:pStyle w:val="BodyText"/>
        <w:spacing w:before="1"/>
        <w:ind w:left="880" w:right="293"/>
      </w:pPr>
      <w:r>
        <w:rPr/>
        <w:pict>
          <v:line style="position:absolute;mso-position-horizontal-relative:page;mso-position-vertical-relative:paragraph;z-index:-456808" from="316.200012pt,26.845367pt" to="319.561012pt,26.845367pt" stroked="true" strokeweight=".841pt" strokecolor="#2e97d3">
            <v:stroke dashstyle="solid"/>
            <w10:wrap type="none"/>
          </v:line>
        </w:pict>
      </w:r>
      <w:r>
        <w:rPr/>
        <w:pict>
          <v:line style="position:absolute;mso-position-horizontal-relative:page;mso-position-vertical-relative:paragraph;z-index:16264" from="33.360001pt,14.065866pt" to="33.360001pt,96.865866pt" stroked="true" strokeweight=".72pt" strokecolor="#000000">
            <v:stroke dashstyle="solid"/>
            <w10:wrap type="none"/>
          </v:line>
        </w:pict>
      </w:r>
      <w:r>
        <w:rPr/>
        <w:t>Section 28.00 authorizes Finance to approve the expenditure of unanticipated funds to be received from federal or local governments</w:t>
      </w:r>
      <w:r>
        <w:rPr>
          <w:color w:val="2E97D3"/>
        </w:rPr>
        <w:t>, </w:t>
      </w:r>
      <w:r>
        <w:rPr/>
        <w:t>or any other non-state entity.</w:t>
      </w:r>
    </w:p>
    <w:p>
      <w:pPr>
        <w:pStyle w:val="BodyText"/>
        <w:ind w:left="880" w:right="627"/>
      </w:pPr>
      <w:r>
        <w:rPr/>
        <w:pict>
          <v:line style="position:absolute;mso-position-horizontal-relative:page;mso-position-vertical-relative:paragraph;z-index:-456784" from="262.920013pt,12.995861pt" to="266.281013pt,12.995861pt" stroked="true" strokeweight=".84pt" strokecolor="#2e97d3">
            <v:stroke dashstyle="solid"/>
            <w10:wrap type="none"/>
          </v:line>
        </w:pict>
      </w:r>
      <w:r>
        <w:rPr/>
        <w:pict>
          <v:line style="position:absolute;mso-position-horizontal-relative:page;mso-position-vertical-relative:paragraph;z-index:-456760" from="259.559998pt,8.435861pt" to="262.919998pt,8.435861pt" stroked="true" strokeweight=".6pt" strokecolor="#2e97d3">
            <v:stroke dashstyle="solid"/>
            <w10:wrap type="none"/>
          </v:line>
        </w:pict>
      </w:r>
      <w:r>
        <w:rPr>
          <w:color w:val="2E97D3"/>
          <w:u w:val="single" w:color="2E97D3"/>
        </w:rPr>
        <w:t>However, for federal funds, </w:t>
      </w:r>
      <w:r>
        <w:rPr/>
        <w:t>Section 28.00 does not allow Finance to increase </w:t>
      </w:r>
      <w:r>
        <w:rPr>
          <w:strike/>
          <w:color w:val="2E97D3"/>
        </w:rPr>
        <w:t>appropriations</w:t>
      </w:r>
      <w:r>
        <w:rPr>
          <w:strike w:val="0"/>
          <w:color w:val="2E97D3"/>
          <w:u w:val="single" w:color="2E97D3"/>
        </w:rPr>
        <w:t>items of appropriation </w:t>
      </w:r>
      <w:r>
        <w:rPr>
          <w:strike w:val="0"/>
        </w:rPr>
        <w:t>authorized by the Legislature. </w:t>
      </w:r>
      <w:r>
        <w:rPr>
          <w:strike w:val="0"/>
          <w:color w:val="2E97D3"/>
          <w:u w:val="single" w:color="2E97D3"/>
        </w:rPr>
        <w:t>Instead, </w:t>
      </w:r>
      <w:r>
        <w:rPr>
          <w:strike w:val="0"/>
        </w:rPr>
        <w:t>Section</w:t>
      </w:r>
    </w:p>
    <w:p>
      <w:pPr>
        <w:pStyle w:val="BodyText"/>
        <w:ind w:left="880" w:right="160"/>
      </w:pPr>
      <w:r>
        <w:rPr/>
        <w:pict>
          <v:line style="position:absolute;mso-position-horizontal-relative:page;mso-position-vertical-relative:paragraph;z-index:-456736" from="117.959999pt,40.595856pt" to="121.319999pt,40.595856pt" stroked="true" strokeweight=".84pt" strokecolor="#2e97d3">
            <v:stroke dashstyle="solid"/>
            <w10:wrap type="none"/>
          </v:line>
        </w:pict>
      </w:r>
      <w:r>
        <w:rPr/>
        <w:pict>
          <v:line style="position:absolute;mso-position-horizontal-relative:page;mso-position-vertical-relative:paragraph;z-index:-456712" from="494.399994pt,81.995857pt" to="497.760994pt,81.995857pt" stroked="true" strokeweight=".84pt" strokecolor="#2e97d3">
            <v:stroke dashstyle="solid"/>
            <w10:wrap type="none"/>
          </v:line>
        </w:pict>
      </w:r>
      <w:r>
        <w:rPr/>
        <w:pict>
          <v:line style="position:absolute;mso-position-horizontal-relative:page;mso-position-vertical-relative:paragraph;z-index:-456688" from="491.040009pt,77.436356pt" to="494.400009pt,77.436356pt" stroked="true" strokeweight=".599pt" strokecolor="#2e97d3">
            <v:stroke dashstyle="solid"/>
            <w10:wrap type="none"/>
          </v:line>
        </w:pict>
      </w:r>
      <w:r>
        <w:rPr/>
        <w:pict>
          <v:line style="position:absolute;mso-position-horizontal-relative:page;mso-position-vertical-relative:paragraph;z-index:-456664" from="180.119995pt,91.235855pt" to="183.480995pt,91.235855pt" stroked="true" strokeweight=".6pt" strokecolor="#2e97d3">
            <v:stroke dashstyle="solid"/>
            <w10:wrap type="none"/>
          </v:line>
        </w:pict>
      </w:r>
      <w:r>
        <w:rPr/>
        <w:pict>
          <v:line style="position:absolute;mso-position-horizontal-relative:page;mso-position-vertical-relative:paragraph;z-index:-456640" from="254.160004pt,109.595856pt" to="258.120004pt,109.595856pt" stroked="true" strokeweight=".84pt" strokecolor="#2e97d3">
            <v:stroke dashstyle="solid"/>
            <w10:wrap type="none"/>
          </v:line>
        </w:pict>
      </w:r>
      <w:r>
        <w:rPr/>
        <w:pict>
          <v:line style="position:absolute;mso-position-horizontal-relative:page;mso-position-vertical-relative:paragraph;z-index:-456616" from="250.199997pt,105.035858pt" to="254.159997pt,105.035858pt" stroked="true" strokeweight=".6pt" strokecolor="#2e97d3">
            <v:stroke dashstyle="solid"/>
            <w10:wrap type="none"/>
          </v:line>
        </w:pict>
      </w:r>
      <w:r>
        <w:rPr/>
        <w:pict>
          <v:line style="position:absolute;mso-position-horizontal-relative:page;mso-position-vertical-relative:paragraph;z-index:16288" from="33.360001pt,69.215851pt" to="33.360001pt,110.615851pt" stroked="true" strokeweight=".72pt" strokecolor="#000000">
            <v:stroke dashstyle="solid"/>
            <w10:wrap type="none"/>
          </v:line>
        </w:pict>
      </w:r>
      <w:r>
        <w:rPr/>
        <w:t>8.50 </w:t>
      </w:r>
      <w:r>
        <w:rPr>
          <w:strike/>
          <w:color w:val="2E97D3"/>
        </w:rPr>
        <w:t>is</w:t>
      </w:r>
      <w:r>
        <w:rPr>
          <w:strike w:val="0"/>
          <w:color w:val="2E97D3"/>
          <w:u w:val="single" w:color="2E97D3"/>
        </w:rPr>
        <w:t>provides </w:t>
      </w:r>
      <w:r>
        <w:rPr>
          <w:strike w:val="0"/>
        </w:rPr>
        <w:t>the authority to increase federal fund </w:t>
      </w:r>
      <w:r>
        <w:rPr>
          <w:strike/>
          <w:color w:val="2E97D3"/>
        </w:rPr>
        <w:t>appropriations. </w:t>
      </w:r>
      <w:r>
        <w:rPr>
          <w:strike w:val="0"/>
          <w:color w:val="2E97D3"/>
          <w:u w:val="single" w:color="2E97D3"/>
        </w:rPr>
        <w:t>items of appropriation. </w:t>
      </w:r>
      <w:r>
        <w:rPr>
          <w:strike w:val="0"/>
        </w:rPr>
        <w:t>Other non-state, unanticipated receipts must be appropriated by other authority</w:t>
      </w:r>
      <w:r>
        <w:rPr>
          <w:strike w:val="0"/>
          <w:color w:val="2E97D3"/>
        </w:rPr>
        <w:t>, </w:t>
      </w:r>
      <w:r>
        <w:rPr>
          <w:strike w:val="0"/>
        </w:rPr>
        <w:t>or be received as reimbursements</w:t>
      </w:r>
      <w:r>
        <w:rPr>
          <w:strike/>
          <w:color w:val="2E97D3"/>
        </w:rPr>
        <w:t>. </w:t>
      </w:r>
      <w:r>
        <w:rPr>
          <w:strike w:val="0"/>
          <w:color w:val="2E97D3"/>
          <w:u w:val="single" w:color="2E97D3"/>
        </w:rPr>
        <w:t>under Section 28.00. </w:t>
      </w:r>
      <w:r>
        <w:rPr>
          <w:strike w:val="0"/>
        </w:rPr>
        <w:t>Regardless of the source of the additional funding, any augmentation that exceeds either $400,000 or 10 percent of the amount available for expenditure in the affected program, project, or function must be reported to the Legislature and may not be authorized until 30 days after the notification. This reporting requirement does not apply to federal funds related to caseload increases in the Medi</w:t>
      </w:r>
      <w:r>
        <w:rPr>
          <w:strike w:val="0"/>
          <w:color w:val="2E97D3"/>
        </w:rPr>
        <w:t>--</w:t>
      </w:r>
      <w:r>
        <w:rPr>
          <w:strike w:val="0"/>
        </w:rPr>
        <w:t>Cal, CalWORKs, and Supplemental Security Income/State Supplementary Payment programs.</w:t>
      </w:r>
    </w:p>
    <w:p>
      <w:pPr>
        <w:pStyle w:val="BodyText"/>
      </w:pPr>
    </w:p>
    <w:p>
      <w:pPr>
        <w:pStyle w:val="BodyText"/>
        <w:ind w:left="880" w:right="1081"/>
      </w:pPr>
      <w:r>
        <w:rPr/>
        <w:pict>
          <v:line style="position:absolute;mso-position-horizontal-relative:page;mso-position-vertical-relative:paragraph;z-index:-456592" from="115.440002pt,26.795855pt" to="118.800002pt,26.795855pt" stroked="true" strokeweight=".84pt" strokecolor="#2e97d3">
            <v:stroke dashstyle="solid"/>
            <w10:wrap type="none"/>
          </v:line>
        </w:pict>
      </w:r>
      <w:r>
        <w:rPr/>
        <w:pict>
          <v:line style="position:absolute;mso-position-horizontal-relative:page;mso-position-vertical-relative:paragraph;z-index:-456568" from="112.080002pt,22.236355pt" to="115.441002pt,22.236355pt" stroked="true" strokeweight=".599pt" strokecolor="#2e97d3">
            <v:stroke dashstyle="solid"/>
            <w10:wrap type="none"/>
          </v:line>
        </w:pict>
      </w:r>
      <w:r>
        <w:rPr/>
        <w:pict>
          <v:line style="position:absolute;mso-position-horizontal-relative:page;mso-position-vertical-relative:paragraph;z-index:16312" from="33.360001pt,14.016854pt" to="33.360001pt,83.015854pt" stroked="true" strokeweight=".72pt" strokecolor="#000000">
            <v:stroke dashstyle="solid"/>
            <w10:wrap type="none"/>
          </v:line>
        </w:pict>
      </w:r>
      <w:r>
        <w:rPr/>
        <w:t>No proposed expenditure may be made from any additional funds reported in a Section 28.00 letter to the Legislature prior to the approval and return of the Section </w:t>
      </w:r>
      <w:r>
        <w:rPr>
          <w:strike/>
          <w:color w:val="2E97D3"/>
        </w:rPr>
        <w:t>28.00 application by Finance.</w:t>
      </w:r>
    </w:p>
    <w:p>
      <w:pPr>
        <w:pStyle w:val="BodyText"/>
        <w:spacing w:before="11"/>
        <w:rPr>
          <w:sz w:val="15"/>
        </w:rPr>
      </w:pPr>
    </w:p>
    <w:p>
      <w:pPr>
        <w:pStyle w:val="BodyText"/>
        <w:spacing w:before="92"/>
        <w:ind w:left="880"/>
      </w:pPr>
      <w:r>
        <w:rPr>
          <w:color w:val="2E97D3"/>
          <w:u w:val="single" w:color="2E97D3"/>
        </w:rPr>
        <w:t>28.00 application by Finance.</w:t>
      </w:r>
    </w:p>
    <w:p>
      <w:pPr>
        <w:pStyle w:val="BodyText"/>
        <w:spacing w:before="10"/>
        <w:rPr>
          <w:sz w:val="15"/>
        </w:rPr>
      </w:pPr>
    </w:p>
    <w:p>
      <w:pPr>
        <w:pStyle w:val="BodyText"/>
        <w:spacing w:before="93"/>
        <w:ind w:left="880"/>
      </w:pPr>
      <w:r>
        <w:rPr/>
        <w:t>(Continued)</w:t>
      </w:r>
    </w:p>
    <w:p>
      <w:pPr>
        <w:spacing w:after="0"/>
        <w:sectPr>
          <w:pgSz w:w="12240" w:h="15840"/>
          <w:pgMar w:header="728" w:footer="792" w:top="980" w:bottom="1060" w:left="560" w:right="1320"/>
        </w:sectPr>
      </w:pPr>
    </w:p>
    <w:p>
      <w:pPr>
        <w:pStyle w:val="BodyText"/>
        <w:rPr>
          <w:sz w:val="20"/>
        </w:rPr>
      </w:pPr>
    </w:p>
    <w:p>
      <w:pPr>
        <w:pStyle w:val="BodyText"/>
        <w:spacing w:before="214"/>
        <w:ind w:left="819"/>
      </w:pPr>
      <w:r>
        <w:rPr/>
        <w:pict>
          <v:line style="position:absolute;mso-position-horizontal-relative:page;mso-position-vertical-relative:paragraph;z-index:16552" from="36.360001pt,24.714882pt" to="36.360001pt,38.515882pt" stroked="true" strokeweight=".72pt" strokecolor="#000000">
            <v:stroke dashstyle="solid"/>
            <w10:wrap type="none"/>
          </v:line>
        </w:pict>
      </w:r>
      <w:r>
        <w:rPr/>
        <w:t>(Continued)</w:t>
      </w:r>
    </w:p>
    <w:p>
      <w:pPr>
        <w:pStyle w:val="Heading2"/>
        <w:ind w:left="820"/>
      </w:pPr>
      <w:r>
        <w:rPr/>
        <w:pict>
          <v:line style="position:absolute;mso-position-horizontal-relative:page;mso-position-vertical-relative:paragraph;z-index:16336" from="355.320007pt,8.435833pt" to="519.360007pt,8.435833pt" stroked="true" strokeweight=".6pt" strokecolor="#2e97d3">
            <v:stroke dashstyle="solid"/>
            <w10:wrap type="none"/>
          </v:line>
        </w:pict>
      </w:r>
      <w:bookmarkStart w:name="SECTION 28.00 AND SECTION 28.50 REPORTIN" w:id="64"/>
      <w:bookmarkEnd w:id="64"/>
      <w:r>
        <w:rPr>
          <w:b w:val="0"/>
        </w:rPr>
      </w:r>
      <w:r>
        <w:rPr/>
        <w:t>SECTION 28.00 AND SECTION 28.50 REPORTING</w:t>
      </w:r>
    </w:p>
    <w:p>
      <w:pPr>
        <w:spacing w:before="0"/>
        <w:ind w:left="820" w:right="0" w:firstLine="0"/>
        <w:jc w:val="left"/>
        <w:rPr>
          <w:sz w:val="24"/>
        </w:rPr>
      </w:pPr>
      <w:r>
        <w:rPr/>
        <w:pict>
          <v:line style="position:absolute;mso-position-horizontal-relative:page;mso-position-vertical-relative:paragraph;z-index:16576" from="36.360001pt,14.015844pt" to="36.360001pt,53.615844pt" stroked="true" strokeweight=".72pt" strokecolor="#000000">
            <v:stroke dashstyle="solid"/>
            <w10:wrap type="none"/>
          </v:line>
        </w:pict>
      </w:r>
      <w:r>
        <w:rPr>
          <w:b/>
          <w:sz w:val="24"/>
        </w:rPr>
        <w:t>6551 </w:t>
      </w:r>
      <w:r>
        <w:rPr>
          <w:sz w:val="24"/>
        </w:rPr>
        <w:t>(Cont. 1)</w:t>
      </w:r>
    </w:p>
    <w:p>
      <w:pPr>
        <w:pStyle w:val="BodyText"/>
        <w:ind w:left="820"/>
      </w:pPr>
      <w:r>
        <w:rPr/>
        <w:t>(Revised </w:t>
      </w:r>
      <w:r>
        <w:rPr>
          <w:strike/>
          <w:color w:val="2E97D3"/>
        </w:rPr>
        <w:t>9/2010</w:t>
      </w:r>
      <w:r>
        <w:rPr>
          <w:strike w:val="0"/>
          <w:color w:val="2E97D3"/>
          <w:u w:val="single" w:color="2E97D3"/>
        </w:rPr>
        <w:t>10/2017</w:t>
      </w:r>
      <w:r>
        <w:rPr>
          <w:strike w:val="0"/>
        </w:rPr>
        <w:t>)</w:t>
      </w:r>
    </w:p>
    <w:p>
      <w:pPr>
        <w:pStyle w:val="BodyText"/>
        <w:rPr>
          <w:sz w:val="20"/>
        </w:rPr>
      </w:pPr>
    </w:p>
    <w:p>
      <w:pPr>
        <w:pStyle w:val="BodyText"/>
        <w:spacing w:before="9"/>
        <w:rPr>
          <w:sz w:val="16"/>
        </w:rPr>
      </w:pPr>
    </w:p>
    <w:p>
      <w:pPr>
        <w:pStyle w:val="BodyText"/>
        <w:spacing w:before="93"/>
        <w:ind w:left="820" w:right="828"/>
      </w:pPr>
      <w:r>
        <w:rPr/>
        <w:pict>
          <v:line style="position:absolute;mso-position-horizontal-relative:page;mso-position-vertical-relative:paragraph;z-index:16600" from="36.360001pt,18.664881pt" to="36.360001pt,32.465881pt" stroked="true" strokeweight=".72pt" strokecolor="#000000">
            <v:stroke dashstyle="solid"/>
            <w10:wrap type="none"/>
          </v:line>
        </w:pict>
      </w:r>
      <w:r>
        <w:rPr/>
        <w:t>Augmentations for items for which the Administration had knowledge to include in its current budget plan should not be submitted through this Section.</w:t>
      </w:r>
    </w:p>
    <w:p>
      <w:pPr>
        <w:pStyle w:val="BodyText"/>
        <w:spacing w:before="11"/>
        <w:rPr>
          <w:sz w:val="23"/>
        </w:rPr>
      </w:pPr>
    </w:p>
    <w:p>
      <w:pPr>
        <w:pStyle w:val="BodyText"/>
        <w:ind w:left="820" w:right="334"/>
      </w:pPr>
      <w:r>
        <w:rPr/>
        <w:pict>
          <v:line style="position:absolute;mso-position-horizontal-relative:page;mso-position-vertical-relative:paragraph;z-index:-456304" from="370.920013pt,49.835857pt" to="374.281013pt,49.835857pt" stroked="true" strokeweight=".6pt" strokecolor="#2e97d3">
            <v:stroke dashstyle="solid"/>
            <w10:wrap type="none"/>
          </v:line>
        </w:pict>
      </w:r>
      <w:r>
        <w:rPr/>
        <w:pict>
          <v:line style="position:absolute;mso-position-horizontal-relative:page;mso-position-vertical-relative:paragraph;z-index:16624" from="36.360001pt,.215857pt" to="36.360001pt,14.015857pt" stroked="true" strokeweight=".72pt" strokecolor="#000000">
            <v:stroke dashstyle="solid"/>
            <w10:wrap type="none"/>
          </v:line>
        </w:pict>
      </w:r>
      <w:r>
        <w:rPr/>
        <w:pict>
          <v:line style="position:absolute;mso-position-horizontal-relative:page;mso-position-vertical-relative:paragraph;z-index:16648" from="36.360001pt,41.615856pt" to="36.360001pt,55.415856pt" stroked="true" strokeweight=".72pt" strokecolor="#000000">
            <v:stroke dashstyle="solid"/>
            <w10:wrap type="none"/>
          </v:line>
        </w:pict>
      </w:r>
      <w:r>
        <w:rPr>
          <w:strike/>
          <w:color w:val="2E97D3"/>
        </w:rPr>
        <w:t>In order to</w:t>
      </w:r>
      <w:r>
        <w:rPr>
          <w:strike w:val="0"/>
          <w:color w:val="2E97D3"/>
          <w:u w:val="single" w:color="2E97D3"/>
        </w:rPr>
        <w:t>To </w:t>
      </w:r>
      <w:r>
        <w:rPr>
          <w:strike w:val="0"/>
        </w:rPr>
        <w:t>receive consideration for an augmentation, departments are required to either (1) notify Finance within 45 days of receiving official notice of the availability of additional, unanticipated federal or non-state funds, or (2) explain in writing to Finance why the </w:t>
      </w:r>
      <w:r>
        <w:rPr>
          <w:strike w:val="0"/>
          <w:color w:val="2E97D3"/>
          <w:u w:val="single" w:color="2E97D3"/>
        </w:rPr>
        <w:t>45-day </w:t>
      </w:r>
      <w:r>
        <w:rPr>
          <w:strike w:val="0"/>
        </w:rPr>
        <w:t>notification was infeasible or impractical. In either case, the department must provide Finance a copy of the official notice of fund availability. If a department expends funds without proper approval, it will be required to absorb such expenditures within its existing appropriations or sponsor legislation to authorize the expenditure.</w:t>
      </w:r>
    </w:p>
    <w:p>
      <w:pPr>
        <w:pStyle w:val="BodyText"/>
        <w:rPr>
          <w:sz w:val="26"/>
        </w:rPr>
      </w:pPr>
    </w:p>
    <w:p>
      <w:pPr>
        <w:pStyle w:val="Heading2"/>
        <w:spacing w:before="192"/>
        <w:ind w:left="820"/>
      </w:pPr>
      <w:bookmarkStart w:name="Section 28.50" w:id="65"/>
      <w:bookmarkEnd w:id="65"/>
      <w:r>
        <w:rPr>
          <w:b w:val="0"/>
        </w:rPr>
      </w:r>
      <w:r>
        <w:rPr/>
        <w:t>Section 28.50</w:t>
      </w:r>
    </w:p>
    <w:p>
      <w:pPr>
        <w:pStyle w:val="BodyText"/>
        <w:spacing w:before="8"/>
        <w:rPr>
          <w:b/>
          <w:sz w:val="23"/>
        </w:rPr>
      </w:pPr>
    </w:p>
    <w:p>
      <w:pPr>
        <w:pStyle w:val="BodyText"/>
        <w:ind w:left="820" w:right="125"/>
      </w:pPr>
      <w:r>
        <w:rPr/>
        <w:pict>
          <v:line style="position:absolute;mso-position-horizontal-relative:page;mso-position-vertical-relative:paragraph;z-index:-456280" from="427.559998pt,22.236345pt" to="430.799998pt,22.236345pt" stroked="true" strokeweight=".599pt" strokecolor="#2e97d3">
            <v:stroke dashstyle="solid"/>
            <w10:wrap type="none"/>
          </v:line>
        </w:pict>
      </w:r>
      <w:r>
        <w:rPr/>
        <w:pict>
          <v:line style="position:absolute;mso-position-horizontal-relative:page;mso-position-vertical-relative:paragraph;z-index:-456256" from="114.120003pt,54.395847pt" to="117.480003pt,54.395847pt" stroked="true" strokeweight=".84pt" strokecolor="#2e97d3">
            <v:stroke dashstyle="solid"/>
            <w10:wrap type="none"/>
          </v:line>
        </w:pict>
      </w:r>
      <w:r>
        <w:rPr/>
        <w:pict>
          <v:line style="position:absolute;mso-position-horizontal-relative:page;mso-position-vertical-relative:paragraph;z-index:-456232" from="110.760002pt,49.835846pt" to="114.120002pt,49.835846pt" stroked="true" strokeweight=".6pt" strokecolor="#2e97d3">
            <v:stroke dashstyle="solid"/>
            <w10:wrap type="none"/>
          </v:line>
        </w:pict>
      </w:r>
      <w:r>
        <w:rPr/>
        <w:pict>
          <v:line style="position:absolute;mso-position-horizontal-relative:page;mso-position-vertical-relative:paragraph;z-index:-456208" from="257.519989pt,49.835846pt" to="260.880989pt,49.835846pt" stroked="true" strokeweight=".6pt" strokecolor="#2e97d3">
            <v:stroke dashstyle="solid"/>
            <w10:wrap type="none"/>
          </v:line>
        </w:pict>
      </w:r>
      <w:r>
        <w:rPr/>
        <w:pict>
          <v:line style="position:absolute;mso-position-horizontal-relative:page;mso-position-vertical-relative:paragraph;z-index:16672" from="36.360001pt,14.015846pt" to="36.360001pt,27.815846pt" stroked="true" strokeweight=".72pt" strokecolor="#000000">
            <v:stroke dashstyle="solid"/>
            <w10:wrap type="none"/>
          </v:line>
        </w:pict>
      </w:r>
      <w:r>
        <w:rPr/>
        <w:pict>
          <v:line style="position:absolute;mso-position-horizontal-relative:page;mso-position-vertical-relative:paragraph;z-index:16696" from="36.360001pt,41.615845pt" to="36.360001pt,69.215845pt" stroked="true" strokeweight=".72pt" strokecolor="#000000">
            <v:stroke dashstyle="solid"/>
            <w10:wrap type="none"/>
          </v:line>
        </w:pict>
      </w:r>
      <w:r>
        <w:rPr/>
        <w:pict>
          <v:line style="position:absolute;mso-position-horizontal-relative:page;mso-position-vertical-relative:paragraph;z-index:16720" from="36.360001pt,83.015846pt" to="36.360001pt,110.615846pt" stroked="true" strokeweight=".72pt" strokecolor="#000000">
            <v:stroke dashstyle="solid"/>
            <w10:wrap type="none"/>
          </v:line>
        </w:pict>
      </w:r>
      <w:r>
        <w:rPr/>
        <w:t>Section 28.50 authorizes Finance to approve a state department’s expenditure of money received as reimbursement from another state department. Finance approvals that exceed $200,000 must be reported to the Legislature and may not be authorized until 30 days after the notification. However, if the funding for the department providing the </w:t>
      </w:r>
      <w:r>
        <w:rPr>
          <w:strike/>
          <w:color w:val="2E97D3"/>
        </w:rPr>
        <w:t>reimbursements</w:t>
      </w:r>
      <w:r>
        <w:rPr>
          <w:strike w:val="0"/>
          <w:color w:val="2E97D3"/>
          <w:u w:val="single" w:color="2E97D3"/>
        </w:rPr>
        <w:t>reimbursement </w:t>
      </w:r>
      <w:r>
        <w:rPr>
          <w:strike w:val="0"/>
        </w:rPr>
        <w:t>has </w:t>
      </w:r>
      <w:r>
        <w:rPr>
          <w:strike w:val="0"/>
          <w:color w:val="2E97D3"/>
          <w:u w:val="single" w:color="2E97D3"/>
        </w:rPr>
        <w:t>previously </w:t>
      </w:r>
      <w:r>
        <w:rPr>
          <w:strike w:val="0"/>
        </w:rPr>
        <w:t>been approved by the Legislature, these approvals are considered technical in nature and are authorized in Section 1.50 of the Budget</w:t>
      </w:r>
      <w:r>
        <w:rPr>
          <w:strike w:val="0"/>
          <w:spacing w:val="-6"/>
        </w:rPr>
        <w:t> </w:t>
      </w:r>
      <w:r>
        <w:rPr>
          <w:strike w:val="0"/>
        </w:rPr>
        <w:t>Act.</w:t>
      </w:r>
    </w:p>
    <w:p>
      <w:pPr>
        <w:pStyle w:val="BodyText"/>
        <w:rPr>
          <w:sz w:val="26"/>
        </w:rPr>
      </w:pPr>
    </w:p>
    <w:p>
      <w:pPr>
        <w:pStyle w:val="BodyText"/>
        <w:spacing w:before="2"/>
        <w:rPr>
          <w:sz w:val="38"/>
        </w:rPr>
      </w:pPr>
    </w:p>
    <w:p>
      <w:pPr>
        <w:pStyle w:val="Heading2"/>
        <w:tabs>
          <w:tab w:pos="9647" w:val="left" w:leader="none"/>
        </w:tabs>
        <w:ind w:left="820"/>
      </w:pPr>
      <w:r>
        <w:rPr/>
        <w:pict>
          <v:line style="position:absolute;mso-position-horizontal-relative:page;mso-position-vertical-relative:paragraph;z-index:16744" from="36.360001pt,14.015848pt" to="36.360001pt,27.815848pt" stroked="true" strokeweight=".72pt" strokecolor="#000000">
            <v:stroke dashstyle="solid"/>
            <w10:wrap type="none"/>
          </v:line>
        </w:pict>
      </w:r>
      <w:r>
        <w:rPr/>
        <w:t>COMPLETION OF SECTION 28.00 </w:t>
      </w:r>
      <w:r>
        <w:rPr>
          <w:spacing w:val="-3"/>
        </w:rPr>
        <w:t>AND </w:t>
      </w:r>
      <w:r>
        <w:rPr/>
        <w:t>SECTION</w:t>
      </w:r>
      <w:r>
        <w:rPr>
          <w:spacing w:val="-11"/>
        </w:rPr>
        <w:t> </w:t>
      </w:r>
      <w:r>
        <w:rPr/>
        <w:t>28.50 APPLICATIONS</w:t>
        <w:tab/>
        <w:t>6554</w:t>
      </w:r>
    </w:p>
    <w:p>
      <w:pPr>
        <w:pStyle w:val="BodyText"/>
        <w:ind w:left="820"/>
      </w:pPr>
      <w:r>
        <w:rPr/>
        <w:t>(Revised </w:t>
      </w:r>
      <w:r>
        <w:rPr>
          <w:strike/>
          <w:color w:val="2E97D3"/>
        </w:rPr>
        <w:t>9/2010</w:t>
      </w:r>
      <w:r>
        <w:rPr>
          <w:strike w:val="0"/>
          <w:color w:val="2E97D3"/>
          <w:u w:val="single" w:color="2E97D3"/>
        </w:rPr>
        <w:t>10/2017</w:t>
      </w:r>
      <w:r>
        <w:rPr>
          <w:strike w:val="0"/>
        </w:rPr>
        <w:t>)</w:t>
      </w:r>
    </w:p>
    <w:p>
      <w:pPr>
        <w:pStyle w:val="BodyText"/>
        <w:rPr>
          <w:sz w:val="16"/>
        </w:rPr>
      </w:pPr>
    </w:p>
    <w:p>
      <w:pPr>
        <w:pStyle w:val="BodyText"/>
        <w:spacing w:before="92"/>
        <w:ind w:left="820" w:right="509"/>
      </w:pPr>
      <w:r>
        <w:rPr/>
        <w:pict>
          <v:line style="position:absolute;mso-position-horizontal-relative:page;mso-position-vertical-relative:paragraph;z-index:-456184" from="324.959991pt,26.836355pt" to="328.199991pt,26.836355pt" stroked="true" strokeweight=".599pt" strokecolor="#2e97d3">
            <v:stroke dashstyle="solid"/>
            <w10:wrap type="none"/>
          </v:line>
        </w:pict>
      </w:r>
      <w:r>
        <w:rPr/>
        <w:pict>
          <v:line style="position:absolute;mso-position-horizontal-relative:page;mso-position-vertical-relative:paragraph;z-index:-456160" from="345pt,40.635853pt" to="348.24pt,40.635853pt" stroked="true" strokeweight=".6pt" strokecolor="#2e97d3">
            <v:stroke dashstyle="solid"/>
            <w10:wrap type="none"/>
          </v:line>
        </w:pict>
      </w:r>
      <w:r>
        <w:rPr/>
        <w:pict>
          <v:line style="position:absolute;mso-position-horizontal-relative:page;mso-position-vertical-relative:paragraph;z-index:16768" from="36.360001pt,4.815855pt" to="36.360001pt,46.215855pt" stroked="true" strokeweight=".72pt" strokecolor="#000000">
            <v:stroke dashstyle="solid"/>
            <w10:wrap type="none"/>
          </v:line>
        </w:pict>
      </w:r>
      <w:r>
        <w:rPr/>
        <w:t>The Section 28.00 and 28.50 Applications (Forms </w:t>
      </w:r>
      <w:r>
        <w:rPr>
          <w:strike/>
          <w:color w:val="2E97D3"/>
          <w:u w:val="single" w:color="2E97D3"/>
        </w:rPr>
        <w:t>DF–90 </w:t>
      </w:r>
      <w:hyperlink r:id="rId108">
        <w:r>
          <w:rPr>
            <w:strike w:val="0"/>
            <w:color w:val="2E97D3"/>
            <w:u w:val="single" w:color="2E97D3"/>
          </w:rPr>
          <w:t>DF–90</w:t>
        </w:r>
      </w:hyperlink>
      <w:r>
        <w:rPr>
          <w:strike w:val="0"/>
          <w:color w:val="2E97D3"/>
          <w:u w:val="single" w:color="2E97D3"/>
        </w:rPr>
        <w:t> </w:t>
      </w:r>
      <w:r>
        <w:rPr>
          <w:strike w:val="0"/>
        </w:rPr>
        <w:t>and </w:t>
      </w:r>
      <w:r>
        <w:rPr>
          <w:strike/>
          <w:color w:val="2E97D3"/>
          <w:u w:val="single" w:color="2E97D3"/>
        </w:rPr>
        <w:t>DF-91</w:t>
      </w:r>
      <w:hyperlink r:id="rId108">
        <w:r>
          <w:rPr>
            <w:strike w:val="0"/>
            <w:color w:val="2E97D3"/>
            <w:u w:val="single" w:color="2E97D3"/>
          </w:rPr>
          <w:t>DF-91</w:t>
        </w:r>
      </w:hyperlink>
      <w:r>
        <w:rPr>
          <w:strike w:val="0"/>
        </w:rPr>
        <w:t>) are to be initiated by the applying departments. The application must be signed by the department director before sending to Finance. The Finance budget analyst will be responsible for verifying all the information provided.</w:t>
      </w:r>
    </w:p>
    <w:p>
      <w:pPr>
        <w:pStyle w:val="BodyText"/>
        <w:spacing w:before="10"/>
        <w:rPr>
          <w:sz w:val="23"/>
        </w:rPr>
      </w:pPr>
    </w:p>
    <w:p>
      <w:pPr>
        <w:pStyle w:val="BodyText"/>
        <w:spacing w:before="1"/>
        <w:ind w:left="820" w:right="849"/>
      </w:pPr>
      <w:r>
        <w:rPr/>
        <w:pict>
          <v:line style="position:absolute;mso-position-horizontal-relative:page;mso-position-vertical-relative:paragraph;z-index:16792" from="36.360001pt,.265854pt" to="36.360001pt,69.265854pt" stroked="true" strokeweight=".72pt" strokecolor="#000000">
            <v:stroke dashstyle="solid"/>
            <w10:wrap type="none"/>
          </v:line>
        </w:pict>
      </w:r>
      <w:r>
        <w:rPr>
          <w:strike/>
          <w:color w:val="2E97D3"/>
        </w:rPr>
        <w:t>In instances where the Applications apply to two fiscal years, usually when the application is submitted too late for inclusion in the next Governor's Budget, fiscal information for the second year will be described in the description portion of the application.</w:t>
      </w:r>
    </w:p>
    <w:p>
      <w:pPr>
        <w:pStyle w:val="BodyText"/>
        <w:rPr>
          <w:sz w:val="16"/>
        </w:rPr>
      </w:pPr>
    </w:p>
    <w:p>
      <w:pPr>
        <w:pStyle w:val="BodyText"/>
        <w:spacing w:before="92"/>
        <w:ind w:left="820" w:right="308"/>
      </w:pPr>
      <w:r>
        <w:rPr/>
        <w:pict>
          <v:line style="position:absolute;mso-position-horizontal-relative:page;mso-position-vertical-relative:paragraph;z-index:-456136" from="367.559998pt,40.63586pt" to="370.919998pt,40.63586pt" stroked="true" strokeweight=".6pt" strokecolor="#2e97d3">
            <v:stroke dashstyle="solid"/>
            <w10:wrap type="none"/>
          </v:line>
        </w:pict>
      </w:r>
      <w:r>
        <w:rPr/>
        <w:pict>
          <v:line style="position:absolute;mso-position-horizontal-relative:page;mso-position-vertical-relative:paragraph;z-index:16816" from="36.360001pt,18.615862pt" to="36.360001pt,60.015862pt" stroked="true" strokeweight=".72pt" strokecolor="#000000">
            <v:stroke dashstyle="solid"/>
            <w10:wrap type="none"/>
          </v:line>
        </w:pict>
      </w:r>
      <w:r>
        <w:rPr/>
        <w:t>When appropriate, the Section 28.00 or 28.50 Application will be sent by Finance to the Joint Legislature Budget Committee </w:t>
      </w:r>
      <w:r>
        <w:rPr>
          <w:strike/>
          <w:color w:val="2E97D3"/>
        </w:rPr>
        <w:t>(JLBC) </w:t>
      </w:r>
      <w:r>
        <w:rPr>
          <w:strike w:val="0"/>
        </w:rPr>
        <w:t>and to the Chair of each of the legislative committees and appropriate subcommittees. A copy of the application as transmitted will be sent to the Agency Secretary, the </w:t>
      </w:r>
      <w:r>
        <w:rPr>
          <w:strike/>
          <w:color w:val="2E97D3"/>
        </w:rPr>
        <w:t>departmental</w:t>
      </w:r>
      <w:r>
        <w:rPr>
          <w:strike w:val="0"/>
          <w:color w:val="2E97D3"/>
          <w:u w:val="single" w:color="2E97D3"/>
        </w:rPr>
        <w:t>department </w:t>
      </w:r>
      <w:r>
        <w:rPr>
          <w:strike w:val="0"/>
        </w:rPr>
        <w:t>director,</w:t>
      </w:r>
    </w:p>
    <w:p>
      <w:pPr>
        <w:spacing w:after="0"/>
        <w:sectPr>
          <w:pgSz w:w="12240" w:h="15840"/>
          <w:pgMar w:header="728" w:footer="792" w:top="980" w:bottom="980" w:left="620" w:right="1320"/>
        </w:sectPr>
      </w:pPr>
    </w:p>
    <w:p>
      <w:pPr>
        <w:pStyle w:val="BodyText"/>
        <w:rPr>
          <w:sz w:val="20"/>
        </w:rPr>
      </w:pPr>
    </w:p>
    <w:p>
      <w:pPr>
        <w:pStyle w:val="BodyText"/>
        <w:spacing w:before="214"/>
        <w:ind w:left="820"/>
      </w:pPr>
      <w:r>
        <w:rPr/>
        <w:pict>
          <v:line style="position:absolute;mso-position-horizontal-relative:page;mso-position-vertical-relative:paragraph;z-index:16840" from="36.360001pt,10.915881pt" to="36.360001pt,38.515881pt" stroked="true" strokeweight=".72pt" strokecolor="#000000">
            <v:stroke dashstyle="solid"/>
            <w10:wrap type="none"/>
          </v:line>
        </w:pict>
      </w:r>
      <w:r>
        <w:rPr/>
        <w:t>and/or the </w:t>
      </w:r>
      <w:r>
        <w:rPr>
          <w:strike/>
          <w:color w:val="2E97D3"/>
        </w:rPr>
        <w:t>departmental</w:t>
      </w:r>
      <w:r>
        <w:rPr>
          <w:strike w:val="0"/>
          <w:color w:val="2E97D3"/>
          <w:u w:val="single" w:color="2E97D3"/>
        </w:rPr>
        <w:t>department </w:t>
      </w:r>
      <w:r>
        <w:rPr>
          <w:strike w:val="0"/>
        </w:rPr>
        <w:t>budget officer, as appropriate.</w:t>
      </w:r>
    </w:p>
    <w:p>
      <w:pPr>
        <w:spacing w:after="0"/>
        <w:sectPr>
          <w:pgSz w:w="12240" w:h="15840"/>
          <w:pgMar w:header="728" w:footer="792" w:top="980" w:bottom="980" w:left="620" w:right="1720"/>
        </w:sectPr>
      </w:pPr>
    </w:p>
    <w:p>
      <w:pPr>
        <w:pStyle w:val="BodyText"/>
        <w:rPr>
          <w:sz w:val="20"/>
        </w:rPr>
      </w:pPr>
    </w:p>
    <w:p>
      <w:pPr>
        <w:pStyle w:val="Heading2"/>
        <w:tabs>
          <w:tab w:pos="9647" w:val="left" w:leader="none"/>
        </w:tabs>
        <w:spacing w:before="214"/>
        <w:ind w:left="819"/>
      </w:pPr>
      <w:r>
        <w:rPr/>
        <w:pict>
          <v:line style="position:absolute;mso-position-horizontal-relative:page;mso-position-vertical-relative:paragraph;z-index:16984" from="36.360001pt,24.714882pt" to="36.360001pt,38.515882pt" stroked="true" strokeweight=".72pt" strokecolor="#000000">
            <v:stroke dashstyle="solid"/>
            <w10:wrap type="none"/>
          </v:line>
        </w:pict>
      </w:r>
      <w:r>
        <w:rPr/>
        <w:t>SECTIONS 28.00 AND 28.50</w:t>
      </w:r>
      <w:r>
        <w:rPr>
          <w:spacing w:val="-12"/>
        </w:rPr>
        <w:t> </w:t>
      </w:r>
      <w:r>
        <w:rPr/>
        <w:t>APPLICATION</w:t>
      </w:r>
      <w:r>
        <w:rPr>
          <w:spacing w:val="-3"/>
        </w:rPr>
        <w:t> </w:t>
      </w:r>
      <w:r>
        <w:rPr/>
        <w:t>APPROVAL</w:t>
        <w:tab/>
        <w:t>6557</w:t>
      </w:r>
    </w:p>
    <w:p>
      <w:pPr>
        <w:pStyle w:val="BodyText"/>
        <w:ind w:left="820"/>
      </w:pPr>
      <w:r>
        <w:rPr/>
        <w:t>(Revised </w:t>
      </w:r>
      <w:r>
        <w:rPr>
          <w:strike/>
          <w:color w:val="2E97D3"/>
        </w:rPr>
        <w:t>9/2010</w:t>
      </w:r>
      <w:r>
        <w:rPr>
          <w:strike w:val="0"/>
          <w:color w:val="2E97D3"/>
          <w:u w:val="single" w:color="2E97D3"/>
        </w:rPr>
        <w:t>10/2017</w:t>
      </w:r>
      <w:r>
        <w:rPr>
          <w:strike w:val="0"/>
        </w:rPr>
        <w:t>)</w:t>
      </w:r>
    </w:p>
    <w:p>
      <w:pPr>
        <w:pStyle w:val="BodyText"/>
        <w:spacing w:before="11"/>
        <w:rPr>
          <w:sz w:val="15"/>
        </w:rPr>
      </w:pPr>
    </w:p>
    <w:p>
      <w:pPr>
        <w:pStyle w:val="BodyText"/>
        <w:spacing w:before="92"/>
        <w:ind w:left="820" w:right="297"/>
      </w:pPr>
      <w:r>
        <w:rPr/>
        <w:pict>
          <v:line style="position:absolute;mso-position-horizontal-relative:page;mso-position-vertical-relative:paragraph;z-index:-455800" from="200.160004pt,13.035857pt" to="203.520004pt,13.035857pt" stroked="true" strokeweight=".6pt" strokecolor="#2e97d3">
            <v:stroke dashstyle="solid"/>
            <w10:wrap type="none"/>
          </v:line>
        </w:pict>
      </w:r>
      <w:r>
        <w:rPr/>
        <w:pict>
          <v:line style="position:absolute;mso-position-horizontal-relative:page;mso-position-vertical-relative:paragraph;z-index:-455776" from="273.600006pt,26.835857pt" to="276.960006pt,26.835857pt" stroked="true" strokeweight=".6pt" strokecolor="#2e97d3">
            <v:stroke dashstyle="solid"/>
            <w10:wrap type="none"/>
          </v:line>
        </w:pict>
      </w:r>
      <w:r>
        <w:rPr/>
        <w:pict>
          <v:line style="position:absolute;mso-position-horizontal-relative:page;mso-position-vertical-relative:paragraph;z-index:-455752" from="112.080002pt,82.036354pt" to="115.441002pt,82.036354pt" stroked="true" strokeweight=".599pt" strokecolor="#2e97d3">
            <v:stroke dashstyle="solid"/>
            <w10:wrap type="none"/>
          </v:line>
        </w:pict>
      </w:r>
      <w:r>
        <w:rPr/>
        <w:pict>
          <v:line style="position:absolute;mso-position-horizontal-relative:page;mso-position-vertical-relative:paragraph;z-index:17008" from="36.360001pt,4.815857pt" to="36.360001pt,32.415857pt" stroked="true" strokeweight=".72pt" strokecolor="#000000">
            <v:stroke dashstyle="solid"/>
            <w10:wrap type="none"/>
          </v:line>
        </w:pict>
      </w:r>
      <w:r>
        <w:rPr/>
        <w:pict>
          <v:line style="position:absolute;mso-position-horizontal-relative:page;mso-position-vertical-relative:paragraph;z-index:17032" from="36.360001pt,60.015858pt" to="36.360001pt,101.415858pt" stroked="true" strokeweight=".72pt" strokecolor="#000000">
            <v:stroke dashstyle="solid"/>
            <w10:wrap type="none"/>
          </v:line>
        </w:pict>
      </w:r>
      <w:r>
        <w:rPr/>
        <w:t>It is the responsibility of  Finance to review and determine whether the Applications will </w:t>
      </w:r>
      <w:r>
        <w:rPr>
          <w:color w:val="2E97D3"/>
          <w:u w:val="single" w:color="2E97D3"/>
        </w:rPr>
        <w:t>need to </w:t>
      </w:r>
      <w:r>
        <w:rPr/>
        <w:t>be sent to the Legislature.  Finance, when appropriate, will also transmit an approved copy of the Application, with the related budget revision, to the applying department upon receipt of a concurrence letter from the Chairperson of the </w:t>
      </w:r>
      <w:r>
        <w:rPr>
          <w:strike/>
          <w:color w:val="2E97D3"/>
        </w:rPr>
        <w:t>JLBC</w:t>
      </w:r>
      <w:r>
        <w:rPr>
          <w:strike w:val="0"/>
          <w:color w:val="2E97D3"/>
          <w:u w:val="single" w:color="2E97D3"/>
        </w:rPr>
        <w:t>Joint Legislative Budget Committee</w:t>
      </w:r>
      <w:r>
        <w:rPr>
          <w:strike w:val="0"/>
        </w:rPr>
        <w:t>, or at the end of the 30-day legislative review period. Finance will send a copy of the approved budget revision to </w:t>
      </w:r>
      <w:r>
        <w:rPr>
          <w:strike/>
          <w:color w:val="2E97D3"/>
          <w:u w:val="single" w:color="2E97D3"/>
        </w:rPr>
        <w:t>SCO</w:t>
      </w:r>
      <w:hyperlink r:id="rId59">
        <w:r>
          <w:rPr>
            <w:strike w:val="0"/>
            <w:color w:val="2E97D3"/>
            <w:u w:val="single" w:color="2E97D3"/>
          </w:rPr>
          <w:t>State</w:t>
        </w:r>
      </w:hyperlink>
      <w:r>
        <w:rPr>
          <w:strike w:val="0"/>
          <w:color w:val="2E97D3"/>
          <w:u w:val="single" w:color="2E97D3"/>
        </w:rPr>
        <w:t> </w:t>
      </w:r>
      <w:hyperlink r:id="rId59">
        <w:r>
          <w:rPr>
            <w:strike w:val="0"/>
            <w:color w:val="2E97D3"/>
            <w:u w:val="single" w:color="2E97D3"/>
          </w:rPr>
          <w:t>Controller's</w:t>
        </w:r>
        <w:r>
          <w:rPr>
            <w:strike w:val="0"/>
            <w:color w:val="2E97D3"/>
            <w:spacing w:val="-10"/>
            <w:u w:val="single" w:color="2E97D3"/>
          </w:rPr>
          <w:t> </w:t>
        </w:r>
        <w:r>
          <w:rPr>
            <w:strike w:val="0"/>
            <w:color w:val="2E97D3"/>
            <w:u w:val="single" w:color="2E97D3"/>
          </w:rPr>
          <w:t>Office</w:t>
        </w:r>
      </w:hyperlink>
      <w:r>
        <w:rPr>
          <w:strike w:val="0"/>
        </w:rPr>
        <w:t>.</w:t>
      </w:r>
    </w:p>
    <w:p>
      <w:pPr>
        <w:pStyle w:val="BodyText"/>
        <w:spacing w:before="10"/>
        <w:rPr>
          <w:sz w:val="15"/>
        </w:rPr>
      </w:pPr>
    </w:p>
    <w:p>
      <w:pPr>
        <w:pStyle w:val="BodyText"/>
        <w:spacing w:before="93"/>
        <w:ind w:left="820" w:right="833"/>
      </w:pPr>
      <w:r>
        <w:rPr/>
        <w:pict>
          <v:line style="position:absolute;mso-position-horizontal-relative:page;mso-position-vertical-relative:paragraph;z-index:-455728" from="89.400002pt,31.445332pt" to="93.360002pt,31.445332pt" stroked="true" strokeweight=".841pt" strokecolor="#2e97d3">
            <v:stroke dashstyle="solid"/>
            <w10:wrap type="none"/>
          </v:line>
        </w:pict>
      </w:r>
      <w:r>
        <w:rPr/>
        <w:pict>
          <v:line style="position:absolute;mso-position-horizontal-relative:page;mso-position-vertical-relative:paragraph;z-index:-455704" from="85.440002pt,26.885832pt" to="89.400002pt,26.885832pt" stroked="true" strokeweight=".6pt" strokecolor="#2e97d3">
            <v:stroke dashstyle="solid"/>
            <w10:wrap type="none"/>
          </v:line>
        </w:pict>
      </w:r>
      <w:r>
        <w:rPr/>
        <w:pict>
          <v:line style="position:absolute;mso-position-horizontal-relative:page;mso-position-vertical-relative:paragraph;z-index:17056" from="36.360001pt,.186833pt" to="36.360001pt,32.465833pt" stroked="true" strokeweight=".72pt" strokecolor="#000000">
            <v:stroke dashstyle="solid"/>
            <w10:wrap type="none"/>
          </v:line>
        </w:pict>
      </w:r>
      <w:r>
        <w:rPr/>
        <w:t>In instances where the Legislature requires more information, or requests </w:t>
      </w:r>
      <w:r>
        <w:rPr>
          <w:strike/>
          <w:color w:val="2E97D3"/>
        </w:rPr>
        <w:t>that </w:t>
      </w:r>
      <w:r>
        <w:rPr>
          <w:strike w:val="0"/>
        </w:rPr>
        <w:t>the 30</w:t>
      </w:r>
      <w:r>
        <w:rPr>
          <w:strike w:val="0"/>
          <w:color w:val="2E97D3"/>
        </w:rPr>
        <w:t>--</w:t>
      </w:r>
      <w:r>
        <w:rPr>
          <w:strike w:val="0"/>
        </w:rPr>
        <w:t>day review period be extended, the Finance budget analyst will inform the applying department and will assist in obtaining the additional data.</w:t>
      </w:r>
    </w:p>
    <w:p>
      <w:pPr>
        <w:spacing w:after="0"/>
        <w:sectPr>
          <w:pgSz w:w="12240" w:h="15840"/>
          <w:pgMar w:header="728" w:footer="792" w:top="980" w:bottom="980" w:left="620" w:right="1320"/>
        </w:sectPr>
      </w:pPr>
    </w:p>
    <w:p>
      <w:pPr>
        <w:pStyle w:val="BodyText"/>
        <w:rPr>
          <w:sz w:val="20"/>
        </w:rPr>
      </w:pPr>
    </w:p>
    <w:p>
      <w:pPr>
        <w:tabs>
          <w:tab w:pos="8947" w:val="left" w:leader="none"/>
        </w:tabs>
        <w:spacing w:before="214"/>
        <w:ind w:left="119" w:right="0" w:firstLine="0"/>
        <w:jc w:val="left"/>
        <w:rPr>
          <w:b/>
          <w:sz w:val="24"/>
        </w:rPr>
      </w:pPr>
      <w:r>
        <w:rPr>
          <w:b/>
          <w:sz w:val="24"/>
        </w:rPr>
        <w:t>EMERGENCY SERVICES BY</w:t>
      </w:r>
      <w:r>
        <w:rPr>
          <w:b/>
          <w:spacing w:val="-14"/>
          <w:sz w:val="24"/>
        </w:rPr>
        <w:t> </w:t>
      </w:r>
      <w:r>
        <w:rPr>
          <w:b/>
          <w:sz w:val="24"/>
        </w:rPr>
        <w:t>STATE</w:t>
      </w:r>
      <w:r>
        <w:rPr>
          <w:b/>
          <w:spacing w:val="2"/>
          <w:sz w:val="24"/>
        </w:rPr>
        <w:t> </w:t>
      </w:r>
      <w:r>
        <w:rPr>
          <w:b/>
          <w:sz w:val="24"/>
        </w:rPr>
        <w:t>AGENCIES</w:t>
        <w:tab/>
        <w:t>6560</w:t>
      </w:r>
    </w:p>
    <w:p>
      <w:pPr>
        <w:pStyle w:val="BodyText"/>
        <w:ind w:left="119"/>
      </w:pPr>
      <w:r>
        <w:rPr/>
        <w:t>(Revised 9/2010)</w:t>
      </w:r>
    </w:p>
    <w:p>
      <w:pPr>
        <w:pStyle w:val="BodyText"/>
      </w:pPr>
    </w:p>
    <w:p>
      <w:pPr>
        <w:pStyle w:val="BodyText"/>
        <w:ind w:left="119" w:right="483"/>
      </w:pPr>
      <w:r>
        <w:rPr/>
        <w:t>The California Emergency Services Act establishes the basis for the state to mitigate the effects of natural, man-made, or war-caused emergencies.</w:t>
      </w:r>
    </w:p>
    <w:p>
      <w:pPr>
        <w:pStyle w:val="BodyText"/>
        <w:spacing w:before="11"/>
        <w:rPr>
          <w:sz w:val="23"/>
        </w:rPr>
      </w:pPr>
    </w:p>
    <w:p>
      <w:pPr>
        <w:pStyle w:val="BodyText"/>
        <w:ind w:left="120" w:right="149"/>
      </w:pPr>
      <w:r>
        <w:rPr/>
        <w:t>Government Code section </w:t>
      </w:r>
      <w:hyperlink r:id="rId115">
        <w:r>
          <w:rPr>
            <w:color w:val="0000FF"/>
            <w:u w:val="single" w:color="0000FF"/>
          </w:rPr>
          <w:t>8649 </w:t>
        </w:r>
      </w:hyperlink>
      <w:r>
        <w:rPr/>
        <w:t>provides that, subject to the approval of Finance, any state agency may use its personnel, property, equipment, and appropriations in emergencies declared by the Governor. Because of the need to respond to emergency situations immediately, there may be times when it may be difficult to secure advance approval of Finance. For this reason, Finance, under the authority of Government Code section </w:t>
      </w:r>
      <w:hyperlink r:id="rId116">
        <w:r>
          <w:rPr>
            <w:color w:val="0000FF"/>
            <w:u w:val="single" w:color="0000FF"/>
          </w:rPr>
          <w:t>13078 </w:t>
        </w:r>
      </w:hyperlink>
      <w:r>
        <w:rPr/>
        <w:t>and EO B–48–78, has given standing authority to the Secretary of the California Emergency Management Agency (</w:t>
      </w:r>
      <w:hyperlink r:id="rId117">
        <w:r>
          <w:rPr>
            <w:color w:val="0000FF"/>
            <w:u w:val="single" w:color="0000FF"/>
          </w:rPr>
          <w:t>Cal EMA</w:t>
        </w:r>
      </w:hyperlink>
      <w:r>
        <w:rPr/>
        <w:t>) formerly the Office of Emergency Services (OES)), or the Director's duly designated representative, to direct any agency to utilize and employ state personnel, equipment, and facilities to prevent or alleviate actual or threatened damage due to an emergency, without prior DOF approval, providing the cost of such urgency actions by all state agencies does not exceed $25,000 for each emergency response as directed by the Secretary of the Cal EMA.  For expenditures above this level, Finance approval is</w:t>
      </w:r>
      <w:r>
        <w:rPr>
          <w:spacing w:val="-36"/>
        </w:rPr>
        <w:t> </w:t>
      </w:r>
      <w:r>
        <w:rPr/>
        <w:t>required.</w:t>
      </w:r>
    </w:p>
    <w:p>
      <w:pPr>
        <w:pStyle w:val="BodyText"/>
        <w:spacing w:before="11"/>
        <w:rPr>
          <w:sz w:val="23"/>
        </w:rPr>
      </w:pPr>
    </w:p>
    <w:p>
      <w:pPr>
        <w:pStyle w:val="BodyText"/>
        <w:ind w:left="120" w:right="321"/>
      </w:pPr>
      <w:r>
        <w:rPr/>
        <w:t>Government Code section </w:t>
      </w:r>
      <w:hyperlink r:id="rId115">
        <w:r>
          <w:rPr>
            <w:color w:val="0000FF"/>
            <w:u w:val="single" w:color="0000FF"/>
          </w:rPr>
          <w:t>8649 </w:t>
        </w:r>
      </w:hyperlink>
      <w:r>
        <w:rPr/>
        <w:t>further provides that any state agency which uses its personnel, property, equipment and appropriation for such declared emergencies, and said agency contains funds which are subject to constitutional restriction prohibiting their use for such purposes, shall be provided reimbursements, and the original expenditure shall be considered a temporary loan to the General Fund.</w:t>
      </w:r>
    </w:p>
    <w:p>
      <w:pPr>
        <w:pStyle w:val="BodyText"/>
        <w:spacing w:before="11"/>
        <w:rPr>
          <w:sz w:val="23"/>
        </w:rPr>
      </w:pPr>
    </w:p>
    <w:p>
      <w:pPr>
        <w:pStyle w:val="BodyText"/>
        <w:ind w:left="120" w:right="147"/>
      </w:pPr>
      <w:r>
        <w:rPr/>
        <w:t>In the event a department is unable to absorb all the costs associated with an emergency response, it should request assistance from Finance. Appropriate Finance staff will direct immediate attention to the anticipated funding deficiency and provide guidance to the department projecting the shortage. The Director of Finance will evaluate and make decisions on each request for supplemental funding on an individual basis.  Budget Letter 09-13, issued April 20, 2009, describes this process.</w:t>
      </w:r>
    </w:p>
    <w:p>
      <w:pPr>
        <w:pStyle w:val="BodyText"/>
        <w:spacing w:before="11"/>
        <w:rPr>
          <w:sz w:val="23"/>
        </w:rPr>
      </w:pPr>
    </w:p>
    <w:p>
      <w:pPr>
        <w:pStyle w:val="BodyText"/>
        <w:ind w:left="119"/>
      </w:pPr>
      <w:r>
        <w:rPr/>
        <w:t>(Continued)</w:t>
      </w:r>
    </w:p>
    <w:p>
      <w:pPr>
        <w:spacing w:after="0"/>
        <w:sectPr>
          <w:footerReference w:type="default" r:id="rId114"/>
          <w:pgSz w:w="12240" w:h="15840"/>
          <w:pgMar w:footer="792" w:header="728" w:top="980" w:bottom="980" w:left="1320" w:right="1320"/>
        </w:sectPr>
      </w:pPr>
    </w:p>
    <w:p>
      <w:pPr>
        <w:pStyle w:val="BodyText"/>
        <w:rPr>
          <w:sz w:val="20"/>
        </w:rPr>
      </w:pPr>
    </w:p>
    <w:p>
      <w:pPr>
        <w:pStyle w:val="BodyText"/>
        <w:spacing w:before="214"/>
        <w:ind w:left="119"/>
      </w:pPr>
      <w:r>
        <w:rPr/>
        <w:t>(Continued)</w:t>
      </w:r>
    </w:p>
    <w:p>
      <w:pPr>
        <w:pStyle w:val="Heading2"/>
        <w:tabs>
          <w:tab w:pos="7946" w:val="left" w:leader="none"/>
        </w:tabs>
        <w:ind w:left="119"/>
        <w:rPr>
          <w:b w:val="0"/>
        </w:rPr>
      </w:pPr>
      <w:r>
        <w:rPr/>
        <w:t>EMERGENCY SERVICES BY</w:t>
      </w:r>
      <w:r>
        <w:rPr>
          <w:spacing w:val="-14"/>
        </w:rPr>
        <w:t> </w:t>
      </w:r>
      <w:r>
        <w:rPr/>
        <w:t>STATE</w:t>
      </w:r>
      <w:r>
        <w:rPr>
          <w:spacing w:val="2"/>
        </w:rPr>
        <w:t> </w:t>
      </w:r>
      <w:r>
        <w:rPr/>
        <w:t>AGENCIES</w:t>
        <w:tab/>
        <w:t>6560 </w:t>
      </w:r>
      <w:r>
        <w:rPr>
          <w:b w:val="0"/>
        </w:rPr>
        <w:t>(Cont.</w:t>
      </w:r>
      <w:r>
        <w:rPr>
          <w:b w:val="0"/>
          <w:spacing w:val="-6"/>
        </w:rPr>
        <w:t> </w:t>
      </w:r>
      <w:r>
        <w:rPr>
          <w:b w:val="0"/>
        </w:rPr>
        <w:t>1)</w:t>
      </w:r>
    </w:p>
    <w:p>
      <w:pPr>
        <w:pStyle w:val="BodyText"/>
        <w:ind w:left="119"/>
      </w:pPr>
      <w:r>
        <w:rPr/>
        <w:t>(Revised 9/2010)</w:t>
      </w:r>
    </w:p>
    <w:p>
      <w:pPr>
        <w:pStyle w:val="BodyText"/>
      </w:pPr>
    </w:p>
    <w:p>
      <w:pPr>
        <w:pStyle w:val="Heading2"/>
        <w:ind w:left="119"/>
      </w:pPr>
      <w:r>
        <w:rPr/>
        <w:t>Preparing for an Emergency</w:t>
      </w:r>
    </w:p>
    <w:p>
      <w:pPr>
        <w:pStyle w:val="BodyText"/>
        <w:rPr>
          <w:b/>
        </w:rPr>
      </w:pPr>
    </w:p>
    <w:p>
      <w:pPr>
        <w:pStyle w:val="BodyText"/>
        <w:ind w:left="119"/>
      </w:pPr>
      <w:r>
        <w:rPr/>
        <w:t>By EO B–48–78, the Governor ordered in part that:</w:t>
      </w:r>
    </w:p>
    <w:p>
      <w:pPr>
        <w:pStyle w:val="BodyText"/>
      </w:pPr>
    </w:p>
    <w:p>
      <w:pPr>
        <w:pStyle w:val="ListParagraph"/>
        <w:numPr>
          <w:ilvl w:val="0"/>
          <w:numId w:val="35"/>
        </w:numPr>
        <w:tabs>
          <w:tab w:pos="480" w:val="left" w:leader="none"/>
        </w:tabs>
        <w:spacing w:line="240" w:lineRule="auto" w:before="0" w:after="0"/>
        <w:ind w:left="480" w:right="498" w:hanging="360"/>
        <w:jc w:val="left"/>
        <w:rPr>
          <w:sz w:val="24"/>
        </w:rPr>
      </w:pPr>
      <w:r>
        <w:rPr>
          <w:sz w:val="24"/>
        </w:rPr>
        <w:t>Specific assignment of emergency functions to a given agency will be made in an Administrative Order by the Secretary, </w:t>
      </w:r>
      <w:hyperlink r:id="rId117">
        <w:r>
          <w:rPr>
            <w:color w:val="0000FF"/>
            <w:sz w:val="24"/>
            <w:u w:val="single" w:color="0000FF"/>
          </w:rPr>
          <w:t>Cal EMA</w:t>
        </w:r>
      </w:hyperlink>
      <w:r>
        <w:rPr>
          <w:sz w:val="24"/>
        </w:rPr>
        <w:t>, following consultation with the respective agency</w:t>
      </w:r>
      <w:r>
        <w:rPr>
          <w:spacing w:val="-11"/>
          <w:sz w:val="24"/>
        </w:rPr>
        <w:t> </w:t>
      </w:r>
      <w:r>
        <w:rPr>
          <w:sz w:val="24"/>
        </w:rPr>
        <w:t>head.</w:t>
      </w:r>
    </w:p>
    <w:p>
      <w:pPr>
        <w:pStyle w:val="ListParagraph"/>
        <w:numPr>
          <w:ilvl w:val="0"/>
          <w:numId w:val="35"/>
        </w:numPr>
        <w:tabs>
          <w:tab w:pos="480" w:val="left" w:leader="none"/>
        </w:tabs>
        <w:spacing w:line="240" w:lineRule="auto" w:before="197" w:after="0"/>
        <w:ind w:left="480" w:right="482" w:hanging="360"/>
        <w:jc w:val="left"/>
        <w:rPr>
          <w:sz w:val="24"/>
        </w:rPr>
      </w:pPr>
      <w:r>
        <w:rPr>
          <w:sz w:val="24"/>
        </w:rPr>
        <w:t>Draft copies of agency procedures designed to carry out emergency assignments shall be submitted to the Secretary, </w:t>
      </w:r>
      <w:hyperlink r:id="rId117">
        <w:r>
          <w:rPr>
            <w:color w:val="0000FF"/>
            <w:sz w:val="24"/>
            <w:u w:val="single" w:color="0000FF"/>
          </w:rPr>
          <w:t>Cal EMA</w:t>
        </w:r>
      </w:hyperlink>
      <w:r>
        <w:rPr>
          <w:sz w:val="24"/>
        </w:rPr>
        <w:t>, for review and approval prior to publication.</w:t>
      </w:r>
    </w:p>
    <w:p>
      <w:pPr>
        <w:pStyle w:val="ListParagraph"/>
        <w:numPr>
          <w:ilvl w:val="0"/>
          <w:numId w:val="35"/>
        </w:numPr>
        <w:tabs>
          <w:tab w:pos="480" w:val="left" w:leader="none"/>
        </w:tabs>
        <w:spacing w:line="240" w:lineRule="auto" w:before="199" w:after="0"/>
        <w:ind w:left="480" w:right="284" w:hanging="360"/>
        <w:jc w:val="left"/>
        <w:rPr>
          <w:sz w:val="24"/>
        </w:rPr>
      </w:pPr>
      <w:r>
        <w:rPr>
          <w:sz w:val="24"/>
        </w:rPr>
        <w:t>Each agency shall prepare for and ensure the utilization of minimum resources required for continuation of normal services and redirection of all other resources to accomplish objectives in accordance with the </w:t>
      </w:r>
      <w:hyperlink r:id="rId118">
        <w:r>
          <w:rPr>
            <w:color w:val="0000FF"/>
            <w:sz w:val="24"/>
            <w:u w:val="single" w:color="0000FF"/>
          </w:rPr>
          <w:t>California Emergency</w:t>
        </w:r>
        <w:r>
          <w:rPr>
            <w:color w:val="0000FF"/>
            <w:spacing w:val="-31"/>
            <w:sz w:val="24"/>
            <w:u w:val="single" w:color="0000FF"/>
          </w:rPr>
          <w:t> </w:t>
        </w:r>
        <w:r>
          <w:rPr>
            <w:color w:val="0000FF"/>
            <w:sz w:val="24"/>
            <w:u w:val="single" w:color="0000FF"/>
          </w:rPr>
          <w:t>Plan</w:t>
        </w:r>
      </w:hyperlink>
      <w:r>
        <w:rPr>
          <w:sz w:val="24"/>
        </w:rPr>
        <w:t>.</w:t>
      </w:r>
    </w:p>
    <w:p>
      <w:pPr>
        <w:pStyle w:val="BodyText"/>
        <w:spacing w:before="196"/>
        <w:ind w:left="120" w:right="707"/>
      </w:pPr>
      <w:r>
        <w:rPr/>
        <w:t>Accordingly, each agency must prepare to use existing resources for its assigned emergency response to protect the health and safety and to preserve the lives and property of the people of the State of California.</w:t>
      </w:r>
    </w:p>
    <w:p>
      <w:pPr>
        <w:spacing w:after="0"/>
        <w:sectPr>
          <w:pgSz w:w="12240" w:h="15840"/>
          <w:pgMar w:header="728" w:footer="792" w:top="980" w:bottom="980" w:left="1320" w:right="1320"/>
        </w:sectPr>
      </w:pPr>
    </w:p>
    <w:p>
      <w:pPr>
        <w:pStyle w:val="BodyText"/>
        <w:rPr>
          <w:sz w:val="20"/>
        </w:rPr>
      </w:pPr>
    </w:p>
    <w:p>
      <w:pPr>
        <w:spacing w:before="214"/>
        <w:ind w:left="119" w:right="0" w:firstLine="0"/>
        <w:jc w:val="left"/>
        <w:rPr>
          <w:b/>
          <w:sz w:val="24"/>
        </w:rPr>
      </w:pPr>
      <w:r>
        <w:rPr>
          <w:b/>
          <w:sz w:val="24"/>
        </w:rPr>
        <w:t>STANDARDIZED REGULATORY IMPACT ASSESSMENT</w:t>
      </w:r>
    </w:p>
    <w:p>
      <w:pPr>
        <w:tabs>
          <w:tab w:pos="8894" w:val="left" w:leader="none"/>
        </w:tabs>
        <w:spacing w:before="0"/>
        <w:ind w:left="119" w:right="0" w:firstLine="0"/>
        <w:jc w:val="left"/>
        <w:rPr>
          <w:b/>
          <w:sz w:val="24"/>
        </w:rPr>
      </w:pPr>
      <w:r>
        <w:rPr>
          <w:b/>
          <w:sz w:val="24"/>
        </w:rPr>
        <w:t>FOR</w:t>
      </w:r>
      <w:r>
        <w:rPr>
          <w:b/>
          <w:spacing w:val="-3"/>
          <w:sz w:val="24"/>
        </w:rPr>
        <w:t> </w:t>
      </w:r>
      <w:r>
        <w:rPr>
          <w:b/>
          <w:sz w:val="24"/>
        </w:rPr>
        <w:t>MAJOR</w:t>
      </w:r>
      <w:r>
        <w:rPr>
          <w:b/>
          <w:spacing w:val="-3"/>
          <w:sz w:val="24"/>
        </w:rPr>
        <w:t> </w:t>
      </w:r>
      <w:r>
        <w:rPr>
          <w:b/>
          <w:sz w:val="24"/>
        </w:rPr>
        <w:t>REGULATIONS</w:t>
        <w:tab/>
        <w:t>6600</w:t>
      </w:r>
    </w:p>
    <w:p>
      <w:pPr>
        <w:pStyle w:val="BodyText"/>
        <w:ind w:left="119"/>
      </w:pPr>
      <w:r>
        <w:rPr/>
        <w:t>(New 6/2014)</w:t>
      </w:r>
    </w:p>
    <w:p>
      <w:pPr>
        <w:pStyle w:val="BodyText"/>
      </w:pPr>
    </w:p>
    <w:p>
      <w:pPr>
        <w:pStyle w:val="BodyText"/>
        <w:ind w:left="120" w:right="574"/>
        <w:jc w:val="both"/>
      </w:pPr>
      <w:r>
        <w:rPr/>
        <w:t>Pursuant to </w:t>
      </w:r>
      <w:hyperlink r:id="rId120">
        <w:r>
          <w:rPr>
            <w:color w:val="0000FF"/>
            <w:u w:val="single" w:color="0000FF"/>
          </w:rPr>
          <w:t>Government Code section 11346.36(f)</w:t>
        </w:r>
      </w:hyperlink>
      <w:r>
        <w:rPr/>
        <w:t>, Finance’s regulations regarding major regulations and Standardized Regulatory Impact Assessments are published below.</w:t>
      </w:r>
    </w:p>
    <w:p>
      <w:pPr>
        <w:pStyle w:val="BodyText"/>
      </w:pPr>
    </w:p>
    <w:p>
      <w:pPr>
        <w:pStyle w:val="BodyText"/>
        <w:ind w:left="120" w:right="95"/>
      </w:pPr>
      <w:r>
        <w:rPr/>
        <w:t>A state agency promulgating a major regulation is required to send a completed Standardized Regulatory Impact Assessments and the form required by California Code of Regulations, title 1, section 2002 to the Department of Finance for review and comment. Please send these documents electronically to </w:t>
      </w:r>
      <w:hyperlink r:id="rId121">
        <w:r>
          <w:rPr/>
          <w:t>majorregulations@dof.ca.gov</w:t>
        </w:r>
      </w:hyperlink>
      <w:r>
        <w:rPr/>
        <w:t> or send three copies to:</w:t>
      </w:r>
    </w:p>
    <w:p>
      <w:pPr>
        <w:pStyle w:val="BodyText"/>
      </w:pPr>
    </w:p>
    <w:p>
      <w:pPr>
        <w:pStyle w:val="BodyText"/>
        <w:ind w:left="120" w:right="6778"/>
      </w:pPr>
      <w:r>
        <w:rPr/>
        <w:t>Economic Research Unit Department of Finance 915 L Street</w:t>
      </w:r>
    </w:p>
    <w:p>
      <w:pPr>
        <w:pStyle w:val="BodyText"/>
        <w:ind w:left="120"/>
      </w:pPr>
      <w:r>
        <w:rPr/>
        <w:t>Sacramento, CA 95814</w:t>
      </w:r>
    </w:p>
    <w:p>
      <w:pPr>
        <w:pStyle w:val="BodyText"/>
        <w:ind w:left="120"/>
      </w:pPr>
      <w:r>
        <w:rPr/>
        <w:t>Fax No.: (916) 449-5253</w:t>
      </w:r>
    </w:p>
    <w:p>
      <w:pPr>
        <w:pStyle w:val="BodyText"/>
      </w:pPr>
    </w:p>
    <w:p>
      <w:pPr>
        <w:pStyle w:val="BodyText"/>
        <w:ind w:left="120" w:right="5377"/>
      </w:pPr>
      <w:r>
        <w:rPr/>
        <w:t>Title 1, California Code of Regulations Division 3.  Department of Finance</w:t>
      </w:r>
    </w:p>
    <w:p>
      <w:pPr>
        <w:pStyle w:val="BodyText"/>
        <w:ind w:left="120"/>
      </w:pPr>
      <w:r>
        <w:rPr/>
        <w:t>Chapter 1.  Standardized Regulatory Impact Assessment for Major Regulations.</w:t>
      </w:r>
    </w:p>
    <w:p>
      <w:pPr>
        <w:pStyle w:val="BodyText"/>
      </w:pPr>
    </w:p>
    <w:p>
      <w:pPr>
        <w:pStyle w:val="BodyText"/>
        <w:ind w:left="120"/>
      </w:pPr>
      <w:r>
        <w:rPr/>
        <w:t>2000.</w:t>
      </w:r>
      <w:r>
        <w:rPr>
          <w:spacing w:val="59"/>
        </w:rPr>
        <w:t> </w:t>
      </w:r>
      <w:r>
        <w:rPr/>
        <w:t>Definitions.</w:t>
      </w:r>
    </w:p>
    <w:p>
      <w:pPr>
        <w:pStyle w:val="BodyText"/>
        <w:ind w:left="120"/>
      </w:pPr>
      <w:r>
        <w:rPr/>
        <w:t>For purposes of this chapter:</w:t>
      </w:r>
    </w:p>
    <w:p>
      <w:pPr>
        <w:pStyle w:val="ListParagraph"/>
        <w:numPr>
          <w:ilvl w:val="1"/>
          <w:numId w:val="35"/>
        </w:numPr>
        <w:tabs>
          <w:tab w:pos="1200" w:val="left" w:leader="none"/>
        </w:tabs>
        <w:spacing w:line="240" w:lineRule="auto" w:before="0" w:after="0"/>
        <w:ind w:left="840" w:right="644" w:firstLine="0"/>
        <w:jc w:val="left"/>
        <w:rPr>
          <w:sz w:val="24"/>
        </w:rPr>
      </w:pPr>
      <w:r>
        <w:rPr>
          <w:sz w:val="24"/>
        </w:rPr>
        <w:t>“Agency” has the meaning given to that term in Section 11342.520 of the code.</w:t>
      </w:r>
    </w:p>
    <w:p>
      <w:pPr>
        <w:pStyle w:val="ListParagraph"/>
        <w:numPr>
          <w:ilvl w:val="1"/>
          <w:numId w:val="35"/>
        </w:numPr>
        <w:tabs>
          <w:tab w:pos="1200" w:val="left" w:leader="none"/>
        </w:tabs>
        <w:spacing w:line="240" w:lineRule="auto" w:before="0" w:after="0"/>
        <w:ind w:left="840" w:right="164" w:firstLine="0"/>
        <w:jc w:val="left"/>
        <w:rPr>
          <w:sz w:val="24"/>
        </w:rPr>
      </w:pPr>
      <w:r>
        <w:rPr>
          <w:sz w:val="24"/>
        </w:rPr>
        <w:t>“As estimated by the agency” means the agency has estimated the economic impact of a proposed action in the manner prescribed by section</w:t>
      </w:r>
      <w:r>
        <w:rPr>
          <w:spacing w:val="-33"/>
          <w:sz w:val="24"/>
        </w:rPr>
        <w:t> </w:t>
      </w:r>
      <w:r>
        <w:rPr>
          <w:sz w:val="24"/>
        </w:rPr>
        <w:t>2003.</w:t>
      </w:r>
    </w:p>
    <w:p>
      <w:pPr>
        <w:pStyle w:val="ListParagraph"/>
        <w:numPr>
          <w:ilvl w:val="1"/>
          <w:numId w:val="35"/>
        </w:numPr>
        <w:tabs>
          <w:tab w:pos="1186" w:val="left" w:leader="none"/>
        </w:tabs>
        <w:spacing w:line="240" w:lineRule="auto" w:before="0" w:after="0"/>
        <w:ind w:left="1185" w:right="0" w:hanging="345"/>
        <w:jc w:val="left"/>
        <w:rPr>
          <w:sz w:val="24"/>
        </w:rPr>
      </w:pPr>
      <w:r>
        <w:rPr>
          <w:sz w:val="24"/>
        </w:rPr>
        <w:t>“Code” means the Government</w:t>
      </w:r>
      <w:r>
        <w:rPr>
          <w:spacing w:val="-15"/>
          <w:sz w:val="24"/>
        </w:rPr>
        <w:t> </w:t>
      </w:r>
      <w:r>
        <w:rPr>
          <w:sz w:val="24"/>
        </w:rPr>
        <w:t>Code.</w:t>
      </w:r>
    </w:p>
    <w:p>
      <w:pPr>
        <w:pStyle w:val="ListParagraph"/>
        <w:numPr>
          <w:ilvl w:val="1"/>
          <w:numId w:val="35"/>
        </w:numPr>
        <w:tabs>
          <w:tab w:pos="1200" w:val="left" w:leader="none"/>
        </w:tabs>
        <w:spacing w:line="240" w:lineRule="auto" w:before="0" w:after="0"/>
        <w:ind w:left="1200" w:right="0" w:hanging="360"/>
        <w:jc w:val="left"/>
        <w:rPr>
          <w:sz w:val="24"/>
        </w:rPr>
      </w:pPr>
      <w:r>
        <w:rPr>
          <w:sz w:val="24"/>
        </w:rPr>
        <w:t>“Department” means the Department of</w:t>
      </w:r>
      <w:r>
        <w:rPr>
          <w:spacing w:val="-24"/>
          <w:sz w:val="24"/>
        </w:rPr>
        <w:t> </w:t>
      </w:r>
      <w:r>
        <w:rPr>
          <w:sz w:val="24"/>
        </w:rPr>
        <w:t>Finance.</w:t>
      </w:r>
    </w:p>
    <w:p>
      <w:pPr>
        <w:pStyle w:val="ListParagraph"/>
        <w:numPr>
          <w:ilvl w:val="1"/>
          <w:numId w:val="35"/>
        </w:numPr>
        <w:tabs>
          <w:tab w:pos="1200" w:val="left" w:leader="none"/>
        </w:tabs>
        <w:spacing w:line="240" w:lineRule="auto" w:before="0" w:after="0"/>
        <w:ind w:left="840" w:right="1045" w:firstLine="0"/>
        <w:jc w:val="left"/>
        <w:rPr>
          <w:sz w:val="24"/>
        </w:rPr>
      </w:pPr>
      <w:r>
        <w:rPr>
          <w:sz w:val="24"/>
        </w:rPr>
        <w:t>“Economic impact” means all costs or all benefits (direct, indirect and induced) of the proposed major regulation on business enterprises and individuals located in or doing business in</w:t>
      </w:r>
      <w:r>
        <w:rPr>
          <w:spacing w:val="-28"/>
          <w:sz w:val="24"/>
        </w:rPr>
        <w:t> </w:t>
      </w:r>
      <w:r>
        <w:rPr>
          <w:sz w:val="24"/>
        </w:rPr>
        <w:t>California.</w:t>
      </w:r>
    </w:p>
    <w:p>
      <w:pPr>
        <w:pStyle w:val="ListParagraph"/>
        <w:numPr>
          <w:ilvl w:val="1"/>
          <w:numId w:val="35"/>
        </w:numPr>
        <w:tabs>
          <w:tab w:pos="1136" w:val="left" w:leader="none"/>
        </w:tabs>
        <w:spacing w:line="240" w:lineRule="auto" w:before="0" w:after="0"/>
        <w:ind w:left="840" w:right="1460" w:firstLine="0"/>
        <w:jc w:val="left"/>
        <w:rPr>
          <w:sz w:val="24"/>
        </w:rPr>
      </w:pPr>
      <w:r>
        <w:rPr>
          <w:sz w:val="24"/>
        </w:rPr>
        <w:t>“GO-Biz” means the Governor’s Office of Business and Economic Development.</w:t>
      </w:r>
    </w:p>
    <w:p>
      <w:pPr>
        <w:pStyle w:val="BodyText"/>
        <w:spacing w:before="2"/>
      </w:pPr>
    </w:p>
    <w:p>
      <w:pPr>
        <w:pStyle w:val="BodyText"/>
        <w:ind w:left="119"/>
      </w:pPr>
      <w:r>
        <w:rPr/>
        <w:t>(Continued)</w:t>
      </w:r>
    </w:p>
    <w:p>
      <w:pPr>
        <w:spacing w:after="0"/>
        <w:sectPr>
          <w:footerReference w:type="default" r:id="rId119"/>
          <w:pgSz w:w="12240" w:h="15840"/>
          <w:pgMar w:footer="792" w:header="728" w:top="980" w:bottom="980" w:left="1320" w:right="1360"/>
        </w:sectPr>
      </w:pPr>
    </w:p>
    <w:p>
      <w:pPr>
        <w:pStyle w:val="BodyText"/>
        <w:rPr>
          <w:sz w:val="20"/>
        </w:rPr>
      </w:pPr>
    </w:p>
    <w:p>
      <w:pPr>
        <w:pStyle w:val="BodyText"/>
        <w:spacing w:before="216"/>
        <w:ind w:left="119"/>
      </w:pPr>
      <w:r>
        <w:rPr/>
        <w:t>(Continued)</w:t>
      </w:r>
    </w:p>
    <w:p>
      <w:pPr>
        <w:pStyle w:val="Heading2"/>
        <w:spacing w:before="38"/>
        <w:ind w:left="119"/>
      </w:pPr>
      <w:r>
        <w:rPr/>
        <w:t>STANDARDIZED REGULATORY IMPACT ASSESSMENT</w:t>
      </w:r>
    </w:p>
    <w:p>
      <w:pPr>
        <w:tabs>
          <w:tab w:pos="7910" w:val="left" w:leader="none"/>
        </w:tabs>
        <w:spacing w:before="0"/>
        <w:ind w:left="119" w:right="112" w:firstLine="0"/>
        <w:jc w:val="left"/>
        <w:rPr>
          <w:sz w:val="24"/>
        </w:rPr>
      </w:pPr>
      <w:r>
        <w:rPr>
          <w:b/>
          <w:sz w:val="24"/>
        </w:rPr>
        <w:t>FOR</w:t>
      </w:r>
      <w:r>
        <w:rPr>
          <w:b/>
          <w:spacing w:val="-3"/>
          <w:sz w:val="24"/>
        </w:rPr>
        <w:t> </w:t>
      </w:r>
      <w:r>
        <w:rPr>
          <w:b/>
          <w:sz w:val="24"/>
        </w:rPr>
        <w:t>MAJOR</w:t>
      </w:r>
      <w:r>
        <w:rPr>
          <w:b/>
          <w:spacing w:val="-3"/>
          <w:sz w:val="24"/>
        </w:rPr>
        <w:t> </w:t>
      </w:r>
      <w:r>
        <w:rPr>
          <w:b/>
          <w:sz w:val="24"/>
        </w:rPr>
        <w:t>REGULATIONS</w:t>
        <w:tab/>
        <w:t>6600</w:t>
      </w:r>
      <w:r>
        <w:rPr>
          <w:b/>
          <w:spacing w:val="-4"/>
          <w:sz w:val="24"/>
        </w:rPr>
        <w:t> </w:t>
      </w:r>
      <w:r>
        <w:rPr>
          <w:sz w:val="24"/>
        </w:rPr>
        <w:t>(Cont.</w:t>
      </w:r>
      <w:r>
        <w:rPr>
          <w:spacing w:val="-5"/>
          <w:sz w:val="24"/>
        </w:rPr>
        <w:t> </w:t>
      </w:r>
      <w:r>
        <w:rPr>
          <w:sz w:val="24"/>
        </w:rPr>
        <w:t>1)</w:t>
      </w:r>
      <w:r>
        <w:rPr>
          <w:w w:val="99"/>
          <w:sz w:val="24"/>
        </w:rPr>
        <w:t> </w:t>
      </w:r>
      <w:r>
        <w:rPr>
          <w:sz w:val="24"/>
        </w:rPr>
        <w:t>(New</w:t>
      </w:r>
      <w:r>
        <w:rPr>
          <w:spacing w:val="-6"/>
          <w:sz w:val="24"/>
        </w:rPr>
        <w:t> </w:t>
      </w:r>
      <w:r>
        <w:rPr>
          <w:sz w:val="24"/>
        </w:rPr>
        <w:t>6/2014)</w:t>
      </w:r>
    </w:p>
    <w:p>
      <w:pPr>
        <w:pStyle w:val="BodyText"/>
        <w:spacing w:before="10"/>
        <w:rPr>
          <w:sz w:val="20"/>
        </w:rPr>
      </w:pPr>
    </w:p>
    <w:p>
      <w:pPr>
        <w:pStyle w:val="ListParagraph"/>
        <w:numPr>
          <w:ilvl w:val="1"/>
          <w:numId w:val="35"/>
        </w:numPr>
        <w:tabs>
          <w:tab w:pos="545" w:val="left" w:leader="none"/>
        </w:tabs>
        <w:spacing w:line="240" w:lineRule="auto" w:before="0" w:after="0"/>
        <w:ind w:left="544" w:right="0" w:hanging="424"/>
        <w:jc w:val="left"/>
        <w:rPr>
          <w:sz w:val="24"/>
        </w:rPr>
      </w:pPr>
      <w:r>
        <w:rPr>
          <w:sz w:val="24"/>
        </w:rPr>
        <w:t>“Major regulation” means any proposed rulemaking action</w:t>
      </w:r>
      <w:r>
        <w:rPr>
          <w:spacing w:val="-37"/>
          <w:sz w:val="24"/>
        </w:rPr>
        <w:t> </w:t>
      </w:r>
      <w:r>
        <w:rPr>
          <w:sz w:val="24"/>
        </w:rPr>
        <w:t>adopting,</w:t>
      </w:r>
    </w:p>
    <w:p>
      <w:pPr>
        <w:pStyle w:val="BodyText"/>
        <w:ind w:left="839" w:right="83"/>
      </w:pPr>
      <w:r>
        <w:rPr/>
        <w:t>amending or repealing a regulation subject to review by OAL that will have an economic impact on California business enterprises and individuals in an amount exceeding fifty million dollars ($50,000,000) in any 12-month period between the date the major regulation is estimated to be filed with the Secretary of State through 12 months after the major regulation is estimated to be fully implemented (as estimated by the agency), computed without regard to any offsetting benefits or costs that might result directly or indirectly from that adoption, amendment or repeal.</w:t>
      </w:r>
    </w:p>
    <w:p>
      <w:pPr>
        <w:pStyle w:val="ListParagraph"/>
        <w:numPr>
          <w:ilvl w:val="1"/>
          <w:numId w:val="35"/>
        </w:numPr>
        <w:tabs>
          <w:tab w:pos="1268" w:val="left" w:leader="none"/>
        </w:tabs>
        <w:spacing w:line="240" w:lineRule="auto" w:before="0" w:after="0"/>
        <w:ind w:left="840" w:right="181" w:firstLine="0"/>
        <w:jc w:val="left"/>
        <w:rPr>
          <w:sz w:val="24"/>
        </w:rPr>
      </w:pPr>
      <w:r>
        <w:rPr>
          <w:sz w:val="24"/>
        </w:rPr>
        <w:t>“Notice of proposed action” means the notice required by Section 11346.5</w:t>
      </w:r>
      <w:r>
        <w:rPr>
          <w:spacing w:val="-36"/>
          <w:sz w:val="24"/>
        </w:rPr>
        <w:t> </w:t>
      </w:r>
      <w:r>
        <w:rPr>
          <w:sz w:val="24"/>
        </w:rPr>
        <w:t>of the</w:t>
      </w:r>
      <w:r>
        <w:rPr>
          <w:spacing w:val="-5"/>
          <w:sz w:val="24"/>
        </w:rPr>
        <w:t> </w:t>
      </w:r>
      <w:r>
        <w:rPr>
          <w:sz w:val="24"/>
        </w:rPr>
        <w:t>code.</w:t>
      </w:r>
    </w:p>
    <w:p>
      <w:pPr>
        <w:pStyle w:val="ListParagraph"/>
        <w:numPr>
          <w:ilvl w:val="1"/>
          <w:numId w:val="35"/>
        </w:numPr>
        <w:tabs>
          <w:tab w:pos="1186" w:val="left" w:leader="none"/>
        </w:tabs>
        <w:spacing w:line="240" w:lineRule="auto" w:before="0" w:after="0"/>
        <w:ind w:left="1185" w:right="0" w:hanging="345"/>
        <w:jc w:val="left"/>
        <w:rPr>
          <w:sz w:val="24"/>
        </w:rPr>
      </w:pPr>
      <w:r>
        <w:rPr>
          <w:sz w:val="24"/>
        </w:rPr>
        <w:t>“OAL” means the Office of Administrative</w:t>
      </w:r>
      <w:r>
        <w:rPr>
          <w:spacing w:val="-23"/>
          <w:sz w:val="24"/>
        </w:rPr>
        <w:t> </w:t>
      </w:r>
      <w:r>
        <w:rPr>
          <w:sz w:val="24"/>
        </w:rPr>
        <w:t>Law.</w:t>
      </w:r>
    </w:p>
    <w:p>
      <w:pPr>
        <w:pStyle w:val="ListParagraph"/>
        <w:numPr>
          <w:ilvl w:val="1"/>
          <w:numId w:val="35"/>
        </w:numPr>
        <w:tabs>
          <w:tab w:pos="1186" w:val="left" w:leader="none"/>
        </w:tabs>
        <w:spacing w:line="240" w:lineRule="auto" w:before="0" w:after="0"/>
        <w:ind w:left="840" w:right="497" w:firstLine="0"/>
        <w:jc w:val="left"/>
        <w:rPr>
          <w:sz w:val="24"/>
        </w:rPr>
      </w:pPr>
      <w:r>
        <w:rPr>
          <w:sz w:val="24"/>
        </w:rPr>
        <w:t>“SRIA” means the standardized regulatory impact assessment required by Section 11346.3(c) of the</w:t>
      </w:r>
      <w:r>
        <w:rPr>
          <w:spacing w:val="-13"/>
          <w:sz w:val="24"/>
        </w:rPr>
        <w:t> </w:t>
      </w:r>
      <w:r>
        <w:rPr>
          <w:sz w:val="24"/>
        </w:rPr>
        <w:t>code.</w:t>
      </w:r>
    </w:p>
    <w:p>
      <w:pPr>
        <w:pStyle w:val="BodyText"/>
      </w:pPr>
    </w:p>
    <w:p>
      <w:pPr>
        <w:pStyle w:val="BodyText"/>
        <w:ind w:left="120"/>
      </w:pPr>
      <w:r>
        <w:rPr/>
        <w:t>NOTE: Authority cited: Section </w:t>
      </w:r>
      <w:hyperlink r:id="rId120">
        <w:r>
          <w:rPr>
            <w:color w:val="0000FF"/>
            <w:u w:val="single" w:color="0000FF"/>
          </w:rPr>
          <w:t>11346.36</w:t>
        </w:r>
      </w:hyperlink>
      <w:r>
        <w:rPr/>
        <w:t>, Government Code. Reference: Sections </w:t>
      </w:r>
      <w:hyperlink r:id="rId122">
        <w:r>
          <w:rPr>
            <w:color w:val="0000FF"/>
            <w:u w:val="single" w:color="0000FF"/>
          </w:rPr>
          <w:t>11342.548 </w:t>
        </w:r>
      </w:hyperlink>
      <w:r>
        <w:rPr/>
        <w:t>and </w:t>
      </w:r>
      <w:hyperlink r:id="rId120">
        <w:r>
          <w:rPr>
            <w:color w:val="0000FF"/>
            <w:u w:val="single" w:color="0000FF"/>
          </w:rPr>
          <w:t>11346.36</w:t>
        </w:r>
      </w:hyperlink>
      <w:r>
        <w:rPr/>
        <w:t>, Government Code.  2001. Notification; Public Input.</w:t>
      </w:r>
    </w:p>
    <w:p>
      <w:pPr>
        <w:pStyle w:val="BodyText"/>
        <w:spacing w:before="11"/>
        <w:rPr>
          <w:sz w:val="15"/>
        </w:rPr>
      </w:pPr>
    </w:p>
    <w:p>
      <w:pPr>
        <w:pStyle w:val="ListParagraph"/>
        <w:numPr>
          <w:ilvl w:val="0"/>
          <w:numId w:val="36"/>
        </w:numPr>
        <w:tabs>
          <w:tab w:pos="1200" w:val="left" w:leader="none"/>
        </w:tabs>
        <w:spacing w:line="240" w:lineRule="auto" w:before="92" w:after="0"/>
        <w:ind w:left="840" w:right="325" w:firstLine="0"/>
        <w:jc w:val="left"/>
        <w:rPr>
          <w:sz w:val="24"/>
        </w:rPr>
      </w:pPr>
      <w:r>
        <w:rPr>
          <w:sz w:val="24"/>
        </w:rPr>
        <w:t>(1) An agency that anticipates promulgating a major regulation shall provide the department, not later</w:t>
      </w:r>
      <w:r>
        <w:rPr>
          <w:spacing w:val="-14"/>
          <w:sz w:val="24"/>
        </w:rPr>
        <w:t> </w:t>
      </w:r>
      <w:r>
        <w:rPr>
          <w:sz w:val="24"/>
        </w:rPr>
        <w:t>than</w:t>
      </w:r>
    </w:p>
    <w:p>
      <w:pPr>
        <w:pStyle w:val="BodyText"/>
        <w:ind w:left="840" w:right="141" w:firstLine="67"/>
      </w:pPr>
      <w:r>
        <w:rPr/>
        <w:t>February 1 of each calendar year, with a list of all major regulations that it anticipates proposing during that entire calendar year. The information shall be provided on a form prescribed by the department. The list shall specifically identify the following for each major regulation that the agency proposes to adopt, amend or repeal: subject matter, title and section of the California Code</w:t>
      </w:r>
      <w:r>
        <w:rPr>
          <w:spacing w:val="-40"/>
        </w:rPr>
        <w:t> </w:t>
      </w:r>
      <w:r>
        <w:rPr/>
        <w:t>of Regulations that will be affected, statute or court decision being implemented, interpreted or made specific and the anticipated date on which the agency proposes to publish the notice of proposed action for each major regulation. The list shall also contain the name of the agency, the responsible unit within the agency, and the name, telephone number, email, and mailing address of a contact</w:t>
      </w:r>
      <w:r>
        <w:rPr>
          <w:spacing w:val="-6"/>
        </w:rPr>
        <w:t> </w:t>
      </w:r>
      <w:r>
        <w:rPr/>
        <w:t>person.</w:t>
      </w:r>
    </w:p>
    <w:p>
      <w:pPr>
        <w:pStyle w:val="ListParagraph"/>
        <w:numPr>
          <w:ilvl w:val="0"/>
          <w:numId w:val="10"/>
        </w:numPr>
        <w:tabs>
          <w:tab w:pos="1200" w:val="left" w:leader="none"/>
        </w:tabs>
        <w:spacing w:line="240" w:lineRule="auto" w:before="0" w:after="0"/>
        <w:ind w:left="840" w:right="281" w:firstLine="0"/>
        <w:jc w:val="left"/>
        <w:rPr>
          <w:sz w:val="24"/>
        </w:rPr>
      </w:pPr>
      <w:r>
        <w:rPr>
          <w:sz w:val="24"/>
        </w:rPr>
        <w:t>In the event an agency determines after February 1 that it anticipates promulgating a major regulation, the agency shall submit to the department the information required in subdivision (a)(1) as soon as possible but in no event later than 60 days prior to filing a notice of proposed action with</w:t>
      </w:r>
      <w:r>
        <w:rPr>
          <w:spacing w:val="-31"/>
          <w:sz w:val="24"/>
        </w:rPr>
        <w:t> </w:t>
      </w:r>
      <w:r>
        <w:rPr>
          <w:sz w:val="24"/>
        </w:rPr>
        <w:t>OAL.</w:t>
      </w:r>
    </w:p>
    <w:p>
      <w:pPr>
        <w:pStyle w:val="ListParagraph"/>
        <w:numPr>
          <w:ilvl w:val="0"/>
          <w:numId w:val="36"/>
        </w:numPr>
        <w:tabs>
          <w:tab w:pos="1196" w:val="left" w:leader="none"/>
        </w:tabs>
        <w:spacing w:line="240" w:lineRule="auto" w:before="0" w:after="0"/>
        <w:ind w:left="840" w:right="389" w:firstLine="0"/>
        <w:jc w:val="left"/>
        <w:rPr>
          <w:sz w:val="24"/>
        </w:rPr>
      </w:pPr>
      <w:r>
        <w:rPr>
          <w:sz w:val="24"/>
        </w:rPr>
        <w:t>Within 15 days of receipt of a list of proposed major regulations, the department shall provide a copy of that list to GO-Biz and to any other agency that has requested a</w:t>
      </w:r>
      <w:r>
        <w:rPr>
          <w:spacing w:val="-14"/>
          <w:sz w:val="24"/>
        </w:rPr>
        <w:t> </w:t>
      </w:r>
      <w:r>
        <w:rPr>
          <w:sz w:val="24"/>
        </w:rPr>
        <w:t>copy.</w:t>
      </w:r>
    </w:p>
    <w:p>
      <w:pPr>
        <w:pStyle w:val="BodyText"/>
        <w:rPr>
          <w:sz w:val="26"/>
        </w:rPr>
      </w:pPr>
    </w:p>
    <w:p>
      <w:pPr>
        <w:pStyle w:val="BodyText"/>
        <w:spacing w:before="220"/>
        <w:ind w:left="120"/>
      </w:pPr>
      <w:r>
        <w:rPr/>
        <w:t>(Continued)</w:t>
      </w:r>
    </w:p>
    <w:p>
      <w:pPr>
        <w:spacing w:after="0"/>
        <w:sectPr>
          <w:pgSz w:w="12240" w:h="15840"/>
          <w:pgMar w:header="728" w:footer="792" w:top="980" w:bottom="980" w:left="1320" w:right="1360"/>
        </w:sectPr>
      </w:pPr>
    </w:p>
    <w:p>
      <w:pPr>
        <w:pStyle w:val="BodyText"/>
        <w:rPr>
          <w:sz w:val="20"/>
        </w:rPr>
      </w:pPr>
    </w:p>
    <w:p>
      <w:pPr>
        <w:pStyle w:val="BodyText"/>
        <w:spacing w:before="216"/>
        <w:ind w:left="119"/>
      </w:pPr>
      <w:r>
        <w:rPr/>
        <w:t>(Continued)</w:t>
      </w:r>
    </w:p>
    <w:p>
      <w:pPr>
        <w:pStyle w:val="Heading2"/>
        <w:spacing w:before="38"/>
        <w:ind w:left="119"/>
      </w:pPr>
      <w:r>
        <w:rPr/>
        <w:t>STANDARDIZED REGULATORY IMPACT ASSESSMENT</w:t>
      </w:r>
    </w:p>
    <w:p>
      <w:pPr>
        <w:tabs>
          <w:tab w:pos="7910" w:val="left" w:leader="none"/>
        </w:tabs>
        <w:spacing w:before="0"/>
        <w:ind w:left="119" w:right="113" w:firstLine="0"/>
        <w:jc w:val="left"/>
        <w:rPr>
          <w:sz w:val="24"/>
        </w:rPr>
      </w:pPr>
      <w:r>
        <w:rPr>
          <w:b/>
          <w:sz w:val="24"/>
        </w:rPr>
        <w:t>FOR</w:t>
      </w:r>
      <w:r>
        <w:rPr>
          <w:b/>
          <w:spacing w:val="-3"/>
          <w:sz w:val="24"/>
        </w:rPr>
        <w:t> </w:t>
      </w:r>
      <w:r>
        <w:rPr>
          <w:b/>
          <w:sz w:val="24"/>
        </w:rPr>
        <w:t>MAJOR</w:t>
      </w:r>
      <w:r>
        <w:rPr>
          <w:b/>
          <w:spacing w:val="-3"/>
          <w:sz w:val="24"/>
        </w:rPr>
        <w:t> </w:t>
      </w:r>
      <w:r>
        <w:rPr>
          <w:b/>
          <w:sz w:val="24"/>
        </w:rPr>
        <w:t>REGULATIONS</w:t>
        <w:tab/>
        <w:t>6600</w:t>
      </w:r>
      <w:r>
        <w:rPr>
          <w:b/>
          <w:spacing w:val="-4"/>
          <w:sz w:val="24"/>
        </w:rPr>
        <w:t> </w:t>
      </w:r>
      <w:r>
        <w:rPr>
          <w:sz w:val="24"/>
        </w:rPr>
        <w:t>(Cont.</w:t>
      </w:r>
      <w:r>
        <w:rPr>
          <w:spacing w:val="-5"/>
          <w:sz w:val="24"/>
        </w:rPr>
        <w:t> </w:t>
      </w:r>
      <w:r>
        <w:rPr>
          <w:sz w:val="24"/>
        </w:rPr>
        <w:t>2)</w:t>
      </w:r>
      <w:r>
        <w:rPr>
          <w:w w:val="99"/>
          <w:sz w:val="24"/>
        </w:rPr>
        <w:t> </w:t>
      </w:r>
      <w:r>
        <w:rPr>
          <w:sz w:val="24"/>
        </w:rPr>
        <w:t>(New</w:t>
      </w:r>
      <w:r>
        <w:rPr>
          <w:spacing w:val="-6"/>
          <w:sz w:val="24"/>
        </w:rPr>
        <w:t> </w:t>
      </w:r>
      <w:r>
        <w:rPr>
          <w:sz w:val="24"/>
        </w:rPr>
        <w:t>6/2014)</w:t>
      </w:r>
    </w:p>
    <w:p>
      <w:pPr>
        <w:pStyle w:val="BodyText"/>
      </w:pPr>
    </w:p>
    <w:p>
      <w:pPr>
        <w:pStyle w:val="ListParagraph"/>
        <w:numPr>
          <w:ilvl w:val="0"/>
          <w:numId w:val="36"/>
        </w:numPr>
        <w:tabs>
          <w:tab w:pos="1181" w:val="left" w:leader="none"/>
        </w:tabs>
        <w:spacing w:line="240" w:lineRule="auto" w:before="0" w:after="0"/>
        <w:ind w:left="840" w:right="1203" w:firstLine="0"/>
        <w:jc w:val="left"/>
        <w:rPr>
          <w:sz w:val="24"/>
        </w:rPr>
      </w:pPr>
      <w:r>
        <w:rPr>
          <w:sz w:val="24"/>
        </w:rPr>
        <w:t>Within 15 days of receipt of a list of proposed major regulations, the department shall post that list on its Internet  web</w:t>
      </w:r>
      <w:r>
        <w:rPr>
          <w:spacing w:val="-26"/>
          <w:sz w:val="24"/>
        </w:rPr>
        <w:t> </w:t>
      </w:r>
      <w:r>
        <w:rPr>
          <w:sz w:val="24"/>
        </w:rPr>
        <w:t>site.</w:t>
      </w:r>
    </w:p>
    <w:p>
      <w:pPr>
        <w:pStyle w:val="ListParagraph"/>
        <w:numPr>
          <w:ilvl w:val="0"/>
          <w:numId w:val="36"/>
        </w:numPr>
        <w:tabs>
          <w:tab w:pos="1268" w:val="left" w:leader="none"/>
        </w:tabs>
        <w:spacing w:line="240" w:lineRule="auto" w:before="0" w:after="0"/>
        <w:ind w:left="840" w:right="110" w:firstLine="0"/>
        <w:jc w:val="left"/>
        <w:rPr>
          <w:sz w:val="24"/>
        </w:rPr>
      </w:pPr>
      <w:r>
        <w:rPr>
          <w:sz w:val="24"/>
        </w:rPr>
        <w:t>The agency shall also seek public input regarding alternatives from those who would be subject to or affected by the regulations (including other state agencies and local agencies, where appropriate) prior to filing a notice of proposed action with OAL unless the agency is required to implement federal law and regulations which the agency has little or no discretion to vary. An agency shall document and include in the SRIA the methods by which it sought public input.</w:t>
      </w:r>
    </w:p>
    <w:p>
      <w:pPr>
        <w:pStyle w:val="BodyText"/>
      </w:pPr>
    </w:p>
    <w:p>
      <w:pPr>
        <w:pStyle w:val="BodyText"/>
        <w:ind w:left="120" w:right="174"/>
      </w:pPr>
      <w:r>
        <w:rPr/>
        <w:t>NOTE: Authority cited: Sections </w:t>
      </w:r>
      <w:hyperlink r:id="rId123">
        <w:r>
          <w:rPr>
            <w:color w:val="0000FF"/>
            <w:u w:val="single" w:color="0000FF"/>
          </w:rPr>
          <w:t>11346.3 </w:t>
        </w:r>
      </w:hyperlink>
      <w:r>
        <w:rPr/>
        <w:t>and </w:t>
      </w:r>
      <w:hyperlink r:id="rId120">
        <w:r>
          <w:rPr>
            <w:color w:val="0000FF"/>
            <w:u w:val="single" w:color="0000FF"/>
          </w:rPr>
          <w:t>11346.36</w:t>
        </w:r>
      </w:hyperlink>
      <w:r>
        <w:rPr/>
        <w:t>, Government Code. Reference: Sections </w:t>
      </w:r>
      <w:hyperlink r:id="rId122">
        <w:r>
          <w:rPr>
            <w:color w:val="0000FF"/>
            <w:u w:val="single" w:color="0000FF"/>
          </w:rPr>
          <w:t>11342.548</w:t>
        </w:r>
      </w:hyperlink>
      <w:r>
        <w:rPr/>
        <w:t>, </w:t>
      </w:r>
      <w:hyperlink r:id="rId123">
        <w:r>
          <w:rPr>
            <w:color w:val="0000FF"/>
            <w:u w:val="single" w:color="0000FF"/>
          </w:rPr>
          <w:t>11346.3 </w:t>
        </w:r>
      </w:hyperlink>
      <w:r>
        <w:rPr/>
        <w:t>and </w:t>
      </w:r>
      <w:hyperlink r:id="rId120">
        <w:r>
          <w:rPr>
            <w:color w:val="0000FF"/>
            <w:u w:val="single" w:color="0000FF"/>
          </w:rPr>
          <w:t>11346.36</w:t>
        </w:r>
      </w:hyperlink>
      <w:r>
        <w:rPr/>
        <w:t>, Government Code.</w:t>
      </w:r>
    </w:p>
    <w:p>
      <w:pPr>
        <w:pStyle w:val="BodyText"/>
        <w:spacing w:before="11"/>
        <w:rPr>
          <w:sz w:val="15"/>
        </w:rPr>
      </w:pPr>
    </w:p>
    <w:p>
      <w:pPr>
        <w:pStyle w:val="BodyText"/>
        <w:spacing w:before="92"/>
        <w:ind w:left="120"/>
      </w:pPr>
      <w:r>
        <w:rPr/>
        <w:t>2002. Standardized Regulatory Impact Assessment.</w:t>
      </w:r>
    </w:p>
    <w:p>
      <w:pPr>
        <w:pStyle w:val="BodyText"/>
        <w:spacing w:before="11"/>
        <w:rPr>
          <w:sz w:val="23"/>
        </w:rPr>
      </w:pPr>
    </w:p>
    <w:p>
      <w:pPr>
        <w:pStyle w:val="ListParagraph"/>
        <w:numPr>
          <w:ilvl w:val="0"/>
          <w:numId w:val="37"/>
        </w:numPr>
        <w:tabs>
          <w:tab w:pos="1200" w:val="left" w:leader="none"/>
        </w:tabs>
        <w:spacing w:line="240" w:lineRule="auto" w:before="0" w:after="0"/>
        <w:ind w:left="840" w:right="674" w:firstLine="0"/>
        <w:jc w:val="left"/>
        <w:rPr>
          <w:sz w:val="24"/>
        </w:rPr>
      </w:pPr>
      <w:r>
        <w:rPr>
          <w:sz w:val="24"/>
        </w:rPr>
        <w:t>An agency that anticipates promulgating a major regulation as defined</w:t>
      </w:r>
      <w:r>
        <w:rPr>
          <w:spacing w:val="-36"/>
          <w:sz w:val="24"/>
        </w:rPr>
        <w:t> </w:t>
      </w:r>
      <w:r>
        <w:rPr>
          <w:sz w:val="24"/>
        </w:rPr>
        <w:t>in section 2000 shall, pursuant to Section 11346.3(f) of the code, submit its completed SRIA to the department within the following time</w:t>
      </w:r>
      <w:r>
        <w:rPr>
          <w:spacing w:val="-28"/>
          <w:sz w:val="24"/>
        </w:rPr>
        <w:t> </w:t>
      </w:r>
      <w:r>
        <w:rPr>
          <w:sz w:val="24"/>
        </w:rPr>
        <w:t>frame:</w:t>
      </w:r>
    </w:p>
    <w:p>
      <w:pPr>
        <w:pStyle w:val="ListParagraph"/>
        <w:numPr>
          <w:ilvl w:val="1"/>
          <w:numId w:val="37"/>
        </w:numPr>
        <w:tabs>
          <w:tab w:pos="1920" w:val="left" w:leader="none"/>
        </w:tabs>
        <w:spacing w:line="240" w:lineRule="auto" w:before="0" w:after="0"/>
        <w:ind w:left="1560" w:right="255" w:firstLine="0"/>
        <w:jc w:val="left"/>
        <w:rPr>
          <w:sz w:val="24"/>
        </w:rPr>
      </w:pPr>
      <w:r>
        <w:rPr>
          <w:sz w:val="24"/>
        </w:rPr>
        <w:t>Not less than 60 days prior to filing a notice of proposed action with OAL if the agency has notified the department of the proposed regulation within the time prescribed by 2001(a);</w:t>
      </w:r>
      <w:r>
        <w:rPr>
          <w:spacing w:val="-17"/>
          <w:sz w:val="24"/>
        </w:rPr>
        <w:t> </w:t>
      </w:r>
      <w:r>
        <w:rPr>
          <w:sz w:val="24"/>
        </w:rPr>
        <w:t>or</w:t>
      </w:r>
    </w:p>
    <w:p>
      <w:pPr>
        <w:pStyle w:val="ListParagraph"/>
        <w:numPr>
          <w:ilvl w:val="1"/>
          <w:numId w:val="37"/>
        </w:numPr>
        <w:tabs>
          <w:tab w:pos="1920" w:val="left" w:leader="none"/>
        </w:tabs>
        <w:spacing w:line="240" w:lineRule="auto" w:before="0" w:after="0"/>
        <w:ind w:left="1560" w:right="309" w:firstLine="0"/>
        <w:jc w:val="left"/>
        <w:rPr>
          <w:sz w:val="24"/>
        </w:rPr>
      </w:pPr>
      <w:r>
        <w:rPr>
          <w:sz w:val="24"/>
        </w:rPr>
        <w:t>Not less than 90 days prior to filing a notice of proposed action with OAL if the agency has not notified the department of the proposed major regulation within the time prescribed by section</w:t>
      </w:r>
      <w:r>
        <w:rPr>
          <w:spacing w:val="-28"/>
          <w:sz w:val="24"/>
        </w:rPr>
        <w:t> </w:t>
      </w:r>
      <w:r>
        <w:rPr>
          <w:sz w:val="24"/>
        </w:rPr>
        <w:t>2001(a);</w:t>
      </w:r>
    </w:p>
    <w:p>
      <w:pPr>
        <w:pStyle w:val="ListParagraph"/>
        <w:numPr>
          <w:ilvl w:val="0"/>
          <w:numId w:val="37"/>
        </w:numPr>
        <w:tabs>
          <w:tab w:pos="1200" w:val="left" w:leader="none"/>
        </w:tabs>
        <w:spacing w:line="240" w:lineRule="auto" w:before="0" w:after="0"/>
        <w:ind w:left="840" w:right="767" w:firstLine="0"/>
        <w:jc w:val="left"/>
        <w:rPr>
          <w:sz w:val="24"/>
        </w:rPr>
      </w:pPr>
      <w:r>
        <w:rPr>
          <w:sz w:val="24"/>
        </w:rPr>
        <w:t>(1) The SRIA shall contain all of the information required by Section 11346.3(c) of the code, which shall have been prepared in compliance</w:t>
      </w:r>
      <w:r>
        <w:rPr>
          <w:spacing w:val="-33"/>
          <w:sz w:val="24"/>
        </w:rPr>
        <w:t> </w:t>
      </w:r>
      <w:r>
        <w:rPr>
          <w:sz w:val="24"/>
        </w:rPr>
        <w:t>with section</w:t>
      </w:r>
      <w:r>
        <w:rPr>
          <w:spacing w:val="-5"/>
          <w:sz w:val="24"/>
        </w:rPr>
        <w:t> </w:t>
      </w:r>
      <w:r>
        <w:rPr>
          <w:sz w:val="24"/>
        </w:rPr>
        <w:t>2003.</w:t>
      </w:r>
    </w:p>
    <w:p>
      <w:pPr>
        <w:pStyle w:val="ListParagraph"/>
        <w:numPr>
          <w:ilvl w:val="1"/>
          <w:numId w:val="10"/>
        </w:numPr>
        <w:tabs>
          <w:tab w:pos="1920" w:val="left" w:leader="none"/>
        </w:tabs>
        <w:spacing w:line="240" w:lineRule="auto" w:before="0" w:after="0"/>
        <w:ind w:left="1560" w:right="392" w:firstLine="0"/>
        <w:jc w:val="left"/>
        <w:rPr>
          <w:sz w:val="24"/>
        </w:rPr>
      </w:pPr>
      <w:r>
        <w:rPr>
          <w:sz w:val="24"/>
        </w:rPr>
        <w:t>The SRIA shall also include a description and explanation of each of the</w:t>
      </w:r>
      <w:r>
        <w:rPr>
          <w:spacing w:val="-10"/>
          <w:sz w:val="24"/>
        </w:rPr>
        <w:t> </w:t>
      </w:r>
      <w:r>
        <w:rPr>
          <w:sz w:val="24"/>
        </w:rPr>
        <w:t>following:</w:t>
      </w:r>
    </w:p>
    <w:p>
      <w:pPr>
        <w:pStyle w:val="ListParagraph"/>
        <w:numPr>
          <w:ilvl w:val="2"/>
          <w:numId w:val="10"/>
        </w:numPr>
        <w:tabs>
          <w:tab w:pos="1947" w:val="left" w:leader="none"/>
        </w:tabs>
        <w:spacing w:line="240" w:lineRule="auto" w:before="0" w:after="0"/>
        <w:ind w:left="1560" w:right="273" w:firstLine="0"/>
        <w:jc w:val="left"/>
        <w:rPr>
          <w:sz w:val="24"/>
        </w:rPr>
      </w:pPr>
      <w:r>
        <w:rPr>
          <w:sz w:val="24"/>
        </w:rPr>
        <w:t>The economic impact method and approach, including the underlying assumptions the agency used and the rationale and basis for those assumptions;</w:t>
      </w:r>
    </w:p>
    <w:p>
      <w:pPr>
        <w:pStyle w:val="ListParagraph"/>
        <w:numPr>
          <w:ilvl w:val="2"/>
          <w:numId w:val="10"/>
        </w:numPr>
        <w:tabs>
          <w:tab w:pos="1947" w:val="left" w:leader="none"/>
        </w:tabs>
        <w:spacing w:line="240" w:lineRule="auto" w:before="0" w:after="0"/>
        <w:ind w:left="1560" w:right="457" w:firstLine="0"/>
        <w:jc w:val="left"/>
        <w:rPr>
          <w:sz w:val="24"/>
        </w:rPr>
      </w:pPr>
      <w:r>
        <w:rPr>
          <w:sz w:val="24"/>
        </w:rPr>
        <w:t>The specific categories of individuals and business enterprises who would be affected by the proposed major</w:t>
      </w:r>
      <w:r>
        <w:rPr>
          <w:spacing w:val="-26"/>
          <w:sz w:val="24"/>
        </w:rPr>
        <w:t> </w:t>
      </w:r>
      <w:r>
        <w:rPr>
          <w:sz w:val="24"/>
        </w:rPr>
        <w:t>regulation;</w:t>
      </w:r>
    </w:p>
    <w:p>
      <w:pPr>
        <w:pStyle w:val="ListParagraph"/>
        <w:numPr>
          <w:ilvl w:val="2"/>
          <w:numId w:val="10"/>
        </w:numPr>
        <w:tabs>
          <w:tab w:pos="1959" w:val="left" w:leader="none"/>
        </w:tabs>
        <w:spacing w:line="240" w:lineRule="auto" w:before="0" w:after="0"/>
        <w:ind w:left="1958" w:right="0" w:hanging="398"/>
        <w:jc w:val="left"/>
        <w:rPr>
          <w:sz w:val="24"/>
        </w:rPr>
      </w:pPr>
      <w:r>
        <w:rPr>
          <w:sz w:val="24"/>
        </w:rPr>
        <w:t>The inputs into the assessment of the economic</w:t>
      </w:r>
      <w:r>
        <w:rPr>
          <w:spacing w:val="-19"/>
          <w:sz w:val="24"/>
        </w:rPr>
        <w:t> </w:t>
      </w:r>
      <w:r>
        <w:rPr>
          <w:sz w:val="24"/>
        </w:rPr>
        <w:t>impact;</w:t>
      </w:r>
    </w:p>
    <w:p>
      <w:pPr>
        <w:pStyle w:val="ListParagraph"/>
        <w:numPr>
          <w:ilvl w:val="2"/>
          <w:numId w:val="10"/>
        </w:numPr>
        <w:tabs>
          <w:tab w:pos="1959" w:val="left" w:leader="none"/>
        </w:tabs>
        <w:spacing w:line="240" w:lineRule="auto" w:before="0" w:after="0"/>
        <w:ind w:left="1958" w:right="0" w:hanging="398"/>
        <w:jc w:val="left"/>
        <w:rPr>
          <w:sz w:val="24"/>
        </w:rPr>
      </w:pPr>
      <w:r>
        <w:rPr>
          <w:sz w:val="24"/>
        </w:rPr>
        <w:t>The outputs from the assessment of the economic</w:t>
      </w:r>
      <w:r>
        <w:rPr>
          <w:spacing w:val="-26"/>
          <w:sz w:val="24"/>
        </w:rPr>
        <w:t> </w:t>
      </w:r>
      <w:r>
        <w:rPr>
          <w:sz w:val="24"/>
        </w:rPr>
        <w:t>impact;</w:t>
      </w:r>
    </w:p>
    <w:p>
      <w:pPr>
        <w:pStyle w:val="BodyText"/>
        <w:spacing w:before="2"/>
      </w:pPr>
    </w:p>
    <w:p>
      <w:pPr>
        <w:pStyle w:val="BodyText"/>
        <w:ind w:left="120"/>
      </w:pPr>
      <w:r>
        <w:rPr/>
        <w:t>(Continued)</w:t>
      </w:r>
    </w:p>
    <w:p>
      <w:pPr>
        <w:spacing w:after="0"/>
        <w:sectPr>
          <w:pgSz w:w="12240" w:h="15840"/>
          <w:pgMar w:header="728" w:footer="792" w:top="980" w:bottom="980" w:left="1320" w:right="1360"/>
        </w:sectPr>
      </w:pPr>
    </w:p>
    <w:p>
      <w:pPr>
        <w:pStyle w:val="BodyText"/>
        <w:rPr>
          <w:sz w:val="20"/>
        </w:rPr>
      </w:pPr>
    </w:p>
    <w:p>
      <w:pPr>
        <w:pStyle w:val="BodyText"/>
        <w:spacing w:before="216"/>
        <w:ind w:left="119"/>
      </w:pPr>
      <w:r>
        <w:rPr/>
        <w:t>(Continued)</w:t>
      </w:r>
    </w:p>
    <w:p>
      <w:pPr>
        <w:pStyle w:val="Heading2"/>
        <w:spacing w:before="38"/>
        <w:ind w:left="119"/>
      </w:pPr>
      <w:r>
        <w:rPr/>
        <w:t>STANDARDIZED REGULATORY IMPACT ASSESSMENT</w:t>
      </w:r>
    </w:p>
    <w:p>
      <w:pPr>
        <w:tabs>
          <w:tab w:pos="7910" w:val="left" w:leader="none"/>
        </w:tabs>
        <w:spacing w:before="0"/>
        <w:ind w:left="119" w:right="133" w:firstLine="0"/>
        <w:jc w:val="left"/>
        <w:rPr>
          <w:sz w:val="24"/>
        </w:rPr>
      </w:pPr>
      <w:r>
        <w:rPr>
          <w:b/>
          <w:sz w:val="24"/>
        </w:rPr>
        <w:t>FOR</w:t>
      </w:r>
      <w:r>
        <w:rPr>
          <w:b/>
          <w:spacing w:val="-3"/>
          <w:sz w:val="24"/>
        </w:rPr>
        <w:t> </w:t>
      </w:r>
      <w:r>
        <w:rPr>
          <w:b/>
          <w:sz w:val="24"/>
        </w:rPr>
        <w:t>MAJOR</w:t>
      </w:r>
      <w:r>
        <w:rPr>
          <w:b/>
          <w:spacing w:val="-3"/>
          <w:sz w:val="24"/>
        </w:rPr>
        <w:t> </w:t>
      </w:r>
      <w:r>
        <w:rPr>
          <w:b/>
          <w:sz w:val="24"/>
        </w:rPr>
        <w:t>REGULATIONS</w:t>
        <w:tab/>
        <w:t>6600</w:t>
      </w:r>
      <w:r>
        <w:rPr>
          <w:b/>
          <w:spacing w:val="-4"/>
          <w:sz w:val="24"/>
        </w:rPr>
        <w:t> </w:t>
      </w:r>
      <w:r>
        <w:rPr>
          <w:sz w:val="24"/>
        </w:rPr>
        <w:t>(Cont.</w:t>
      </w:r>
      <w:r>
        <w:rPr>
          <w:spacing w:val="-5"/>
          <w:sz w:val="24"/>
        </w:rPr>
        <w:t> </w:t>
      </w:r>
      <w:r>
        <w:rPr>
          <w:sz w:val="24"/>
        </w:rPr>
        <w:t>3)</w:t>
      </w:r>
      <w:r>
        <w:rPr>
          <w:w w:val="99"/>
          <w:sz w:val="24"/>
        </w:rPr>
        <w:t> </w:t>
      </w:r>
      <w:r>
        <w:rPr>
          <w:sz w:val="24"/>
        </w:rPr>
        <w:t>(New</w:t>
      </w:r>
      <w:r>
        <w:rPr>
          <w:spacing w:val="-6"/>
          <w:sz w:val="24"/>
        </w:rPr>
        <w:t> </w:t>
      </w:r>
      <w:r>
        <w:rPr>
          <w:sz w:val="24"/>
        </w:rPr>
        <w:t>6/2014)</w:t>
      </w:r>
    </w:p>
    <w:p>
      <w:pPr>
        <w:pStyle w:val="BodyText"/>
      </w:pPr>
    </w:p>
    <w:p>
      <w:pPr>
        <w:pStyle w:val="ListParagraph"/>
        <w:numPr>
          <w:ilvl w:val="2"/>
          <w:numId w:val="10"/>
        </w:numPr>
        <w:tabs>
          <w:tab w:pos="1227" w:val="left" w:leader="none"/>
        </w:tabs>
        <w:spacing w:line="240" w:lineRule="auto" w:before="0" w:after="0"/>
        <w:ind w:left="1560" w:right="1335" w:hanging="720"/>
        <w:jc w:val="left"/>
        <w:rPr>
          <w:sz w:val="24"/>
        </w:rPr>
      </w:pPr>
      <w:r>
        <w:rPr>
          <w:sz w:val="24"/>
        </w:rPr>
        <w:t>The agency’s interpretation of the results of the assessment of</w:t>
      </w:r>
      <w:r>
        <w:rPr>
          <w:spacing w:val="-31"/>
          <w:sz w:val="24"/>
        </w:rPr>
        <w:t> </w:t>
      </w:r>
      <w:r>
        <w:rPr>
          <w:sz w:val="24"/>
        </w:rPr>
        <w:t>the Economic</w:t>
      </w:r>
      <w:r>
        <w:rPr>
          <w:spacing w:val="-8"/>
          <w:sz w:val="24"/>
        </w:rPr>
        <w:t> </w:t>
      </w:r>
      <w:r>
        <w:rPr>
          <w:sz w:val="24"/>
        </w:rPr>
        <w:t>impact.</w:t>
      </w:r>
    </w:p>
    <w:p>
      <w:pPr>
        <w:pStyle w:val="ListParagraph"/>
        <w:numPr>
          <w:ilvl w:val="1"/>
          <w:numId w:val="10"/>
        </w:numPr>
        <w:tabs>
          <w:tab w:pos="1920" w:val="left" w:leader="none"/>
        </w:tabs>
        <w:spacing w:line="240" w:lineRule="auto" w:before="0" w:after="0"/>
        <w:ind w:left="1560" w:right="437" w:firstLine="0"/>
        <w:jc w:val="left"/>
        <w:rPr>
          <w:sz w:val="24"/>
        </w:rPr>
      </w:pPr>
      <w:r>
        <w:rPr>
          <w:sz w:val="24"/>
        </w:rPr>
        <w:t>The SRIA shall also include documentation sufficient to substantiate compliance with the requirements of this section and section</w:t>
      </w:r>
      <w:r>
        <w:rPr>
          <w:spacing w:val="-27"/>
          <w:sz w:val="24"/>
        </w:rPr>
        <w:t> </w:t>
      </w:r>
      <w:r>
        <w:rPr>
          <w:sz w:val="24"/>
        </w:rPr>
        <w:t>2003.</w:t>
      </w:r>
    </w:p>
    <w:p>
      <w:pPr>
        <w:pStyle w:val="ListParagraph"/>
        <w:numPr>
          <w:ilvl w:val="0"/>
          <w:numId w:val="37"/>
        </w:numPr>
        <w:tabs>
          <w:tab w:pos="1186" w:val="left" w:leader="none"/>
        </w:tabs>
        <w:spacing w:line="240" w:lineRule="auto" w:before="0" w:after="0"/>
        <w:ind w:left="840" w:right="239" w:firstLine="0"/>
        <w:jc w:val="left"/>
        <w:rPr>
          <w:sz w:val="24"/>
        </w:rPr>
      </w:pPr>
      <w:r>
        <w:rPr>
          <w:sz w:val="24"/>
        </w:rPr>
        <w:t>The SRIA shall be accompanied by a form prescribed by the department that includes all of the</w:t>
      </w:r>
      <w:r>
        <w:rPr>
          <w:spacing w:val="-15"/>
          <w:sz w:val="24"/>
        </w:rPr>
        <w:t> </w:t>
      </w:r>
      <w:r>
        <w:rPr>
          <w:sz w:val="24"/>
        </w:rPr>
        <w:t>following:</w:t>
      </w:r>
    </w:p>
    <w:p>
      <w:pPr>
        <w:pStyle w:val="ListParagraph"/>
        <w:numPr>
          <w:ilvl w:val="1"/>
          <w:numId w:val="37"/>
        </w:numPr>
        <w:tabs>
          <w:tab w:pos="1920" w:val="left" w:leader="none"/>
        </w:tabs>
        <w:spacing w:line="240" w:lineRule="auto" w:before="0" w:after="0"/>
        <w:ind w:left="1560" w:right="0" w:firstLine="0"/>
        <w:jc w:val="left"/>
        <w:rPr>
          <w:sz w:val="24"/>
        </w:rPr>
      </w:pPr>
      <w:r>
        <w:rPr>
          <w:sz w:val="24"/>
        </w:rPr>
        <w:t>Name of the</w:t>
      </w:r>
      <w:r>
        <w:rPr>
          <w:spacing w:val="-12"/>
          <w:sz w:val="24"/>
        </w:rPr>
        <w:t> </w:t>
      </w:r>
      <w:r>
        <w:rPr>
          <w:sz w:val="24"/>
        </w:rPr>
        <w:t>agency.</w:t>
      </w:r>
    </w:p>
    <w:p>
      <w:pPr>
        <w:pStyle w:val="ListParagraph"/>
        <w:numPr>
          <w:ilvl w:val="1"/>
          <w:numId w:val="37"/>
        </w:numPr>
        <w:tabs>
          <w:tab w:pos="1920" w:val="left" w:leader="none"/>
        </w:tabs>
        <w:spacing w:line="240" w:lineRule="auto" w:before="0" w:after="0"/>
        <w:ind w:left="1560" w:right="919" w:firstLine="0"/>
        <w:jc w:val="left"/>
        <w:rPr>
          <w:sz w:val="24"/>
        </w:rPr>
      </w:pPr>
      <w:r>
        <w:rPr>
          <w:sz w:val="24"/>
        </w:rPr>
        <w:t>The name, telephone number, email and mailing address of the contact</w:t>
      </w:r>
      <w:r>
        <w:rPr>
          <w:spacing w:val="-6"/>
          <w:sz w:val="24"/>
        </w:rPr>
        <w:t> </w:t>
      </w:r>
      <w:r>
        <w:rPr>
          <w:sz w:val="24"/>
        </w:rPr>
        <w:t>person.</w:t>
      </w:r>
    </w:p>
    <w:p>
      <w:pPr>
        <w:pStyle w:val="ListParagraph"/>
        <w:numPr>
          <w:ilvl w:val="1"/>
          <w:numId w:val="37"/>
        </w:numPr>
        <w:tabs>
          <w:tab w:pos="1920" w:val="left" w:leader="none"/>
        </w:tabs>
        <w:spacing w:line="240" w:lineRule="auto" w:before="0" w:after="0"/>
        <w:ind w:left="1920" w:right="0" w:hanging="360"/>
        <w:jc w:val="left"/>
        <w:rPr>
          <w:sz w:val="24"/>
        </w:rPr>
      </w:pPr>
      <w:r>
        <w:rPr>
          <w:sz w:val="24"/>
        </w:rPr>
        <w:t>Statement of the need for the proposed major</w:t>
      </w:r>
      <w:r>
        <w:rPr>
          <w:spacing w:val="-27"/>
          <w:sz w:val="24"/>
        </w:rPr>
        <w:t> </w:t>
      </w:r>
      <w:r>
        <w:rPr>
          <w:sz w:val="24"/>
        </w:rPr>
        <w:t>regulation.</w:t>
      </w:r>
    </w:p>
    <w:p>
      <w:pPr>
        <w:pStyle w:val="ListParagraph"/>
        <w:numPr>
          <w:ilvl w:val="1"/>
          <w:numId w:val="37"/>
        </w:numPr>
        <w:tabs>
          <w:tab w:pos="1920" w:val="left" w:leader="none"/>
        </w:tabs>
        <w:spacing w:line="240" w:lineRule="auto" w:before="0" w:after="0"/>
        <w:ind w:left="1560" w:right="225" w:firstLine="0"/>
        <w:jc w:val="left"/>
        <w:rPr>
          <w:sz w:val="24"/>
        </w:rPr>
      </w:pPr>
      <w:r>
        <w:rPr>
          <w:sz w:val="24"/>
        </w:rPr>
        <w:t>A summary of the categories of individuals and business enterprises who will be impacted by the proposed major regulation and the amount of the economic impact on each such</w:t>
      </w:r>
      <w:r>
        <w:rPr>
          <w:spacing w:val="-20"/>
          <w:sz w:val="24"/>
        </w:rPr>
        <w:t> </w:t>
      </w:r>
      <w:r>
        <w:rPr>
          <w:sz w:val="24"/>
        </w:rPr>
        <w:t>category.</w:t>
      </w:r>
    </w:p>
    <w:p>
      <w:pPr>
        <w:pStyle w:val="ListParagraph"/>
        <w:numPr>
          <w:ilvl w:val="1"/>
          <w:numId w:val="37"/>
        </w:numPr>
        <w:tabs>
          <w:tab w:pos="1920" w:val="left" w:leader="none"/>
        </w:tabs>
        <w:spacing w:line="240" w:lineRule="auto" w:before="0" w:after="0"/>
        <w:ind w:left="1560" w:right="115" w:firstLine="0"/>
        <w:jc w:val="left"/>
        <w:rPr>
          <w:sz w:val="24"/>
        </w:rPr>
      </w:pPr>
      <w:r>
        <w:rPr>
          <w:sz w:val="24"/>
        </w:rPr>
        <w:t>An identification and description of all costs and all benefits due to the proposed regulatory change, calculated on an annual basis from estimated date of filing with the Secretary of State through 12 months after the estimated date the proposed major regulation will be fully implemented as estimated by the</w:t>
      </w:r>
      <w:r>
        <w:rPr>
          <w:spacing w:val="-14"/>
          <w:sz w:val="24"/>
        </w:rPr>
        <w:t> </w:t>
      </w:r>
      <w:r>
        <w:rPr>
          <w:sz w:val="24"/>
        </w:rPr>
        <w:t>agency.</w:t>
      </w:r>
    </w:p>
    <w:p>
      <w:pPr>
        <w:pStyle w:val="ListParagraph"/>
        <w:numPr>
          <w:ilvl w:val="1"/>
          <w:numId w:val="37"/>
        </w:numPr>
        <w:tabs>
          <w:tab w:pos="1920" w:val="left" w:leader="none"/>
        </w:tabs>
        <w:spacing w:line="240" w:lineRule="auto" w:before="0" w:after="0"/>
        <w:ind w:left="1560" w:right="171" w:firstLine="0"/>
        <w:jc w:val="left"/>
        <w:rPr>
          <w:sz w:val="24"/>
        </w:rPr>
      </w:pPr>
      <w:r>
        <w:rPr>
          <w:sz w:val="24"/>
        </w:rPr>
        <w:t>Description of the 12-month period in which the agency estimates the economic impact of the proposed major regulation will exceed $50</w:t>
      </w:r>
      <w:r>
        <w:rPr>
          <w:spacing w:val="-37"/>
          <w:sz w:val="24"/>
        </w:rPr>
        <w:t> </w:t>
      </w:r>
      <w:r>
        <w:rPr>
          <w:sz w:val="24"/>
        </w:rPr>
        <w:t>million.</w:t>
      </w:r>
    </w:p>
    <w:p>
      <w:pPr>
        <w:pStyle w:val="ListParagraph"/>
        <w:numPr>
          <w:ilvl w:val="1"/>
          <w:numId w:val="37"/>
        </w:numPr>
        <w:tabs>
          <w:tab w:pos="1920" w:val="left" w:leader="none"/>
        </w:tabs>
        <w:spacing w:line="240" w:lineRule="auto" w:before="0" w:after="0"/>
        <w:ind w:left="1560" w:right="197" w:firstLine="0"/>
        <w:jc w:val="left"/>
        <w:rPr>
          <w:sz w:val="24"/>
        </w:rPr>
      </w:pPr>
      <w:r>
        <w:rPr>
          <w:sz w:val="24"/>
        </w:rPr>
        <w:t>Description of the baseline that the agency used to compare proposed regulatory</w:t>
      </w:r>
      <w:r>
        <w:rPr>
          <w:spacing w:val="-14"/>
          <w:sz w:val="24"/>
        </w:rPr>
        <w:t> </w:t>
      </w:r>
      <w:r>
        <w:rPr>
          <w:sz w:val="24"/>
        </w:rPr>
        <w:t>alternatives.</w:t>
      </w:r>
    </w:p>
    <w:p>
      <w:pPr>
        <w:pStyle w:val="ListParagraph"/>
        <w:numPr>
          <w:ilvl w:val="1"/>
          <w:numId w:val="37"/>
        </w:numPr>
        <w:tabs>
          <w:tab w:pos="1920" w:val="left" w:leader="none"/>
        </w:tabs>
        <w:spacing w:line="240" w:lineRule="auto" w:before="0" w:after="0"/>
        <w:ind w:left="1560" w:right="366" w:firstLine="0"/>
        <w:jc w:val="left"/>
        <w:rPr>
          <w:sz w:val="24"/>
        </w:rPr>
      </w:pPr>
      <w:r>
        <w:rPr>
          <w:sz w:val="24"/>
        </w:rPr>
        <w:t>Identification of each regulatory alternative for addressing the stated need for the proposed major regulation, including each alternative that was provided by the public or another governmental agency and each alternative that the agency considered; all costs and all benefits of each regulatory alternative considered; and the reasons for rejecting each alternative.</w:t>
      </w:r>
    </w:p>
    <w:p>
      <w:pPr>
        <w:pStyle w:val="ListParagraph"/>
        <w:numPr>
          <w:ilvl w:val="1"/>
          <w:numId w:val="37"/>
        </w:numPr>
        <w:tabs>
          <w:tab w:pos="1920" w:val="left" w:leader="none"/>
        </w:tabs>
        <w:spacing w:line="240" w:lineRule="auto" w:before="0" w:after="0"/>
        <w:ind w:left="1560" w:right="169" w:firstLine="0"/>
        <w:jc w:val="left"/>
        <w:rPr>
          <w:sz w:val="24"/>
        </w:rPr>
      </w:pPr>
      <w:r>
        <w:rPr>
          <w:sz w:val="24"/>
        </w:rPr>
        <w:t>Description of the methods by which the agency sought public input as required by section 2001, accompanied by documentation of that public outreach.</w:t>
      </w:r>
    </w:p>
    <w:p>
      <w:pPr>
        <w:pStyle w:val="ListParagraph"/>
        <w:numPr>
          <w:ilvl w:val="1"/>
          <w:numId w:val="37"/>
        </w:numPr>
        <w:tabs>
          <w:tab w:pos="2055" w:val="left" w:leader="none"/>
        </w:tabs>
        <w:spacing w:line="240" w:lineRule="auto" w:before="0" w:after="0"/>
        <w:ind w:left="1560" w:right="117" w:firstLine="0"/>
        <w:jc w:val="left"/>
        <w:rPr>
          <w:sz w:val="24"/>
        </w:rPr>
      </w:pPr>
      <w:r>
        <w:rPr>
          <w:sz w:val="24"/>
        </w:rPr>
        <w:t>A description of the economic impact method and approach, including the underlying assumptions the agency used and the rationale and basis for those</w:t>
      </w:r>
      <w:r>
        <w:rPr>
          <w:spacing w:val="-11"/>
          <w:sz w:val="24"/>
        </w:rPr>
        <w:t> </w:t>
      </w:r>
      <w:r>
        <w:rPr>
          <w:sz w:val="24"/>
        </w:rPr>
        <w:t>assumptions.</w:t>
      </w:r>
    </w:p>
    <w:p>
      <w:pPr>
        <w:pStyle w:val="ListParagraph"/>
        <w:numPr>
          <w:ilvl w:val="1"/>
          <w:numId w:val="37"/>
        </w:numPr>
        <w:tabs>
          <w:tab w:pos="2055" w:val="left" w:leader="none"/>
        </w:tabs>
        <w:spacing w:line="240" w:lineRule="auto" w:before="0" w:after="0"/>
        <w:ind w:left="2054" w:right="0" w:hanging="494"/>
        <w:jc w:val="left"/>
        <w:rPr>
          <w:sz w:val="24"/>
        </w:rPr>
      </w:pPr>
      <w:r>
        <w:rPr>
          <w:sz w:val="24"/>
        </w:rPr>
        <w:t>Date, printed name, and signature of the head of the</w:t>
      </w:r>
      <w:r>
        <w:rPr>
          <w:spacing w:val="-28"/>
          <w:sz w:val="24"/>
        </w:rPr>
        <w:t> </w:t>
      </w:r>
      <w:r>
        <w:rPr>
          <w:sz w:val="24"/>
        </w:rPr>
        <w:t>agency.</w:t>
      </w:r>
    </w:p>
    <w:p>
      <w:pPr>
        <w:pStyle w:val="BodyText"/>
        <w:spacing w:before="2"/>
      </w:pPr>
    </w:p>
    <w:p>
      <w:pPr>
        <w:pStyle w:val="BodyText"/>
        <w:ind w:left="119"/>
      </w:pPr>
      <w:r>
        <w:rPr/>
        <w:t>(Continued)</w:t>
      </w:r>
    </w:p>
    <w:p>
      <w:pPr>
        <w:spacing w:after="0"/>
        <w:sectPr>
          <w:pgSz w:w="12240" w:h="15840"/>
          <w:pgMar w:header="728" w:footer="792" w:top="980" w:bottom="980" w:left="1320" w:right="1340"/>
        </w:sectPr>
      </w:pPr>
    </w:p>
    <w:p>
      <w:pPr>
        <w:pStyle w:val="BodyText"/>
        <w:rPr>
          <w:sz w:val="20"/>
        </w:rPr>
      </w:pPr>
    </w:p>
    <w:p>
      <w:pPr>
        <w:pStyle w:val="BodyText"/>
        <w:spacing w:before="214"/>
        <w:ind w:left="119"/>
      </w:pPr>
      <w:r>
        <w:rPr/>
        <w:t>(Continued)</w:t>
      </w:r>
    </w:p>
    <w:p>
      <w:pPr>
        <w:pStyle w:val="Heading2"/>
        <w:ind w:left="119"/>
      </w:pPr>
      <w:r>
        <w:rPr/>
        <w:t>STANDARDIZED REGULATORY IMPACT ASSESSMENT</w:t>
      </w:r>
    </w:p>
    <w:p>
      <w:pPr>
        <w:tabs>
          <w:tab w:pos="7910" w:val="left" w:leader="none"/>
        </w:tabs>
        <w:spacing w:before="0"/>
        <w:ind w:left="119" w:right="112" w:firstLine="0"/>
        <w:jc w:val="left"/>
        <w:rPr>
          <w:sz w:val="24"/>
        </w:rPr>
      </w:pPr>
      <w:r>
        <w:rPr>
          <w:b/>
          <w:sz w:val="24"/>
        </w:rPr>
        <w:t>FOR</w:t>
      </w:r>
      <w:r>
        <w:rPr>
          <w:b/>
          <w:spacing w:val="-3"/>
          <w:sz w:val="24"/>
        </w:rPr>
        <w:t> </w:t>
      </w:r>
      <w:r>
        <w:rPr>
          <w:b/>
          <w:sz w:val="24"/>
        </w:rPr>
        <w:t>MAJOR</w:t>
      </w:r>
      <w:r>
        <w:rPr>
          <w:b/>
          <w:spacing w:val="-3"/>
          <w:sz w:val="24"/>
        </w:rPr>
        <w:t> </w:t>
      </w:r>
      <w:r>
        <w:rPr>
          <w:b/>
          <w:sz w:val="24"/>
        </w:rPr>
        <w:t>REGULATIONS</w:t>
        <w:tab/>
        <w:t>6600</w:t>
      </w:r>
      <w:r>
        <w:rPr>
          <w:b/>
          <w:spacing w:val="-4"/>
          <w:sz w:val="24"/>
        </w:rPr>
        <w:t> </w:t>
      </w:r>
      <w:r>
        <w:rPr>
          <w:sz w:val="24"/>
        </w:rPr>
        <w:t>(Cont.</w:t>
      </w:r>
      <w:r>
        <w:rPr>
          <w:spacing w:val="-5"/>
          <w:sz w:val="24"/>
        </w:rPr>
        <w:t> </w:t>
      </w:r>
      <w:r>
        <w:rPr>
          <w:sz w:val="24"/>
        </w:rPr>
        <w:t>4)</w:t>
      </w:r>
      <w:r>
        <w:rPr>
          <w:w w:val="99"/>
          <w:sz w:val="24"/>
        </w:rPr>
        <w:t> </w:t>
      </w:r>
      <w:r>
        <w:rPr>
          <w:sz w:val="24"/>
        </w:rPr>
        <w:t>(New</w:t>
      </w:r>
      <w:r>
        <w:rPr>
          <w:spacing w:val="-6"/>
          <w:sz w:val="24"/>
        </w:rPr>
        <w:t> </w:t>
      </w:r>
      <w:r>
        <w:rPr>
          <w:sz w:val="24"/>
        </w:rPr>
        <w:t>6/2014)</w:t>
      </w:r>
    </w:p>
    <w:p>
      <w:pPr>
        <w:pStyle w:val="BodyText"/>
      </w:pPr>
    </w:p>
    <w:p>
      <w:pPr>
        <w:pStyle w:val="ListParagraph"/>
        <w:numPr>
          <w:ilvl w:val="0"/>
          <w:numId w:val="37"/>
        </w:numPr>
        <w:tabs>
          <w:tab w:pos="1196" w:val="left" w:leader="none"/>
        </w:tabs>
        <w:spacing w:line="240" w:lineRule="auto" w:before="0" w:after="0"/>
        <w:ind w:left="840" w:right="255" w:firstLine="0"/>
        <w:jc w:val="left"/>
        <w:rPr>
          <w:sz w:val="24"/>
        </w:rPr>
      </w:pPr>
      <w:r>
        <w:rPr>
          <w:sz w:val="24"/>
        </w:rPr>
        <w:t>Within 10 days of receiving an SRIA, the department shall post a copy of the form required by subdivision (c) on its Internet web</w:t>
      </w:r>
      <w:r>
        <w:rPr>
          <w:spacing w:val="-24"/>
          <w:sz w:val="24"/>
        </w:rPr>
        <w:t> </w:t>
      </w:r>
      <w:r>
        <w:rPr>
          <w:sz w:val="24"/>
        </w:rPr>
        <w:t>site.</w:t>
      </w:r>
    </w:p>
    <w:p>
      <w:pPr>
        <w:pStyle w:val="ListParagraph"/>
        <w:numPr>
          <w:ilvl w:val="0"/>
          <w:numId w:val="37"/>
        </w:numPr>
        <w:tabs>
          <w:tab w:pos="1196" w:val="left" w:leader="none"/>
        </w:tabs>
        <w:spacing w:line="240" w:lineRule="auto" w:before="0" w:after="0"/>
        <w:ind w:left="840" w:right="325" w:firstLine="0"/>
        <w:jc w:val="left"/>
        <w:rPr>
          <w:sz w:val="24"/>
        </w:rPr>
      </w:pPr>
      <w:r>
        <w:rPr>
          <w:sz w:val="24"/>
        </w:rPr>
        <w:t>Within 10 days of receiving an SRIA, the department shall provide a copy of the form required by subdivision (c) to Go-Biz and any other agency that requests it. GO-Biz and any other agency may provide comment to the department within 10 days</w:t>
      </w:r>
      <w:r>
        <w:rPr>
          <w:spacing w:val="-17"/>
          <w:sz w:val="24"/>
        </w:rPr>
        <w:t> </w:t>
      </w:r>
      <w:r>
        <w:rPr>
          <w:sz w:val="24"/>
        </w:rPr>
        <w:t>thereafter.</w:t>
      </w:r>
    </w:p>
    <w:p>
      <w:pPr>
        <w:pStyle w:val="BodyText"/>
      </w:pPr>
    </w:p>
    <w:p>
      <w:pPr>
        <w:pStyle w:val="BodyText"/>
        <w:ind w:left="120" w:right="708"/>
      </w:pPr>
      <w:r>
        <w:rPr/>
        <w:t>NOTE: Authority cited: Section </w:t>
      </w:r>
      <w:hyperlink r:id="rId120">
        <w:r>
          <w:rPr>
            <w:color w:val="0000FF"/>
            <w:u w:val="single" w:color="0000FF"/>
          </w:rPr>
          <w:t>11346.36</w:t>
        </w:r>
      </w:hyperlink>
      <w:r>
        <w:rPr/>
        <w:t>, Government Code. Reference: Sections </w:t>
      </w:r>
      <w:hyperlink r:id="rId122">
        <w:r>
          <w:rPr>
            <w:color w:val="0000FF"/>
            <w:u w:val="single" w:color="0000FF"/>
          </w:rPr>
          <w:t>11342.548</w:t>
        </w:r>
      </w:hyperlink>
      <w:r>
        <w:rPr/>
        <w:t>, </w:t>
      </w:r>
      <w:hyperlink r:id="rId123">
        <w:r>
          <w:rPr>
            <w:color w:val="0000FF"/>
            <w:u w:val="single" w:color="0000FF"/>
          </w:rPr>
          <w:t>11346.3 </w:t>
        </w:r>
      </w:hyperlink>
      <w:r>
        <w:rPr/>
        <w:t>and </w:t>
      </w:r>
      <w:hyperlink r:id="rId120">
        <w:r>
          <w:rPr>
            <w:color w:val="0000FF"/>
            <w:u w:val="single" w:color="0000FF"/>
          </w:rPr>
          <w:t>11346.36</w:t>
        </w:r>
      </w:hyperlink>
      <w:r>
        <w:rPr/>
        <w:t>, Government Code.</w:t>
      </w:r>
    </w:p>
    <w:p>
      <w:pPr>
        <w:pStyle w:val="BodyText"/>
        <w:spacing w:before="11"/>
        <w:rPr>
          <w:sz w:val="15"/>
        </w:rPr>
      </w:pPr>
    </w:p>
    <w:p>
      <w:pPr>
        <w:pStyle w:val="BodyText"/>
        <w:spacing w:before="92"/>
        <w:ind w:left="120"/>
      </w:pPr>
      <w:r>
        <w:rPr/>
        <w:t>2003. Methodology for Making Estimates.</w:t>
      </w:r>
    </w:p>
    <w:p>
      <w:pPr>
        <w:pStyle w:val="ListParagraph"/>
        <w:numPr>
          <w:ilvl w:val="0"/>
          <w:numId w:val="38"/>
        </w:numPr>
        <w:tabs>
          <w:tab w:pos="1200" w:val="left" w:leader="none"/>
        </w:tabs>
        <w:spacing w:line="240" w:lineRule="auto" w:before="0" w:after="0"/>
        <w:ind w:left="840" w:right="430" w:firstLine="0"/>
        <w:jc w:val="left"/>
        <w:rPr>
          <w:sz w:val="24"/>
        </w:rPr>
      </w:pPr>
      <w:r>
        <w:rPr>
          <w:sz w:val="24"/>
        </w:rPr>
        <w:t>In conducting the SRIA required by Section 11346.3(c) of the code, an agency shall use an economic impact method and approach that has all of the following</w:t>
      </w:r>
      <w:r>
        <w:rPr>
          <w:spacing w:val="-12"/>
          <w:sz w:val="24"/>
        </w:rPr>
        <w:t> </w:t>
      </w:r>
      <w:r>
        <w:rPr>
          <w:sz w:val="24"/>
        </w:rPr>
        <w:t>capabilities:</w:t>
      </w:r>
    </w:p>
    <w:p>
      <w:pPr>
        <w:pStyle w:val="ListParagraph"/>
        <w:numPr>
          <w:ilvl w:val="1"/>
          <w:numId w:val="38"/>
        </w:numPr>
        <w:tabs>
          <w:tab w:pos="1920" w:val="left" w:leader="none"/>
        </w:tabs>
        <w:spacing w:line="240" w:lineRule="auto" w:before="0" w:after="0"/>
        <w:ind w:left="840" w:right="325" w:firstLine="720"/>
        <w:jc w:val="left"/>
        <w:rPr>
          <w:sz w:val="24"/>
        </w:rPr>
      </w:pPr>
      <w:r>
        <w:rPr>
          <w:sz w:val="24"/>
        </w:rPr>
        <w:t>Can estimate the total economic effects of changes due to regulatory policies</w:t>
      </w:r>
    </w:p>
    <w:p>
      <w:pPr>
        <w:pStyle w:val="BodyText"/>
        <w:ind w:left="1559"/>
      </w:pPr>
      <w:r>
        <w:rPr/>
        <w:t>over a multi-year time period.</w:t>
      </w:r>
    </w:p>
    <w:p>
      <w:pPr>
        <w:pStyle w:val="ListParagraph"/>
        <w:numPr>
          <w:ilvl w:val="1"/>
          <w:numId w:val="38"/>
        </w:numPr>
        <w:tabs>
          <w:tab w:pos="1920" w:val="left" w:leader="none"/>
        </w:tabs>
        <w:spacing w:line="240" w:lineRule="auto" w:before="0" w:after="0"/>
        <w:ind w:left="1560" w:right="122" w:firstLine="0"/>
        <w:jc w:val="left"/>
        <w:rPr>
          <w:sz w:val="24"/>
        </w:rPr>
      </w:pPr>
      <w:r>
        <w:rPr>
          <w:sz w:val="24"/>
        </w:rPr>
        <w:t>Can generate California economic variable estimates such as personal income, employment by economic sector, exports and imports, and gross state product, based on inter-industry relationships that are equivalent in structure to the Regional Industry Modeling System published by the Bureau of Economic</w:t>
      </w:r>
      <w:r>
        <w:rPr>
          <w:spacing w:val="-15"/>
          <w:sz w:val="24"/>
        </w:rPr>
        <w:t> </w:t>
      </w:r>
      <w:r>
        <w:rPr>
          <w:sz w:val="24"/>
        </w:rPr>
        <w:t>Analysis.</w:t>
      </w:r>
    </w:p>
    <w:p>
      <w:pPr>
        <w:pStyle w:val="ListParagraph"/>
        <w:numPr>
          <w:ilvl w:val="1"/>
          <w:numId w:val="38"/>
        </w:numPr>
        <w:tabs>
          <w:tab w:pos="1920" w:val="left" w:leader="none"/>
        </w:tabs>
        <w:spacing w:line="240" w:lineRule="auto" w:before="0" w:after="0"/>
        <w:ind w:left="1560" w:right="208" w:firstLine="0"/>
        <w:jc w:val="left"/>
        <w:rPr>
          <w:sz w:val="24"/>
        </w:rPr>
      </w:pPr>
      <w:r>
        <w:rPr>
          <w:sz w:val="24"/>
        </w:rPr>
        <w:t>Can produce (to the extent possible) quantitative estimates of economic variables that address or facilitate the quantitative or</w:t>
      </w:r>
      <w:r>
        <w:rPr>
          <w:spacing w:val="-41"/>
          <w:sz w:val="24"/>
        </w:rPr>
        <w:t> </w:t>
      </w:r>
      <w:r>
        <w:rPr>
          <w:sz w:val="24"/>
        </w:rPr>
        <w:t>qualitative estimation of the</w:t>
      </w:r>
      <w:r>
        <w:rPr>
          <w:spacing w:val="-15"/>
          <w:sz w:val="24"/>
        </w:rPr>
        <w:t> </w:t>
      </w:r>
      <w:r>
        <w:rPr>
          <w:sz w:val="24"/>
        </w:rPr>
        <w:t>following:</w:t>
      </w:r>
    </w:p>
    <w:p>
      <w:pPr>
        <w:pStyle w:val="ListParagraph"/>
        <w:numPr>
          <w:ilvl w:val="2"/>
          <w:numId w:val="38"/>
        </w:numPr>
        <w:tabs>
          <w:tab w:pos="2667" w:val="left" w:leader="none"/>
        </w:tabs>
        <w:spacing w:line="240" w:lineRule="auto" w:before="0" w:after="0"/>
        <w:ind w:left="2280" w:right="0" w:firstLine="0"/>
        <w:jc w:val="left"/>
        <w:rPr>
          <w:sz w:val="24"/>
        </w:rPr>
      </w:pPr>
      <w:r>
        <w:rPr>
          <w:sz w:val="24"/>
        </w:rPr>
        <w:t>The creation or elimination of jobs within the</w:t>
      </w:r>
      <w:r>
        <w:rPr>
          <w:spacing w:val="-21"/>
          <w:sz w:val="24"/>
        </w:rPr>
        <w:t> </w:t>
      </w:r>
      <w:r>
        <w:rPr>
          <w:sz w:val="24"/>
        </w:rPr>
        <w:t>state;</w:t>
      </w:r>
    </w:p>
    <w:p>
      <w:pPr>
        <w:pStyle w:val="ListParagraph"/>
        <w:numPr>
          <w:ilvl w:val="2"/>
          <w:numId w:val="38"/>
        </w:numPr>
        <w:tabs>
          <w:tab w:pos="2667" w:val="left" w:leader="none"/>
        </w:tabs>
        <w:spacing w:line="240" w:lineRule="auto" w:before="0" w:after="0"/>
        <w:ind w:left="2280" w:right="471" w:firstLine="0"/>
        <w:jc w:val="left"/>
        <w:rPr>
          <w:sz w:val="24"/>
        </w:rPr>
      </w:pPr>
      <w:r>
        <w:rPr>
          <w:sz w:val="24"/>
        </w:rPr>
        <w:t>The creation of new businesses or the elimination of existing businesses within the</w:t>
      </w:r>
      <w:r>
        <w:rPr>
          <w:spacing w:val="-14"/>
          <w:sz w:val="24"/>
        </w:rPr>
        <w:t> </w:t>
      </w:r>
      <w:r>
        <w:rPr>
          <w:sz w:val="24"/>
        </w:rPr>
        <w:t>state;</w:t>
      </w:r>
    </w:p>
    <w:p>
      <w:pPr>
        <w:pStyle w:val="ListParagraph"/>
        <w:numPr>
          <w:ilvl w:val="2"/>
          <w:numId w:val="38"/>
        </w:numPr>
        <w:tabs>
          <w:tab w:pos="2679" w:val="left" w:leader="none"/>
        </w:tabs>
        <w:spacing w:line="240" w:lineRule="auto" w:before="0" w:after="0"/>
        <w:ind w:left="2280" w:right="365" w:firstLine="0"/>
        <w:jc w:val="left"/>
        <w:rPr>
          <w:sz w:val="24"/>
        </w:rPr>
      </w:pPr>
      <w:r>
        <w:rPr>
          <w:sz w:val="24"/>
        </w:rPr>
        <w:t>The competitive advantages or disadvantages for businesses currently</w:t>
      </w:r>
    </w:p>
    <w:p>
      <w:pPr>
        <w:pStyle w:val="BodyText"/>
        <w:ind w:left="2280"/>
      </w:pPr>
      <w:r>
        <w:rPr/>
        <w:t>doing business within the state;</w:t>
      </w:r>
    </w:p>
    <w:p>
      <w:pPr>
        <w:pStyle w:val="ListParagraph"/>
        <w:numPr>
          <w:ilvl w:val="2"/>
          <w:numId w:val="38"/>
        </w:numPr>
        <w:tabs>
          <w:tab w:pos="2679" w:val="left" w:leader="none"/>
        </w:tabs>
        <w:spacing w:line="240" w:lineRule="auto" w:before="0" w:after="0"/>
        <w:ind w:left="2678" w:right="0" w:hanging="398"/>
        <w:jc w:val="left"/>
        <w:rPr>
          <w:sz w:val="24"/>
        </w:rPr>
      </w:pPr>
      <w:r>
        <w:rPr>
          <w:sz w:val="24"/>
        </w:rPr>
        <w:t>The increase or decrease of investment in the</w:t>
      </w:r>
      <w:r>
        <w:rPr>
          <w:spacing w:val="-20"/>
          <w:sz w:val="24"/>
        </w:rPr>
        <w:t> </w:t>
      </w:r>
      <w:r>
        <w:rPr>
          <w:sz w:val="24"/>
        </w:rPr>
        <w:t>state;</w:t>
      </w:r>
    </w:p>
    <w:p>
      <w:pPr>
        <w:pStyle w:val="ListParagraph"/>
        <w:numPr>
          <w:ilvl w:val="2"/>
          <w:numId w:val="38"/>
        </w:numPr>
        <w:tabs>
          <w:tab w:pos="2667" w:val="left" w:leader="none"/>
        </w:tabs>
        <w:spacing w:line="240" w:lineRule="auto" w:before="0" w:after="0"/>
        <w:ind w:left="2280" w:right="1139" w:firstLine="0"/>
        <w:jc w:val="left"/>
        <w:rPr>
          <w:sz w:val="24"/>
        </w:rPr>
      </w:pPr>
      <w:r>
        <w:rPr>
          <w:sz w:val="24"/>
        </w:rPr>
        <w:t>The incentives for innovation in products, materials, or processes;</w:t>
      </w:r>
      <w:r>
        <w:rPr>
          <w:spacing w:val="-6"/>
          <w:sz w:val="24"/>
        </w:rPr>
        <w:t> </w:t>
      </w:r>
      <w:r>
        <w:rPr>
          <w:sz w:val="24"/>
        </w:rPr>
        <w:t>and</w:t>
      </w:r>
    </w:p>
    <w:p>
      <w:pPr>
        <w:pStyle w:val="ListParagraph"/>
        <w:numPr>
          <w:ilvl w:val="2"/>
          <w:numId w:val="38"/>
        </w:numPr>
        <w:tabs>
          <w:tab w:pos="2652" w:val="left" w:leader="none"/>
        </w:tabs>
        <w:spacing w:line="240" w:lineRule="auto" w:before="0" w:after="0"/>
        <w:ind w:left="2280" w:right="445" w:firstLine="0"/>
        <w:jc w:val="left"/>
        <w:rPr>
          <w:sz w:val="24"/>
        </w:rPr>
      </w:pPr>
      <w:r>
        <w:rPr>
          <w:sz w:val="24"/>
        </w:rPr>
        <w:t>The benefits of the regulations, including but not limited to benefits to the health, safety, and welfare of California residents, worker safety, and the state’s environment and quality of life, among any other benefits identified by the</w:t>
      </w:r>
      <w:r>
        <w:rPr>
          <w:spacing w:val="-27"/>
          <w:sz w:val="24"/>
        </w:rPr>
        <w:t> </w:t>
      </w:r>
      <w:r>
        <w:rPr>
          <w:sz w:val="24"/>
        </w:rPr>
        <w:t>agency.</w:t>
      </w:r>
    </w:p>
    <w:p>
      <w:pPr>
        <w:pStyle w:val="BodyText"/>
        <w:spacing w:before="11"/>
        <w:rPr>
          <w:sz w:val="23"/>
        </w:rPr>
      </w:pPr>
    </w:p>
    <w:p>
      <w:pPr>
        <w:pStyle w:val="BodyText"/>
        <w:ind w:left="120"/>
      </w:pPr>
      <w:r>
        <w:rPr/>
        <w:t>(Continued)</w:t>
      </w:r>
    </w:p>
    <w:p>
      <w:pPr>
        <w:spacing w:after="0"/>
        <w:sectPr>
          <w:pgSz w:w="12240" w:h="15840"/>
          <w:pgMar w:header="728" w:footer="792" w:top="980" w:bottom="980" w:left="1320" w:right="1360"/>
        </w:sectPr>
      </w:pPr>
    </w:p>
    <w:p>
      <w:pPr>
        <w:pStyle w:val="BodyText"/>
        <w:rPr>
          <w:sz w:val="20"/>
        </w:rPr>
      </w:pPr>
    </w:p>
    <w:p>
      <w:pPr>
        <w:pStyle w:val="BodyText"/>
        <w:spacing w:before="214"/>
        <w:ind w:left="119"/>
      </w:pPr>
      <w:r>
        <w:rPr/>
        <w:t>(Continued)</w:t>
      </w:r>
    </w:p>
    <w:p>
      <w:pPr>
        <w:pStyle w:val="Heading2"/>
        <w:ind w:left="119"/>
      </w:pPr>
      <w:r>
        <w:rPr/>
        <w:t>STANDARDIZED REGULATORY IMPACT ASSESSMENT</w:t>
      </w:r>
    </w:p>
    <w:p>
      <w:pPr>
        <w:tabs>
          <w:tab w:pos="7910" w:val="left" w:leader="none"/>
        </w:tabs>
        <w:spacing w:before="0"/>
        <w:ind w:left="119" w:right="113" w:firstLine="0"/>
        <w:jc w:val="left"/>
        <w:rPr>
          <w:sz w:val="24"/>
        </w:rPr>
      </w:pPr>
      <w:r>
        <w:rPr>
          <w:b/>
          <w:sz w:val="24"/>
        </w:rPr>
        <w:t>FOR</w:t>
      </w:r>
      <w:r>
        <w:rPr>
          <w:b/>
          <w:spacing w:val="-3"/>
          <w:sz w:val="24"/>
        </w:rPr>
        <w:t> </w:t>
      </w:r>
      <w:r>
        <w:rPr>
          <w:b/>
          <w:sz w:val="24"/>
        </w:rPr>
        <w:t>MAJOR</w:t>
      </w:r>
      <w:r>
        <w:rPr>
          <w:b/>
          <w:spacing w:val="-3"/>
          <w:sz w:val="24"/>
        </w:rPr>
        <w:t> </w:t>
      </w:r>
      <w:r>
        <w:rPr>
          <w:b/>
          <w:sz w:val="24"/>
        </w:rPr>
        <w:t>REGULATIONS</w:t>
        <w:tab/>
        <w:t>6600</w:t>
      </w:r>
      <w:r>
        <w:rPr>
          <w:b/>
          <w:spacing w:val="-4"/>
          <w:sz w:val="24"/>
        </w:rPr>
        <w:t> </w:t>
      </w:r>
      <w:r>
        <w:rPr>
          <w:sz w:val="24"/>
        </w:rPr>
        <w:t>(Cont.</w:t>
      </w:r>
      <w:r>
        <w:rPr>
          <w:spacing w:val="-5"/>
          <w:sz w:val="24"/>
        </w:rPr>
        <w:t> </w:t>
      </w:r>
      <w:r>
        <w:rPr>
          <w:sz w:val="24"/>
        </w:rPr>
        <w:t>5)</w:t>
      </w:r>
      <w:r>
        <w:rPr>
          <w:w w:val="99"/>
          <w:sz w:val="24"/>
        </w:rPr>
        <w:t> </w:t>
      </w:r>
      <w:r>
        <w:rPr>
          <w:sz w:val="24"/>
        </w:rPr>
        <w:t>(New</w:t>
      </w:r>
      <w:r>
        <w:rPr>
          <w:spacing w:val="-6"/>
          <w:sz w:val="24"/>
        </w:rPr>
        <w:t> </w:t>
      </w:r>
      <w:r>
        <w:rPr>
          <w:sz w:val="24"/>
        </w:rPr>
        <w:t>6/2014)</w:t>
      </w:r>
    </w:p>
    <w:p>
      <w:pPr>
        <w:pStyle w:val="BodyText"/>
      </w:pPr>
    </w:p>
    <w:p>
      <w:pPr>
        <w:pStyle w:val="ListParagraph"/>
        <w:numPr>
          <w:ilvl w:val="0"/>
          <w:numId w:val="38"/>
        </w:numPr>
        <w:tabs>
          <w:tab w:pos="1200" w:val="left" w:leader="none"/>
        </w:tabs>
        <w:spacing w:line="240" w:lineRule="auto" w:before="0" w:after="0"/>
        <w:ind w:left="840" w:right="109" w:firstLine="0"/>
        <w:jc w:val="left"/>
        <w:rPr>
          <w:sz w:val="24"/>
        </w:rPr>
      </w:pPr>
      <w:r>
        <w:rPr>
          <w:sz w:val="24"/>
        </w:rPr>
        <w:t>The department’s most current publicly available economic and demographic projections, which may be found on the department’s website, shall be used unless the department approves the agency’s written request to use a different projection for a specific proposed major regulation. Such approval shall be made on a case-by-case basis. An agency that anticipates that it will take more than one year to develop a major regulation is encouraged to work with the department in determining the most appropriate projections to</w:t>
      </w:r>
      <w:r>
        <w:rPr>
          <w:spacing w:val="-31"/>
          <w:sz w:val="24"/>
        </w:rPr>
        <w:t> </w:t>
      </w:r>
      <w:r>
        <w:rPr>
          <w:sz w:val="24"/>
        </w:rPr>
        <w:t>use.</w:t>
      </w:r>
    </w:p>
    <w:p>
      <w:pPr>
        <w:pStyle w:val="ListParagraph"/>
        <w:numPr>
          <w:ilvl w:val="0"/>
          <w:numId w:val="38"/>
        </w:numPr>
        <w:tabs>
          <w:tab w:pos="1186" w:val="left" w:leader="none"/>
        </w:tabs>
        <w:spacing w:line="240" w:lineRule="auto" w:before="0" w:after="0"/>
        <w:ind w:left="840" w:right="618" w:firstLine="0"/>
        <w:jc w:val="left"/>
        <w:rPr>
          <w:sz w:val="24"/>
        </w:rPr>
      </w:pPr>
      <w:r>
        <w:rPr>
          <w:sz w:val="24"/>
        </w:rPr>
        <w:t>Costs and benefits shall be separately identified for different groups of agencies, businesses and individuals if the impact of the regulation will differ significantly among identifiable</w:t>
      </w:r>
      <w:r>
        <w:rPr>
          <w:spacing w:val="-19"/>
          <w:sz w:val="24"/>
        </w:rPr>
        <w:t> </w:t>
      </w:r>
      <w:r>
        <w:rPr>
          <w:sz w:val="24"/>
        </w:rPr>
        <w:t>groups.</w:t>
      </w:r>
    </w:p>
    <w:p>
      <w:pPr>
        <w:pStyle w:val="ListParagraph"/>
        <w:numPr>
          <w:ilvl w:val="0"/>
          <w:numId w:val="38"/>
        </w:numPr>
        <w:tabs>
          <w:tab w:pos="1200" w:val="left" w:leader="none"/>
        </w:tabs>
        <w:spacing w:line="240" w:lineRule="auto" w:before="0" w:after="0"/>
        <w:ind w:left="840" w:right="151" w:firstLine="0"/>
        <w:jc w:val="left"/>
        <w:rPr>
          <w:sz w:val="24"/>
        </w:rPr>
      </w:pPr>
      <w:r>
        <w:rPr>
          <w:sz w:val="24"/>
        </w:rPr>
        <w:t>The agency shall compare regulatory alternatives with a baseline that reflects the anticipated behavior of individuals and businesses in the absence of the proposed major regulation and shall identify the baseline it</w:t>
      </w:r>
      <w:r>
        <w:rPr>
          <w:spacing w:val="-32"/>
          <w:sz w:val="24"/>
        </w:rPr>
        <w:t> </w:t>
      </w:r>
      <w:r>
        <w:rPr>
          <w:sz w:val="24"/>
        </w:rPr>
        <w:t>used.</w:t>
      </w:r>
    </w:p>
    <w:p>
      <w:pPr>
        <w:pStyle w:val="BodyText"/>
      </w:pPr>
    </w:p>
    <w:p>
      <w:pPr>
        <w:pStyle w:val="ListParagraph"/>
        <w:numPr>
          <w:ilvl w:val="0"/>
          <w:numId w:val="38"/>
        </w:numPr>
        <w:tabs>
          <w:tab w:pos="480" w:val="left" w:leader="none"/>
        </w:tabs>
        <w:spacing w:line="240" w:lineRule="auto" w:before="0" w:after="0"/>
        <w:ind w:left="120" w:right="723" w:firstLine="0"/>
        <w:jc w:val="left"/>
        <w:rPr>
          <w:sz w:val="24"/>
        </w:rPr>
      </w:pPr>
      <w:r>
        <w:rPr>
          <w:sz w:val="24"/>
        </w:rPr>
        <w:t>In comparing proposed regulatory alternatives with an established baseline, an agency should consider including the following in its</w:t>
      </w:r>
      <w:r>
        <w:rPr>
          <w:spacing w:val="-34"/>
          <w:sz w:val="24"/>
        </w:rPr>
        <w:t> </w:t>
      </w:r>
      <w:r>
        <w:rPr>
          <w:sz w:val="24"/>
        </w:rPr>
        <w:t>analysis:</w:t>
      </w:r>
    </w:p>
    <w:p>
      <w:pPr>
        <w:pStyle w:val="ListParagraph"/>
        <w:numPr>
          <w:ilvl w:val="1"/>
          <w:numId w:val="38"/>
        </w:numPr>
        <w:tabs>
          <w:tab w:pos="1200" w:val="left" w:leader="none"/>
        </w:tabs>
        <w:spacing w:line="240" w:lineRule="auto" w:before="0" w:after="0"/>
        <w:ind w:left="840" w:right="124" w:firstLine="0"/>
        <w:jc w:val="left"/>
        <w:rPr>
          <w:sz w:val="24"/>
        </w:rPr>
      </w:pPr>
      <w:r>
        <w:rPr>
          <w:sz w:val="24"/>
        </w:rPr>
        <w:t>A description of feasible alternatives to the proposed major regulation and the rationale for choosing the proposed major regulation over the other alternatives considered. This description should also</w:t>
      </w:r>
      <w:r>
        <w:rPr>
          <w:spacing w:val="-24"/>
          <w:sz w:val="24"/>
        </w:rPr>
        <w:t> </w:t>
      </w:r>
      <w:r>
        <w:rPr>
          <w:sz w:val="24"/>
        </w:rPr>
        <w:t>include:</w:t>
      </w:r>
    </w:p>
    <w:p>
      <w:pPr>
        <w:pStyle w:val="ListParagraph"/>
        <w:numPr>
          <w:ilvl w:val="2"/>
          <w:numId w:val="38"/>
        </w:numPr>
        <w:tabs>
          <w:tab w:pos="1947" w:val="left" w:leader="none"/>
        </w:tabs>
        <w:spacing w:line="240" w:lineRule="auto" w:before="0" w:after="0"/>
        <w:ind w:left="1560" w:right="647" w:firstLine="0"/>
        <w:jc w:val="left"/>
        <w:rPr>
          <w:sz w:val="24"/>
        </w:rPr>
      </w:pPr>
      <w:r>
        <w:rPr>
          <w:sz w:val="24"/>
        </w:rPr>
        <w:t>An explanation of how the need for the proposed major regulation affects the selection of regulatory</w:t>
      </w:r>
      <w:r>
        <w:rPr>
          <w:spacing w:val="-24"/>
          <w:sz w:val="24"/>
        </w:rPr>
        <w:t> </w:t>
      </w:r>
      <w:r>
        <w:rPr>
          <w:sz w:val="24"/>
        </w:rPr>
        <w:t>alternatives;</w:t>
      </w:r>
    </w:p>
    <w:p>
      <w:pPr>
        <w:pStyle w:val="ListParagraph"/>
        <w:numPr>
          <w:ilvl w:val="2"/>
          <w:numId w:val="38"/>
        </w:numPr>
        <w:tabs>
          <w:tab w:pos="1947" w:val="left" w:leader="none"/>
        </w:tabs>
        <w:spacing w:line="240" w:lineRule="auto" w:before="0" w:after="0"/>
        <w:ind w:left="1560" w:right="871" w:firstLine="0"/>
        <w:jc w:val="left"/>
        <w:rPr>
          <w:sz w:val="24"/>
        </w:rPr>
      </w:pPr>
      <w:r>
        <w:rPr>
          <w:sz w:val="24"/>
        </w:rPr>
        <w:t>An evaluation of the legal and statutory constraints that limit the selection of regulatory</w:t>
      </w:r>
      <w:r>
        <w:rPr>
          <w:spacing w:val="-18"/>
          <w:sz w:val="24"/>
        </w:rPr>
        <w:t> </w:t>
      </w:r>
      <w:r>
        <w:rPr>
          <w:sz w:val="24"/>
        </w:rPr>
        <w:t>alternatives.</w:t>
      </w:r>
    </w:p>
    <w:p>
      <w:pPr>
        <w:pStyle w:val="ListParagraph"/>
        <w:numPr>
          <w:ilvl w:val="1"/>
          <w:numId w:val="38"/>
        </w:numPr>
        <w:tabs>
          <w:tab w:pos="1196" w:val="left" w:leader="none"/>
        </w:tabs>
        <w:spacing w:line="240" w:lineRule="auto" w:before="0" w:after="0"/>
        <w:ind w:left="840" w:right="761" w:firstLine="0"/>
        <w:jc w:val="left"/>
        <w:rPr>
          <w:sz w:val="24"/>
        </w:rPr>
      </w:pPr>
      <w:r>
        <w:rPr>
          <w:sz w:val="24"/>
        </w:rPr>
        <w:t>Whenever possible, at least two alternatives should be compared to the proposed major regulation,</w:t>
      </w:r>
      <w:r>
        <w:rPr>
          <w:spacing w:val="-21"/>
          <w:sz w:val="24"/>
        </w:rPr>
        <w:t> </w:t>
      </w:r>
      <w:r>
        <w:rPr>
          <w:sz w:val="24"/>
        </w:rPr>
        <w:t>including:</w:t>
      </w:r>
    </w:p>
    <w:p>
      <w:pPr>
        <w:pStyle w:val="ListParagraph"/>
        <w:numPr>
          <w:ilvl w:val="2"/>
          <w:numId w:val="38"/>
        </w:numPr>
        <w:tabs>
          <w:tab w:pos="1947" w:val="left" w:leader="none"/>
        </w:tabs>
        <w:spacing w:line="240" w:lineRule="auto" w:before="0" w:after="0"/>
        <w:ind w:left="1560" w:right="630" w:firstLine="0"/>
        <w:jc w:val="left"/>
        <w:rPr>
          <w:sz w:val="24"/>
        </w:rPr>
      </w:pPr>
      <w:r>
        <w:rPr>
          <w:sz w:val="24"/>
        </w:rPr>
        <w:t>An alternative that could achieve additional benefits beyond those associated with the proposed major regulation;</w:t>
      </w:r>
      <w:r>
        <w:rPr>
          <w:spacing w:val="-24"/>
          <w:sz w:val="24"/>
        </w:rPr>
        <w:t> </w:t>
      </w:r>
      <w:r>
        <w:rPr>
          <w:sz w:val="24"/>
        </w:rPr>
        <w:t>and</w:t>
      </w:r>
    </w:p>
    <w:p>
      <w:pPr>
        <w:pStyle w:val="ListParagraph"/>
        <w:numPr>
          <w:ilvl w:val="2"/>
          <w:numId w:val="38"/>
        </w:numPr>
        <w:tabs>
          <w:tab w:pos="1947" w:val="left" w:leader="none"/>
        </w:tabs>
        <w:spacing w:line="240" w:lineRule="auto" w:before="0" w:after="0"/>
        <w:ind w:left="1560" w:right="194" w:firstLine="0"/>
        <w:jc w:val="left"/>
        <w:rPr>
          <w:sz w:val="24"/>
        </w:rPr>
      </w:pPr>
      <w:r>
        <w:rPr>
          <w:sz w:val="24"/>
        </w:rPr>
        <w:t>A next-best alternative that would not yield the same level of benefits associated with the proposed major regulation, or is less likely to yield the same level of</w:t>
      </w:r>
      <w:r>
        <w:rPr>
          <w:spacing w:val="-9"/>
          <w:sz w:val="24"/>
        </w:rPr>
        <w:t> </w:t>
      </w:r>
      <w:r>
        <w:rPr>
          <w:sz w:val="24"/>
        </w:rPr>
        <w:t>benefits.</w:t>
      </w:r>
    </w:p>
    <w:p>
      <w:pPr>
        <w:pStyle w:val="ListParagraph"/>
        <w:numPr>
          <w:ilvl w:val="1"/>
          <w:numId w:val="38"/>
        </w:numPr>
        <w:tabs>
          <w:tab w:pos="1200" w:val="left" w:leader="none"/>
        </w:tabs>
        <w:spacing w:line="240" w:lineRule="auto" w:before="0" w:after="0"/>
        <w:ind w:left="1200" w:right="0" w:hanging="360"/>
        <w:jc w:val="left"/>
        <w:rPr>
          <w:sz w:val="24"/>
        </w:rPr>
      </w:pPr>
      <w:r>
        <w:rPr>
          <w:sz w:val="24"/>
        </w:rPr>
        <w:t>A comparison of the cost-effectiveness of different</w:t>
      </w:r>
      <w:r>
        <w:rPr>
          <w:spacing w:val="-27"/>
          <w:sz w:val="24"/>
        </w:rPr>
        <w:t> </w:t>
      </w:r>
      <w:r>
        <w:rPr>
          <w:sz w:val="24"/>
        </w:rPr>
        <w:t>alternatives.</w:t>
      </w:r>
    </w:p>
    <w:p>
      <w:pPr>
        <w:pStyle w:val="ListParagraph"/>
        <w:numPr>
          <w:ilvl w:val="2"/>
          <w:numId w:val="38"/>
        </w:numPr>
        <w:tabs>
          <w:tab w:pos="1947" w:val="left" w:leader="none"/>
        </w:tabs>
        <w:spacing w:line="240" w:lineRule="auto" w:before="0" w:after="0"/>
        <w:ind w:left="1560" w:right="218" w:firstLine="0"/>
        <w:jc w:val="left"/>
        <w:rPr>
          <w:sz w:val="24"/>
        </w:rPr>
      </w:pPr>
      <w:r>
        <w:rPr>
          <w:sz w:val="24"/>
        </w:rPr>
        <w:t>Both total and incremental benefits and costs should be estimated. Incremental benefits and costs are the differences between the estimates associated with the alternatives</w:t>
      </w:r>
      <w:r>
        <w:rPr>
          <w:spacing w:val="-19"/>
          <w:sz w:val="24"/>
        </w:rPr>
        <w:t> </w:t>
      </w:r>
      <w:r>
        <w:rPr>
          <w:sz w:val="24"/>
        </w:rPr>
        <w:t>considered.</w:t>
      </w:r>
    </w:p>
    <w:p>
      <w:pPr>
        <w:pStyle w:val="ListParagraph"/>
        <w:numPr>
          <w:ilvl w:val="2"/>
          <w:numId w:val="38"/>
        </w:numPr>
        <w:tabs>
          <w:tab w:pos="1942" w:val="left" w:leader="none"/>
        </w:tabs>
        <w:spacing w:line="240" w:lineRule="auto" w:before="0" w:after="0"/>
        <w:ind w:left="1560" w:right="165" w:firstLine="0"/>
        <w:jc w:val="left"/>
        <w:rPr>
          <w:sz w:val="24"/>
        </w:rPr>
      </w:pPr>
      <w:r>
        <w:rPr>
          <w:sz w:val="24"/>
        </w:rPr>
        <w:t>Whenever possible, final rather than intermediate outcomes should be used as measures of</w:t>
      </w:r>
      <w:r>
        <w:rPr>
          <w:spacing w:val="-14"/>
          <w:sz w:val="24"/>
        </w:rPr>
        <w:t> </w:t>
      </w:r>
      <w:r>
        <w:rPr>
          <w:sz w:val="24"/>
        </w:rPr>
        <w:t>effectiveness.</w:t>
      </w:r>
    </w:p>
    <w:p>
      <w:pPr>
        <w:pStyle w:val="ListParagraph"/>
        <w:numPr>
          <w:ilvl w:val="2"/>
          <w:numId w:val="38"/>
        </w:numPr>
        <w:tabs>
          <w:tab w:pos="1959" w:val="left" w:leader="none"/>
        </w:tabs>
        <w:spacing w:line="240" w:lineRule="auto" w:before="0" w:after="0"/>
        <w:ind w:left="1560" w:right="404" w:firstLine="0"/>
        <w:jc w:val="left"/>
        <w:rPr>
          <w:sz w:val="24"/>
        </w:rPr>
      </w:pPr>
      <w:r>
        <w:rPr>
          <w:sz w:val="24"/>
        </w:rPr>
        <w:t>In cases where the proposed major regulation addresses more than one measure of effectiveness, weights should be applied to different categories of</w:t>
      </w:r>
      <w:r>
        <w:rPr>
          <w:spacing w:val="-8"/>
          <w:sz w:val="24"/>
        </w:rPr>
        <w:t> </w:t>
      </w:r>
      <w:r>
        <w:rPr>
          <w:sz w:val="24"/>
        </w:rPr>
        <w:t>effects.</w:t>
      </w:r>
    </w:p>
    <w:p>
      <w:pPr>
        <w:pStyle w:val="ListParagraph"/>
        <w:numPr>
          <w:ilvl w:val="2"/>
          <w:numId w:val="38"/>
        </w:numPr>
        <w:tabs>
          <w:tab w:pos="1959" w:val="left" w:leader="none"/>
        </w:tabs>
        <w:spacing w:line="240" w:lineRule="auto" w:before="0" w:after="0"/>
        <w:ind w:left="1958" w:right="0" w:hanging="398"/>
        <w:jc w:val="left"/>
        <w:rPr>
          <w:sz w:val="24"/>
        </w:rPr>
      </w:pPr>
      <w:r>
        <w:rPr>
          <w:sz w:val="24"/>
        </w:rPr>
        <w:t>The uncertainties associated with the estimates should be</w:t>
      </w:r>
      <w:r>
        <w:rPr>
          <w:spacing w:val="-27"/>
          <w:sz w:val="24"/>
        </w:rPr>
        <w:t> </w:t>
      </w:r>
      <w:r>
        <w:rPr>
          <w:sz w:val="24"/>
        </w:rPr>
        <w:t>discussed.</w:t>
      </w:r>
    </w:p>
    <w:p>
      <w:pPr>
        <w:pStyle w:val="BodyText"/>
      </w:pPr>
    </w:p>
    <w:p>
      <w:pPr>
        <w:pStyle w:val="BodyText"/>
        <w:ind w:left="119"/>
      </w:pPr>
      <w:r>
        <w:rPr/>
        <w:t>(Continued)</w:t>
      </w:r>
    </w:p>
    <w:p>
      <w:pPr>
        <w:spacing w:after="0"/>
        <w:sectPr>
          <w:pgSz w:w="12240" w:h="15840"/>
          <w:pgMar w:header="728" w:footer="792" w:top="980" w:bottom="980" w:left="1320" w:right="1360"/>
        </w:sectPr>
      </w:pPr>
    </w:p>
    <w:p>
      <w:pPr>
        <w:pStyle w:val="BodyText"/>
        <w:rPr>
          <w:sz w:val="20"/>
        </w:rPr>
      </w:pPr>
    </w:p>
    <w:p>
      <w:pPr>
        <w:pStyle w:val="BodyText"/>
        <w:spacing w:before="214"/>
        <w:ind w:left="119"/>
      </w:pPr>
      <w:r>
        <w:rPr/>
        <w:t>(Continued)</w:t>
      </w:r>
    </w:p>
    <w:p>
      <w:pPr>
        <w:pStyle w:val="Heading2"/>
        <w:ind w:left="119"/>
      </w:pPr>
      <w:r>
        <w:rPr/>
        <w:t>STANDARDIZED REGULATORY IMPACT ASSESSMENT</w:t>
      </w:r>
    </w:p>
    <w:p>
      <w:pPr>
        <w:tabs>
          <w:tab w:pos="7910" w:val="left" w:leader="none"/>
        </w:tabs>
        <w:spacing w:before="0"/>
        <w:ind w:left="119" w:right="113" w:firstLine="0"/>
        <w:jc w:val="left"/>
        <w:rPr>
          <w:sz w:val="24"/>
        </w:rPr>
      </w:pPr>
      <w:r>
        <w:rPr>
          <w:b/>
          <w:sz w:val="24"/>
        </w:rPr>
        <w:t>FOR</w:t>
      </w:r>
      <w:r>
        <w:rPr>
          <w:b/>
          <w:spacing w:val="-3"/>
          <w:sz w:val="24"/>
        </w:rPr>
        <w:t> </w:t>
      </w:r>
      <w:r>
        <w:rPr>
          <w:b/>
          <w:sz w:val="24"/>
        </w:rPr>
        <w:t>MAJOR</w:t>
      </w:r>
      <w:r>
        <w:rPr>
          <w:b/>
          <w:spacing w:val="-3"/>
          <w:sz w:val="24"/>
        </w:rPr>
        <w:t> </w:t>
      </w:r>
      <w:r>
        <w:rPr>
          <w:b/>
          <w:sz w:val="24"/>
        </w:rPr>
        <w:t>REGULATIONS</w:t>
        <w:tab/>
        <w:t>6600</w:t>
      </w:r>
      <w:r>
        <w:rPr>
          <w:b/>
          <w:spacing w:val="-4"/>
          <w:sz w:val="24"/>
        </w:rPr>
        <w:t> </w:t>
      </w:r>
      <w:r>
        <w:rPr>
          <w:sz w:val="24"/>
        </w:rPr>
        <w:t>(Cont.</w:t>
      </w:r>
      <w:r>
        <w:rPr>
          <w:spacing w:val="-5"/>
          <w:sz w:val="24"/>
        </w:rPr>
        <w:t> </w:t>
      </w:r>
      <w:r>
        <w:rPr>
          <w:sz w:val="24"/>
        </w:rPr>
        <w:t>6)</w:t>
      </w:r>
      <w:r>
        <w:rPr>
          <w:w w:val="99"/>
          <w:sz w:val="24"/>
        </w:rPr>
        <w:t> </w:t>
      </w:r>
      <w:r>
        <w:rPr>
          <w:sz w:val="24"/>
        </w:rPr>
        <w:t>(New</w:t>
      </w:r>
      <w:r>
        <w:rPr>
          <w:spacing w:val="-6"/>
          <w:sz w:val="24"/>
        </w:rPr>
        <w:t> </w:t>
      </w:r>
      <w:r>
        <w:rPr>
          <w:sz w:val="24"/>
        </w:rPr>
        <w:t>6/2014)</w:t>
      </w:r>
    </w:p>
    <w:p>
      <w:pPr>
        <w:pStyle w:val="BodyText"/>
      </w:pPr>
    </w:p>
    <w:p>
      <w:pPr>
        <w:pStyle w:val="ListParagraph"/>
        <w:numPr>
          <w:ilvl w:val="1"/>
          <w:numId w:val="38"/>
        </w:numPr>
        <w:tabs>
          <w:tab w:pos="1200" w:val="left" w:leader="none"/>
        </w:tabs>
        <w:spacing w:line="240" w:lineRule="auto" w:before="0" w:after="0"/>
        <w:ind w:left="840" w:right="188" w:firstLine="0"/>
        <w:jc w:val="left"/>
        <w:rPr>
          <w:sz w:val="24"/>
        </w:rPr>
      </w:pPr>
      <w:r>
        <w:rPr>
          <w:sz w:val="24"/>
        </w:rPr>
        <w:t>If there are significant differences between the incidence or timing of costs and benefits of a regulation, distributional effects should be addressed, including how the effects of the regulation are distributed, for example, by industry, income, race, sex, or geography, and how the effects are distributed over</w:t>
      </w:r>
      <w:r>
        <w:rPr>
          <w:spacing w:val="-34"/>
          <w:sz w:val="24"/>
        </w:rPr>
        <w:t> </w:t>
      </w:r>
      <w:r>
        <w:rPr>
          <w:sz w:val="24"/>
        </w:rPr>
        <w:t>time.</w:t>
      </w:r>
    </w:p>
    <w:p>
      <w:pPr>
        <w:pStyle w:val="ListParagraph"/>
        <w:numPr>
          <w:ilvl w:val="1"/>
          <w:numId w:val="38"/>
        </w:numPr>
        <w:tabs>
          <w:tab w:pos="1200" w:val="left" w:leader="none"/>
        </w:tabs>
        <w:spacing w:line="240" w:lineRule="auto" w:before="0" w:after="0"/>
        <w:ind w:left="840" w:right="388" w:firstLine="0"/>
        <w:jc w:val="left"/>
        <w:rPr>
          <w:sz w:val="24"/>
        </w:rPr>
      </w:pPr>
      <w:r>
        <w:rPr>
          <w:sz w:val="24"/>
        </w:rPr>
        <w:t>The assumptions, analytical methods, and data used in the analysis should be</w:t>
      </w:r>
      <w:r>
        <w:rPr>
          <w:spacing w:val="-7"/>
          <w:sz w:val="24"/>
        </w:rPr>
        <w:t> </w:t>
      </w:r>
      <w:r>
        <w:rPr>
          <w:sz w:val="24"/>
        </w:rPr>
        <w:t>documented.</w:t>
      </w:r>
    </w:p>
    <w:p>
      <w:pPr>
        <w:pStyle w:val="BodyText"/>
      </w:pPr>
    </w:p>
    <w:p>
      <w:pPr>
        <w:pStyle w:val="ListParagraph"/>
        <w:numPr>
          <w:ilvl w:val="2"/>
          <w:numId w:val="38"/>
        </w:numPr>
        <w:tabs>
          <w:tab w:pos="1227" w:val="left" w:leader="none"/>
        </w:tabs>
        <w:spacing w:line="240" w:lineRule="auto" w:before="0" w:after="0"/>
        <w:ind w:left="1226" w:right="0" w:hanging="386"/>
        <w:jc w:val="left"/>
        <w:rPr>
          <w:sz w:val="24"/>
        </w:rPr>
      </w:pPr>
      <w:r>
        <w:rPr>
          <w:sz w:val="24"/>
        </w:rPr>
        <w:t>To the extent possible, the analysis should rely on peer-reviewed</w:t>
      </w:r>
      <w:r>
        <w:rPr>
          <w:spacing w:val="-38"/>
          <w:sz w:val="24"/>
        </w:rPr>
        <w:t> </w:t>
      </w:r>
      <w:r>
        <w:rPr>
          <w:sz w:val="24"/>
        </w:rPr>
        <w:t>literature.</w:t>
      </w:r>
    </w:p>
    <w:p>
      <w:pPr>
        <w:pStyle w:val="ListParagraph"/>
        <w:numPr>
          <w:ilvl w:val="2"/>
          <w:numId w:val="38"/>
        </w:numPr>
        <w:tabs>
          <w:tab w:pos="1227" w:val="left" w:leader="none"/>
        </w:tabs>
        <w:spacing w:line="240" w:lineRule="auto" w:before="0" w:after="0"/>
        <w:ind w:left="1226" w:right="0" w:hanging="386"/>
        <w:jc w:val="left"/>
        <w:rPr>
          <w:sz w:val="24"/>
        </w:rPr>
      </w:pPr>
      <w:r>
        <w:rPr>
          <w:sz w:val="24"/>
        </w:rPr>
        <w:t>The source for all original information should be</w:t>
      </w:r>
      <w:r>
        <w:rPr>
          <w:spacing w:val="-31"/>
          <w:sz w:val="24"/>
        </w:rPr>
        <w:t> </w:t>
      </w:r>
      <w:r>
        <w:rPr>
          <w:sz w:val="24"/>
        </w:rPr>
        <w:t>documented.</w:t>
      </w:r>
    </w:p>
    <w:p>
      <w:pPr>
        <w:pStyle w:val="ListParagraph"/>
        <w:numPr>
          <w:ilvl w:val="0"/>
          <w:numId w:val="38"/>
        </w:numPr>
        <w:tabs>
          <w:tab w:pos="2576" w:val="left" w:leader="none"/>
        </w:tabs>
        <w:spacing w:line="240" w:lineRule="auto" w:before="0" w:after="0"/>
        <w:ind w:left="2280" w:right="576" w:firstLine="0"/>
        <w:jc w:val="left"/>
        <w:rPr>
          <w:sz w:val="24"/>
        </w:rPr>
      </w:pPr>
      <w:r>
        <w:rPr>
          <w:sz w:val="24"/>
        </w:rPr>
        <w:t>An analysis of estimated changes in behavior by businesses and/or individuals in response</w:t>
      </w:r>
      <w:r>
        <w:rPr>
          <w:spacing w:val="-16"/>
          <w:sz w:val="24"/>
        </w:rPr>
        <w:t> </w:t>
      </w:r>
      <w:r>
        <w:rPr>
          <w:sz w:val="24"/>
        </w:rPr>
        <w:t>to</w:t>
      </w:r>
    </w:p>
    <w:p>
      <w:pPr>
        <w:pStyle w:val="BodyText"/>
        <w:ind w:left="2279" w:right="256" w:firstLine="67"/>
      </w:pPr>
      <w:r>
        <w:rPr/>
        <w:t>the proposed major regulation shall be conducted and, if feasible, an estimate made of the extent to which costs or benefits are retained within the business and/or by individuals or passed on to others, including customers, employees, suppliers and owners.</w:t>
      </w:r>
    </w:p>
    <w:p>
      <w:pPr>
        <w:pStyle w:val="ListParagraph"/>
        <w:numPr>
          <w:ilvl w:val="0"/>
          <w:numId w:val="38"/>
        </w:numPr>
        <w:tabs>
          <w:tab w:pos="2705" w:val="left" w:leader="none"/>
        </w:tabs>
        <w:spacing w:line="240" w:lineRule="auto" w:before="0" w:after="0"/>
        <w:ind w:left="2280" w:right="273" w:firstLine="0"/>
        <w:jc w:val="both"/>
        <w:rPr>
          <w:sz w:val="24"/>
        </w:rPr>
      </w:pPr>
      <w:r>
        <w:rPr>
          <w:sz w:val="24"/>
        </w:rPr>
        <w:t>For each assessment of the value of benefits of the proposed major regulation required by section 11346.3(c)(1)(F) of the code, the agency shall describe the applied analytical methods and data sources used and the results of that</w:t>
      </w:r>
      <w:r>
        <w:rPr>
          <w:spacing w:val="-23"/>
          <w:sz w:val="24"/>
        </w:rPr>
        <w:t> </w:t>
      </w:r>
      <w:r>
        <w:rPr>
          <w:sz w:val="24"/>
        </w:rPr>
        <w:t>analysis.</w:t>
      </w:r>
    </w:p>
    <w:p>
      <w:pPr>
        <w:pStyle w:val="ListParagraph"/>
        <w:numPr>
          <w:ilvl w:val="0"/>
          <w:numId w:val="39"/>
        </w:numPr>
        <w:tabs>
          <w:tab w:pos="480" w:val="left" w:leader="none"/>
        </w:tabs>
        <w:spacing w:line="240" w:lineRule="auto" w:before="0" w:after="0"/>
        <w:ind w:left="120" w:right="202" w:firstLine="0"/>
        <w:jc w:val="left"/>
        <w:rPr>
          <w:sz w:val="24"/>
        </w:rPr>
      </w:pPr>
      <w:r>
        <w:rPr>
          <w:sz w:val="24"/>
        </w:rPr>
        <w:t>The agency’s assessment may rely on current and (if applicable) projected market transaction data where a market exists that can directly reveal the quantity or monetary value of a projected benefit of the proposed major</w:t>
      </w:r>
      <w:r>
        <w:rPr>
          <w:spacing w:val="-29"/>
          <w:sz w:val="24"/>
        </w:rPr>
        <w:t> </w:t>
      </w:r>
      <w:r>
        <w:rPr>
          <w:sz w:val="24"/>
        </w:rPr>
        <w:t>regulation.</w:t>
      </w:r>
    </w:p>
    <w:p>
      <w:pPr>
        <w:pStyle w:val="ListParagraph"/>
        <w:numPr>
          <w:ilvl w:val="0"/>
          <w:numId w:val="39"/>
        </w:numPr>
        <w:tabs>
          <w:tab w:pos="480" w:val="left" w:leader="none"/>
        </w:tabs>
        <w:spacing w:line="240" w:lineRule="auto" w:before="0" w:after="0"/>
        <w:ind w:left="120" w:right="284" w:firstLine="0"/>
        <w:jc w:val="left"/>
        <w:rPr>
          <w:sz w:val="24"/>
        </w:rPr>
      </w:pPr>
      <w:r>
        <w:rPr>
          <w:sz w:val="24"/>
        </w:rPr>
        <w:t>The agency may use an indirect approach (e.g., use values derived from related markets) in cases where the value of the benefits can be inferred from actual choices made by individuals in related markets. The assessment should rely on current and (if applicable) projected market transaction</w:t>
      </w:r>
      <w:r>
        <w:rPr>
          <w:spacing w:val="-24"/>
          <w:sz w:val="24"/>
        </w:rPr>
        <w:t> </w:t>
      </w:r>
      <w:r>
        <w:rPr>
          <w:sz w:val="24"/>
        </w:rPr>
        <w:t>data.</w:t>
      </w:r>
    </w:p>
    <w:p>
      <w:pPr>
        <w:pStyle w:val="ListParagraph"/>
        <w:numPr>
          <w:ilvl w:val="0"/>
          <w:numId w:val="39"/>
        </w:numPr>
        <w:tabs>
          <w:tab w:pos="480" w:val="left" w:leader="none"/>
        </w:tabs>
        <w:spacing w:line="240" w:lineRule="auto" w:before="0" w:after="0"/>
        <w:ind w:left="120" w:right="175" w:firstLine="0"/>
        <w:jc w:val="left"/>
        <w:rPr>
          <w:sz w:val="24"/>
        </w:rPr>
      </w:pPr>
      <w:r>
        <w:rPr>
          <w:sz w:val="24"/>
        </w:rPr>
        <w:t>The agency may use a direct approach (e.g. use values from surveys), estimating the value of the benefits based on hypothetical choices made by individuals responding to a</w:t>
      </w:r>
      <w:r>
        <w:rPr>
          <w:spacing w:val="-9"/>
          <w:sz w:val="24"/>
        </w:rPr>
        <w:t> </w:t>
      </w:r>
      <w:r>
        <w:rPr>
          <w:sz w:val="24"/>
        </w:rPr>
        <w:t>survey.</w:t>
      </w:r>
    </w:p>
    <w:p>
      <w:pPr>
        <w:pStyle w:val="BodyText"/>
      </w:pPr>
    </w:p>
    <w:p>
      <w:pPr>
        <w:pStyle w:val="BodyText"/>
        <w:ind w:left="119"/>
      </w:pPr>
      <w:r>
        <w:rPr/>
        <w:t>(Continued)</w:t>
      </w:r>
    </w:p>
    <w:p>
      <w:pPr>
        <w:spacing w:after="0"/>
        <w:sectPr>
          <w:pgSz w:w="12240" w:h="15840"/>
          <w:pgMar w:header="728" w:footer="792" w:top="980" w:bottom="980" w:left="1320" w:right="1360"/>
        </w:sectPr>
      </w:pPr>
    </w:p>
    <w:p>
      <w:pPr>
        <w:pStyle w:val="BodyText"/>
        <w:rPr>
          <w:sz w:val="20"/>
        </w:rPr>
      </w:pPr>
    </w:p>
    <w:p>
      <w:pPr>
        <w:pStyle w:val="BodyText"/>
        <w:spacing w:before="214"/>
        <w:ind w:left="119"/>
      </w:pPr>
      <w:r>
        <w:rPr/>
        <w:t>(Continued)</w:t>
      </w:r>
    </w:p>
    <w:p>
      <w:pPr>
        <w:pStyle w:val="Heading2"/>
        <w:ind w:left="119"/>
      </w:pPr>
      <w:r>
        <w:rPr/>
        <w:t>STANDARDIZED REGULATORY IMPACT ASSESSMENT</w:t>
      </w:r>
    </w:p>
    <w:p>
      <w:pPr>
        <w:tabs>
          <w:tab w:pos="7910" w:val="left" w:leader="none"/>
        </w:tabs>
        <w:spacing w:before="0"/>
        <w:ind w:left="119" w:right="113" w:firstLine="0"/>
        <w:jc w:val="left"/>
        <w:rPr>
          <w:sz w:val="24"/>
        </w:rPr>
      </w:pPr>
      <w:r>
        <w:rPr>
          <w:b/>
          <w:sz w:val="24"/>
        </w:rPr>
        <w:t>FOR</w:t>
      </w:r>
      <w:r>
        <w:rPr>
          <w:b/>
          <w:spacing w:val="-3"/>
          <w:sz w:val="24"/>
        </w:rPr>
        <w:t> </w:t>
      </w:r>
      <w:r>
        <w:rPr>
          <w:b/>
          <w:sz w:val="24"/>
        </w:rPr>
        <w:t>MAJOR</w:t>
      </w:r>
      <w:r>
        <w:rPr>
          <w:b/>
          <w:spacing w:val="-3"/>
          <w:sz w:val="24"/>
        </w:rPr>
        <w:t> </w:t>
      </w:r>
      <w:r>
        <w:rPr>
          <w:b/>
          <w:sz w:val="24"/>
        </w:rPr>
        <w:t>REGULATIONS</w:t>
        <w:tab/>
        <w:t>6600</w:t>
      </w:r>
      <w:r>
        <w:rPr>
          <w:b/>
          <w:spacing w:val="-4"/>
          <w:sz w:val="24"/>
        </w:rPr>
        <w:t> </w:t>
      </w:r>
      <w:r>
        <w:rPr>
          <w:sz w:val="24"/>
        </w:rPr>
        <w:t>(Cont.</w:t>
      </w:r>
      <w:r>
        <w:rPr>
          <w:spacing w:val="-5"/>
          <w:sz w:val="24"/>
        </w:rPr>
        <w:t> </w:t>
      </w:r>
      <w:r>
        <w:rPr>
          <w:sz w:val="24"/>
        </w:rPr>
        <w:t>7)</w:t>
      </w:r>
      <w:r>
        <w:rPr>
          <w:w w:val="99"/>
          <w:sz w:val="24"/>
        </w:rPr>
        <w:t> </w:t>
      </w:r>
      <w:r>
        <w:rPr>
          <w:sz w:val="24"/>
        </w:rPr>
        <w:t>(New</w:t>
      </w:r>
      <w:r>
        <w:rPr>
          <w:spacing w:val="-6"/>
          <w:sz w:val="24"/>
        </w:rPr>
        <w:t> </w:t>
      </w:r>
      <w:r>
        <w:rPr>
          <w:sz w:val="24"/>
        </w:rPr>
        <w:t>6/2014)</w:t>
      </w:r>
    </w:p>
    <w:p>
      <w:pPr>
        <w:pStyle w:val="BodyText"/>
      </w:pPr>
    </w:p>
    <w:p>
      <w:pPr>
        <w:pStyle w:val="ListParagraph"/>
        <w:numPr>
          <w:ilvl w:val="0"/>
          <w:numId w:val="39"/>
        </w:numPr>
        <w:tabs>
          <w:tab w:pos="480" w:val="left" w:leader="none"/>
        </w:tabs>
        <w:spacing w:line="240" w:lineRule="auto" w:before="0" w:after="0"/>
        <w:ind w:left="120" w:right="231" w:firstLine="0"/>
        <w:jc w:val="left"/>
        <w:rPr>
          <w:sz w:val="24"/>
        </w:rPr>
      </w:pPr>
      <w:r>
        <w:rPr>
          <w:sz w:val="24"/>
        </w:rPr>
        <w:t>The agency may estimate the value of the benefits based upon an existing study of another regulatory policy with similar subject or physical characteristics. This estimate should describe how the agency took into account the differences in the characteristics (such as time span, specific benefits to value, population, and other socio-economic factors) between the study and the proposed major</w:t>
      </w:r>
      <w:r>
        <w:rPr>
          <w:spacing w:val="-29"/>
          <w:sz w:val="24"/>
        </w:rPr>
        <w:t> </w:t>
      </w:r>
      <w:r>
        <w:rPr>
          <w:sz w:val="24"/>
        </w:rPr>
        <w:t>regulation.</w:t>
      </w:r>
    </w:p>
    <w:p>
      <w:pPr>
        <w:pStyle w:val="ListParagraph"/>
        <w:numPr>
          <w:ilvl w:val="0"/>
          <w:numId w:val="38"/>
        </w:numPr>
        <w:tabs>
          <w:tab w:pos="1920" w:val="left" w:leader="none"/>
        </w:tabs>
        <w:spacing w:line="240" w:lineRule="auto" w:before="0" w:after="0"/>
        <w:ind w:left="1560" w:right="269" w:firstLine="0"/>
        <w:jc w:val="left"/>
        <w:rPr>
          <w:sz w:val="24"/>
        </w:rPr>
      </w:pPr>
      <w:r>
        <w:rPr>
          <w:sz w:val="24"/>
        </w:rPr>
        <w:t>In assessing the effects of a regulatory proposal on the General Fund and special funds of the state and affected local government agencies attributable to the proposed major regulation, including the cost of enforcement and compliance to the agency, an agency shall follow the Department of Finance instructions in the State Administrative Manual sections 6601, 6602, and 6604 through</w:t>
      </w:r>
      <w:r>
        <w:rPr>
          <w:spacing w:val="-22"/>
          <w:sz w:val="24"/>
        </w:rPr>
        <w:t> </w:t>
      </w:r>
      <w:r>
        <w:rPr>
          <w:sz w:val="24"/>
        </w:rPr>
        <w:t>6616.</w:t>
      </w:r>
    </w:p>
    <w:p>
      <w:pPr>
        <w:pStyle w:val="BodyText"/>
      </w:pPr>
    </w:p>
    <w:p>
      <w:pPr>
        <w:pStyle w:val="BodyText"/>
        <w:ind w:left="120" w:right="708"/>
      </w:pPr>
      <w:r>
        <w:rPr/>
        <w:t>NOTE: Authority cited: Section </w:t>
      </w:r>
      <w:hyperlink r:id="rId120">
        <w:r>
          <w:rPr>
            <w:color w:val="0000FF"/>
            <w:u w:val="single" w:color="0000FF"/>
          </w:rPr>
          <w:t>11346.36</w:t>
        </w:r>
      </w:hyperlink>
      <w:r>
        <w:rPr/>
        <w:t>, Government Code. Reference: Sections </w:t>
      </w:r>
      <w:hyperlink r:id="rId122">
        <w:r>
          <w:rPr>
            <w:color w:val="0000FF"/>
            <w:u w:val="single" w:color="0000FF"/>
          </w:rPr>
          <w:t>11342.548</w:t>
        </w:r>
      </w:hyperlink>
      <w:r>
        <w:rPr/>
        <w:t>, </w:t>
      </w:r>
      <w:hyperlink r:id="rId123">
        <w:r>
          <w:rPr>
            <w:color w:val="0000FF"/>
            <w:u w:val="single" w:color="0000FF"/>
          </w:rPr>
          <w:t>11346.3 </w:t>
        </w:r>
      </w:hyperlink>
      <w:r>
        <w:rPr/>
        <w:t>and </w:t>
      </w:r>
      <w:hyperlink r:id="rId120">
        <w:r>
          <w:rPr>
            <w:color w:val="0000FF"/>
            <w:u w:val="single" w:color="0000FF"/>
          </w:rPr>
          <w:t>11346.36</w:t>
        </w:r>
      </w:hyperlink>
      <w:r>
        <w:rPr/>
        <w:t>, Government Code.</w:t>
      </w:r>
    </w:p>
    <w:p>
      <w:pPr>
        <w:pStyle w:val="BodyText"/>
        <w:spacing w:before="11"/>
        <w:rPr>
          <w:sz w:val="15"/>
        </w:rPr>
      </w:pPr>
    </w:p>
    <w:p>
      <w:pPr>
        <w:pStyle w:val="BodyText"/>
        <w:spacing w:before="92"/>
        <w:ind w:left="120"/>
      </w:pPr>
      <w:r>
        <w:rPr/>
        <w:t>2004. Failure to Comply with Requirements of this Chapter.</w:t>
      </w:r>
    </w:p>
    <w:p>
      <w:pPr>
        <w:pStyle w:val="BodyText"/>
        <w:ind w:left="120" w:right="522"/>
      </w:pPr>
      <w:r>
        <w:rPr/>
        <w:t>When an agency fails to comply in whole or in part with this chapter, the department shall identify in its comments the area(s) where the agency is out of compliance.</w:t>
      </w:r>
    </w:p>
    <w:p>
      <w:pPr>
        <w:pStyle w:val="BodyText"/>
      </w:pPr>
    </w:p>
    <w:p>
      <w:pPr>
        <w:pStyle w:val="BodyText"/>
        <w:ind w:left="120" w:right="708"/>
      </w:pPr>
      <w:r>
        <w:rPr/>
        <w:t>NOTE: Authority cited: Section </w:t>
      </w:r>
      <w:hyperlink r:id="rId120">
        <w:r>
          <w:rPr>
            <w:color w:val="0000FF"/>
            <w:u w:val="single" w:color="0000FF"/>
          </w:rPr>
          <w:t>11346.36</w:t>
        </w:r>
      </w:hyperlink>
      <w:r>
        <w:rPr/>
        <w:t>, Government Code. Reference: Sections </w:t>
      </w:r>
      <w:hyperlink r:id="rId122">
        <w:r>
          <w:rPr>
            <w:color w:val="0000FF"/>
            <w:u w:val="single" w:color="0000FF"/>
          </w:rPr>
          <w:t>11342.548</w:t>
        </w:r>
      </w:hyperlink>
      <w:r>
        <w:rPr/>
        <w:t>, </w:t>
      </w:r>
      <w:hyperlink r:id="rId123">
        <w:r>
          <w:rPr>
            <w:color w:val="0000FF"/>
            <w:u w:val="single" w:color="0000FF"/>
          </w:rPr>
          <w:t>11346.3</w:t>
        </w:r>
      </w:hyperlink>
      <w:r>
        <w:rPr/>
        <w:t>, </w:t>
      </w:r>
      <w:hyperlink r:id="rId120">
        <w:r>
          <w:rPr>
            <w:color w:val="0000FF"/>
            <w:u w:val="single" w:color="0000FF"/>
          </w:rPr>
          <w:t>11346.36 </w:t>
        </w:r>
      </w:hyperlink>
      <w:r>
        <w:rPr/>
        <w:t>and </w:t>
      </w:r>
      <w:hyperlink r:id="rId124">
        <w:r>
          <w:rPr>
            <w:color w:val="0000FF"/>
            <w:u w:val="single" w:color="0000FF"/>
          </w:rPr>
          <w:t>11349.1.5</w:t>
        </w:r>
      </w:hyperlink>
      <w:r>
        <w:rPr/>
        <w:t>, Government Code.</w:t>
      </w:r>
    </w:p>
    <w:p>
      <w:pPr>
        <w:spacing w:after="0"/>
        <w:sectPr>
          <w:pgSz w:w="12240" w:h="15840"/>
          <w:pgMar w:header="728" w:footer="792" w:top="980" w:bottom="980" w:left="1320" w:right="1360"/>
        </w:sectPr>
      </w:pPr>
    </w:p>
    <w:p>
      <w:pPr>
        <w:pStyle w:val="BodyText"/>
        <w:rPr>
          <w:sz w:val="20"/>
        </w:rPr>
      </w:pPr>
    </w:p>
    <w:p>
      <w:pPr>
        <w:pStyle w:val="Heading2"/>
        <w:spacing w:before="214"/>
        <w:ind w:left="2085" w:right="136" w:hanging="1935"/>
      </w:pPr>
      <w:r>
        <w:rPr/>
        <w:t>PREPARATION OF LOCAL MANDATE DETERMINATIONS AND COST ESTIMATES FOR EXECUTIVE REGULATIONS AND ORDERS</w:t>
      </w:r>
    </w:p>
    <w:p>
      <w:pPr>
        <w:pStyle w:val="BodyText"/>
        <w:rPr>
          <w:b/>
        </w:rPr>
      </w:pPr>
    </w:p>
    <w:p>
      <w:pPr>
        <w:tabs>
          <w:tab w:pos="8947" w:val="left" w:leader="none"/>
        </w:tabs>
        <w:spacing w:before="0"/>
        <w:ind w:left="119" w:right="0" w:firstLine="0"/>
        <w:jc w:val="left"/>
        <w:rPr>
          <w:b/>
          <w:sz w:val="24"/>
        </w:rPr>
      </w:pPr>
      <w:r>
        <w:rPr>
          <w:b/>
          <w:sz w:val="24"/>
        </w:rPr>
        <w:t>GENERAL</w:t>
        <w:tab/>
        <w:t>6601</w:t>
      </w:r>
    </w:p>
    <w:p>
      <w:pPr>
        <w:pStyle w:val="BodyText"/>
        <w:ind w:left="119"/>
      </w:pPr>
      <w:r>
        <w:rPr/>
        <w:t>(New 6/2014)</w:t>
      </w:r>
    </w:p>
    <w:p>
      <w:pPr>
        <w:pStyle w:val="BodyText"/>
      </w:pPr>
    </w:p>
    <w:p>
      <w:pPr>
        <w:pStyle w:val="BodyText"/>
        <w:ind w:left="119" w:right="133"/>
      </w:pPr>
      <w:r>
        <w:rPr/>
        <w:t>This and the following sections set forth the guidelines to complete the Economic and Fiscal Impact Statement (</w:t>
      </w:r>
      <w:hyperlink r:id="rId125">
        <w:r>
          <w:rPr>
            <w:color w:val="0000FF"/>
            <w:u w:val="single" w:color="0000FF"/>
          </w:rPr>
          <w:t>STD. 399</w:t>
        </w:r>
      </w:hyperlink>
      <w:r>
        <w:rPr/>
        <w:t>). Pursuant to Government Code Section </w:t>
      </w:r>
      <w:hyperlink r:id="rId126">
        <w:r>
          <w:rPr>
            <w:color w:val="0000FF"/>
            <w:u w:val="single" w:color="0000FF"/>
          </w:rPr>
          <w:t>11346.5</w:t>
        </w:r>
      </w:hyperlink>
      <w:r>
        <w:rPr/>
        <w:t>, a rulemaking agency is required, prior to the issuance of an executive regulation, to include in the notice of proposed adoption, amendment, or repeal of a regulation the following:</w:t>
      </w:r>
    </w:p>
    <w:p>
      <w:pPr>
        <w:pStyle w:val="BodyText"/>
      </w:pPr>
    </w:p>
    <w:p>
      <w:pPr>
        <w:pStyle w:val="ListParagraph"/>
        <w:numPr>
          <w:ilvl w:val="0"/>
          <w:numId w:val="40"/>
        </w:numPr>
        <w:tabs>
          <w:tab w:pos="480" w:val="left" w:leader="none"/>
        </w:tabs>
        <w:spacing w:line="240" w:lineRule="auto" w:before="0" w:after="0"/>
        <w:ind w:left="480" w:right="321" w:hanging="360"/>
        <w:jc w:val="left"/>
        <w:rPr>
          <w:sz w:val="24"/>
        </w:rPr>
      </w:pPr>
      <w:r>
        <w:rPr>
          <w:sz w:val="24"/>
        </w:rPr>
        <w:t>A determination as to whether the regulation imposes a mandate on local agencies or school districts and, if so, whether the mandate requires state reimbursement pursuant to Part 7 (commencing with Section </w:t>
      </w:r>
      <w:hyperlink r:id="rId127">
        <w:r>
          <w:rPr>
            <w:color w:val="0000FF"/>
            <w:sz w:val="24"/>
            <w:u w:val="single" w:color="0000FF"/>
          </w:rPr>
          <w:t>17500</w:t>
        </w:r>
      </w:hyperlink>
      <w:r>
        <w:rPr>
          <w:sz w:val="24"/>
        </w:rPr>
        <w:t>) of Division 4 of the Government</w:t>
      </w:r>
      <w:r>
        <w:rPr>
          <w:spacing w:val="-8"/>
          <w:sz w:val="24"/>
        </w:rPr>
        <w:t> </w:t>
      </w:r>
      <w:r>
        <w:rPr>
          <w:sz w:val="24"/>
        </w:rPr>
        <w:t>Code.</w:t>
      </w:r>
    </w:p>
    <w:p>
      <w:pPr>
        <w:pStyle w:val="ListParagraph"/>
        <w:numPr>
          <w:ilvl w:val="0"/>
          <w:numId w:val="40"/>
        </w:numPr>
        <w:tabs>
          <w:tab w:pos="480" w:val="left" w:leader="none"/>
        </w:tabs>
        <w:spacing w:line="240" w:lineRule="auto" w:before="197" w:after="0"/>
        <w:ind w:left="480" w:right="178" w:hanging="360"/>
        <w:jc w:val="left"/>
        <w:rPr>
          <w:sz w:val="24"/>
        </w:rPr>
      </w:pPr>
      <w:r>
        <w:rPr>
          <w:sz w:val="24"/>
        </w:rPr>
        <w:t>An estimate, prepared in accordance with instructions adopted by the Department of Finance (</w:t>
      </w:r>
      <w:hyperlink r:id="rId35">
        <w:r>
          <w:rPr>
            <w:color w:val="0000FF"/>
            <w:sz w:val="24"/>
            <w:u w:val="single" w:color="0000FF"/>
          </w:rPr>
          <w:t>DOF</w:t>
        </w:r>
      </w:hyperlink>
      <w:r>
        <w:rPr>
          <w:sz w:val="24"/>
        </w:rPr>
        <w:t>), of the cost or savings to any state agency or local government; the cost to any local government that is required to be reimbursed under Part 7 (commencing with Section </w:t>
      </w:r>
      <w:hyperlink r:id="rId127">
        <w:r>
          <w:rPr>
            <w:color w:val="0000FF"/>
            <w:sz w:val="24"/>
            <w:u w:val="single" w:color="0000FF"/>
          </w:rPr>
          <w:t>17500</w:t>
        </w:r>
      </w:hyperlink>
      <w:r>
        <w:rPr>
          <w:sz w:val="24"/>
        </w:rPr>
        <w:t>) of Division 4 of the Government Code; any other nondiscretionary costs or savings including revenue changes imposed on state and local governments; and the cost or savings in federal funding to the</w:t>
      </w:r>
      <w:r>
        <w:rPr>
          <w:spacing w:val="-34"/>
          <w:sz w:val="24"/>
        </w:rPr>
        <w:t> </w:t>
      </w:r>
      <w:r>
        <w:rPr>
          <w:sz w:val="24"/>
        </w:rPr>
        <w:t>state.</w:t>
      </w:r>
    </w:p>
    <w:p>
      <w:pPr>
        <w:pStyle w:val="BodyText"/>
      </w:pPr>
    </w:p>
    <w:p>
      <w:pPr>
        <w:pStyle w:val="ListParagraph"/>
        <w:numPr>
          <w:ilvl w:val="0"/>
          <w:numId w:val="40"/>
        </w:numPr>
        <w:tabs>
          <w:tab w:pos="587" w:val="left" w:leader="none"/>
          <w:tab w:pos="588" w:val="left" w:leader="none"/>
        </w:tabs>
        <w:spacing w:line="240" w:lineRule="auto" w:before="0" w:after="0"/>
        <w:ind w:left="480" w:right="348" w:hanging="360"/>
        <w:jc w:val="left"/>
        <w:rPr>
          <w:sz w:val="24"/>
        </w:rPr>
      </w:pPr>
      <w:r>
        <w:rPr>
          <w:sz w:val="24"/>
        </w:rPr>
        <w:t>A statement of the results of the assessment of the economic impacts of a proposed regulation pursuant to Government Code sections </w:t>
      </w:r>
      <w:hyperlink r:id="rId128">
        <w:r>
          <w:rPr>
            <w:color w:val="0000FF"/>
            <w:sz w:val="24"/>
            <w:u w:val="single" w:color="0000FF"/>
          </w:rPr>
          <w:t>11346.2 </w:t>
        </w:r>
      </w:hyperlink>
      <w:r>
        <w:rPr>
          <w:sz w:val="24"/>
        </w:rPr>
        <w:t>and</w:t>
      </w:r>
      <w:r>
        <w:rPr>
          <w:spacing w:val="-41"/>
          <w:sz w:val="24"/>
        </w:rPr>
        <w:t> </w:t>
      </w:r>
      <w:hyperlink r:id="rId123">
        <w:r>
          <w:rPr>
            <w:color w:val="0000FF"/>
            <w:sz w:val="24"/>
            <w:u w:val="single" w:color="0000FF"/>
          </w:rPr>
          <w:t>11346.3</w:t>
        </w:r>
      </w:hyperlink>
      <w:r>
        <w:rPr>
          <w:sz w:val="24"/>
        </w:rPr>
        <w:t>.</w:t>
      </w:r>
    </w:p>
    <w:p>
      <w:pPr>
        <w:spacing w:after="0" w:line="240" w:lineRule="auto"/>
        <w:jc w:val="left"/>
        <w:rPr>
          <w:sz w:val="24"/>
        </w:rPr>
        <w:sectPr>
          <w:pgSz w:w="12240" w:h="15840"/>
          <w:pgMar w:header="728" w:footer="792" w:top="980" w:bottom="980" w:left="1320" w:right="1320"/>
        </w:sectPr>
      </w:pPr>
    </w:p>
    <w:p>
      <w:pPr>
        <w:pStyle w:val="BodyText"/>
        <w:rPr>
          <w:sz w:val="20"/>
        </w:rPr>
      </w:pPr>
    </w:p>
    <w:p>
      <w:pPr>
        <w:tabs>
          <w:tab w:pos="8947" w:val="left" w:leader="none"/>
        </w:tabs>
        <w:spacing w:before="214"/>
        <w:ind w:left="119" w:right="0" w:firstLine="0"/>
        <w:jc w:val="left"/>
        <w:rPr>
          <w:b/>
          <w:sz w:val="24"/>
        </w:rPr>
      </w:pPr>
      <w:r>
        <w:rPr>
          <w:b/>
          <w:sz w:val="24"/>
        </w:rPr>
        <w:t>DEFINITION</w:t>
        <w:tab/>
        <w:t>6602</w:t>
      </w:r>
    </w:p>
    <w:p>
      <w:pPr>
        <w:pStyle w:val="BodyText"/>
        <w:ind w:left="119"/>
      </w:pPr>
      <w:r>
        <w:rPr/>
        <w:t>(Revised 6/2014)</w:t>
      </w:r>
    </w:p>
    <w:p>
      <w:pPr>
        <w:pStyle w:val="BodyText"/>
        <w:spacing w:before="120"/>
        <w:ind w:left="119"/>
      </w:pPr>
      <w:r>
        <w:rPr/>
        <w:t>For the purposes of implementing these guidelines, the following definitions apply:</w:t>
      </w:r>
    </w:p>
    <w:p>
      <w:pPr>
        <w:pStyle w:val="BodyText"/>
        <w:spacing w:before="120"/>
        <w:ind w:left="119" w:right="214"/>
      </w:pPr>
      <w:r>
        <w:rPr>
          <w:b/>
        </w:rPr>
        <w:t>Agency, Local</w:t>
      </w:r>
      <w:r>
        <w:rPr/>
        <w:t>. Any city, county, special district, authority, or other political subdivision of the state.</w:t>
      </w:r>
    </w:p>
    <w:p>
      <w:pPr>
        <w:pStyle w:val="BodyText"/>
        <w:spacing w:before="120"/>
        <w:ind w:left="119"/>
      </w:pPr>
      <w:r>
        <w:rPr>
          <w:b/>
        </w:rPr>
        <w:t>Agency, State</w:t>
      </w:r>
      <w:r>
        <w:rPr/>
        <w:t>. Every office, officer, department, division, bureau, board, council, or commission in state government. A “state agency” does not include an agency in the judicial or legislative branches of state government.</w:t>
      </w:r>
    </w:p>
    <w:p>
      <w:pPr>
        <w:pStyle w:val="Heading2"/>
        <w:spacing w:before="120"/>
        <w:ind w:left="119"/>
      </w:pPr>
      <w:r>
        <w:rPr/>
        <w:t>Direct Fiscal Costs</w:t>
      </w:r>
    </w:p>
    <w:p>
      <w:pPr>
        <w:pStyle w:val="BodyText"/>
        <w:spacing w:before="120"/>
        <w:ind w:left="840" w:hanging="360"/>
      </w:pPr>
      <w:r>
        <w:rPr>
          <w:strike/>
          <w:color w:val="2E97D3"/>
        </w:rPr>
        <w:t>1.</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Personnel needed to perform a line function or activity prescribed (expressed or implied) in the regulation.</w:t>
      </w:r>
    </w:p>
    <w:p>
      <w:pPr>
        <w:pStyle w:val="BodyText"/>
        <w:spacing w:line="274" w:lineRule="exact" w:before="142"/>
        <w:ind w:left="840" w:right="643" w:hanging="360"/>
      </w:pPr>
      <w:r>
        <w:rPr>
          <w:strike/>
          <w:color w:val="2E97D3"/>
        </w:rPr>
        <w:t>2.</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Fringe benefits associated with those personnel, e.g., retirement, OASDI, workers’ compensation.</w:t>
      </w:r>
    </w:p>
    <w:p>
      <w:pPr>
        <w:pStyle w:val="BodyText"/>
        <w:spacing w:before="116"/>
        <w:ind w:left="840" w:hanging="360"/>
      </w:pPr>
      <w:r>
        <w:rPr>
          <w:strike/>
          <w:color w:val="2E97D3"/>
        </w:rPr>
        <w:t>3.</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Operating expenses associated with those personnel, e.g., if compliance is achieved by contracting with a private vendor.</w:t>
      </w:r>
    </w:p>
    <w:p>
      <w:pPr>
        <w:pStyle w:val="BodyText"/>
        <w:spacing w:before="120"/>
        <w:ind w:left="840" w:hanging="360"/>
      </w:pPr>
      <w:r>
        <w:rPr>
          <w:strike/>
          <w:color w:val="2E97D3"/>
        </w:rPr>
        <w:t>4.</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Any additional equipment which will have to be purchased or leased in order to comply with the regulation.</w:t>
      </w:r>
    </w:p>
    <w:p>
      <w:pPr>
        <w:pStyle w:val="BodyText"/>
        <w:spacing w:before="120"/>
        <w:ind w:left="840" w:right="214" w:hanging="360"/>
      </w:pPr>
      <w:r>
        <w:rPr>
          <w:strike/>
          <w:color w:val="2E97D3"/>
        </w:rPr>
        <w:t>5.</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Allocation of other personnel-related costs if not otherwise allocated through an indirect cost system. Some agencies may allocate the costs of rent, space, utilities, etc., directly to the personnel involved.</w:t>
      </w:r>
    </w:p>
    <w:p>
      <w:pPr>
        <w:pStyle w:val="BodyText"/>
        <w:spacing w:before="117"/>
        <w:ind w:left="119" w:right="388"/>
      </w:pPr>
      <w:r>
        <w:rPr>
          <w:b/>
        </w:rPr>
        <w:t>Economic Impact. </w:t>
      </w:r>
      <w:r>
        <w:rPr/>
        <w:t>All costs or all benefits, (direct, indirect and induced) of the proposed major regulation on business enterprises and individuals located in or doing business in California. All costs or all benefits, (direct, indirect and induced) of the proposed major regulation on business enterprises and individuals located in or doing business in California.</w:t>
      </w:r>
    </w:p>
    <w:p>
      <w:pPr>
        <w:pStyle w:val="BodyText"/>
      </w:pPr>
    </w:p>
    <w:p>
      <w:pPr>
        <w:pStyle w:val="BodyText"/>
        <w:ind w:left="119" w:right="121"/>
      </w:pPr>
      <w:r>
        <w:rPr/>
        <w:t>A direct economic impact is the first-round impact of the policy change from the proposed regulation, e.g., a cost to a business of investing in new required equipment or a benefit to consumers of having additional health coverage. There are two additional types of economic impacts – indirect and induced – which are the reactions to the direct economic impact. An indirect economic impact is the secondary economic impact resulting from the direct economic impact, e.g., the extra sales of equipment to the regulated businesses, or the additional supply or demand for health care from expanded coverage. An induced economic impact is any other economic impact of the policy change from the proposed regulation not accounted for by the direct or indirect economic impacts, e.g., the additional household spending by employees of firms selling extra equipment or in the health care industry, or the additional tax burden on businesses and individuals from fiscal costs associated with enforcing the</w:t>
      </w:r>
      <w:r>
        <w:rPr>
          <w:spacing w:val="-40"/>
        </w:rPr>
        <w:t> </w:t>
      </w:r>
      <w:r>
        <w:rPr/>
        <w:t>regulation.</w:t>
      </w:r>
    </w:p>
    <w:p>
      <w:pPr>
        <w:pStyle w:val="BodyText"/>
        <w:spacing w:before="11"/>
        <w:rPr>
          <w:sz w:val="23"/>
        </w:rPr>
      </w:pPr>
    </w:p>
    <w:p>
      <w:pPr>
        <w:pStyle w:val="BodyText"/>
        <w:ind w:left="119" w:right="312"/>
        <w:jc w:val="both"/>
      </w:pPr>
      <w:r>
        <w:rPr/>
        <w:t>Calculating an economic impact for a major regulation includes all costs or all benefits, computed without regard to any offsetting benefits or costs that might result directly or indirectly, to business enterprises and individuals directly affected by the regulation.</w:t>
      </w:r>
    </w:p>
    <w:p>
      <w:pPr>
        <w:spacing w:after="0"/>
        <w:jc w:val="both"/>
        <w:sectPr>
          <w:footerReference w:type="default" r:id="rId129"/>
          <w:pgSz w:w="12240" w:h="15840"/>
          <w:pgMar w:footer="1273" w:header="728" w:top="980" w:bottom="1460" w:left="1320" w:right="1320"/>
        </w:sectPr>
      </w:pPr>
    </w:p>
    <w:p>
      <w:pPr>
        <w:pStyle w:val="BodyText"/>
        <w:rPr>
          <w:sz w:val="20"/>
        </w:rPr>
      </w:pPr>
    </w:p>
    <w:p>
      <w:pPr>
        <w:pStyle w:val="BodyText"/>
        <w:spacing w:before="214"/>
        <w:ind w:left="119"/>
      </w:pPr>
      <w:r>
        <w:rPr/>
        <w:t>(Continued)</w:t>
      </w:r>
    </w:p>
    <w:p>
      <w:pPr>
        <w:tabs>
          <w:tab w:pos="7946" w:val="left" w:leader="none"/>
        </w:tabs>
        <w:spacing w:before="0"/>
        <w:ind w:left="119" w:right="0" w:firstLine="0"/>
        <w:jc w:val="left"/>
        <w:rPr>
          <w:sz w:val="24"/>
        </w:rPr>
      </w:pPr>
      <w:r>
        <w:rPr>
          <w:b/>
          <w:sz w:val="24"/>
        </w:rPr>
        <w:t>DEFINITION</w:t>
        <w:tab/>
        <w:t>6602 </w:t>
      </w:r>
      <w:r>
        <w:rPr>
          <w:sz w:val="24"/>
        </w:rPr>
        <w:t>(Cont.</w:t>
      </w:r>
      <w:r>
        <w:rPr>
          <w:spacing w:val="-6"/>
          <w:sz w:val="24"/>
        </w:rPr>
        <w:t> </w:t>
      </w:r>
      <w:r>
        <w:rPr>
          <w:sz w:val="24"/>
        </w:rPr>
        <w:t>1)</w:t>
      </w:r>
    </w:p>
    <w:p>
      <w:pPr>
        <w:pStyle w:val="BodyText"/>
        <w:ind w:left="120"/>
      </w:pPr>
      <w:r>
        <w:rPr/>
        <w:t>(Revised 6/2014)</w:t>
      </w:r>
    </w:p>
    <w:p>
      <w:pPr>
        <w:pStyle w:val="BodyText"/>
        <w:spacing w:before="120"/>
        <w:ind w:left="120"/>
      </w:pPr>
      <w:r>
        <w:rPr>
          <w:b/>
        </w:rPr>
        <w:t>Fiscal Costs</w:t>
      </w:r>
      <w:r>
        <w:rPr/>
        <w:t>. All additional expenses for which either supplemental financing or the redirection of existing staff and/or resources (with or without the need for supplemental funding) is required. Costs include those which can be absorbed in an agency's existing budget.</w:t>
      </w:r>
    </w:p>
    <w:p>
      <w:pPr>
        <w:pStyle w:val="BodyText"/>
        <w:spacing w:before="120"/>
        <w:ind w:left="120" w:right="150"/>
      </w:pPr>
      <w:r>
        <w:rPr>
          <w:b/>
        </w:rPr>
        <w:t>Indirect Fiscal Costs</w:t>
      </w:r>
      <w:r>
        <w:rPr/>
        <w:t>. Any costs related to the additional personnel or operating expenses described in the preceding which are not directly allocated or assigned to those personnel. They do not include a pro rata share of the costs of any manager or supervisor above the first line supervisors since it is assumed that any such supervisors would be in place whether or not the personnel hired to comply with the regulations were there. For example, if a regulation necessitated the hiring of additional staff in a county welfare department, it would not be appropriate to assign, through an indirect cost system, a portion of the costs of the county welfare director to those new personnel since the director would exist to perform his/her functions even if the new personnel were not</w:t>
      </w:r>
      <w:r>
        <w:rPr>
          <w:spacing w:val="-5"/>
        </w:rPr>
        <w:t> </w:t>
      </w:r>
      <w:r>
        <w:rPr/>
        <w:t>hired.</w:t>
      </w:r>
    </w:p>
    <w:p>
      <w:pPr>
        <w:pStyle w:val="BodyText"/>
        <w:spacing w:before="120"/>
        <w:ind w:left="120" w:right="188"/>
      </w:pPr>
      <w:r>
        <w:rPr>
          <w:b/>
        </w:rPr>
        <w:t>Major Regulation. </w:t>
      </w:r>
      <w:r>
        <w:rPr/>
        <w:t>Any proposed rulemaking action adopting, amending or repealing a regulation subject to review by OAL that will have an economic impact on California business enterprises and individuals in an amount exceeding fifty million dollars ($50,000,000) in any 12-month period between the date the major regulation is estimated to be filed with the Secretary of State through 12 months after the major regulation is estimated to be fully implemented (as estimated by the agency), computed without regard to any offsetting benefits or costs that might result directly or indirectly from that adoption, amendment or repeal.</w:t>
      </w:r>
    </w:p>
    <w:p>
      <w:pPr>
        <w:pStyle w:val="BodyText"/>
        <w:spacing w:before="120"/>
        <w:ind w:left="119"/>
      </w:pPr>
      <w:r>
        <w:rPr>
          <w:b/>
        </w:rPr>
        <w:t>Mandate</w:t>
      </w:r>
      <w:r>
        <w:rPr/>
        <w:t>. A requirement with a consequence of noncompliance of either (1) a criminal penalty, (2) a civil liability, or (3) an administrative penalty.</w:t>
      </w:r>
    </w:p>
    <w:p>
      <w:pPr>
        <w:pStyle w:val="BodyText"/>
        <w:spacing w:before="120"/>
        <w:ind w:left="119" w:right="643"/>
      </w:pPr>
      <w:r>
        <w:rPr>
          <w:b/>
        </w:rPr>
        <w:t>Public Agency</w:t>
      </w:r>
      <w:r>
        <w:rPr/>
        <w:t>. Any state agency, city, county, special district, school district, community college district, county superintendent of schools, or federal agency.</w:t>
      </w:r>
    </w:p>
    <w:p>
      <w:pPr>
        <w:pStyle w:val="BodyText"/>
        <w:spacing w:before="120"/>
        <w:ind w:left="119" w:right="133"/>
      </w:pPr>
      <w:r>
        <w:rPr>
          <w:b/>
        </w:rPr>
        <w:t>Reasonable Compliance</w:t>
      </w:r>
      <w:r>
        <w:rPr/>
        <w:t>. No universal definition is available. However, the “prudent person” test can be utilized to arrive at an appropriate definition of the term. For example, if an agency is required by regulation to provide transportation for certain persons, it clearly would not be appropriate to purchase limousine-type luxury automobiles to do so. On the other hand, it would not be appropriate to provide the service by purchasing tandem bicycles. Reasonable compliance can be achieved with some mode of transportation between the two extremes cited. The issuing agency must evaluate each instance separately and determine what “reasonable compliance” would be. The estimate developed must clearly indicate the mode or level of activity it has assumed would achieve such compliance.</w:t>
      </w:r>
    </w:p>
    <w:p>
      <w:pPr>
        <w:pStyle w:val="BodyText"/>
        <w:spacing w:before="120"/>
        <w:ind w:left="120" w:right="121"/>
      </w:pPr>
      <w:r>
        <w:rPr/>
        <w:t>Since compliance connotes that the regulation involves a requirement, costs incurred by state or local agencies in exercising any authority granted by a regulation which is permissive or optional are not germane and need not be estimated.</w:t>
      </w:r>
    </w:p>
    <w:p>
      <w:pPr>
        <w:spacing w:after="0"/>
        <w:sectPr>
          <w:pgSz w:w="12240" w:h="15840"/>
          <w:pgMar w:header="728" w:footer="1273" w:top="980" w:bottom="1560" w:left="1320" w:right="1320"/>
        </w:sectPr>
      </w:pPr>
    </w:p>
    <w:p>
      <w:pPr>
        <w:pStyle w:val="BodyText"/>
        <w:rPr>
          <w:sz w:val="20"/>
        </w:rPr>
      </w:pPr>
    </w:p>
    <w:p>
      <w:pPr>
        <w:pStyle w:val="BodyText"/>
        <w:spacing w:before="214"/>
        <w:ind w:left="119"/>
      </w:pPr>
      <w:r>
        <w:rPr/>
        <w:t>Continued)</w:t>
      </w:r>
    </w:p>
    <w:p>
      <w:pPr>
        <w:tabs>
          <w:tab w:pos="7946" w:val="left" w:leader="none"/>
        </w:tabs>
        <w:spacing w:before="0"/>
        <w:ind w:left="119" w:right="0" w:firstLine="0"/>
        <w:jc w:val="left"/>
        <w:rPr>
          <w:sz w:val="24"/>
        </w:rPr>
      </w:pPr>
      <w:r>
        <w:rPr>
          <w:b/>
          <w:sz w:val="24"/>
        </w:rPr>
        <w:t>DEFINITION</w:t>
        <w:tab/>
        <w:t>6602 </w:t>
      </w:r>
      <w:r>
        <w:rPr>
          <w:sz w:val="24"/>
        </w:rPr>
        <w:t>(Cont.</w:t>
      </w:r>
      <w:r>
        <w:rPr>
          <w:spacing w:val="-6"/>
          <w:sz w:val="24"/>
        </w:rPr>
        <w:t> </w:t>
      </w:r>
      <w:r>
        <w:rPr>
          <w:sz w:val="24"/>
        </w:rPr>
        <w:t>2)</w:t>
      </w:r>
    </w:p>
    <w:p>
      <w:pPr>
        <w:pStyle w:val="BodyText"/>
        <w:ind w:left="120"/>
      </w:pPr>
      <w:r>
        <w:rPr/>
        <w:t>(Revised 6/2014)</w:t>
      </w:r>
    </w:p>
    <w:p>
      <w:pPr>
        <w:pStyle w:val="BodyText"/>
      </w:pPr>
    </w:p>
    <w:p>
      <w:pPr>
        <w:pStyle w:val="BodyText"/>
        <w:ind w:left="120" w:right="414"/>
      </w:pPr>
      <w:r>
        <w:rPr>
          <w:b/>
        </w:rPr>
        <w:t>Regulation. </w:t>
      </w:r>
      <w:r>
        <w:rPr/>
        <w:t>Every rule, order, or standard of general application or the amendment, supplement, or revision of any rule, order or standard adopted by any state agency to implement, interpret, or make specific the law enforced or administered by it, or to govern its procedure.</w:t>
      </w:r>
    </w:p>
    <w:p>
      <w:pPr>
        <w:pStyle w:val="BodyText"/>
      </w:pPr>
    </w:p>
    <w:p>
      <w:pPr>
        <w:pStyle w:val="BodyText"/>
        <w:ind w:left="120" w:right="122"/>
        <w:jc w:val="both"/>
      </w:pPr>
      <w:r>
        <w:rPr/>
        <w:t>The term "emergency" means a situation that calls for immediate action to avoid serious harm to the public peace, health, safety, or general welfare. An emergency regulation is adopted pursuant to Government Code Section </w:t>
      </w:r>
      <w:hyperlink r:id="rId131">
        <w:r>
          <w:rPr>
            <w:color w:val="0000FF"/>
            <w:u w:val="single" w:color="0000FF"/>
          </w:rPr>
          <w:t>11346.1</w:t>
        </w:r>
      </w:hyperlink>
      <w:r>
        <w:rPr/>
        <w:t>.</w:t>
      </w:r>
    </w:p>
    <w:p>
      <w:pPr>
        <w:pStyle w:val="BodyText"/>
        <w:spacing w:before="120"/>
        <w:ind w:left="120" w:right="415"/>
      </w:pPr>
      <w:r>
        <w:rPr>
          <w:b/>
        </w:rPr>
        <w:t>Revenues</w:t>
      </w:r>
      <w:r>
        <w:rPr/>
        <w:t>. Any changes in the amounts of operating income received by state and local agencies as the result of an executive regulation must also be identified. In this context, “revenue” includes taxes, state and/or federal assistance, fees, licenses, and so forth.</w:t>
      </w:r>
    </w:p>
    <w:p>
      <w:pPr>
        <w:pStyle w:val="BodyText"/>
        <w:spacing w:before="120"/>
        <w:ind w:left="119" w:right="214"/>
      </w:pPr>
      <w:r>
        <w:rPr>
          <w:b/>
        </w:rPr>
        <w:t>Savings</w:t>
      </w:r>
      <w:r>
        <w:rPr/>
        <w:t>. Both actual budget reductions and the “freeing up” of staff and/or resources for reassignment to other areas of legitimate concern of the agency.</w:t>
      </w:r>
    </w:p>
    <w:p>
      <w:pPr>
        <w:pStyle w:val="BodyText"/>
        <w:spacing w:before="120"/>
        <w:ind w:left="119" w:right="643"/>
      </w:pPr>
      <w:r>
        <w:rPr>
          <w:b/>
        </w:rPr>
        <w:t>School District</w:t>
      </w:r>
      <w:r>
        <w:rPr/>
        <w:t>. Any school district, community college district, or county superintendent of schools.</w:t>
      </w:r>
    </w:p>
    <w:p>
      <w:pPr>
        <w:pStyle w:val="BodyText"/>
        <w:spacing w:before="120"/>
        <w:ind w:left="119" w:right="133"/>
      </w:pPr>
      <w:r>
        <w:rPr>
          <w:b/>
        </w:rPr>
        <w:t>Special District</w:t>
      </w:r>
      <w:r>
        <w:rPr/>
        <w:t>. Any agency of the state which performs governmental or proprietary functions within limited boundaries. Special district includes a redevelopment agency, a joint powers agency or entity, a county service area, a maintenance district or area, an improvement district or improvement zone, or any other zone or area. Special district does not include a city, a county, a school district, or a community college district.</w:t>
      </w:r>
    </w:p>
    <w:p>
      <w:pPr>
        <w:pStyle w:val="BodyText"/>
        <w:spacing w:before="120"/>
        <w:ind w:left="119" w:right="256"/>
      </w:pPr>
      <w:r>
        <w:rPr/>
        <w:t>County free libraries established pursuant to Chapter 6 (commencing with Section 19100) of Part II of the Education Code, areas receiving county fire protection services pursuant to Government Code Section </w:t>
      </w:r>
      <w:hyperlink r:id="rId132">
        <w:r>
          <w:rPr>
            <w:color w:val="0000FF"/>
            <w:u w:val="single" w:color="0000FF"/>
          </w:rPr>
          <w:t>25643</w:t>
        </w:r>
      </w:hyperlink>
      <w:r>
        <w:rPr/>
        <w:t>, and county road districts established pursuant to Chapter 7 (commencing with Section 1550) of Division 2 of the Streets and Highways Code shall be considered special districts for all purposes of this section.</w:t>
      </w:r>
    </w:p>
    <w:p>
      <w:pPr>
        <w:pStyle w:val="BodyText"/>
        <w:spacing w:before="5"/>
        <w:rPr>
          <w:sz w:val="34"/>
        </w:rPr>
      </w:pPr>
    </w:p>
    <w:p>
      <w:pPr>
        <w:pStyle w:val="BodyText"/>
        <w:ind w:left="120" w:right="174"/>
      </w:pPr>
      <w:r>
        <w:rPr>
          <w:b/>
        </w:rPr>
        <w:t>Standardized Regulatory Impact Assessment. </w:t>
      </w:r>
      <w:r>
        <w:rPr/>
        <w:t>An analysis of the economic impacts of proposed major regulations which is required for any proposed regulation that has an estimated economic impact to business enterprises and individuals located in or doing business in California exceeding $50 million in any 12-month period between the date the major regulation is estimated to be filed with the Secretary of State through 12 months after the major regulation is estimated to be fully implemented.</w:t>
      </w:r>
    </w:p>
    <w:p>
      <w:pPr>
        <w:spacing w:after="0"/>
        <w:sectPr>
          <w:footerReference w:type="default" r:id="rId130"/>
          <w:pgSz w:w="12240" w:h="15840"/>
          <w:pgMar w:footer="792" w:header="728" w:top="980" w:bottom="980" w:left="1320" w:right="1320"/>
        </w:sectPr>
      </w:pPr>
    </w:p>
    <w:p>
      <w:pPr>
        <w:pStyle w:val="BodyText"/>
        <w:rPr>
          <w:sz w:val="20"/>
        </w:rPr>
      </w:pPr>
    </w:p>
    <w:p>
      <w:pPr>
        <w:pStyle w:val="Heading2"/>
        <w:tabs>
          <w:tab w:pos="8947" w:val="left" w:leader="none"/>
        </w:tabs>
        <w:spacing w:before="214"/>
        <w:ind w:left="119"/>
      </w:pPr>
      <w:r>
        <w:rPr/>
        <w:t>ECONOMIC</w:t>
      </w:r>
      <w:r>
        <w:rPr>
          <w:spacing w:val="-4"/>
        </w:rPr>
        <w:t> </w:t>
      </w:r>
      <w:r>
        <w:rPr/>
        <w:t>IMPACT</w:t>
      </w:r>
      <w:r>
        <w:rPr>
          <w:spacing w:val="-2"/>
        </w:rPr>
        <w:t> </w:t>
      </w:r>
      <w:r>
        <w:rPr/>
        <w:t>STATEMENT</w:t>
        <w:tab/>
        <w:t>6603</w:t>
      </w:r>
    </w:p>
    <w:p>
      <w:pPr>
        <w:pStyle w:val="BodyText"/>
        <w:ind w:left="119"/>
      </w:pPr>
      <w:r>
        <w:rPr/>
        <w:t>(Revised 6/2014)</w:t>
      </w:r>
    </w:p>
    <w:p>
      <w:pPr>
        <w:pStyle w:val="BodyText"/>
      </w:pPr>
    </w:p>
    <w:p>
      <w:pPr>
        <w:pStyle w:val="BodyText"/>
        <w:ind w:left="120" w:right="334"/>
      </w:pPr>
      <w:r>
        <w:rPr/>
        <w:t>A state agency that proposes to promulgate a regulation must include a completed </w:t>
      </w:r>
      <w:hyperlink r:id="rId125">
        <w:r>
          <w:rPr>
            <w:color w:val="0000FF"/>
            <w:u w:val="single" w:color="0000FF"/>
          </w:rPr>
          <w:t>STD. 399 </w:t>
        </w:r>
      </w:hyperlink>
      <w:r>
        <w:rPr/>
        <w:t>with each proposed regulation that is submitted to OAL for publication in the California Regulatory Notice Register. Government Code sections </w:t>
      </w:r>
      <w:hyperlink r:id="rId128">
        <w:r>
          <w:rPr>
            <w:color w:val="0000FF"/>
            <w:u w:val="single" w:color="0000FF"/>
          </w:rPr>
          <w:t>11346.2</w:t>
        </w:r>
      </w:hyperlink>
      <w:r>
        <w:rPr/>
        <w:t>, </w:t>
      </w:r>
      <w:hyperlink r:id="rId123">
        <w:r>
          <w:rPr>
            <w:color w:val="0000FF"/>
            <w:u w:val="single" w:color="0000FF"/>
          </w:rPr>
          <w:t>11346.3</w:t>
        </w:r>
      </w:hyperlink>
      <w:r>
        <w:rPr/>
        <w:t>, </w:t>
      </w:r>
      <w:hyperlink r:id="rId126">
        <w:r>
          <w:rPr>
            <w:color w:val="0000FF"/>
            <w:u w:val="single" w:color="0000FF"/>
          </w:rPr>
          <w:t>11346.5 </w:t>
        </w:r>
      </w:hyperlink>
      <w:r>
        <w:rPr/>
        <w:t>and Health and Safety Code section </w:t>
      </w:r>
      <w:hyperlink r:id="rId133">
        <w:r>
          <w:rPr>
            <w:color w:val="0000FF"/>
            <w:u w:val="single" w:color="0000FF"/>
          </w:rPr>
          <w:t>57005 </w:t>
        </w:r>
      </w:hyperlink>
      <w:r>
        <w:rPr/>
        <w:t>establish requirements for assessing a proposed regulation’s estimated economic impact. This SAM section will relate each section of the Economic Impact Statement of the STD. 399 to the corresponding statutory requirements specified in the codes referenced.</w:t>
      </w:r>
    </w:p>
    <w:p>
      <w:pPr>
        <w:pStyle w:val="BodyText"/>
        <w:spacing w:before="11"/>
        <w:rPr>
          <w:sz w:val="23"/>
        </w:rPr>
      </w:pPr>
    </w:p>
    <w:p>
      <w:pPr>
        <w:pStyle w:val="ListParagraph"/>
        <w:numPr>
          <w:ilvl w:val="1"/>
          <w:numId w:val="40"/>
        </w:numPr>
        <w:tabs>
          <w:tab w:pos="840" w:val="left" w:leader="none"/>
        </w:tabs>
        <w:spacing w:line="240" w:lineRule="auto" w:before="0" w:after="0"/>
        <w:ind w:left="840" w:right="0" w:hanging="360"/>
        <w:jc w:val="left"/>
        <w:rPr>
          <w:sz w:val="24"/>
        </w:rPr>
      </w:pPr>
      <w:r>
        <w:rPr>
          <w:sz w:val="24"/>
        </w:rPr>
        <w:t>Estimated Private Sector</w:t>
      </w:r>
      <w:r>
        <w:rPr>
          <w:spacing w:val="-12"/>
          <w:sz w:val="24"/>
        </w:rPr>
        <w:t> </w:t>
      </w:r>
      <w:r>
        <w:rPr>
          <w:sz w:val="24"/>
        </w:rPr>
        <w:t>Cost</w:t>
      </w:r>
    </w:p>
    <w:p>
      <w:pPr>
        <w:pStyle w:val="BodyText"/>
        <w:spacing w:before="11"/>
        <w:rPr>
          <w:sz w:val="23"/>
        </w:rPr>
      </w:pPr>
    </w:p>
    <w:p>
      <w:pPr>
        <w:pStyle w:val="ListParagraph"/>
        <w:numPr>
          <w:ilvl w:val="2"/>
          <w:numId w:val="40"/>
        </w:numPr>
        <w:tabs>
          <w:tab w:pos="840" w:val="left" w:leader="none"/>
        </w:tabs>
        <w:spacing w:line="240" w:lineRule="auto" w:before="0" w:after="0"/>
        <w:ind w:left="840" w:right="230" w:hanging="360"/>
        <w:jc w:val="both"/>
        <w:rPr>
          <w:sz w:val="24"/>
        </w:rPr>
      </w:pPr>
      <w:r>
        <w:rPr>
          <w:sz w:val="24"/>
        </w:rPr>
        <w:t>This section references the specific economic impacts of a proposed regulation. If the proposed regulation fits any of the a-g criteria, then the appropriate section of the economic impact statement must be</w:t>
      </w:r>
      <w:r>
        <w:rPr>
          <w:spacing w:val="-20"/>
          <w:sz w:val="24"/>
        </w:rPr>
        <w:t> </w:t>
      </w:r>
      <w:r>
        <w:rPr>
          <w:sz w:val="24"/>
        </w:rPr>
        <w:t>completed.</w:t>
      </w:r>
    </w:p>
    <w:p>
      <w:pPr>
        <w:pStyle w:val="ListParagraph"/>
        <w:numPr>
          <w:ilvl w:val="2"/>
          <w:numId w:val="40"/>
        </w:numPr>
        <w:tabs>
          <w:tab w:pos="840" w:val="left" w:leader="none"/>
        </w:tabs>
        <w:spacing w:line="240" w:lineRule="auto" w:before="0" w:after="0"/>
        <w:ind w:left="840" w:right="1164" w:hanging="360"/>
        <w:jc w:val="left"/>
        <w:rPr>
          <w:sz w:val="24"/>
        </w:rPr>
      </w:pPr>
      <w:r>
        <w:rPr>
          <w:sz w:val="24"/>
        </w:rPr>
        <w:t>This section references the estimated economic impact of the proposed regulation which an agency must compute to determine if the proposed regulation is a Major Regulation in accordance with California Code of Regulations, </w:t>
      </w:r>
      <w:hyperlink r:id="rId134">
        <w:r>
          <w:rPr>
            <w:color w:val="0000FF"/>
            <w:sz w:val="24"/>
            <w:u w:val="single" w:color="0000FF"/>
          </w:rPr>
          <w:t>title 1, section</w:t>
        </w:r>
        <w:r>
          <w:rPr>
            <w:color w:val="0000FF"/>
            <w:spacing w:val="-16"/>
            <w:sz w:val="24"/>
            <w:u w:val="single" w:color="0000FF"/>
          </w:rPr>
          <w:t> </w:t>
        </w:r>
        <w:r>
          <w:rPr>
            <w:color w:val="0000FF"/>
            <w:sz w:val="24"/>
            <w:u w:val="single" w:color="0000FF"/>
          </w:rPr>
          <w:t>2000</w:t>
        </w:r>
      </w:hyperlink>
      <w:r>
        <w:rPr>
          <w:sz w:val="24"/>
        </w:rPr>
        <w:t>.</w:t>
      </w:r>
    </w:p>
    <w:p>
      <w:pPr>
        <w:pStyle w:val="ListParagraph"/>
        <w:numPr>
          <w:ilvl w:val="2"/>
          <w:numId w:val="40"/>
        </w:numPr>
        <w:tabs>
          <w:tab w:pos="840" w:val="left" w:leader="none"/>
        </w:tabs>
        <w:spacing w:line="240" w:lineRule="auto" w:before="0" w:after="0"/>
        <w:ind w:left="840" w:right="0" w:hanging="360"/>
        <w:jc w:val="left"/>
        <w:rPr>
          <w:sz w:val="24"/>
        </w:rPr>
      </w:pPr>
      <w:r>
        <w:rPr>
          <w:sz w:val="24"/>
        </w:rPr>
        <w:t>Total businesses</w:t>
      </w:r>
      <w:r>
        <w:rPr>
          <w:spacing w:val="-11"/>
          <w:sz w:val="24"/>
        </w:rPr>
        <w:t> </w:t>
      </w:r>
      <w:r>
        <w:rPr>
          <w:sz w:val="24"/>
        </w:rPr>
        <w:t>impacted</w:t>
      </w:r>
    </w:p>
    <w:p>
      <w:pPr>
        <w:pStyle w:val="BodyText"/>
        <w:ind w:left="840" w:right="655"/>
      </w:pPr>
      <w:r>
        <w:rPr/>
        <w:t>Government Code section </w:t>
      </w:r>
      <w:hyperlink r:id="rId126">
        <w:r>
          <w:rPr>
            <w:color w:val="0000FF"/>
            <w:u w:val="single" w:color="0000FF"/>
          </w:rPr>
          <w:t>11346.5</w:t>
        </w:r>
      </w:hyperlink>
      <w:r>
        <w:rPr/>
        <w:t>(a)(7)(A) requires agencies to identify the types of businesses affected by the proposed regulation.</w:t>
      </w:r>
    </w:p>
    <w:p>
      <w:pPr>
        <w:pStyle w:val="ListParagraph"/>
        <w:numPr>
          <w:ilvl w:val="2"/>
          <w:numId w:val="40"/>
        </w:numPr>
        <w:tabs>
          <w:tab w:pos="840" w:val="left" w:leader="none"/>
        </w:tabs>
        <w:spacing w:line="240" w:lineRule="auto" w:before="0" w:after="0"/>
        <w:ind w:left="840" w:right="0" w:hanging="360"/>
        <w:jc w:val="left"/>
        <w:rPr>
          <w:sz w:val="24"/>
        </w:rPr>
      </w:pPr>
      <w:r>
        <w:rPr>
          <w:sz w:val="24"/>
        </w:rPr>
        <w:t>Businesses created or</w:t>
      </w:r>
      <w:r>
        <w:rPr>
          <w:spacing w:val="-16"/>
          <w:sz w:val="24"/>
        </w:rPr>
        <w:t> </w:t>
      </w:r>
      <w:r>
        <w:rPr>
          <w:sz w:val="24"/>
        </w:rPr>
        <w:t>eliminated</w:t>
      </w:r>
    </w:p>
    <w:p>
      <w:pPr>
        <w:pStyle w:val="BodyText"/>
        <w:ind w:left="840" w:right="308"/>
      </w:pPr>
      <w:r>
        <w:rPr/>
        <w:t>Government Code section </w:t>
      </w:r>
      <w:hyperlink r:id="rId123">
        <w:r>
          <w:rPr>
            <w:color w:val="0000FF"/>
            <w:u w:val="single" w:color="0000FF"/>
          </w:rPr>
          <w:t>11346.3</w:t>
        </w:r>
      </w:hyperlink>
      <w:r>
        <w:rPr/>
        <w:t>(b)(1)(B) requires agencies to assess the proposed regulation’s impact on the creation or elimination of businesses within the state, including regional impacts.</w:t>
      </w:r>
    </w:p>
    <w:p>
      <w:pPr>
        <w:pStyle w:val="ListParagraph"/>
        <w:numPr>
          <w:ilvl w:val="2"/>
          <w:numId w:val="40"/>
        </w:numPr>
        <w:tabs>
          <w:tab w:pos="840" w:val="left" w:leader="none"/>
        </w:tabs>
        <w:spacing w:line="240" w:lineRule="auto" w:before="0" w:after="0"/>
        <w:ind w:left="840" w:right="0" w:hanging="360"/>
        <w:jc w:val="left"/>
        <w:rPr>
          <w:sz w:val="24"/>
        </w:rPr>
      </w:pPr>
      <w:r>
        <w:rPr>
          <w:sz w:val="24"/>
        </w:rPr>
        <w:t>Geographic extent of</w:t>
      </w:r>
      <w:r>
        <w:rPr>
          <w:spacing w:val="-15"/>
          <w:sz w:val="24"/>
        </w:rPr>
        <w:t> </w:t>
      </w:r>
      <w:r>
        <w:rPr>
          <w:sz w:val="24"/>
        </w:rPr>
        <w:t>regulation</w:t>
      </w:r>
    </w:p>
    <w:p>
      <w:pPr>
        <w:pStyle w:val="BodyText"/>
        <w:ind w:left="840" w:right="508"/>
      </w:pPr>
      <w:r>
        <w:rPr/>
        <w:t>Government Code section </w:t>
      </w:r>
      <w:hyperlink r:id="rId123">
        <w:r>
          <w:rPr>
            <w:color w:val="0000FF"/>
            <w:u w:val="single" w:color="0000FF"/>
          </w:rPr>
          <w:t>11346.3</w:t>
        </w:r>
      </w:hyperlink>
      <w:r>
        <w:rPr/>
        <w:t>(b)(1)(C) requires agencies to assess the proposed regulation’s impact on the expansion of businesses within the state.</w:t>
      </w:r>
    </w:p>
    <w:p>
      <w:pPr>
        <w:pStyle w:val="ListParagraph"/>
        <w:numPr>
          <w:ilvl w:val="2"/>
          <w:numId w:val="40"/>
        </w:numPr>
        <w:tabs>
          <w:tab w:pos="840" w:val="left" w:leader="none"/>
        </w:tabs>
        <w:spacing w:line="240" w:lineRule="auto" w:before="0" w:after="0"/>
        <w:ind w:left="840" w:right="0" w:hanging="360"/>
        <w:jc w:val="left"/>
        <w:rPr>
          <w:sz w:val="24"/>
        </w:rPr>
      </w:pPr>
      <w:r>
        <w:rPr>
          <w:sz w:val="24"/>
        </w:rPr>
        <w:t>Employment</w:t>
      </w:r>
      <w:r>
        <w:rPr>
          <w:spacing w:val="-10"/>
          <w:sz w:val="24"/>
        </w:rPr>
        <w:t> </w:t>
      </w:r>
      <w:r>
        <w:rPr>
          <w:sz w:val="24"/>
        </w:rPr>
        <w:t>factors</w:t>
      </w:r>
    </w:p>
    <w:p>
      <w:pPr>
        <w:pStyle w:val="BodyText"/>
        <w:ind w:left="840" w:right="348"/>
      </w:pPr>
      <w:r>
        <w:rPr/>
        <w:t>Government Code section </w:t>
      </w:r>
      <w:hyperlink r:id="rId123">
        <w:r>
          <w:rPr>
            <w:color w:val="0000FF"/>
            <w:u w:val="single" w:color="0000FF"/>
          </w:rPr>
          <w:t>11346.3</w:t>
        </w:r>
      </w:hyperlink>
      <w:r>
        <w:rPr/>
        <w:t>(b)(1)(A) requires agencies to assess the proposed regulation’s impact on the creation or elimination of jobs in California.</w:t>
      </w:r>
    </w:p>
    <w:p>
      <w:pPr>
        <w:pStyle w:val="ListParagraph"/>
        <w:numPr>
          <w:ilvl w:val="2"/>
          <w:numId w:val="40"/>
        </w:numPr>
        <w:tabs>
          <w:tab w:pos="840" w:val="left" w:leader="none"/>
        </w:tabs>
        <w:spacing w:line="240" w:lineRule="auto" w:before="0" w:after="0"/>
        <w:ind w:left="840" w:right="0" w:hanging="360"/>
        <w:jc w:val="left"/>
        <w:rPr>
          <w:sz w:val="24"/>
        </w:rPr>
      </w:pPr>
      <w:r>
        <w:rPr>
          <w:sz w:val="24"/>
        </w:rPr>
        <w:t>Competition</w:t>
      </w:r>
    </w:p>
    <w:p>
      <w:pPr>
        <w:pStyle w:val="BodyText"/>
        <w:ind w:left="840" w:right="135"/>
      </w:pPr>
      <w:r>
        <w:rPr/>
        <w:t>Government Code section </w:t>
      </w:r>
      <w:hyperlink r:id="rId123">
        <w:r>
          <w:rPr>
            <w:color w:val="0000FF"/>
            <w:u w:val="single" w:color="0000FF"/>
          </w:rPr>
          <w:t>11346.3</w:t>
        </w:r>
      </w:hyperlink>
      <w:r>
        <w:rPr/>
        <w:t>(a)(2) requires agencies to evaluate the impact on the ability of California businesses to compete with businesses in other states.</w:t>
      </w:r>
    </w:p>
    <w:p>
      <w:pPr>
        <w:pStyle w:val="BodyText"/>
      </w:pPr>
    </w:p>
    <w:p>
      <w:pPr>
        <w:pStyle w:val="BodyText"/>
        <w:ind w:left="120"/>
      </w:pPr>
      <w:r>
        <w:rPr/>
        <w:t>(Continued)</w:t>
      </w:r>
    </w:p>
    <w:p>
      <w:pPr>
        <w:spacing w:after="0"/>
        <w:sectPr>
          <w:pgSz w:w="12240" w:h="15840"/>
          <w:pgMar w:header="728" w:footer="792" w:top="980" w:bottom="980" w:left="1320" w:right="1320"/>
        </w:sectPr>
      </w:pPr>
    </w:p>
    <w:p>
      <w:pPr>
        <w:pStyle w:val="BodyText"/>
        <w:rPr>
          <w:sz w:val="20"/>
        </w:rPr>
      </w:pPr>
    </w:p>
    <w:p>
      <w:pPr>
        <w:pStyle w:val="BodyText"/>
        <w:spacing w:before="214"/>
        <w:ind w:left="100"/>
      </w:pPr>
      <w:r>
        <w:rPr/>
        <w:t>(Continued)</w:t>
      </w:r>
    </w:p>
    <w:p>
      <w:pPr>
        <w:tabs>
          <w:tab w:pos="7926" w:val="left" w:leader="none"/>
        </w:tabs>
        <w:spacing w:before="0"/>
        <w:ind w:left="100" w:right="0" w:firstLine="0"/>
        <w:jc w:val="left"/>
        <w:rPr>
          <w:sz w:val="24"/>
        </w:rPr>
      </w:pPr>
      <w:r>
        <w:rPr>
          <w:b/>
          <w:sz w:val="24"/>
        </w:rPr>
        <w:t>ECONOMIC</w:t>
      </w:r>
      <w:r>
        <w:rPr>
          <w:b/>
          <w:spacing w:val="-4"/>
          <w:sz w:val="24"/>
        </w:rPr>
        <w:t> </w:t>
      </w:r>
      <w:r>
        <w:rPr>
          <w:b/>
          <w:sz w:val="24"/>
        </w:rPr>
        <w:t>IMPACT</w:t>
      </w:r>
      <w:r>
        <w:rPr>
          <w:b/>
          <w:spacing w:val="-2"/>
          <w:sz w:val="24"/>
        </w:rPr>
        <w:t> </w:t>
      </w:r>
      <w:r>
        <w:rPr>
          <w:b/>
          <w:sz w:val="24"/>
        </w:rPr>
        <w:t>STATEMENT</w:t>
        <w:tab/>
        <w:t>6603 </w:t>
      </w:r>
      <w:r>
        <w:rPr>
          <w:sz w:val="24"/>
        </w:rPr>
        <w:t>(Cont.</w:t>
      </w:r>
      <w:r>
        <w:rPr>
          <w:spacing w:val="-6"/>
          <w:sz w:val="24"/>
        </w:rPr>
        <w:t> </w:t>
      </w:r>
      <w:r>
        <w:rPr>
          <w:sz w:val="24"/>
        </w:rPr>
        <w:t>1)</w:t>
      </w:r>
    </w:p>
    <w:p>
      <w:pPr>
        <w:pStyle w:val="BodyText"/>
        <w:ind w:left="100"/>
      </w:pPr>
      <w:r>
        <w:rPr/>
        <w:t>(Revised 6/2014)</w:t>
      </w:r>
    </w:p>
    <w:p>
      <w:pPr>
        <w:pStyle w:val="BodyText"/>
      </w:pPr>
    </w:p>
    <w:p>
      <w:pPr>
        <w:pStyle w:val="ListParagraph"/>
        <w:numPr>
          <w:ilvl w:val="1"/>
          <w:numId w:val="40"/>
        </w:numPr>
        <w:tabs>
          <w:tab w:pos="820" w:val="left" w:leader="none"/>
        </w:tabs>
        <w:spacing w:line="240" w:lineRule="auto" w:before="0" w:after="0"/>
        <w:ind w:left="820" w:right="0" w:hanging="360"/>
        <w:jc w:val="left"/>
        <w:rPr>
          <w:sz w:val="24"/>
        </w:rPr>
      </w:pPr>
      <w:r>
        <w:rPr>
          <w:sz w:val="24"/>
        </w:rPr>
        <w:t>Estimated</w:t>
      </w:r>
      <w:r>
        <w:rPr>
          <w:spacing w:val="-5"/>
          <w:sz w:val="24"/>
        </w:rPr>
        <w:t> </w:t>
      </w:r>
      <w:r>
        <w:rPr>
          <w:sz w:val="24"/>
        </w:rPr>
        <w:t>Costs</w:t>
      </w:r>
    </w:p>
    <w:p>
      <w:pPr>
        <w:pStyle w:val="BodyText"/>
      </w:pPr>
    </w:p>
    <w:p>
      <w:pPr>
        <w:pStyle w:val="ListParagraph"/>
        <w:numPr>
          <w:ilvl w:val="2"/>
          <w:numId w:val="40"/>
        </w:numPr>
        <w:tabs>
          <w:tab w:pos="820" w:val="left" w:leader="none"/>
        </w:tabs>
        <w:spacing w:line="240" w:lineRule="auto" w:before="0" w:after="0"/>
        <w:ind w:left="820" w:right="0" w:hanging="360"/>
        <w:jc w:val="left"/>
        <w:rPr>
          <w:sz w:val="24"/>
        </w:rPr>
      </w:pPr>
      <w:r>
        <w:rPr>
          <w:sz w:val="24"/>
        </w:rPr>
        <w:t>Initial and ongoing costs to business and</w:t>
      </w:r>
      <w:r>
        <w:rPr>
          <w:spacing w:val="-25"/>
          <w:sz w:val="24"/>
        </w:rPr>
        <w:t> </w:t>
      </w:r>
      <w:r>
        <w:rPr>
          <w:sz w:val="24"/>
        </w:rPr>
        <w:t>individuals</w:t>
      </w:r>
    </w:p>
    <w:p>
      <w:pPr>
        <w:pStyle w:val="BodyText"/>
        <w:ind w:left="820" w:right="147"/>
      </w:pPr>
      <w:r>
        <w:rPr/>
        <w:t>Government Code section </w:t>
      </w:r>
      <w:hyperlink r:id="rId123">
        <w:r>
          <w:rPr>
            <w:color w:val="0000FF"/>
            <w:u w:val="single" w:color="0000FF"/>
          </w:rPr>
          <w:t>11346.3</w:t>
        </w:r>
      </w:hyperlink>
      <w:r>
        <w:rPr/>
        <w:t>(a) requires agencies to evaluate the potential cost of compliance of the proposed regulation for businesses and individuals.</w:t>
      </w:r>
    </w:p>
    <w:p>
      <w:pPr>
        <w:pStyle w:val="ListParagraph"/>
        <w:numPr>
          <w:ilvl w:val="2"/>
          <w:numId w:val="40"/>
        </w:numPr>
        <w:tabs>
          <w:tab w:pos="820" w:val="left" w:leader="none"/>
        </w:tabs>
        <w:spacing w:line="240" w:lineRule="auto" w:before="0" w:after="0"/>
        <w:ind w:left="820" w:right="0" w:hanging="360"/>
        <w:jc w:val="left"/>
        <w:rPr>
          <w:sz w:val="24"/>
        </w:rPr>
      </w:pPr>
      <w:r>
        <w:rPr>
          <w:sz w:val="24"/>
        </w:rPr>
        <w:t>Share of total</w:t>
      </w:r>
      <w:r>
        <w:rPr>
          <w:spacing w:val="-7"/>
          <w:sz w:val="24"/>
        </w:rPr>
        <w:t> </w:t>
      </w:r>
      <w:r>
        <w:rPr>
          <w:sz w:val="24"/>
        </w:rPr>
        <w:t>costs</w:t>
      </w:r>
    </w:p>
    <w:p>
      <w:pPr>
        <w:pStyle w:val="BodyText"/>
        <w:ind w:left="820" w:right="361"/>
      </w:pPr>
      <w:r>
        <w:rPr/>
        <w:t>Government Code section </w:t>
      </w:r>
      <w:hyperlink r:id="rId126">
        <w:r>
          <w:rPr>
            <w:color w:val="0000FF"/>
            <w:u w:val="single" w:color="0000FF"/>
          </w:rPr>
          <w:t>11346.5</w:t>
        </w:r>
      </w:hyperlink>
      <w:r>
        <w:rPr/>
        <w:t>(a)(7)(A) requires agencies to describe the types of businesses affected by the proposed regulation and their share of the total cost of the proposed regulation if the proposed regulation has a significant statewide adverse economic impact.</w:t>
      </w:r>
    </w:p>
    <w:p>
      <w:pPr>
        <w:pStyle w:val="ListParagraph"/>
        <w:numPr>
          <w:ilvl w:val="2"/>
          <w:numId w:val="40"/>
        </w:numPr>
        <w:tabs>
          <w:tab w:pos="820" w:val="left" w:leader="none"/>
        </w:tabs>
        <w:spacing w:line="240" w:lineRule="auto" w:before="0" w:after="0"/>
        <w:ind w:left="820" w:right="0" w:hanging="360"/>
        <w:jc w:val="left"/>
        <w:rPr>
          <w:sz w:val="24"/>
        </w:rPr>
      </w:pPr>
      <w:r>
        <w:rPr>
          <w:sz w:val="24"/>
        </w:rPr>
        <w:t>Reporting</w:t>
      </w:r>
      <w:r>
        <w:rPr>
          <w:spacing w:val="-13"/>
          <w:sz w:val="24"/>
        </w:rPr>
        <w:t> </w:t>
      </w:r>
      <w:r>
        <w:rPr>
          <w:sz w:val="24"/>
        </w:rPr>
        <w:t>requirements</w:t>
      </w:r>
    </w:p>
    <w:p>
      <w:pPr>
        <w:pStyle w:val="BodyText"/>
        <w:ind w:left="820" w:right="148"/>
      </w:pPr>
      <w:r>
        <w:rPr/>
        <w:t>Government Code section </w:t>
      </w:r>
      <w:hyperlink r:id="rId126">
        <w:r>
          <w:rPr>
            <w:color w:val="0000FF"/>
            <w:u w:val="single" w:color="0000FF"/>
          </w:rPr>
          <w:t>11346.5</w:t>
        </w:r>
      </w:hyperlink>
      <w:r>
        <w:rPr/>
        <w:t>(a)(7)(B), requires agencies to identify reporting requirements for businesses if the proposed regulation has a significant statewide adverse economic impact.</w:t>
      </w:r>
    </w:p>
    <w:p>
      <w:pPr>
        <w:pStyle w:val="ListParagraph"/>
        <w:numPr>
          <w:ilvl w:val="2"/>
          <w:numId w:val="40"/>
        </w:numPr>
        <w:tabs>
          <w:tab w:pos="820" w:val="left" w:leader="none"/>
        </w:tabs>
        <w:spacing w:line="240" w:lineRule="auto" w:before="0" w:after="0"/>
        <w:ind w:left="820" w:right="0" w:hanging="360"/>
        <w:jc w:val="left"/>
        <w:rPr>
          <w:sz w:val="24"/>
        </w:rPr>
      </w:pPr>
      <w:r>
        <w:rPr>
          <w:sz w:val="24"/>
        </w:rPr>
        <w:t>Housing</w:t>
      </w:r>
    </w:p>
    <w:p>
      <w:pPr>
        <w:pStyle w:val="BodyText"/>
        <w:ind w:left="820" w:right="348"/>
      </w:pPr>
      <w:r>
        <w:rPr/>
        <w:t>Government Code section </w:t>
      </w:r>
      <w:hyperlink r:id="rId126">
        <w:r>
          <w:rPr>
            <w:color w:val="0000FF"/>
            <w:u w:val="single" w:color="0000FF"/>
          </w:rPr>
          <w:t>11346.5</w:t>
        </w:r>
      </w:hyperlink>
      <w:r>
        <w:rPr/>
        <w:t>(a)(12) requires agencies to determine if the regulation will directly impact housing costs.</w:t>
      </w:r>
    </w:p>
    <w:p>
      <w:pPr>
        <w:pStyle w:val="ListParagraph"/>
        <w:numPr>
          <w:ilvl w:val="2"/>
          <w:numId w:val="40"/>
        </w:numPr>
        <w:tabs>
          <w:tab w:pos="820" w:val="left" w:leader="none"/>
        </w:tabs>
        <w:spacing w:line="240" w:lineRule="auto" w:before="0" w:after="0"/>
        <w:ind w:left="820" w:right="0" w:hanging="360"/>
        <w:jc w:val="left"/>
        <w:rPr>
          <w:sz w:val="24"/>
        </w:rPr>
      </w:pPr>
      <w:r>
        <w:rPr>
          <w:sz w:val="24"/>
        </w:rPr>
        <w:t>Federal</w:t>
      </w:r>
      <w:r>
        <w:rPr>
          <w:spacing w:val="-10"/>
          <w:sz w:val="24"/>
        </w:rPr>
        <w:t> </w:t>
      </w:r>
      <w:r>
        <w:rPr>
          <w:sz w:val="24"/>
        </w:rPr>
        <w:t>regulations</w:t>
      </w:r>
    </w:p>
    <w:p>
      <w:pPr>
        <w:pStyle w:val="BodyText"/>
        <w:ind w:left="820" w:right="349"/>
      </w:pPr>
      <w:r>
        <w:rPr/>
        <w:t>Government Code section </w:t>
      </w:r>
      <w:hyperlink r:id="rId126">
        <w:r>
          <w:rPr>
            <w:color w:val="0000FF"/>
            <w:u w:val="single" w:color="0000FF"/>
          </w:rPr>
          <w:t>11346.5</w:t>
        </w:r>
      </w:hyperlink>
      <w:r>
        <w:rPr/>
        <w:t>(a)(3)(B) requires the agency to determine if the regulation differs from an existing comparable federal regulation.</w:t>
      </w:r>
    </w:p>
    <w:p>
      <w:pPr>
        <w:pStyle w:val="BodyText"/>
      </w:pPr>
    </w:p>
    <w:p>
      <w:pPr>
        <w:pStyle w:val="ListParagraph"/>
        <w:numPr>
          <w:ilvl w:val="1"/>
          <w:numId w:val="40"/>
        </w:numPr>
        <w:tabs>
          <w:tab w:pos="820" w:val="left" w:leader="none"/>
        </w:tabs>
        <w:spacing w:line="240" w:lineRule="auto" w:before="0" w:after="0"/>
        <w:ind w:left="820" w:right="0" w:hanging="360"/>
        <w:jc w:val="left"/>
        <w:rPr>
          <w:sz w:val="24"/>
        </w:rPr>
      </w:pPr>
      <w:r>
        <w:rPr>
          <w:sz w:val="24"/>
        </w:rPr>
        <w:t>Estimated</w:t>
      </w:r>
      <w:r>
        <w:rPr>
          <w:spacing w:val="-7"/>
          <w:sz w:val="24"/>
        </w:rPr>
        <w:t> </w:t>
      </w:r>
      <w:r>
        <w:rPr>
          <w:sz w:val="24"/>
        </w:rPr>
        <w:t>Benefits</w:t>
      </w:r>
    </w:p>
    <w:p>
      <w:pPr>
        <w:pStyle w:val="BodyText"/>
        <w:spacing w:before="11"/>
        <w:rPr>
          <w:sz w:val="23"/>
        </w:rPr>
      </w:pPr>
    </w:p>
    <w:p>
      <w:pPr>
        <w:pStyle w:val="BodyText"/>
        <w:ind w:left="460" w:right="295"/>
      </w:pPr>
      <w:r>
        <w:rPr/>
        <w:t>Parts 1-3 of this sections are required by Government Code section </w:t>
      </w:r>
      <w:hyperlink r:id="rId123">
        <w:r>
          <w:rPr>
            <w:color w:val="0000FF"/>
            <w:u w:val="single" w:color="0000FF"/>
          </w:rPr>
          <w:t>11346.3</w:t>
        </w:r>
      </w:hyperlink>
      <w:r>
        <w:rPr/>
        <w:t>(b)(1)(D) which requires agencies to discuss the benefits of the regulation, including, but not limited to, benefits to the health, safety, and welfare of California residents, worker safety, and the state’s environment and quality of life, among any other benefits identified by the agency.</w:t>
      </w:r>
    </w:p>
    <w:p>
      <w:pPr>
        <w:pStyle w:val="BodyText"/>
        <w:spacing w:before="11"/>
        <w:rPr>
          <w:sz w:val="23"/>
        </w:rPr>
      </w:pPr>
    </w:p>
    <w:p>
      <w:pPr>
        <w:pStyle w:val="ListParagraph"/>
        <w:numPr>
          <w:ilvl w:val="0"/>
          <w:numId w:val="40"/>
        </w:numPr>
        <w:tabs>
          <w:tab w:pos="729" w:val="left" w:leader="none"/>
        </w:tabs>
        <w:spacing w:line="240" w:lineRule="auto" w:before="0" w:after="0"/>
        <w:ind w:left="728" w:right="0" w:hanging="268"/>
        <w:jc w:val="left"/>
        <w:rPr>
          <w:sz w:val="24"/>
        </w:rPr>
      </w:pPr>
      <w:r>
        <w:rPr>
          <w:sz w:val="24"/>
        </w:rPr>
        <w:t>Expansion of</w:t>
      </w:r>
      <w:r>
        <w:rPr>
          <w:spacing w:val="-13"/>
          <w:sz w:val="24"/>
        </w:rPr>
        <w:t> </w:t>
      </w:r>
      <w:r>
        <w:rPr>
          <w:sz w:val="24"/>
        </w:rPr>
        <w:t>businesses</w:t>
      </w:r>
    </w:p>
    <w:p>
      <w:pPr>
        <w:pStyle w:val="BodyText"/>
        <w:ind w:left="460" w:right="868"/>
      </w:pPr>
      <w:r>
        <w:rPr/>
        <w:t>Government Code section </w:t>
      </w:r>
      <w:hyperlink r:id="rId123">
        <w:r>
          <w:rPr>
            <w:color w:val="0000FF"/>
            <w:u w:val="single" w:color="0000FF"/>
          </w:rPr>
          <w:t>11346.3</w:t>
        </w:r>
      </w:hyperlink>
      <w:r>
        <w:rPr/>
        <w:t>(b)(1)(C) requires agencies to assess the proposed regulation’s impact on the expansion of businesses within the state.</w:t>
      </w:r>
    </w:p>
    <w:p>
      <w:pPr>
        <w:pStyle w:val="BodyText"/>
      </w:pPr>
    </w:p>
    <w:p>
      <w:pPr>
        <w:pStyle w:val="BodyText"/>
        <w:ind w:left="460"/>
      </w:pPr>
      <w:r>
        <w:rPr/>
        <w:t>(Continued)</w:t>
      </w:r>
    </w:p>
    <w:p>
      <w:pPr>
        <w:spacing w:after="0"/>
        <w:sectPr>
          <w:pgSz w:w="12240" w:h="15840"/>
          <w:pgMar w:header="728" w:footer="792" w:top="980" w:bottom="980" w:left="1340" w:right="1320"/>
        </w:sectPr>
      </w:pPr>
    </w:p>
    <w:p>
      <w:pPr>
        <w:pStyle w:val="BodyText"/>
        <w:rPr>
          <w:sz w:val="20"/>
        </w:rPr>
      </w:pPr>
    </w:p>
    <w:p>
      <w:pPr>
        <w:pStyle w:val="BodyText"/>
        <w:spacing w:before="214"/>
        <w:ind w:left="100"/>
      </w:pPr>
      <w:r>
        <w:rPr/>
        <w:t>(Continued)</w:t>
      </w:r>
    </w:p>
    <w:p>
      <w:pPr>
        <w:tabs>
          <w:tab w:pos="7926" w:val="left" w:leader="none"/>
        </w:tabs>
        <w:spacing w:before="0"/>
        <w:ind w:left="100" w:right="0" w:firstLine="0"/>
        <w:jc w:val="left"/>
        <w:rPr>
          <w:sz w:val="24"/>
        </w:rPr>
      </w:pPr>
      <w:r>
        <w:rPr>
          <w:b/>
          <w:sz w:val="24"/>
        </w:rPr>
        <w:t>ECONOMIC</w:t>
      </w:r>
      <w:r>
        <w:rPr>
          <w:b/>
          <w:spacing w:val="-4"/>
          <w:sz w:val="24"/>
        </w:rPr>
        <w:t> </w:t>
      </w:r>
      <w:r>
        <w:rPr>
          <w:b/>
          <w:sz w:val="24"/>
        </w:rPr>
        <w:t>IMPACT</w:t>
      </w:r>
      <w:r>
        <w:rPr>
          <w:b/>
          <w:spacing w:val="-2"/>
          <w:sz w:val="24"/>
        </w:rPr>
        <w:t> </w:t>
      </w:r>
      <w:r>
        <w:rPr>
          <w:b/>
          <w:sz w:val="24"/>
        </w:rPr>
        <w:t>STATEMENT</w:t>
        <w:tab/>
        <w:t>6603 </w:t>
      </w:r>
      <w:r>
        <w:rPr>
          <w:sz w:val="24"/>
        </w:rPr>
        <w:t>(Cont.</w:t>
      </w:r>
      <w:r>
        <w:rPr>
          <w:spacing w:val="-6"/>
          <w:sz w:val="24"/>
        </w:rPr>
        <w:t> </w:t>
      </w:r>
      <w:r>
        <w:rPr>
          <w:sz w:val="24"/>
        </w:rPr>
        <w:t>2)</w:t>
      </w:r>
    </w:p>
    <w:p>
      <w:pPr>
        <w:pStyle w:val="BodyText"/>
        <w:ind w:left="100"/>
      </w:pPr>
      <w:r>
        <w:rPr/>
        <w:t>(Revised 6/2014)</w:t>
      </w:r>
    </w:p>
    <w:p>
      <w:pPr>
        <w:pStyle w:val="BodyText"/>
      </w:pPr>
    </w:p>
    <w:p>
      <w:pPr>
        <w:pStyle w:val="ListParagraph"/>
        <w:numPr>
          <w:ilvl w:val="0"/>
          <w:numId w:val="41"/>
        </w:numPr>
        <w:tabs>
          <w:tab w:pos="820" w:val="left" w:leader="none"/>
        </w:tabs>
        <w:spacing w:line="240" w:lineRule="auto" w:before="0" w:after="0"/>
        <w:ind w:left="820" w:right="0" w:hanging="360"/>
        <w:jc w:val="left"/>
        <w:rPr>
          <w:sz w:val="24"/>
        </w:rPr>
      </w:pPr>
      <w:r>
        <w:rPr>
          <w:sz w:val="24"/>
        </w:rPr>
        <w:t>Alternatives to the</w:t>
      </w:r>
      <w:r>
        <w:rPr>
          <w:spacing w:val="-14"/>
          <w:sz w:val="24"/>
        </w:rPr>
        <w:t> </w:t>
      </w:r>
      <w:r>
        <w:rPr>
          <w:sz w:val="24"/>
        </w:rPr>
        <w:t>Regulation</w:t>
      </w:r>
    </w:p>
    <w:p>
      <w:pPr>
        <w:pStyle w:val="BodyText"/>
      </w:pPr>
    </w:p>
    <w:p>
      <w:pPr>
        <w:pStyle w:val="BodyText"/>
        <w:ind w:left="460" w:right="308"/>
      </w:pPr>
      <w:r>
        <w:rPr/>
        <w:t>Parts 1 and 2 of this section are required by Government Code section </w:t>
      </w:r>
      <w:hyperlink r:id="rId128">
        <w:r>
          <w:rPr>
            <w:color w:val="0000FF"/>
            <w:u w:val="single" w:color="0000FF"/>
          </w:rPr>
          <w:t>11346.2</w:t>
        </w:r>
      </w:hyperlink>
      <w:r>
        <w:rPr/>
        <w:t>(b), which requires agencies to discuss alternatives to the proposed regulation.</w:t>
      </w:r>
    </w:p>
    <w:p>
      <w:pPr>
        <w:pStyle w:val="BodyText"/>
      </w:pPr>
    </w:p>
    <w:p>
      <w:pPr>
        <w:pStyle w:val="ListParagraph"/>
        <w:numPr>
          <w:ilvl w:val="0"/>
          <w:numId w:val="42"/>
        </w:numPr>
        <w:tabs>
          <w:tab w:pos="727" w:val="left" w:leader="none"/>
        </w:tabs>
        <w:spacing w:line="240" w:lineRule="auto" w:before="0" w:after="0"/>
        <w:ind w:left="728" w:right="418" w:hanging="268"/>
        <w:jc w:val="left"/>
        <w:rPr>
          <w:sz w:val="24"/>
        </w:rPr>
      </w:pPr>
      <w:r>
        <w:rPr>
          <w:sz w:val="24"/>
        </w:rPr>
        <w:t>This section supplements the comparisons of the proposed alternatives and the proposed regulation in parts 1 and 2 of this section to allow for a standardized comparison.</w:t>
      </w:r>
    </w:p>
    <w:p>
      <w:pPr>
        <w:pStyle w:val="BodyText"/>
      </w:pPr>
    </w:p>
    <w:p>
      <w:pPr>
        <w:pStyle w:val="ListParagraph"/>
        <w:numPr>
          <w:ilvl w:val="0"/>
          <w:numId w:val="42"/>
        </w:numPr>
        <w:tabs>
          <w:tab w:pos="796" w:val="left" w:leader="none"/>
        </w:tabs>
        <w:spacing w:line="240" w:lineRule="auto" w:before="0" w:after="0"/>
        <w:ind w:left="796" w:right="0" w:hanging="336"/>
        <w:jc w:val="left"/>
        <w:rPr>
          <w:sz w:val="24"/>
        </w:rPr>
      </w:pPr>
      <w:r>
        <w:rPr>
          <w:sz w:val="24"/>
        </w:rPr>
        <w:t>Consideration of performance</w:t>
      </w:r>
      <w:r>
        <w:rPr>
          <w:spacing w:val="-22"/>
          <w:sz w:val="24"/>
        </w:rPr>
        <w:t> </w:t>
      </w:r>
      <w:r>
        <w:rPr>
          <w:sz w:val="24"/>
        </w:rPr>
        <w:t>standards</w:t>
      </w:r>
    </w:p>
    <w:p>
      <w:pPr>
        <w:pStyle w:val="BodyText"/>
        <w:ind w:left="796" w:right="452"/>
        <w:jc w:val="both"/>
      </w:pPr>
      <w:r>
        <w:rPr/>
        <w:t>Government Code section </w:t>
      </w:r>
      <w:hyperlink r:id="rId128">
        <w:r>
          <w:rPr>
            <w:color w:val="0000FF"/>
            <w:u w:val="single" w:color="0000FF"/>
          </w:rPr>
          <w:t>11346.2</w:t>
        </w:r>
      </w:hyperlink>
      <w:r>
        <w:rPr/>
        <w:t>(b) requires agencies, when mandating the use of specific technology or equipment, to consider performance standards to help lower compliance costs</w:t>
      </w:r>
    </w:p>
    <w:p>
      <w:pPr>
        <w:pStyle w:val="BodyText"/>
      </w:pPr>
    </w:p>
    <w:p>
      <w:pPr>
        <w:pStyle w:val="ListParagraph"/>
        <w:numPr>
          <w:ilvl w:val="0"/>
          <w:numId w:val="41"/>
        </w:numPr>
        <w:tabs>
          <w:tab w:pos="820" w:val="left" w:leader="none"/>
        </w:tabs>
        <w:spacing w:line="240" w:lineRule="auto" w:before="0" w:after="0"/>
        <w:ind w:left="820" w:right="0" w:hanging="360"/>
        <w:jc w:val="left"/>
        <w:rPr>
          <w:sz w:val="24"/>
        </w:rPr>
      </w:pPr>
      <w:r>
        <w:rPr>
          <w:sz w:val="24"/>
        </w:rPr>
        <w:t>Major</w:t>
      </w:r>
      <w:r>
        <w:rPr>
          <w:spacing w:val="-9"/>
          <w:sz w:val="24"/>
        </w:rPr>
        <w:t> </w:t>
      </w:r>
      <w:r>
        <w:rPr>
          <w:sz w:val="24"/>
        </w:rPr>
        <w:t>Regulations</w:t>
      </w:r>
    </w:p>
    <w:p>
      <w:pPr>
        <w:pStyle w:val="BodyText"/>
        <w:spacing w:before="11"/>
        <w:rPr>
          <w:sz w:val="23"/>
        </w:rPr>
      </w:pPr>
    </w:p>
    <w:p>
      <w:pPr>
        <w:pStyle w:val="BodyText"/>
        <w:ind w:left="460" w:right="108"/>
      </w:pPr>
      <w:r>
        <w:rPr/>
        <w:t>Parts 1 through 3 of this section apply only to boards, offices and departments within the </w:t>
      </w:r>
      <w:hyperlink r:id="rId135">
        <w:r>
          <w:rPr>
            <w:color w:val="0000FF"/>
            <w:u w:val="single" w:color="0000FF"/>
          </w:rPr>
          <w:t>California Environmental Protection Agency</w:t>
        </w:r>
      </w:hyperlink>
      <w:r>
        <w:rPr/>
        <w:t>. Health and Safety Code section </w:t>
      </w:r>
      <w:hyperlink r:id="rId133">
        <w:r>
          <w:rPr>
            <w:color w:val="0000FF"/>
            <w:u w:val="single" w:color="0000FF"/>
          </w:rPr>
          <w:t>57005</w:t>
        </w:r>
      </w:hyperlink>
      <w:r>
        <w:rPr>
          <w:color w:val="0000FF"/>
          <w:u w:val="single" w:color="0000FF"/>
        </w:rPr>
        <w:t> </w:t>
      </w:r>
      <w:r>
        <w:rPr/>
        <w:t>requires each board, office and department to follow internal guidelines for regulations with an estimated economic impact on the state’s business enterprises in an amount exceeding ten million dollars.</w:t>
      </w:r>
    </w:p>
    <w:p>
      <w:pPr>
        <w:pStyle w:val="BodyText"/>
        <w:spacing w:before="11"/>
        <w:rPr>
          <w:sz w:val="23"/>
        </w:rPr>
      </w:pPr>
    </w:p>
    <w:p>
      <w:pPr>
        <w:pStyle w:val="BodyText"/>
        <w:ind w:left="460" w:right="201"/>
      </w:pPr>
      <w:r>
        <w:rPr/>
        <w:t>Parts 4 and 5 of this section apply to a proposed regulation that is a major regulation. Government Code section </w:t>
      </w:r>
      <w:hyperlink r:id="rId123">
        <w:r>
          <w:rPr>
            <w:color w:val="0000FF"/>
            <w:u w:val="single" w:color="0000FF"/>
          </w:rPr>
          <w:t>11346.3</w:t>
        </w:r>
      </w:hyperlink>
      <w:r>
        <w:rPr/>
        <w:t>(c)(1) requires all state agencies proposing to adopt, amend, or repeal a regulation which is subject to review by OAL and not specifically exempted from the Administrative Procedure Act to conduct a Standard Regulatory Impact Assessment (SRIA) for a major regulation. Three copies of the SRIA and the form required by California Code of regulations, </w:t>
      </w:r>
      <w:hyperlink r:id="rId136">
        <w:r>
          <w:rPr>
            <w:color w:val="0000FF"/>
            <w:u w:val="single" w:color="0000FF"/>
          </w:rPr>
          <w:t>title 1,</w:t>
        </w:r>
      </w:hyperlink>
      <w:r>
        <w:rPr>
          <w:color w:val="0000FF"/>
          <w:u w:val="single" w:color="0000FF"/>
        </w:rPr>
        <w:t> </w:t>
      </w:r>
      <w:hyperlink r:id="rId136">
        <w:r>
          <w:rPr>
            <w:color w:val="0000FF"/>
            <w:u w:val="single" w:color="0000FF"/>
          </w:rPr>
          <w:t>section 2002 </w:t>
        </w:r>
      </w:hyperlink>
      <w:r>
        <w:rPr/>
        <w:t>should be submitted to the Department of Finance.</w:t>
      </w:r>
    </w:p>
    <w:p>
      <w:pPr>
        <w:pStyle w:val="BodyText"/>
        <w:spacing w:before="11"/>
        <w:rPr>
          <w:sz w:val="15"/>
        </w:rPr>
      </w:pPr>
    </w:p>
    <w:p>
      <w:pPr>
        <w:pStyle w:val="BodyText"/>
        <w:spacing w:before="92"/>
        <w:ind w:left="460"/>
      </w:pPr>
      <w:r>
        <w:rPr/>
        <w:t>Questions concerning the Economic Impact Statement may be directed to:</w:t>
      </w:r>
    </w:p>
    <w:p>
      <w:pPr>
        <w:pStyle w:val="BodyText"/>
        <w:spacing w:before="11"/>
        <w:rPr>
          <w:sz w:val="23"/>
        </w:rPr>
      </w:pPr>
    </w:p>
    <w:p>
      <w:pPr>
        <w:pStyle w:val="BodyText"/>
        <w:ind w:left="460" w:right="5578"/>
      </w:pPr>
      <w:r>
        <w:rPr/>
        <w:t>California Department of Finance 915 L Street</w:t>
      </w:r>
    </w:p>
    <w:p>
      <w:pPr>
        <w:pStyle w:val="BodyText"/>
        <w:ind w:left="460"/>
      </w:pPr>
      <w:r>
        <w:rPr/>
        <w:t>Sacramento, California</w:t>
      </w:r>
    </w:p>
    <w:p>
      <w:pPr>
        <w:pStyle w:val="BodyText"/>
        <w:ind w:left="460"/>
      </w:pPr>
      <w:r>
        <w:rPr/>
        <w:t>Telephone Number: (916) 322-2263</w:t>
      </w:r>
    </w:p>
    <w:p>
      <w:pPr>
        <w:spacing w:after="0"/>
        <w:sectPr>
          <w:pgSz w:w="12240" w:h="15840"/>
          <w:pgMar w:header="728" w:footer="792" w:top="980" w:bottom="980" w:left="1340" w:right="1320"/>
        </w:sectPr>
      </w:pPr>
    </w:p>
    <w:p>
      <w:pPr>
        <w:pStyle w:val="BodyText"/>
        <w:rPr>
          <w:sz w:val="20"/>
        </w:rPr>
      </w:pPr>
    </w:p>
    <w:p>
      <w:pPr>
        <w:tabs>
          <w:tab w:pos="8947" w:val="left" w:leader="none"/>
        </w:tabs>
        <w:spacing w:before="214"/>
        <w:ind w:left="119" w:right="0" w:firstLine="0"/>
        <w:jc w:val="left"/>
        <w:rPr>
          <w:b/>
          <w:sz w:val="24"/>
        </w:rPr>
      </w:pPr>
      <w:r>
        <w:rPr>
          <w:b/>
          <w:sz w:val="24"/>
        </w:rPr>
        <w:t>CONTENTS OF FISCAL IMPACT</w:t>
      </w:r>
      <w:r>
        <w:rPr>
          <w:b/>
          <w:spacing w:val="-10"/>
          <w:sz w:val="24"/>
        </w:rPr>
        <w:t> </w:t>
      </w:r>
      <w:r>
        <w:rPr>
          <w:b/>
          <w:sz w:val="24"/>
        </w:rPr>
        <w:t>STATEMENT</w:t>
      </w:r>
      <w:r>
        <w:rPr>
          <w:b/>
          <w:spacing w:val="-4"/>
          <w:sz w:val="24"/>
        </w:rPr>
        <w:t> </w:t>
      </w:r>
      <w:r>
        <w:rPr>
          <w:b/>
          <w:sz w:val="24"/>
        </w:rPr>
        <w:t>(FIS)</w:t>
        <w:tab/>
        <w:t>6604</w:t>
      </w:r>
    </w:p>
    <w:p>
      <w:pPr>
        <w:pStyle w:val="BodyText"/>
        <w:ind w:left="119"/>
      </w:pPr>
      <w:r>
        <w:rPr/>
        <w:t>(Revised and renumbered from 6610 on 3/2009)</w:t>
      </w:r>
    </w:p>
    <w:p>
      <w:pPr>
        <w:pStyle w:val="BodyText"/>
        <w:spacing w:before="5"/>
        <w:rPr>
          <w:sz w:val="34"/>
        </w:rPr>
      </w:pPr>
    </w:p>
    <w:p>
      <w:pPr>
        <w:pStyle w:val="BodyText"/>
        <w:ind w:left="119" w:right="456"/>
      </w:pPr>
      <w:r>
        <w:rPr/>
        <w:t>A state agency that adopts, amends, or repeals a routine regulation or emergency regulation must make a local mandate determination and an estimate of fiscal impact resulting from the "regulation" on the following:</w:t>
      </w:r>
    </w:p>
    <w:p>
      <w:pPr>
        <w:pStyle w:val="Heading2"/>
        <w:spacing w:before="120"/>
        <w:ind w:left="119"/>
      </w:pPr>
      <w:r>
        <w:rPr/>
        <w:t>Local Government</w:t>
      </w:r>
    </w:p>
    <w:p>
      <w:pPr>
        <w:pStyle w:val="BodyText"/>
        <w:spacing w:before="120"/>
        <w:ind w:left="840" w:right="162" w:hanging="360"/>
      </w:pPr>
      <w:r>
        <w:rPr>
          <w:strike/>
          <w:color w:val="2E97D3"/>
        </w:rPr>
        <w:t>1.</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Any costs which must be reimbursed pursuant to Section 6 of Article XIII B of the California Constitution and Part 7 (commencing with Section 17500) of Division 4 of the Government Code. See Government Code Section </w:t>
      </w:r>
      <w:hyperlink r:id="rId138">
        <w:r>
          <w:rPr>
            <w:strike w:val="0"/>
            <w:color w:val="0000FF"/>
            <w:u w:val="single" w:color="0000FF"/>
          </w:rPr>
          <w:t>17514 </w:t>
        </w:r>
      </w:hyperlink>
      <w:r>
        <w:rPr>
          <w:strike w:val="0"/>
        </w:rPr>
        <w:t>and SAM Section </w:t>
      </w:r>
      <w:hyperlink r:id="rId54">
        <w:r>
          <w:rPr>
            <w:strike w:val="0"/>
            <w:color w:val="0000FF"/>
            <w:u w:val="single" w:color="0000FF"/>
          </w:rPr>
          <w:t>6620</w:t>
        </w:r>
      </w:hyperlink>
      <w:r>
        <w:rPr>
          <w:strike w:val="0"/>
        </w:rPr>
        <w:t>.</w:t>
      </w:r>
    </w:p>
    <w:p>
      <w:pPr>
        <w:pStyle w:val="BodyText"/>
        <w:spacing w:line="274" w:lineRule="exact" w:before="142"/>
        <w:ind w:left="840" w:hanging="360"/>
      </w:pPr>
      <w:r>
        <w:rPr>
          <w:strike/>
          <w:color w:val="2E97D3"/>
        </w:rPr>
        <w:t>2.</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Any costs which are not reimbursable under that provision of the Constitution but which will necessarily be incurred in reasonable compliance with the regulations.</w:t>
      </w:r>
    </w:p>
    <w:p>
      <w:pPr>
        <w:pStyle w:val="BodyText"/>
        <w:spacing w:before="116"/>
        <w:ind w:left="480"/>
      </w:pPr>
      <w:r>
        <w:rPr>
          <w:strike/>
          <w:color w:val="2E97D3"/>
        </w:rPr>
        <w:t>3.</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Any savings.</w:t>
      </w:r>
    </w:p>
    <w:p>
      <w:pPr>
        <w:pStyle w:val="BodyText"/>
        <w:spacing w:before="118"/>
        <w:ind w:left="480"/>
      </w:pPr>
      <w:r>
        <w:rPr>
          <w:strike/>
          <w:color w:val="2E97D3"/>
        </w:rPr>
        <w:t>4.</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Any other impacts such as revenue changes.</w:t>
      </w:r>
    </w:p>
    <w:p>
      <w:pPr>
        <w:pStyle w:val="Heading2"/>
        <w:spacing w:before="118"/>
        <w:ind w:left="120"/>
      </w:pPr>
      <w:r>
        <w:rPr/>
        <w:t>State Agencies</w:t>
      </w:r>
    </w:p>
    <w:p>
      <w:pPr>
        <w:pStyle w:val="BodyText"/>
        <w:spacing w:before="120"/>
        <w:ind w:left="1200" w:right="736" w:hanging="360"/>
        <w:jc w:val="both"/>
      </w:pPr>
      <w:r>
        <w:rPr>
          <w:strike/>
          <w:color w:val="2E97D3"/>
        </w:rPr>
        <w:t>1.</w:t>
      </w:r>
      <w:r>
        <w:rPr>
          <w:strike w:val="0"/>
          <w:color w:val="2E97D3"/>
          <w:u w:val="single" w:color="2E97D3"/>
        </w:rPr>
        <w:t>a. </w:t>
      </w:r>
      <w:r>
        <w:rPr>
          <w:strike w:val="0"/>
        </w:rPr>
        <w:t>Any costs that necessarily will be incurred in reasonable compliance, administration, implementation, and/or enforcement by the issuing state agency and/or any other state agency.</w:t>
      </w:r>
    </w:p>
    <w:p>
      <w:pPr>
        <w:pStyle w:val="BodyText"/>
        <w:tabs>
          <w:tab w:pos="1559" w:val="left" w:leader="none"/>
        </w:tabs>
        <w:spacing w:before="120"/>
        <w:ind w:left="840"/>
      </w:pPr>
      <w:r>
        <w:rPr>
          <w:strike/>
          <w:color w:val="2E97D3"/>
        </w:rPr>
        <w:t>2.</w:t>
      </w:r>
      <w:r>
        <w:rPr>
          <w:strike w:val="0"/>
          <w:color w:val="2E97D3"/>
          <w:u w:val="single" w:color="2E97D3"/>
        </w:rPr>
        <w:t>b.</w:t>
        <w:tab/>
      </w:r>
      <w:r>
        <w:rPr>
          <w:strike w:val="0"/>
        </w:rPr>
        <w:t>Any</w:t>
      </w:r>
      <w:r>
        <w:rPr>
          <w:strike w:val="0"/>
          <w:spacing w:val="-9"/>
        </w:rPr>
        <w:t> </w:t>
      </w:r>
      <w:r>
        <w:rPr>
          <w:strike w:val="0"/>
        </w:rPr>
        <w:t>savings.</w:t>
      </w:r>
    </w:p>
    <w:p>
      <w:pPr>
        <w:pStyle w:val="BodyText"/>
        <w:tabs>
          <w:tab w:pos="1559" w:val="left" w:leader="none"/>
        </w:tabs>
        <w:spacing w:before="120"/>
        <w:ind w:left="840"/>
      </w:pPr>
      <w:r>
        <w:rPr>
          <w:strike/>
          <w:color w:val="2E97D3"/>
        </w:rPr>
        <w:t>3.</w:t>
      </w:r>
      <w:r>
        <w:rPr>
          <w:strike w:val="0"/>
          <w:color w:val="2E97D3"/>
          <w:u w:val="single" w:color="2E97D3"/>
        </w:rPr>
        <w:t>c.</w:t>
        <w:tab/>
      </w:r>
      <w:r>
        <w:rPr>
          <w:strike w:val="0"/>
        </w:rPr>
        <w:t>Any other impacts such as revenue</w:t>
      </w:r>
      <w:r>
        <w:rPr>
          <w:strike w:val="0"/>
          <w:spacing w:val="-20"/>
        </w:rPr>
        <w:t> </w:t>
      </w:r>
      <w:r>
        <w:rPr>
          <w:strike w:val="0"/>
        </w:rPr>
        <w:t>changes.</w:t>
      </w:r>
    </w:p>
    <w:p>
      <w:pPr>
        <w:pStyle w:val="BodyText"/>
        <w:spacing w:before="4"/>
        <w:rPr>
          <w:sz w:val="16"/>
        </w:rPr>
      </w:pPr>
    </w:p>
    <w:p>
      <w:pPr>
        <w:pStyle w:val="Heading2"/>
        <w:spacing w:before="93"/>
        <w:ind w:left="120"/>
      </w:pPr>
      <w:r>
        <w:rPr/>
        <w:t>Federal Funding to the State</w:t>
      </w:r>
    </w:p>
    <w:p>
      <w:pPr>
        <w:pStyle w:val="BodyText"/>
        <w:spacing w:before="8"/>
        <w:rPr>
          <w:b/>
          <w:sz w:val="20"/>
        </w:rPr>
      </w:pPr>
    </w:p>
    <w:p>
      <w:pPr>
        <w:pStyle w:val="BodyText"/>
        <w:spacing w:line="463" w:lineRule="auto"/>
        <w:ind w:left="480" w:right="5083"/>
      </w:pPr>
      <w:r>
        <w:rPr>
          <w:strike/>
          <w:color w:val="2E97D3"/>
        </w:rPr>
        <w:t>1.</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Any additional funding required. </w:t>
      </w:r>
      <w:r>
        <w:rPr>
          <w:strike/>
          <w:color w:val="2E97D3"/>
        </w:rPr>
        <w:t>2.</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Any reduction in such funding.</w:t>
      </w:r>
    </w:p>
    <w:p>
      <w:pPr>
        <w:pStyle w:val="BodyText"/>
        <w:spacing w:before="5"/>
        <w:ind w:left="480" w:right="201"/>
      </w:pPr>
      <w:r>
        <w:rPr/>
        <w:t>The required estimate must include a definitive statement on each of these items. For example, even if there are no resultant reductions in or savings of federal funds, that fact must be so stated and reported. Each of the items is further defined and explained along with suggested methodologies for developing estimates of “costs” and “savings,” in the succeeding sections.</w:t>
      </w:r>
    </w:p>
    <w:p>
      <w:pPr>
        <w:spacing w:after="0"/>
        <w:sectPr>
          <w:footerReference w:type="default" r:id="rId137"/>
          <w:pgSz w:w="12240" w:h="15840"/>
          <w:pgMar w:footer="792" w:header="728" w:top="980" w:bottom="980" w:left="1320" w:right="1320"/>
        </w:sectPr>
      </w:pPr>
    </w:p>
    <w:p>
      <w:pPr>
        <w:pStyle w:val="BodyText"/>
        <w:rPr>
          <w:sz w:val="20"/>
        </w:rPr>
      </w:pPr>
    </w:p>
    <w:p>
      <w:pPr>
        <w:pStyle w:val="Heading2"/>
        <w:tabs>
          <w:tab w:pos="8947" w:val="left" w:leader="none"/>
        </w:tabs>
        <w:spacing w:before="214"/>
        <w:ind w:left="119"/>
      </w:pPr>
      <w:r>
        <w:rPr/>
        <w:t>FISCAL IMPACT ON</w:t>
      </w:r>
      <w:r>
        <w:rPr>
          <w:spacing w:val="-6"/>
        </w:rPr>
        <w:t> </w:t>
      </w:r>
      <w:r>
        <w:rPr/>
        <w:t>LOCAL</w:t>
      </w:r>
      <w:r>
        <w:rPr>
          <w:spacing w:val="-3"/>
        </w:rPr>
        <w:t> </w:t>
      </w:r>
      <w:r>
        <w:rPr/>
        <w:t>GOVERNMENT</w:t>
        <w:tab/>
        <w:t>6605</w:t>
      </w:r>
    </w:p>
    <w:p>
      <w:pPr>
        <w:pStyle w:val="BodyText"/>
        <w:ind w:left="119"/>
      </w:pPr>
      <w:r>
        <w:rPr/>
        <w:t>(Revised and renumbered from 6620 on 3/2009)</w:t>
      </w:r>
    </w:p>
    <w:p>
      <w:pPr>
        <w:pStyle w:val="BodyText"/>
        <w:spacing w:before="5"/>
        <w:rPr>
          <w:sz w:val="34"/>
        </w:rPr>
      </w:pPr>
    </w:p>
    <w:p>
      <w:pPr>
        <w:pStyle w:val="BodyText"/>
        <w:ind w:left="119" w:right="269"/>
      </w:pPr>
      <w:r>
        <w:rPr/>
        <w:t>Subdivision (a) of Article XIII B provides that whenever the Legislature or any state agency mandates a new program or higher level of service on any local government, the state shall provide a subvention of funds to reimburse that local government for the costs of the program or increased level of service, except that the Legislature may, but need not, provide a subvention of funds for the following mandates:</w:t>
      </w:r>
    </w:p>
    <w:p>
      <w:pPr>
        <w:pStyle w:val="BodyText"/>
        <w:tabs>
          <w:tab w:pos="1559" w:val="left" w:leader="none"/>
        </w:tabs>
        <w:spacing w:before="120"/>
        <w:ind w:left="480"/>
      </w:pPr>
      <w:r>
        <w:rPr>
          <w:strike/>
          <w:color w:val="2E97D3"/>
        </w:rPr>
        <w:t>1.</w:t>
      </w:r>
      <w:r>
        <w:rPr>
          <w:strike w:val="0"/>
          <w:color w:val="2E97D3"/>
          <w:u w:val="single" w:color="2E97D3"/>
        </w:rPr>
        <w:t>a.</w:t>
        <w:tab/>
      </w:r>
      <w:r>
        <w:rPr>
          <w:strike w:val="0"/>
        </w:rPr>
        <w:t>Legislative mandates requested by the local agency</w:t>
      </w:r>
      <w:r>
        <w:rPr>
          <w:strike w:val="0"/>
          <w:spacing w:val="-28"/>
        </w:rPr>
        <w:t> </w:t>
      </w:r>
      <w:r>
        <w:rPr>
          <w:strike w:val="0"/>
        </w:rPr>
        <w:t>affected.</w:t>
      </w:r>
    </w:p>
    <w:p>
      <w:pPr>
        <w:pStyle w:val="BodyText"/>
        <w:tabs>
          <w:tab w:pos="1559" w:val="left" w:leader="none"/>
        </w:tabs>
        <w:spacing w:before="120"/>
        <w:ind w:left="840" w:right="594" w:hanging="360"/>
      </w:pPr>
      <w:r>
        <w:rPr>
          <w:strike/>
          <w:color w:val="2E97D3"/>
        </w:rPr>
        <w:t>2.</w:t>
      </w:r>
      <w:r>
        <w:rPr>
          <w:strike w:val="0"/>
          <w:color w:val="2E97D3"/>
          <w:u w:val="single" w:color="2E97D3"/>
        </w:rPr>
        <w:t>b.</w:t>
        <w:tab/>
      </w:r>
      <w:r>
        <w:rPr>
          <w:strike w:val="0"/>
        </w:rPr>
        <w:t>Legislation defining a new crime or changing an existing definition</w:t>
      </w:r>
      <w:r>
        <w:rPr>
          <w:strike w:val="0"/>
          <w:spacing w:val="-32"/>
        </w:rPr>
        <w:t> </w:t>
      </w:r>
      <w:r>
        <w:rPr>
          <w:strike w:val="0"/>
        </w:rPr>
        <w:t>of</w:t>
      </w:r>
      <w:r>
        <w:rPr>
          <w:strike w:val="0"/>
          <w:spacing w:val="-5"/>
        </w:rPr>
        <w:t> </w:t>
      </w:r>
      <w:r>
        <w:rPr>
          <w:strike w:val="0"/>
        </w:rPr>
        <w:t>a</w:t>
      </w:r>
      <w:r>
        <w:rPr>
          <w:strike w:val="0"/>
          <w:w w:val="99"/>
        </w:rPr>
        <w:t> </w:t>
      </w:r>
      <w:r>
        <w:rPr>
          <w:strike w:val="0"/>
        </w:rPr>
        <w:t>crime.</w:t>
      </w:r>
    </w:p>
    <w:p>
      <w:pPr>
        <w:pStyle w:val="BodyText"/>
        <w:tabs>
          <w:tab w:pos="1559" w:val="left" w:leader="none"/>
        </w:tabs>
        <w:spacing w:before="120"/>
        <w:ind w:left="840" w:right="218" w:hanging="360"/>
      </w:pPr>
      <w:r>
        <w:rPr>
          <w:strike/>
          <w:color w:val="2E97D3"/>
        </w:rPr>
        <w:t>3.</w:t>
      </w:r>
      <w:r>
        <w:rPr>
          <w:strike w:val="0"/>
          <w:color w:val="2E97D3"/>
          <w:u w:val="single" w:color="2E97D3"/>
        </w:rPr>
        <w:t>c.</w:t>
        <w:tab/>
      </w:r>
      <w:r>
        <w:rPr>
          <w:strike w:val="0"/>
        </w:rPr>
        <w:t>Legislative mandates enacted prior to January 1, 1975,</w:t>
      </w:r>
      <w:r>
        <w:rPr>
          <w:strike w:val="0"/>
          <w:spacing w:val="-30"/>
        </w:rPr>
        <w:t> </w:t>
      </w:r>
      <w:r>
        <w:rPr>
          <w:strike w:val="0"/>
        </w:rPr>
        <w:t>or</w:t>
      </w:r>
      <w:r>
        <w:rPr>
          <w:strike w:val="0"/>
          <w:spacing w:val="-7"/>
        </w:rPr>
        <w:t> </w:t>
      </w:r>
      <w:r>
        <w:rPr>
          <w:strike w:val="0"/>
        </w:rPr>
        <w:t>executive</w:t>
      </w:r>
      <w:r>
        <w:rPr>
          <w:strike w:val="0"/>
          <w:w w:val="99"/>
        </w:rPr>
        <w:t> </w:t>
      </w:r>
      <w:r>
        <w:rPr>
          <w:strike w:val="0"/>
        </w:rPr>
        <w:t>orders or regulations initially implementing legislation enacted prior to January 1, 1975.</w:t>
      </w:r>
    </w:p>
    <w:p>
      <w:pPr>
        <w:pStyle w:val="BodyText"/>
        <w:spacing w:before="4"/>
      </w:pPr>
    </w:p>
    <w:p>
      <w:pPr>
        <w:pStyle w:val="BodyText"/>
        <w:spacing w:before="1"/>
        <w:ind w:left="120" w:right="122"/>
      </w:pPr>
      <w:r>
        <w:rPr/>
        <w:t>Subdivision (c) of Article XIII B provides that a mandated new program or higher level of service includes a transfer by the Legislature from the state to cities, counties, cities and counties, or special districts of complete or partial financial responsibility for a required program for which the state previously had complete or partial financial responsibility.</w:t>
      </w:r>
    </w:p>
    <w:p>
      <w:pPr>
        <w:pStyle w:val="BodyText"/>
        <w:spacing w:before="2"/>
      </w:pPr>
    </w:p>
    <w:p>
      <w:pPr>
        <w:pStyle w:val="BodyText"/>
        <w:ind w:left="120" w:right="108"/>
      </w:pPr>
      <w:r>
        <w:rPr/>
        <w:t>Government Code Sections </w:t>
      </w:r>
      <w:hyperlink r:id="rId127">
        <w:r>
          <w:rPr>
            <w:color w:val="0000FF"/>
            <w:u w:val="single" w:color="0000FF"/>
          </w:rPr>
          <w:t>17500 </w:t>
        </w:r>
      </w:hyperlink>
      <w:r>
        <w:rPr/>
        <w:t>et seq. require the state to reimburse local agencies and school districts for any costs that they are required to incur after July 1, 1980, as a result of a statute enacted or any executive order implementing any statute enacted on or after January 1, 1975, which mandates a new program or higher level of service of an existing program.</w:t>
      </w:r>
    </w:p>
    <w:p>
      <w:pPr>
        <w:pStyle w:val="BodyText"/>
        <w:spacing w:before="215"/>
        <w:ind w:left="120"/>
      </w:pPr>
      <w:r>
        <w:rPr/>
        <w:t>Government Code Section </w:t>
      </w:r>
      <w:hyperlink r:id="rId139">
        <w:r>
          <w:rPr>
            <w:color w:val="0000FF"/>
            <w:u w:val="single" w:color="0000FF"/>
          </w:rPr>
          <w:t>17516 </w:t>
        </w:r>
      </w:hyperlink>
      <w:r>
        <w:rPr/>
        <w:t>defines “executive order” as:</w:t>
      </w:r>
    </w:p>
    <w:p>
      <w:pPr>
        <w:pStyle w:val="BodyText"/>
        <w:spacing w:before="215"/>
        <w:ind w:left="120"/>
      </w:pPr>
      <w:r>
        <w:rPr/>
        <w:t>Any order, plan, requirement, rule, or regulation issued by any of the following: (1) the Governor, (2) any officer or official serving at the pleasure of the Governor, or (3) any agency, department, board, or commission of state government.</w:t>
      </w:r>
    </w:p>
    <w:p>
      <w:pPr>
        <w:pStyle w:val="BodyText"/>
        <w:spacing w:before="167"/>
        <w:ind w:left="120" w:right="228"/>
      </w:pPr>
      <w:r>
        <w:rPr/>
        <w:t>It is important to note that only those executive orders which implement state statutes that impose a mandate on local governments fall within the purview of Section 6 of Article XIII B of the California Constitution, and that any regulation listed as a statutory exception under subdivisions (a) through (g) of Government Code Section </w:t>
      </w:r>
      <w:hyperlink r:id="rId140">
        <w:r>
          <w:rPr>
            <w:color w:val="0000FF"/>
            <w:u w:val="single" w:color="0000FF"/>
          </w:rPr>
          <w:t>17556 </w:t>
        </w:r>
      </w:hyperlink>
      <w:r>
        <w:rPr/>
        <w:t>may have a fiscal impact, but is not a state reimbursable mandate. Specifically, any costs which local governments incur as the result of a regulation which implements a ballot measure approved by the voters, a court order, or a federal directive would not be reimbursable by the state; however, as described in the following sections, the issuing state agency is nevertheless required to include an estimate of these non-reimbursable costs.</w:t>
      </w:r>
    </w:p>
    <w:p>
      <w:pPr>
        <w:spacing w:after="0"/>
        <w:sectPr>
          <w:pgSz w:w="12240" w:h="15840"/>
          <w:pgMar w:header="728" w:footer="792" w:top="980" w:bottom="980" w:left="1320" w:right="1320"/>
        </w:sectPr>
      </w:pPr>
    </w:p>
    <w:p>
      <w:pPr>
        <w:pStyle w:val="BodyText"/>
        <w:rPr>
          <w:sz w:val="20"/>
        </w:rPr>
      </w:pPr>
    </w:p>
    <w:p>
      <w:pPr>
        <w:pStyle w:val="Heading2"/>
        <w:tabs>
          <w:tab w:pos="8947" w:val="left" w:leader="none"/>
        </w:tabs>
        <w:spacing w:before="214"/>
        <w:ind w:left="119"/>
      </w:pPr>
      <w:r>
        <w:rPr/>
        <w:t>FUNDING FOR REIMBURSABLE</w:t>
      </w:r>
      <w:r>
        <w:rPr>
          <w:spacing w:val="-8"/>
        </w:rPr>
        <w:t> </w:t>
      </w:r>
      <w:r>
        <w:rPr/>
        <w:t>LOCAL</w:t>
      </w:r>
      <w:r>
        <w:rPr>
          <w:spacing w:val="-2"/>
        </w:rPr>
        <w:t> </w:t>
      </w:r>
      <w:r>
        <w:rPr/>
        <w:t>COSTS</w:t>
        <w:tab/>
        <w:t>6606</w:t>
      </w:r>
    </w:p>
    <w:p>
      <w:pPr>
        <w:pStyle w:val="BodyText"/>
        <w:ind w:left="119"/>
      </w:pPr>
      <w:r>
        <w:rPr/>
        <w:t>(Revised and renumbered from 6621 on 3/2009)</w:t>
      </w:r>
    </w:p>
    <w:p>
      <w:pPr>
        <w:pStyle w:val="BodyText"/>
        <w:spacing w:before="199"/>
        <w:ind w:left="120" w:right="214"/>
      </w:pPr>
      <w:r>
        <w:rPr/>
        <w:t>Pursuant to Government Code Section </w:t>
      </w:r>
      <w:hyperlink r:id="rId141">
        <w:r>
          <w:rPr>
            <w:color w:val="0000FF"/>
            <w:u w:val="single" w:color="0000FF"/>
          </w:rPr>
          <w:t>17561</w:t>
        </w:r>
      </w:hyperlink>
      <w:r>
        <w:rPr/>
        <w:t>(b)(1) (B), when a regulation involves reimbursable costs, it “...shall be accompanied by a bill appropriating the funds therefore, or alternatively, an appropriation for these costs shall be included in the Budget Bill for the next succeeding fiscal year.” Use of the second alternative must receive prior approval of DOF. If the state agency fails to provide appropriate funding, then affected local agencies are authorized to file claims for reimbursement with the Commission on State Mandates.</w:t>
      </w:r>
    </w:p>
    <w:p>
      <w:pPr>
        <w:pStyle w:val="BodyText"/>
        <w:spacing w:before="11"/>
        <w:rPr>
          <w:sz w:val="23"/>
        </w:rPr>
      </w:pPr>
    </w:p>
    <w:p>
      <w:pPr>
        <w:pStyle w:val="BodyText"/>
        <w:ind w:left="120" w:right="227"/>
      </w:pPr>
      <w:r>
        <w:rPr/>
        <w:t>In order to prepare the local mandate determination required by Government Code Section </w:t>
      </w:r>
      <w:hyperlink r:id="rId126">
        <w:r>
          <w:rPr>
            <w:color w:val="0000FF"/>
            <w:u w:val="single" w:color="0000FF"/>
          </w:rPr>
          <w:t>11346.5</w:t>
        </w:r>
      </w:hyperlink>
      <w:r>
        <w:rPr/>
        <w:t>; i.e., a determination as to whether the proposed regulation imposes a mandate on local agencies or school districts, it is necessary to first answer the following question:</w:t>
      </w:r>
    </w:p>
    <w:p>
      <w:pPr>
        <w:pStyle w:val="BodyText"/>
        <w:spacing w:before="160"/>
        <w:ind w:left="480" w:right="188"/>
      </w:pPr>
      <w:r>
        <w:rPr/>
        <w:t>Will the regulation require local entities to undertake a new program or to provide an increased level of service in an existing program?</w:t>
      </w:r>
    </w:p>
    <w:p>
      <w:pPr>
        <w:pStyle w:val="BodyText"/>
        <w:spacing w:before="11"/>
        <w:rPr>
          <w:sz w:val="23"/>
        </w:rPr>
      </w:pPr>
    </w:p>
    <w:p>
      <w:pPr>
        <w:pStyle w:val="BodyText"/>
        <w:ind w:left="120" w:right="108"/>
      </w:pPr>
      <w:r>
        <w:rPr/>
        <w:t>If the answer to this question is “No,” then check box 4, 5, or 6 in Section A of </w:t>
      </w:r>
      <w:hyperlink r:id="rId125">
        <w:r>
          <w:rPr>
            <w:color w:val="0000FF"/>
            <w:u w:val="single" w:color="0000FF"/>
          </w:rPr>
          <w:t>STD. 399</w:t>
        </w:r>
      </w:hyperlink>
      <w:r>
        <w:rPr/>
        <w:t>. If the answer is “Yes,” it is then necessary to determine if the costs resulting from the mandate are not state reimbursable based one or more of the statutory exceptions in subdivisions (a) through (g) of the  Government Code Section </w:t>
      </w:r>
      <w:hyperlink r:id="rId140">
        <w:r>
          <w:rPr>
            <w:color w:val="0000FF"/>
            <w:u w:val="single" w:color="0000FF"/>
          </w:rPr>
          <w:t>17556 </w:t>
        </w:r>
      </w:hyperlink>
      <w:r>
        <w:rPr/>
        <w:t>as follows:</w:t>
      </w:r>
    </w:p>
    <w:p>
      <w:pPr>
        <w:pStyle w:val="ListParagraph"/>
        <w:numPr>
          <w:ilvl w:val="0"/>
          <w:numId w:val="43"/>
        </w:numPr>
        <w:tabs>
          <w:tab w:pos="480" w:val="left" w:leader="none"/>
        </w:tabs>
        <w:spacing w:line="240" w:lineRule="auto" w:before="201" w:after="0"/>
        <w:ind w:left="480" w:right="0" w:hanging="360"/>
        <w:jc w:val="left"/>
        <w:rPr>
          <w:sz w:val="24"/>
        </w:rPr>
      </w:pPr>
      <w:r>
        <w:rPr>
          <w:sz w:val="24"/>
        </w:rPr>
        <w:t>Implements a federal</w:t>
      </w:r>
      <w:r>
        <w:rPr>
          <w:spacing w:val="-14"/>
          <w:sz w:val="24"/>
        </w:rPr>
        <w:t> </w:t>
      </w:r>
      <w:r>
        <w:rPr>
          <w:sz w:val="24"/>
        </w:rPr>
        <w:t>mandate.</w:t>
      </w:r>
    </w:p>
    <w:p>
      <w:pPr>
        <w:pStyle w:val="ListParagraph"/>
        <w:numPr>
          <w:ilvl w:val="0"/>
          <w:numId w:val="43"/>
        </w:numPr>
        <w:tabs>
          <w:tab w:pos="480" w:val="left" w:leader="none"/>
        </w:tabs>
        <w:spacing w:line="240" w:lineRule="auto" w:before="198" w:after="0"/>
        <w:ind w:left="480" w:right="0" w:hanging="360"/>
        <w:jc w:val="left"/>
        <w:rPr>
          <w:sz w:val="24"/>
        </w:rPr>
      </w:pPr>
      <w:r>
        <w:rPr>
          <w:sz w:val="24"/>
        </w:rPr>
        <w:t>Implements a court</w:t>
      </w:r>
      <w:r>
        <w:rPr>
          <w:spacing w:val="-12"/>
          <w:sz w:val="24"/>
        </w:rPr>
        <w:t> </w:t>
      </w:r>
      <w:r>
        <w:rPr>
          <w:sz w:val="24"/>
        </w:rPr>
        <w:t>mandate.</w:t>
      </w:r>
    </w:p>
    <w:p>
      <w:pPr>
        <w:pStyle w:val="ListParagraph"/>
        <w:numPr>
          <w:ilvl w:val="0"/>
          <w:numId w:val="43"/>
        </w:numPr>
        <w:tabs>
          <w:tab w:pos="480" w:val="left" w:leader="none"/>
        </w:tabs>
        <w:spacing w:line="240" w:lineRule="auto" w:before="201" w:after="0"/>
        <w:ind w:left="480" w:right="0" w:hanging="360"/>
        <w:jc w:val="left"/>
        <w:rPr>
          <w:sz w:val="24"/>
        </w:rPr>
      </w:pPr>
      <w:r>
        <w:rPr>
          <w:sz w:val="24"/>
        </w:rPr>
        <w:t>Implements a mandate in a ballot measure approved by the</w:t>
      </w:r>
      <w:r>
        <w:rPr>
          <w:spacing w:val="-29"/>
          <w:sz w:val="24"/>
        </w:rPr>
        <w:t> </w:t>
      </w:r>
      <w:r>
        <w:rPr>
          <w:sz w:val="24"/>
        </w:rPr>
        <w:t>voters.</w:t>
      </w:r>
    </w:p>
    <w:p>
      <w:pPr>
        <w:pStyle w:val="ListParagraph"/>
        <w:numPr>
          <w:ilvl w:val="0"/>
          <w:numId w:val="43"/>
        </w:numPr>
        <w:tabs>
          <w:tab w:pos="480" w:val="left" w:leader="none"/>
        </w:tabs>
        <w:spacing w:line="240" w:lineRule="auto" w:before="199" w:after="0"/>
        <w:ind w:left="480" w:right="0" w:hanging="360"/>
        <w:jc w:val="left"/>
        <w:rPr>
          <w:sz w:val="24"/>
        </w:rPr>
      </w:pPr>
      <w:r>
        <w:rPr>
          <w:sz w:val="24"/>
        </w:rPr>
        <w:t>Results from a documented request from the only local governments</w:t>
      </w:r>
      <w:r>
        <w:rPr>
          <w:spacing w:val="-35"/>
          <w:sz w:val="24"/>
        </w:rPr>
        <w:t> </w:t>
      </w:r>
      <w:r>
        <w:rPr>
          <w:sz w:val="24"/>
        </w:rPr>
        <w:t>affected.</w:t>
      </w:r>
    </w:p>
    <w:p>
      <w:pPr>
        <w:pStyle w:val="ListParagraph"/>
        <w:numPr>
          <w:ilvl w:val="0"/>
          <w:numId w:val="43"/>
        </w:numPr>
        <w:tabs>
          <w:tab w:pos="480" w:val="left" w:leader="none"/>
        </w:tabs>
        <w:spacing w:line="242" w:lineRule="auto" w:before="196" w:after="0"/>
        <w:ind w:left="480" w:right="482" w:hanging="360"/>
        <w:jc w:val="left"/>
        <w:rPr>
          <w:sz w:val="24"/>
        </w:rPr>
      </w:pPr>
      <w:r>
        <w:rPr>
          <w:sz w:val="24"/>
        </w:rPr>
        <w:t>Provides (or fall within the purview of existing) revenue sources or other financing mechanisms.</w:t>
      </w:r>
    </w:p>
    <w:p>
      <w:pPr>
        <w:pStyle w:val="ListParagraph"/>
        <w:numPr>
          <w:ilvl w:val="0"/>
          <w:numId w:val="43"/>
        </w:numPr>
        <w:tabs>
          <w:tab w:pos="480" w:val="left" w:leader="none"/>
        </w:tabs>
        <w:spacing w:line="240" w:lineRule="auto" w:before="196" w:after="0"/>
        <w:ind w:left="480" w:right="0" w:hanging="360"/>
        <w:jc w:val="left"/>
        <w:rPr>
          <w:sz w:val="24"/>
        </w:rPr>
      </w:pPr>
      <w:r>
        <w:rPr>
          <w:sz w:val="24"/>
        </w:rPr>
        <w:t>Results in savings that are equal to or exceed any</w:t>
      </w:r>
      <w:r>
        <w:rPr>
          <w:spacing w:val="-24"/>
          <w:sz w:val="24"/>
        </w:rPr>
        <w:t> </w:t>
      </w:r>
      <w:r>
        <w:rPr>
          <w:sz w:val="24"/>
        </w:rPr>
        <w:t>costs.</w:t>
      </w:r>
    </w:p>
    <w:p>
      <w:pPr>
        <w:pStyle w:val="ListParagraph"/>
        <w:numPr>
          <w:ilvl w:val="0"/>
          <w:numId w:val="43"/>
        </w:numPr>
        <w:tabs>
          <w:tab w:pos="480" w:val="left" w:leader="none"/>
        </w:tabs>
        <w:spacing w:line="585" w:lineRule="auto" w:before="120" w:after="0"/>
        <w:ind w:left="120" w:right="1403" w:firstLine="0"/>
        <w:jc w:val="left"/>
        <w:rPr>
          <w:sz w:val="24"/>
        </w:rPr>
      </w:pPr>
      <w:r>
        <w:rPr>
          <w:sz w:val="24"/>
        </w:rPr>
        <w:t>Creates, eliminates, or changes the penalty for a new crime or infraction. (Continued)</w:t>
      </w:r>
    </w:p>
    <w:p>
      <w:pPr>
        <w:spacing w:after="0" w:line="585" w:lineRule="auto"/>
        <w:jc w:val="left"/>
        <w:rPr>
          <w:sz w:val="24"/>
        </w:rPr>
        <w:sectPr>
          <w:pgSz w:w="12240" w:h="15840"/>
          <w:pgMar w:header="728" w:footer="792" w:top="980" w:bottom="980" w:left="1320" w:right="1320"/>
        </w:sectPr>
      </w:pPr>
    </w:p>
    <w:p>
      <w:pPr>
        <w:pStyle w:val="BodyText"/>
        <w:rPr>
          <w:sz w:val="20"/>
        </w:rPr>
      </w:pPr>
    </w:p>
    <w:p>
      <w:pPr>
        <w:pStyle w:val="BodyText"/>
        <w:spacing w:before="214"/>
        <w:ind w:left="119"/>
      </w:pPr>
      <w:r>
        <w:rPr/>
        <w:t>(Continued)</w:t>
      </w:r>
    </w:p>
    <w:p>
      <w:pPr>
        <w:pStyle w:val="Heading2"/>
        <w:tabs>
          <w:tab w:pos="7946" w:val="left" w:leader="none"/>
        </w:tabs>
        <w:ind w:left="119"/>
        <w:rPr>
          <w:b w:val="0"/>
        </w:rPr>
      </w:pPr>
      <w:r>
        <w:rPr/>
        <w:t>FUNDING FOR REIMBURSABLE</w:t>
      </w:r>
      <w:r>
        <w:rPr>
          <w:spacing w:val="-8"/>
        </w:rPr>
        <w:t> </w:t>
      </w:r>
      <w:r>
        <w:rPr/>
        <w:t>LOCAL</w:t>
      </w:r>
      <w:r>
        <w:rPr>
          <w:spacing w:val="-2"/>
        </w:rPr>
        <w:t> </w:t>
      </w:r>
      <w:r>
        <w:rPr/>
        <w:t>COSTS</w:t>
        <w:tab/>
        <w:t>6606 </w:t>
      </w:r>
      <w:r>
        <w:rPr>
          <w:b w:val="0"/>
        </w:rPr>
        <w:t>(Cont.</w:t>
      </w:r>
      <w:r>
        <w:rPr>
          <w:b w:val="0"/>
          <w:spacing w:val="-6"/>
        </w:rPr>
        <w:t> </w:t>
      </w:r>
      <w:r>
        <w:rPr>
          <w:b w:val="0"/>
        </w:rPr>
        <w:t>1)</w:t>
      </w:r>
    </w:p>
    <w:p>
      <w:pPr>
        <w:pStyle w:val="BodyText"/>
        <w:ind w:left="120"/>
      </w:pPr>
      <w:r>
        <w:rPr/>
        <w:t>(Revised and renumbered from 6621 on 3/2009)</w:t>
      </w:r>
    </w:p>
    <w:p>
      <w:pPr>
        <w:pStyle w:val="BodyText"/>
      </w:pPr>
    </w:p>
    <w:p>
      <w:pPr>
        <w:pStyle w:val="BodyText"/>
        <w:ind w:left="119" w:right="228"/>
      </w:pPr>
      <w:r>
        <w:rPr/>
        <w:t>In addition to these statutory exclusions, the courts have held that costs of statutes and regulations are not reimbursable if they:</w:t>
      </w:r>
    </w:p>
    <w:p>
      <w:pPr>
        <w:pStyle w:val="BodyText"/>
      </w:pPr>
    </w:p>
    <w:p>
      <w:pPr>
        <w:pStyle w:val="BodyText"/>
        <w:tabs>
          <w:tab w:pos="1559" w:val="left" w:leader="none"/>
        </w:tabs>
        <w:ind w:left="1200" w:right="178" w:hanging="360"/>
      </w:pPr>
      <w:bookmarkStart w:name="a. Result from an action undertaken at t" w:id="66"/>
      <w:bookmarkEnd w:id="66"/>
      <w:r>
        <w:rPr/>
      </w:r>
      <w:r>
        <w:rPr>
          <w:strike/>
          <w:color w:val="2E97D3"/>
        </w:rPr>
        <w:t>1.</w:t>
      </w:r>
      <w:r>
        <w:rPr>
          <w:strike w:val="0"/>
          <w:color w:val="2E97D3"/>
          <w:u w:val="single" w:color="2E97D3"/>
        </w:rPr>
        <w:t>a.</w:t>
        <w:tab/>
      </w:r>
      <w:r>
        <w:rPr>
          <w:strike w:val="0"/>
        </w:rPr>
        <w:t>Result from an action undertaken at the option of a</w:t>
      </w:r>
      <w:r>
        <w:rPr>
          <w:strike w:val="0"/>
          <w:spacing w:val="-29"/>
        </w:rPr>
        <w:t> </w:t>
      </w:r>
      <w:r>
        <w:rPr>
          <w:strike w:val="0"/>
        </w:rPr>
        <w:t>local</w:t>
      </w:r>
      <w:r>
        <w:rPr>
          <w:strike w:val="0"/>
          <w:spacing w:val="-4"/>
        </w:rPr>
        <w:t> </w:t>
      </w:r>
      <w:r>
        <w:rPr>
          <w:strike w:val="0"/>
        </w:rPr>
        <w:t>government</w:t>
      </w:r>
      <w:r>
        <w:rPr>
          <w:strike w:val="0"/>
          <w:w w:val="100"/>
        </w:rPr>
        <w:t> </w:t>
      </w:r>
      <w:r>
        <w:rPr>
          <w:strike w:val="0"/>
        </w:rPr>
        <w:t>(County of Contra Costa vs. State of California, 177 Cal App 3d 62.79</w:t>
      </w:r>
      <w:r>
        <w:rPr>
          <w:strike w:val="0"/>
          <w:spacing w:val="-35"/>
        </w:rPr>
        <w:t> </w:t>
      </w:r>
      <w:r>
        <w:rPr>
          <w:strike w:val="0"/>
        </w:rPr>
        <w:t>(1986).</w:t>
      </w:r>
    </w:p>
    <w:p>
      <w:pPr>
        <w:pStyle w:val="BodyText"/>
      </w:pPr>
    </w:p>
    <w:p>
      <w:pPr>
        <w:pStyle w:val="BodyText"/>
        <w:tabs>
          <w:tab w:pos="1559" w:val="left" w:leader="none"/>
        </w:tabs>
        <w:ind w:left="1200" w:right="149" w:hanging="360"/>
      </w:pPr>
      <w:r>
        <w:rPr>
          <w:strike/>
          <w:color w:val="2E97D3"/>
        </w:rPr>
        <w:t>2.</w:t>
      </w:r>
      <w:r>
        <w:rPr>
          <w:strike w:val="0"/>
          <w:color w:val="2E97D3"/>
          <w:u w:val="single" w:color="2E97D3"/>
        </w:rPr>
        <w:t>b.</w:t>
        <w:tab/>
      </w:r>
      <w:r>
        <w:rPr>
          <w:strike w:val="0"/>
        </w:rPr>
        <w:t>Are not unique to local government, e.g., affect both the private</w:t>
      </w:r>
      <w:r>
        <w:rPr>
          <w:strike w:val="0"/>
          <w:spacing w:val="-30"/>
        </w:rPr>
        <w:t> </w:t>
      </w:r>
      <w:r>
        <w:rPr>
          <w:strike w:val="0"/>
        </w:rPr>
        <w:t>sector</w:t>
      </w:r>
      <w:r>
        <w:rPr>
          <w:strike w:val="0"/>
          <w:spacing w:val="-4"/>
        </w:rPr>
        <w:t> </w:t>
      </w:r>
      <w:r>
        <w:rPr>
          <w:strike w:val="0"/>
        </w:rPr>
        <w:t>and</w:t>
      </w:r>
      <w:r>
        <w:rPr>
          <w:strike w:val="0"/>
          <w:w w:val="99"/>
        </w:rPr>
        <w:t> </w:t>
      </w:r>
      <w:r>
        <w:rPr>
          <w:strike w:val="0"/>
        </w:rPr>
        <w:t>the public sector (County of Los Angeles vs. State of California et al, 43 Cal App 3d 46</w:t>
      </w:r>
      <w:r>
        <w:rPr>
          <w:strike w:val="0"/>
          <w:spacing w:val="-7"/>
        </w:rPr>
        <w:t> </w:t>
      </w:r>
      <w:r>
        <w:rPr>
          <w:strike w:val="0"/>
        </w:rPr>
        <w:t>(1987)).</w:t>
      </w:r>
    </w:p>
    <w:p>
      <w:pPr>
        <w:pStyle w:val="BodyText"/>
      </w:pPr>
    </w:p>
    <w:p>
      <w:pPr>
        <w:pStyle w:val="BodyText"/>
        <w:ind w:left="120" w:right="123"/>
      </w:pPr>
      <w:r>
        <w:rPr/>
        <w:t>If it is determined that the regulation does not impose a reimbursable mandate on local government, it is still necessary to include a specific statement reflecting that determination in the notice and to develop estimates of any non-reimbursable local costs. If it is determined that the regulation does impose a reimbursable mandate on local government, then it is important to state the mandate precisely. This is normally best accomplished by employing a statement, expressed in mandatory terms, which identifies both the affected local governments by group and the activity that will be required of them, e.g., “county clerks shall provide each polling precinct worker with an American flag,” “school districts shall provide each student with a lunch box at no cost to the student,” “all local governments shall record on videotape all meetings of their governing bodies.”  With the mandate so stated, it is then possible to proceed to develop an estimate of its cost to local</w:t>
      </w:r>
      <w:r>
        <w:rPr>
          <w:spacing w:val="-23"/>
        </w:rPr>
        <w:t> </w:t>
      </w:r>
      <w:r>
        <w:rPr/>
        <w:t>government.</w:t>
      </w:r>
    </w:p>
    <w:p>
      <w:pPr>
        <w:spacing w:after="0"/>
        <w:sectPr>
          <w:pgSz w:w="12240" w:h="15840"/>
          <w:pgMar w:header="728" w:footer="792" w:top="980" w:bottom="980" w:left="1320" w:right="1320"/>
        </w:sectPr>
      </w:pPr>
    </w:p>
    <w:p>
      <w:pPr>
        <w:pStyle w:val="BodyText"/>
        <w:rPr>
          <w:sz w:val="20"/>
        </w:rPr>
      </w:pPr>
    </w:p>
    <w:p>
      <w:pPr>
        <w:pStyle w:val="Heading2"/>
        <w:tabs>
          <w:tab w:pos="8947" w:val="left" w:leader="none"/>
        </w:tabs>
        <w:spacing w:before="214"/>
        <w:ind w:left="119"/>
      </w:pPr>
      <w:r>
        <w:rPr/>
        <w:t>COST</w:t>
      </w:r>
      <w:r>
        <w:rPr>
          <w:spacing w:val="-4"/>
        </w:rPr>
        <w:t> </w:t>
      </w:r>
      <w:r>
        <w:rPr/>
        <w:t>ESTIMATING</w:t>
      </w:r>
      <w:r>
        <w:rPr>
          <w:spacing w:val="-1"/>
        </w:rPr>
        <w:t> </w:t>
      </w:r>
      <w:r>
        <w:rPr/>
        <w:t>METHODOLOGY</w:t>
        <w:tab/>
        <w:t>6607</w:t>
      </w:r>
    </w:p>
    <w:p>
      <w:pPr>
        <w:pStyle w:val="BodyText"/>
        <w:ind w:left="119"/>
      </w:pPr>
      <w:r>
        <w:rPr/>
        <w:t>(Revised and renumbered from 6622 on 3/2009)</w:t>
      </w:r>
    </w:p>
    <w:p>
      <w:pPr>
        <w:pStyle w:val="BodyText"/>
      </w:pPr>
    </w:p>
    <w:p>
      <w:pPr>
        <w:pStyle w:val="BodyText"/>
        <w:ind w:left="119" w:right="176"/>
      </w:pPr>
      <w:r>
        <w:rPr/>
        <w:t>A standard methodology has been developed for use in estimating costs in regulations. The main components of that methodology are (1) statement of the mandate, (2) background or introductory material, (3) working data, (4) assumptions, (5) calculations, and (6) conclusion.</w:t>
      </w:r>
    </w:p>
    <w:p>
      <w:pPr>
        <w:pStyle w:val="BodyText"/>
        <w:spacing w:before="120"/>
        <w:ind w:left="119"/>
      </w:pPr>
      <w:r>
        <w:rPr/>
        <w:t>Descriptions of these components are as follows:</w:t>
      </w:r>
    </w:p>
    <w:p>
      <w:pPr>
        <w:pStyle w:val="Heading2"/>
        <w:spacing w:before="120"/>
        <w:ind w:left="119"/>
      </w:pPr>
      <w:r>
        <w:rPr/>
        <w:t>Statement of the Mandate</w:t>
      </w:r>
    </w:p>
    <w:p>
      <w:pPr>
        <w:spacing w:line="343" w:lineRule="auto" w:before="120"/>
        <w:ind w:left="119" w:right="4871" w:firstLine="0"/>
        <w:jc w:val="left"/>
        <w:rPr>
          <w:sz w:val="24"/>
        </w:rPr>
      </w:pPr>
      <w:r>
        <w:rPr>
          <w:sz w:val="24"/>
        </w:rPr>
        <w:t>This is described in SAM Section 6606. </w:t>
      </w:r>
      <w:r>
        <w:rPr>
          <w:b/>
          <w:sz w:val="24"/>
        </w:rPr>
        <w:t>Background or Introductory Material </w:t>
      </w:r>
      <w:r>
        <w:rPr>
          <w:sz w:val="24"/>
        </w:rPr>
        <w:t>This component must include the following:</w:t>
      </w:r>
    </w:p>
    <w:p>
      <w:pPr>
        <w:pStyle w:val="BodyText"/>
        <w:spacing w:before="5"/>
        <w:ind w:left="1560" w:hanging="360"/>
      </w:pPr>
      <w:r>
        <w:rPr>
          <w:strike/>
          <w:color w:val="2E97D3"/>
        </w:rPr>
        <w:t>1.</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A legal description of the legislation which is the basis for the regulation, e.g., Chapter 1234, Statutes of 1996 (SB 123, Smith).</w:t>
      </w:r>
    </w:p>
    <w:p>
      <w:pPr>
        <w:pStyle w:val="BodyText"/>
        <w:spacing w:before="120"/>
        <w:ind w:left="1200"/>
      </w:pPr>
      <w:r>
        <w:rPr>
          <w:strike/>
          <w:color w:val="2E97D3"/>
        </w:rPr>
        <w:t>2.</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Any other pertinent historical data.</w:t>
      </w:r>
    </w:p>
    <w:p>
      <w:pPr>
        <w:pStyle w:val="Heading2"/>
        <w:spacing w:before="115"/>
        <w:ind w:left="120"/>
      </w:pPr>
      <w:r>
        <w:rPr/>
        <w:t>Working Data</w:t>
      </w:r>
    </w:p>
    <w:p>
      <w:pPr>
        <w:pStyle w:val="BodyText"/>
        <w:spacing w:before="119"/>
        <w:ind w:left="120" w:right="136"/>
      </w:pPr>
      <w:r>
        <w:rPr/>
        <w:t>Working data are any available statistical data and their sources which would identify the affected universe. (For example:  Secretary of State data on the number of registered voters and/or polling places, State Department of Education data on school enrollees, or State Controller’s reports for the number of local governments.) Also, any “market place” information or standard costs of items needed to comply with the mandate, e.g., quoted process for forms, lunch boxes, video cameras (sales, rentals, or contract services). In addition, it is very useful and, in some instances essential, that a representative sampling of the affected local governments be contacted and queried as to the impact of the mandate on them.  Very often organizations representing the affected local governments such as the California State Association of Counties (CSAC) and the League of California Cities can either provide such information directly or identify those local governments most likely to be most affected by and/or able to provide information regarding the mandate’s impact on them. Each county has designated a person, usually in the County Executive’s Office, as a “local mandate coordinator” for purposes of providing information, upon request, on pending legislation and handling Commission on State Mandates claims.  Those coordinators should also be able to assist in developing fiscal estimates for</w:t>
      </w:r>
      <w:r>
        <w:rPr>
          <w:spacing w:val="-32"/>
        </w:rPr>
        <w:t> </w:t>
      </w:r>
      <w:r>
        <w:rPr/>
        <w:t>regulations.</w:t>
      </w:r>
    </w:p>
    <w:p>
      <w:pPr>
        <w:pStyle w:val="Heading2"/>
        <w:spacing w:before="119"/>
        <w:ind w:left="120"/>
      </w:pPr>
      <w:r>
        <w:rPr/>
        <w:t>Assumptions</w:t>
      </w:r>
    </w:p>
    <w:p>
      <w:pPr>
        <w:pStyle w:val="BodyText"/>
        <w:spacing w:before="119"/>
        <w:ind w:left="120" w:right="214"/>
      </w:pPr>
      <w:r>
        <w:rPr/>
        <w:t>On occasion, data regarding the affected universe and/or the price of the mandated item are not readily obtainable. In these instances, it may be necessary to make some reasonable assumptions about the impact. These assumptions must be clearly stated and kept separate from the “hard” data used in developing the estimate.</w:t>
      </w:r>
    </w:p>
    <w:p>
      <w:pPr>
        <w:pStyle w:val="BodyText"/>
        <w:rPr>
          <w:sz w:val="26"/>
        </w:rPr>
      </w:pPr>
    </w:p>
    <w:p>
      <w:pPr>
        <w:pStyle w:val="BodyText"/>
        <w:spacing w:before="216"/>
        <w:ind w:left="120"/>
      </w:pPr>
      <w:r>
        <w:rPr/>
        <w:t>(Continued)</w:t>
      </w:r>
    </w:p>
    <w:p>
      <w:pPr>
        <w:spacing w:after="0"/>
        <w:sectPr>
          <w:pgSz w:w="12240" w:h="15840"/>
          <w:pgMar w:header="728" w:footer="792" w:top="980" w:bottom="980" w:left="1320" w:right="1320"/>
        </w:sectPr>
      </w:pPr>
    </w:p>
    <w:p>
      <w:pPr>
        <w:pStyle w:val="BodyText"/>
        <w:rPr>
          <w:sz w:val="20"/>
        </w:rPr>
      </w:pPr>
    </w:p>
    <w:p>
      <w:pPr>
        <w:pStyle w:val="BodyText"/>
        <w:spacing w:before="214"/>
        <w:ind w:left="119"/>
      </w:pPr>
      <w:r>
        <w:rPr/>
        <w:t>(Continued)</w:t>
      </w:r>
    </w:p>
    <w:p>
      <w:pPr>
        <w:tabs>
          <w:tab w:pos="7946" w:val="left" w:leader="none"/>
        </w:tabs>
        <w:spacing w:before="0"/>
        <w:ind w:left="119" w:right="0" w:firstLine="0"/>
        <w:jc w:val="left"/>
        <w:rPr>
          <w:sz w:val="24"/>
        </w:rPr>
      </w:pPr>
      <w:r>
        <w:rPr>
          <w:b/>
          <w:sz w:val="24"/>
        </w:rPr>
        <w:t>COST</w:t>
      </w:r>
      <w:r>
        <w:rPr>
          <w:b/>
          <w:spacing w:val="-4"/>
          <w:sz w:val="24"/>
        </w:rPr>
        <w:t> </w:t>
      </w:r>
      <w:r>
        <w:rPr>
          <w:b/>
          <w:sz w:val="24"/>
        </w:rPr>
        <w:t>ESTIMATING</w:t>
      </w:r>
      <w:r>
        <w:rPr>
          <w:b/>
          <w:spacing w:val="-1"/>
          <w:sz w:val="24"/>
        </w:rPr>
        <w:t> </w:t>
      </w:r>
      <w:r>
        <w:rPr>
          <w:b/>
          <w:sz w:val="24"/>
        </w:rPr>
        <w:t>METHODOLOGY</w:t>
        <w:tab/>
        <w:t>6607 </w:t>
      </w:r>
      <w:r>
        <w:rPr>
          <w:sz w:val="24"/>
        </w:rPr>
        <w:t>(Cont.</w:t>
      </w:r>
      <w:r>
        <w:rPr>
          <w:spacing w:val="-6"/>
          <w:sz w:val="24"/>
        </w:rPr>
        <w:t> </w:t>
      </w:r>
      <w:r>
        <w:rPr>
          <w:sz w:val="24"/>
        </w:rPr>
        <w:t>1)</w:t>
      </w:r>
    </w:p>
    <w:p>
      <w:pPr>
        <w:pStyle w:val="BodyText"/>
        <w:ind w:left="120"/>
      </w:pPr>
      <w:r>
        <w:rPr/>
        <w:t>(Revised and renumbered from 6622 on 3/2009)</w:t>
      </w:r>
    </w:p>
    <w:p>
      <w:pPr>
        <w:pStyle w:val="Heading2"/>
        <w:spacing w:before="120"/>
        <w:ind w:left="119"/>
      </w:pPr>
      <w:r>
        <w:rPr/>
        <w:t>Calculations</w:t>
      </w:r>
    </w:p>
    <w:p>
      <w:pPr>
        <w:pStyle w:val="BodyText"/>
        <w:spacing w:before="120"/>
        <w:ind w:left="119" w:right="403"/>
      </w:pPr>
      <w:r>
        <w:rPr/>
        <w:t>Any mathematical computations using working data and/or assumptions necessary to arrive at a resultant cost figure must be displayed. Costs for both the balance of the current fiscal year and for the subsequent two fiscal years must be developed.</w:t>
      </w:r>
    </w:p>
    <w:p>
      <w:pPr>
        <w:pStyle w:val="BodyText"/>
        <w:ind w:left="119" w:right="643"/>
      </w:pPr>
      <w:r>
        <w:rPr/>
        <w:t>Separate calculations must be provided for local, state, and federal costs, as appropriate, as described in the succeeding sections. Any savings to each level of government must be similarly identified.</w:t>
      </w:r>
    </w:p>
    <w:p>
      <w:pPr>
        <w:pStyle w:val="Heading2"/>
        <w:spacing w:before="120"/>
        <w:ind w:left="119"/>
      </w:pPr>
      <w:r>
        <w:rPr/>
        <w:t>Conclusion</w:t>
      </w:r>
    </w:p>
    <w:p>
      <w:pPr>
        <w:pStyle w:val="BodyText"/>
        <w:spacing w:before="168"/>
        <w:ind w:left="119" w:right="778"/>
        <w:jc w:val="both"/>
      </w:pPr>
      <w:r>
        <w:rPr/>
        <w:t>Determinations made by the issuing state agency regarding the applicability of the California Constitution to any resultant costs and/or the need to provide additional funding of any state costs.  See SAM Section 6606 for the required information.</w:t>
      </w:r>
    </w:p>
    <w:p>
      <w:pPr>
        <w:pStyle w:val="BodyText"/>
        <w:rPr>
          <w:sz w:val="26"/>
        </w:rPr>
      </w:pPr>
    </w:p>
    <w:p>
      <w:pPr>
        <w:pStyle w:val="BodyText"/>
        <w:spacing w:before="7"/>
        <w:rPr>
          <w:sz w:val="37"/>
        </w:rPr>
      </w:pPr>
    </w:p>
    <w:p>
      <w:pPr>
        <w:pStyle w:val="Heading2"/>
        <w:tabs>
          <w:tab w:pos="8947" w:val="left" w:leader="none"/>
        </w:tabs>
        <w:ind w:left="119"/>
      </w:pPr>
      <w:r>
        <w:rPr/>
        <w:t>NONREIMBURSABLE</w:t>
      </w:r>
      <w:r>
        <w:rPr>
          <w:spacing w:val="-3"/>
        </w:rPr>
        <w:t> </w:t>
      </w:r>
      <w:r>
        <w:rPr/>
        <w:t>LOCAL</w:t>
      </w:r>
      <w:r>
        <w:rPr>
          <w:spacing w:val="-4"/>
        </w:rPr>
        <w:t> </w:t>
      </w:r>
      <w:r>
        <w:rPr/>
        <w:t>COSTS</w:t>
        <w:tab/>
        <w:t>6608</w:t>
      </w:r>
    </w:p>
    <w:p>
      <w:pPr>
        <w:pStyle w:val="BodyText"/>
        <w:ind w:left="119"/>
      </w:pPr>
      <w:r>
        <w:rPr/>
        <w:t>(Revised and renumbered from 6623 on 3/2009)</w:t>
      </w:r>
    </w:p>
    <w:p>
      <w:pPr>
        <w:pStyle w:val="BodyText"/>
        <w:spacing w:before="168"/>
        <w:ind w:left="119" w:right="133"/>
      </w:pPr>
      <w:r>
        <w:rPr/>
        <w:t>Local governments may incur costs as the result of the issuance of executive regulations. These costs must be identified and estimated by the issuing state agencies even when they are not reimbursable state mandated costs. These costs will generally result from regulations which fall under one of the statutory exceptions listed in Section 6606.</w:t>
      </w:r>
    </w:p>
    <w:p>
      <w:pPr>
        <w:pStyle w:val="BodyText"/>
        <w:spacing w:before="215"/>
        <w:ind w:left="119" w:right="214"/>
      </w:pPr>
      <w:r>
        <w:rPr/>
        <w:t>The basic estimating methodology is the same as that set forth in SAM Section 6607; however, it is important to clearly indicate that these are not constitutionally reimbursable mandates and to develop estimates of offsetting savings and costs. For these regulations no estimate of costs is required since only “other nondiscretionary costs” are specified in law; however, there may be occasions where it would be desirable to have an estimate of the costs that would be incurred if all eligible local governments took advantage of the authority conferred by the regulation.</w:t>
      </w:r>
    </w:p>
    <w:p>
      <w:pPr>
        <w:pStyle w:val="BodyText"/>
        <w:rPr>
          <w:sz w:val="26"/>
        </w:rPr>
      </w:pPr>
    </w:p>
    <w:p>
      <w:pPr>
        <w:pStyle w:val="Heading2"/>
        <w:tabs>
          <w:tab w:pos="8947" w:val="left" w:leader="none"/>
        </w:tabs>
        <w:spacing w:before="192"/>
        <w:ind w:left="119"/>
      </w:pPr>
      <w:r>
        <w:rPr/>
        <w:t>SAVINGS TO</w:t>
      </w:r>
      <w:r>
        <w:rPr>
          <w:spacing w:val="-5"/>
        </w:rPr>
        <w:t> </w:t>
      </w:r>
      <w:r>
        <w:rPr/>
        <w:t>LOCAL</w:t>
      </w:r>
      <w:r>
        <w:rPr>
          <w:spacing w:val="-2"/>
        </w:rPr>
        <w:t> </w:t>
      </w:r>
      <w:r>
        <w:rPr/>
        <w:t>GOVERNMENTS</w:t>
        <w:tab/>
        <w:t>6609</w:t>
      </w:r>
    </w:p>
    <w:p>
      <w:pPr>
        <w:pStyle w:val="BodyText"/>
        <w:ind w:left="119"/>
      </w:pPr>
      <w:r>
        <w:rPr/>
        <w:t>(Revised and renumbered from 6624 on 3/2009)</w:t>
      </w:r>
    </w:p>
    <w:p>
      <w:pPr>
        <w:pStyle w:val="BodyText"/>
        <w:spacing w:before="168"/>
        <w:ind w:left="119" w:right="269"/>
      </w:pPr>
      <w:r>
        <w:rPr/>
        <w:t>In a sense, savings result from what might be called “negative mandates", since local governments are relieved from doing something they were previously required to do. The same basic estimating methodology as set forth in SAM Section 6607 can be employed to determine local savings in state regulations. In fact, it should be relatively simple to derive estimates of savings since affected local governments must be able to identify what they are doing and what the associated costs are. The discretionary savings must also be identified since the state would be providing local governments with the option, if they choose to take it, to reduce the cost of government.</w:t>
      </w:r>
    </w:p>
    <w:p>
      <w:pPr>
        <w:spacing w:after="0"/>
        <w:sectPr>
          <w:pgSz w:w="12240" w:h="15840"/>
          <w:pgMar w:header="728" w:footer="792" w:top="980" w:bottom="980" w:left="1320" w:right="1320"/>
        </w:sectPr>
      </w:pPr>
    </w:p>
    <w:p>
      <w:pPr>
        <w:pStyle w:val="BodyText"/>
        <w:rPr>
          <w:sz w:val="20"/>
        </w:rPr>
      </w:pPr>
    </w:p>
    <w:p>
      <w:pPr>
        <w:pStyle w:val="Heading2"/>
        <w:tabs>
          <w:tab w:pos="8947" w:val="left" w:leader="none"/>
        </w:tabs>
        <w:spacing w:before="214"/>
        <w:ind w:left="119"/>
      </w:pPr>
      <w:r>
        <w:rPr/>
        <w:t>INCREASES OR REDUCTIONS IN</w:t>
      </w:r>
      <w:r>
        <w:rPr>
          <w:spacing w:val="-10"/>
        </w:rPr>
        <w:t> </w:t>
      </w:r>
      <w:r>
        <w:rPr/>
        <w:t>LOCAL</w:t>
      </w:r>
      <w:r>
        <w:rPr>
          <w:spacing w:val="-2"/>
        </w:rPr>
        <w:t> </w:t>
      </w:r>
      <w:r>
        <w:rPr/>
        <w:t>REVENUES</w:t>
        <w:tab/>
        <w:t>6610</w:t>
      </w:r>
    </w:p>
    <w:p>
      <w:pPr>
        <w:pStyle w:val="BodyText"/>
        <w:ind w:left="119"/>
      </w:pPr>
      <w:r>
        <w:rPr/>
        <w:t>(Revised and renumbered from 6625 on 3/2009)</w:t>
      </w:r>
    </w:p>
    <w:p>
      <w:pPr>
        <w:pStyle w:val="BodyText"/>
        <w:spacing w:before="168"/>
        <w:ind w:left="119" w:right="214"/>
      </w:pPr>
      <w:r>
        <w:rPr/>
        <w:t>The state agency must prepare an estimate of any revenue changes at the local level as the result of a state executive regulation, any such impact must be included in the estimate prepared by the issuing agency. Any local revenue losses resulting from state executive regulations are not reimbursable under the l mandate law.</w:t>
      </w:r>
    </w:p>
    <w:p>
      <w:pPr>
        <w:pStyle w:val="BodyText"/>
        <w:rPr>
          <w:sz w:val="26"/>
        </w:rPr>
      </w:pPr>
    </w:p>
    <w:p>
      <w:pPr>
        <w:pStyle w:val="BodyText"/>
        <w:spacing w:before="9"/>
        <w:rPr>
          <w:sz w:val="37"/>
        </w:rPr>
      </w:pPr>
    </w:p>
    <w:p>
      <w:pPr>
        <w:pStyle w:val="Heading2"/>
        <w:tabs>
          <w:tab w:pos="8947" w:val="left" w:leader="none"/>
        </w:tabs>
        <w:spacing w:before="1"/>
        <w:ind w:left="119"/>
      </w:pPr>
      <w:r>
        <w:rPr/>
        <w:t>COSTS TO</w:t>
      </w:r>
      <w:r>
        <w:rPr>
          <w:spacing w:val="-4"/>
        </w:rPr>
        <w:t> </w:t>
      </w:r>
      <w:r>
        <w:rPr/>
        <w:t>STATE</w:t>
      </w:r>
      <w:r>
        <w:rPr>
          <w:spacing w:val="2"/>
        </w:rPr>
        <w:t> </w:t>
      </w:r>
      <w:r>
        <w:rPr/>
        <w:t>AGENCIES</w:t>
        <w:tab/>
        <w:t>6611</w:t>
      </w:r>
    </w:p>
    <w:p>
      <w:pPr>
        <w:pStyle w:val="BodyText"/>
        <w:ind w:left="119"/>
      </w:pPr>
      <w:r>
        <w:rPr/>
        <w:t>(Revised and renumbered from 6631 on 3/2009)</w:t>
      </w:r>
    </w:p>
    <w:p>
      <w:pPr>
        <w:pStyle w:val="BodyText"/>
        <w:spacing w:before="165"/>
        <w:ind w:left="119" w:right="322"/>
      </w:pPr>
      <w:r>
        <w:rPr/>
        <w:t>The issuing state agency must accurately identify costs that other state agencies incur as a result of its regulation. The identification will allow the other affected state agencies to take the appropriate action to secure any needed funding. The basic methodology for estimating costs is set forth in SAM Section 6607. The primary difference, of course, is that the governments contacted for cost data would be state, rather than local agencies or school districts.</w:t>
      </w:r>
    </w:p>
    <w:p>
      <w:pPr>
        <w:pStyle w:val="BodyText"/>
        <w:spacing w:before="215"/>
        <w:ind w:left="119" w:right="214"/>
      </w:pPr>
      <w:r>
        <w:rPr/>
        <w:t>Each state agency must carefully review the weekly “California Regulatory Notice Register” published by the </w:t>
      </w:r>
      <w:hyperlink r:id="rId142">
        <w:r>
          <w:rPr>
            <w:color w:val="0000FF"/>
            <w:u w:val="single" w:color="0000FF"/>
          </w:rPr>
          <w:t>Office of Administrative Law (OAL) </w:t>
        </w:r>
      </w:hyperlink>
      <w:r>
        <w:rPr/>
        <w:t>in order to determine whether any proposed regulation therein would impact that department. The state agency proposing to issue the regulation must notify any affected state agency of any potential impact. Each state agency will have to determine for itself whether it needs to obtain additional funding.</w:t>
      </w:r>
    </w:p>
    <w:p>
      <w:pPr>
        <w:pStyle w:val="BodyText"/>
        <w:rPr>
          <w:sz w:val="26"/>
        </w:rPr>
      </w:pPr>
    </w:p>
    <w:p>
      <w:pPr>
        <w:pStyle w:val="BodyText"/>
        <w:spacing w:before="9"/>
        <w:rPr>
          <w:sz w:val="37"/>
        </w:rPr>
      </w:pPr>
    </w:p>
    <w:p>
      <w:pPr>
        <w:pStyle w:val="Heading2"/>
        <w:tabs>
          <w:tab w:pos="8947" w:val="left" w:leader="none"/>
        </w:tabs>
        <w:ind w:left="120"/>
      </w:pPr>
      <w:r>
        <w:rPr/>
        <w:t>SAVINGS TO</w:t>
      </w:r>
      <w:r>
        <w:rPr>
          <w:spacing w:val="-5"/>
        </w:rPr>
        <w:t> </w:t>
      </w:r>
      <w:r>
        <w:rPr/>
        <w:t>STATE</w:t>
      </w:r>
      <w:r>
        <w:rPr>
          <w:spacing w:val="-3"/>
        </w:rPr>
        <w:t> </w:t>
      </w:r>
      <w:r>
        <w:rPr/>
        <w:t>AGENCIES</w:t>
        <w:tab/>
        <w:t>6612</w:t>
      </w:r>
    </w:p>
    <w:p>
      <w:pPr>
        <w:pStyle w:val="BodyText"/>
        <w:ind w:left="120"/>
      </w:pPr>
      <w:r>
        <w:rPr/>
        <w:t>(Revised and renumbered from 6632 on 3/2009)</w:t>
      </w:r>
    </w:p>
    <w:p>
      <w:pPr>
        <w:pStyle w:val="BodyText"/>
        <w:spacing w:before="168"/>
        <w:ind w:left="119" w:right="122"/>
      </w:pPr>
      <w:r>
        <w:rPr/>
        <w:t>It is especially important to identify savings to a state agency or agencies when there may be corresponding costs to another state agency, e.g., a transfer of responsibility. Any savings must also be identified so that the total potential magnitude of such savings can be known.</w:t>
      </w:r>
    </w:p>
    <w:p>
      <w:pPr>
        <w:spacing w:after="0"/>
        <w:sectPr>
          <w:pgSz w:w="12240" w:h="15840"/>
          <w:pgMar w:header="728" w:footer="792" w:top="980" w:bottom="980" w:left="1320" w:right="1320"/>
        </w:sectPr>
      </w:pPr>
    </w:p>
    <w:p>
      <w:pPr>
        <w:pStyle w:val="BodyText"/>
        <w:rPr>
          <w:sz w:val="20"/>
        </w:rPr>
      </w:pPr>
    </w:p>
    <w:p>
      <w:pPr>
        <w:pStyle w:val="Heading2"/>
        <w:tabs>
          <w:tab w:pos="8947" w:val="left" w:leader="none"/>
        </w:tabs>
        <w:spacing w:before="214"/>
        <w:ind w:left="119"/>
      </w:pPr>
      <w:r>
        <w:rPr/>
        <w:t>FISCAL IMPACT ON FEDERAL FUNDING OF</w:t>
      </w:r>
      <w:r>
        <w:rPr>
          <w:spacing w:val="-16"/>
        </w:rPr>
        <w:t> </w:t>
      </w:r>
      <w:r>
        <w:rPr/>
        <w:t>STATE</w:t>
      </w:r>
      <w:r>
        <w:rPr>
          <w:spacing w:val="-3"/>
        </w:rPr>
        <w:t> </w:t>
      </w:r>
      <w:r>
        <w:rPr/>
        <w:t>PROGRAMS</w:t>
        <w:tab/>
        <w:t>6613</w:t>
      </w:r>
    </w:p>
    <w:p>
      <w:pPr>
        <w:pStyle w:val="BodyText"/>
        <w:ind w:left="119"/>
      </w:pPr>
      <w:r>
        <w:rPr/>
        <w:t>(Revised and renumbered from 6640 on 3/2009)</w:t>
      </w:r>
    </w:p>
    <w:p>
      <w:pPr>
        <w:pStyle w:val="BodyText"/>
      </w:pPr>
    </w:p>
    <w:p>
      <w:pPr>
        <w:pStyle w:val="Heading2"/>
        <w:ind w:left="119"/>
      </w:pPr>
      <w:r>
        <w:rPr/>
        <w:t>Increase in Federal Funding</w:t>
      </w:r>
    </w:p>
    <w:p>
      <w:pPr>
        <w:pStyle w:val="BodyText"/>
        <w:spacing w:before="11"/>
        <w:rPr>
          <w:b/>
          <w:sz w:val="23"/>
        </w:rPr>
      </w:pPr>
    </w:p>
    <w:p>
      <w:pPr>
        <w:pStyle w:val="BodyText"/>
        <w:ind w:left="119" w:right="109"/>
      </w:pPr>
      <w:r>
        <w:rPr/>
        <w:t>Federal funding of state programs could increase as the result of state regulations if the state acts to exercise authority granted by the federal government.  Most likely, this would involve programs which have established sharing ratios and the state acts to increase the size of either the client group or the payments themselves.  In this context, it is important to distinguish between regulations which implement federal mandates and those which are issued under authority granted by the federal government.</w:t>
      </w:r>
    </w:p>
    <w:p>
      <w:pPr>
        <w:pStyle w:val="BodyText"/>
        <w:spacing w:before="11"/>
        <w:rPr>
          <w:sz w:val="23"/>
        </w:rPr>
      </w:pPr>
    </w:p>
    <w:p>
      <w:pPr>
        <w:pStyle w:val="BodyText"/>
        <w:ind w:left="119" w:right="495"/>
      </w:pPr>
      <w:r>
        <w:rPr/>
        <w:t>It must be noted that recent court cases have held that the threatened loss of federal funds is not equivalent to a federal mandate.</w:t>
      </w:r>
    </w:p>
    <w:p>
      <w:pPr>
        <w:pStyle w:val="BodyText"/>
        <w:spacing w:before="11"/>
        <w:rPr>
          <w:sz w:val="23"/>
        </w:rPr>
      </w:pPr>
    </w:p>
    <w:p>
      <w:pPr>
        <w:pStyle w:val="BodyText"/>
        <w:ind w:left="119" w:right="215"/>
      </w:pPr>
      <w:r>
        <w:rPr/>
        <w:t>Rather than sampling any affected state and/or local entities, it would be appropriate and acceptable for the issuing state agency to either calculate the increased federal fund (based on an established sharing ratio) or to contact the federal agencies involved for their estimates of any fiscal impact.</w:t>
      </w:r>
    </w:p>
    <w:p>
      <w:pPr>
        <w:pStyle w:val="BodyText"/>
        <w:spacing w:before="11"/>
        <w:rPr>
          <w:sz w:val="23"/>
        </w:rPr>
      </w:pPr>
    </w:p>
    <w:p>
      <w:pPr>
        <w:pStyle w:val="Heading2"/>
        <w:ind w:left="119"/>
      </w:pPr>
      <w:r>
        <w:rPr/>
        <w:t>Reductions in Federal Funds</w:t>
      </w:r>
    </w:p>
    <w:p>
      <w:pPr>
        <w:pStyle w:val="BodyText"/>
        <w:spacing w:before="11"/>
        <w:rPr>
          <w:b/>
          <w:sz w:val="23"/>
        </w:rPr>
      </w:pPr>
    </w:p>
    <w:p>
      <w:pPr>
        <w:pStyle w:val="BodyText"/>
        <w:ind w:left="119" w:right="214"/>
      </w:pPr>
      <w:r>
        <w:rPr/>
        <w:t>As with increased federal funds decreases would most likely result for programs involving sharing ratios. The same methodology suggested for estimating federal fund increases may be used for federal fund reductions.</w:t>
      </w:r>
    </w:p>
    <w:p>
      <w:pPr>
        <w:spacing w:after="0"/>
        <w:sectPr>
          <w:pgSz w:w="12240" w:h="15840"/>
          <w:pgMar w:header="728" w:footer="792" w:top="980" w:bottom="980" w:left="1320" w:right="1320"/>
        </w:sectPr>
      </w:pPr>
    </w:p>
    <w:p>
      <w:pPr>
        <w:pStyle w:val="BodyText"/>
        <w:rPr>
          <w:sz w:val="20"/>
        </w:rPr>
      </w:pPr>
    </w:p>
    <w:p>
      <w:pPr>
        <w:tabs>
          <w:tab w:pos="8947" w:val="left" w:leader="none"/>
        </w:tabs>
        <w:spacing w:before="214"/>
        <w:ind w:left="119" w:right="0" w:firstLine="0"/>
        <w:jc w:val="left"/>
        <w:rPr>
          <w:b/>
          <w:sz w:val="24"/>
        </w:rPr>
      </w:pPr>
      <w:r>
        <w:rPr>
          <w:b/>
          <w:sz w:val="24"/>
        </w:rPr>
        <w:t>SIGNATURE REQUIRED FOR FISCAL IMPACT</w:t>
      </w:r>
      <w:r>
        <w:rPr>
          <w:b/>
          <w:spacing w:val="-17"/>
          <w:sz w:val="24"/>
        </w:rPr>
        <w:t> </w:t>
      </w:r>
      <w:r>
        <w:rPr>
          <w:b/>
          <w:sz w:val="24"/>
        </w:rPr>
        <w:t>STATEMENT</w:t>
      </w:r>
      <w:r>
        <w:rPr>
          <w:b/>
          <w:spacing w:val="-2"/>
          <w:sz w:val="24"/>
        </w:rPr>
        <w:t> </w:t>
      </w:r>
      <w:r>
        <w:rPr>
          <w:b/>
          <w:sz w:val="24"/>
        </w:rPr>
        <w:t>(FIS)</w:t>
        <w:tab/>
        <w:t>6614</w:t>
      </w:r>
    </w:p>
    <w:p>
      <w:pPr>
        <w:pStyle w:val="BodyText"/>
        <w:ind w:left="119"/>
      </w:pPr>
      <w:r>
        <w:rPr/>
        <w:t>(Revised 6/2014)</w:t>
      </w:r>
    </w:p>
    <w:p>
      <w:pPr>
        <w:pStyle w:val="BodyText"/>
        <w:spacing w:before="168"/>
        <w:ind w:left="119" w:right="125"/>
      </w:pPr>
      <w:r>
        <w:rPr/>
        <w:t>A state agency adopting, amending, or repealing a routine or emergency regulation shall use the </w:t>
      </w:r>
      <w:hyperlink r:id="rId125">
        <w:r>
          <w:rPr>
            <w:color w:val="0000FF"/>
            <w:u w:val="single" w:color="0000FF"/>
          </w:rPr>
          <w:t>STD. 399 </w:t>
        </w:r>
      </w:hyperlink>
      <w:r>
        <w:rPr/>
        <w:t>to make a determination and develop an estimate of that proposed regulation's fiscal impact on local governments. The Fiscal Impact Statement section of the STD. 399 must be completed and signed by the agency when a notice of proposed action is submitted for publication in the </w:t>
      </w:r>
      <w:hyperlink r:id="rId144">
        <w:r>
          <w:rPr>
            <w:color w:val="0000FF"/>
            <w:u w:val="single" w:color="0000FF"/>
          </w:rPr>
          <w:t>California Regulatory Notice Register</w:t>
        </w:r>
      </w:hyperlink>
      <w:r>
        <w:rPr/>
        <w:t>. If the proposed regulation is modified and this modification would cause a change to the fiscal impact of the proposed regulation after the STD. 399 was submitted to Finance and signed, an updated STD. 399 must be submitted to Finance. The STD. 399 and related documents must be submitted in the agency’s rulemaking file for the proposed action.</w:t>
      </w:r>
    </w:p>
    <w:p>
      <w:pPr>
        <w:pStyle w:val="BodyText"/>
        <w:spacing w:before="216"/>
        <w:ind w:left="120"/>
      </w:pPr>
      <w:r>
        <w:rPr/>
        <w:t>The STD. 399 must be approved and signed by (1) the Agency fiscal officer and</w:t>
      </w:r>
    </w:p>
    <w:p>
      <w:pPr>
        <w:pStyle w:val="ListParagraph"/>
        <w:numPr>
          <w:ilvl w:val="0"/>
          <w:numId w:val="44"/>
        </w:numPr>
        <w:tabs>
          <w:tab w:pos="480" w:val="left" w:leader="none"/>
        </w:tabs>
        <w:spacing w:line="240" w:lineRule="auto" w:before="0" w:after="0"/>
        <w:ind w:left="120" w:right="135" w:firstLine="0"/>
        <w:jc w:val="left"/>
        <w:rPr>
          <w:sz w:val="24"/>
        </w:rPr>
      </w:pPr>
      <w:r>
        <w:rPr/>
        <w:pict>
          <v:line style="position:absolute;mso-position-horizontal-relative:page;mso-position-vertical-relative:paragraph;z-index:-455584" from="434.279999pt,36.035843pt" to="437.640999pt,36.035843pt" stroked="true" strokeweight=".6pt" strokecolor="#000000">
            <v:stroke dashstyle="solid"/>
            <w10:wrap type="none"/>
          </v:line>
        </w:pict>
      </w:r>
      <w:r>
        <w:rPr>
          <w:sz w:val="24"/>
        </w:rPr>
        <w:t>the Agency Secretary; the highest ranking official in the state agency, if it is not under an Agency Secretary; or a designee having a written delegation from the Agency Secretary or the highest ranking official before it is submitted to OAL. Prior to submitting an emergency regulation to OAL, a Finance signature on the STD. 399 is not required. In accordance with Government Code section </w:t>
      </w:r>
      <w:hyperlink r:id="rId131">
        <w:r>
          <w:rPr>
            <w:color w:val="0000FF"/>
            <w:sz w:val="24"/>
            <w:u w:val="single" w:color="0000FF"/>
          </w:rPr>
          <w:t>11346.1</w:t>
        </w:r>
      </w:hyperlink>
      <w:r>
        <w:rPr>
          <w:sz w:val="24"/>
        </w:rPr>
        <w:t>, a Finance signature is required when the agency submits to OAL the rulemaking file and certification stating compliance with Government Code sections </w:t>
      </w:r>
      <w:hyperlink r:id="rId145">
        <w:r>
          <w:rPr>
            <w:color w:val="0000FF"/>
            <w:sz w:val="24"/>
            <w:u w:val="single" w:color="0000FF"/>
          </w:rPr>
          <w:t>11346.2 to</w:t>
        </w:r>
        <w:r>
          <w:rPr>
            <w:color w:val="0000FF"/>
            <w:spacing w:val="-21"/>
            <w:sz w:val="24"/>
            <w:u w:val="single" w:color="0000FF"/>
          </w:rPr>
          <w:t> </w:t>
        </w:r>
        <w:r>
          <w:rPr>
            <w:color w:val="0000FF"/>
            <w:sz w:val="24"/>
            <w:u w:val="single" w:color="0000FF"/>
          </w:rPr>
          <w:t>11347.3</w:t>
        </w:r>
      </w:hyperlink>
      <w:r>
        <w:rPr>
          <w:sz w:val="24"/>
        </w:rPr>
        <w:t>.</w:t>
      </w:r>
    </w:p>
    <w:p>
      <w:pPr>
        <w:pStyle w:val="BodyText"/>
        <w:spacing w:before="11"/>
        <w:rPr>
          <w:sz w:val="15"/>
        </w:rPr>
      </w:pPr>
    </w:p>
    <w:p>
      <w:pPr>
        <w:pStyle w:val="BodyText"/>
        <w:spacing w:before="92"/>
        <w:ind w:left="120" w:right="174"/>
      </w:pPr>
      <w:r>
        <w:rPr/>
        <w:t>A Finance Program Budget Manager (PBM) or designee signature is required when the Fiscal Impact Statement on the STD. 399 reflects either costs or savings, whether budgeted or not. The estimate in a STD. 399 that is signed by the agency must reflect the actual language of the proposed regulation adopted by the agency. A PBM signature reflects a concurrence that the estimates provided on the STD. 399 are an accurate estimation of the fiscal impact of the proposed regulation. A PBM signature does not reflect a policy endorsement of the regulation itself, a concurrence that the proposed regulation is the most cost-effective option, or an approval to submit a Budget Change Proposal (BCP) to address any identified fiscal impact. Any estimated budget costs or savings must be addressed through the annual budget development and BCP process.</w:t>
      </w:r>
    </w:p>
    <w:p>
      <w:pPr>
        <w:pStyle w:val="BodyText"/>
        <w:spacing w:before="11"/>
        <w:rPr>
          <w:sz w:val="23"/>
        </w:rPr>
      </w:pPr>
    </w:p>
    <w:p>
      <w:pPr>
        <w:pStyle w:val="Heading2"/>
        <w:ind w:left="120" w:right="578"/>
      </w:pPr>
      <w:r>
        <w:rPr/>
        <w:t>If a proposed regulation is determined to be a major regulation, comments submitted by Finance relating to the required Standardized Regulatory Impact Assessment (SRIA) and a PBM’s signature on the STD. 399 do not reflect an endorsement of the SRIA or of the proposed major regulation.</w:t>
      </w:r>
    </w:p>
    <w:p>
      <w:pPr>
        <w:spacing w:after="0"/>
        <w:sectPr>
          <w:footerReference w:type="default" r:id="rId143"/>
          <w:pgSz w:w="12240" w:h="15840"/>
          <w:pgMar w:footer="792" w:header="728" w:top="980" w:bottom="980" w:left="1320" w:right="1320"/>
        </w:sectPr>
      </w:pPr>
    </w:p>
    <w:p>
      <w:pPr>
        <w:pStyle w:val="BodyText"/>
        <w:rPr>
          <w:b/>
          <w:sz w:val="20"/>
        </w:rPr>
      </w:pPr>
    </w:p>
    <w:p>
      <w:pPr>
        <w:tabs>
          <w:tab w:pos="8947" w:val="left" w:leader="none"/>
        </w:tabs>
        <w:spacing w:before="214"/>
        <w:ind w:left="119" w:right="0" w:firstLine="0"/>
        <w:jc w:val="left"/>
        <w:rPr>
          <w:b/>
          <w:sz w:val="24"/>
        </w:rPr>
      </w:pPr>
      <w:r>
        <w:rPr>
          <w:b/>
          <w:sz w:val="24"/>
        </w:rPr>
        <w:t>ESTIMATES WHICH REQUIRE DEPARTMENT OF</w:t>
      </w:r>
      <w:r>
        <w:rPr>
          <w:b/>
          <w:spacing w:val="-18"/>
          <w:sz w:val="24"/>
        </w:rPr>
        <w:t> </w:t>
      </w:r>
      <w:r>
        <w:rPr>
          <w:b/>
          <w:sz w:val="24"/>
        </w:rPr>
        <w:t>FINANCE</w:t>
      </w:r>
      <w:r>
        <w:rPr>
          <w:b/>
          <w:spacing w:val="1"/>
          <w:sz w:val="24"/>
        </w:rPr>
        <w:t> </w:t>
      </w:r>
      <w:r>
        <w:rPr>
          <w:b/>
          <w:sz w:val="24"/>
        </w:rPr>
        <w:t>ACTION</w:t>
        <w:tab/>
        <w:t>6615</w:t>
      </w:r>
    </w:p>
    <w:p>
      <w:pPr>
        <w:pStyle w:val="BodyText"/>
        <w:ind w:left="119"/>
      </w:pPr>
      <w:r>
        <w:rPr/>
        <w:t>(Revised and renumbered from 6660 on 3/2009)</w:t>
      </w:r>
    </w:p>
    <w:p>
      <w:pPr>
        <w:pStyle w:val="BodyText"/>
        <w:spacing w:before="168"/>
        <w:ind w:left="120" w:right="348"/>
      </w:pPr>
      <w:r>
        <w:rPr/>
        <w:t>Subdivision (c) of Government Code Section </w:t>
      </w:r>
      <w:hyperlink r:id="rId147">
        <w:r>
          <w:rPr>
            <w:color w:val="0000FF"/>
            <w:u w:val="single" w:color="0000FF"/>
          </w:rPr>
          <w:t>11357 </w:t>
        </w:r>
      </w:hyperlink>
      <w:r>
        <w:rPr/>
        <w:t>specifically authorizes the DOF to “…review any estimate…for content including, but not limited to, the data and assumptions used in its preparation.”</w:t>
      </w:r>
    </w:p>
    <w:p>
      <w:pPr>
        <w:pStyle w:val="BodyText"/>
        <w:spacing w:before="216"/>
        <w:ind w:left="120" w:right="240"/>
      </w:pPr>
      <w:r>
        <w:rPr/>
        <w:t>A state agency is not required in all instances to obtain the concurrence of the DOF in its estimate of the fiscal impact of its proposed regulation on governmental agencies. Such concurrence is required when the adoption, amendment, or repeal of a regulation results in local agency costs or savings, in state agency costs or savings, or in other nondiscretionary instances such as local/state revenue increases or decreases which must be depicted on the STD. 399 as follows:</w:t>
      </w:r>
    </w:p>
    <w:p>
      <w:pPr>
        <w:pStyle w:val="BodyText"/>
        <w:spacing w:before="4"/>
      </w:pPr>
    </w:p>
    <w:tbl>
      <w:tblPr>
        <w:tblW w:w="0" w:type="auto"/>
        <w:jc w:val="left"/>
        <w:tblInd w:w="144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4284"/>
        <w:gridCol w:w="2431"/>
      </w:tblGrid>
      <w:tr>
        <w:trPr>
          <w:trHeight w:val="446" w:hRule="exact"/>
        </w:trPr>
        <w:tc>
          <w:tcPr>
            <w:tcW w:w="4284" w:type="dxa"/>
            <w:tcBorders>
              <w:top w:val="nil"/>
              <w:left w:val="nil"/>
            </w:tcBorders>
          </w:tcPr>
          <w:p>
            <w:pPr>
              <w:pStyle w:val="TableParagraph"/>
              <w:spacing w:before="72"/>
              <w:ind w:left="107"/>
              <w:rPr>
                <w:sz w:val="24"/>
              </w:rPr>
            </w:pPr>
            <w:r>
              <w:rPr>
                <w:sz w:val="24"/>
              </w:rPr>
              <w:t>A.1 - Reimbursable Local Costs</w:t>
            </w:r>
          </w:p>
        </w:tc>
        <w:tc>
          <w:tcPr>
            <w:tcW w:w="2431" w:type="dxa"/>
            <w:tcBorders>
              <w:top w:val="nil"/>
              <w:right w:val="nil"/>
            </w:tcBorders>
          </w:tcPr>
          <w:p>
            <w:pPr>
              <w:pStyle w:val="TableParagraph"/>
              <w:spacing w:before="72"/>
              <w:ind w:left="93"/>
              <w:rPr>
                <w:sz w:val="24"/>
              </w:rPr>
            </w:pPr>
            <w:r>
              <w:rPr>
                <w:sz w:val="24"/>
              </w:rPr>
              <w:t>B.1 - State Costs</w:t>
            </w:r>
          </w:p>
        </w:tc>
      </w:tr>
      <w:tr>
        <w:trPr>
          <w:trHeight w:val="461" w:hRule="exact"/>
        </w:trPr>
        <w:tc>
          <w:tcPr>
            <w:tcW w:w="4284" w:type="dxa"/>
            <w:tcBorders>
              <w:left w:val="nil"/>
            </w:tcBorders>
          </w:tcPr>
          <w:p>
            <w:pPr>
              <w:pStyle w:val="TableParagraph"/>
              <w:spacing w:before="75"/>
              <w:ind w:left="108"/>
              <w:rPr>
                <w:sz w:val="24"/>
              </w:rPr>
            </w:pPr>
            <w:r>
              <w:rPr>
                <w:sz w:val="24"/>
              </w:rPr>
              <w:t>A.2 - Non-Reimbursable Local Costs</w:t>
            </w:r>
          </w:p>
        </w:tc>
        <w:tc>
          <w:tcPr>
            <w:tcW w:w="2431" w:type="dxa"/>
            <w:tcBorders>
              <w:right w:val="nil"/>
            </w:tcBorders>
          </w:tcPr>
          <w:p>
            <w:pPr>
              <w:pStyle w:val="TableParagraph"/>
              <w:spacing w:before="75"/>
              <w:ind w:left="93"/>
              <w:rPr>
                <w:sz w:val="24"/>
              </w:rPr>
            </w:pPr>
            <w:r>
              <w:rPr>
                <w:sz w:val="24"/>
              </w:rPr>
              <w:t>B.2 - State Savings</w:t>
            </w:r>
          </w:p>
        </w:tc>
      </w:tr>
      <w:tr>
        <w:trPr>
          <w:trHeight w:val="463" w:hRule="exact"/>
        </w:trPr>
        <w:tc>
          <w:tcPr>
            <w:tcW w:w="4284" w:type="dxa"/>
            <w:tcBorders>
              <w:left w:val="nil"/>
            </w:tcBorders>
          </w:tcPr>
          <w:p>
            <w:pPr>
              <w:pStyle w:val="TableParagraph"/>
              <w:spacing w:before="75"/>
              <w:ind w:left="108"/>
              <w:rPr>
                <w:sz w:val="24"/>
              </w:rPr>
            </w:pPr>
            <w:r>
              <w:rPr>
                <w:sz w:val="24"/>
              </w:rPr>
              <w:t>A.3 - Local Savings</w:t>
            </w:r>
          </w:p>
        </w:tc>
        <w:tc>
          <w:tcPr>
            <w:tcW w:w="2431" w:type="dxa"/>
            <w:tcBorders>
              <w:right w:val="nil"/>
            </w:tcBorders>
          </w:tcPr>
          <w:p>
            <w:pPr>
              <w:pStyle w:val="TableParagraph"/>
              <w:spacing w:before="75"/>
              <w:ind w:left="93"/>
              <w:rPr>
                <w:sz w:val="24"/>
              </w:rPr>
            </w:pPr>
            <w:r>
              <w:rPr>
                <w:sz w:val="24"/>
              </w:rPr>
              <w:t>B.4 - Other</w:t>
            </w:r>
          </w:p>
        </w:tc>
      </w:tr>
      <w:tr>
        <w:trPr>
          <w:trHeight w:val="446" w:hRule="exact"/>
        </w:trPr>
        <w:tc>
          <w:tcPr>
            <w:tcW w:w="4284" w:type="dxa"/>
            <w:tcBorders>
              <w:left w:val="nil"/>
              <w:bottom w:val="nil"/>
            </w:tcBorders>
          </w:tcPr>
          <w:p>
            <w:pPr>
              <w:pStyle w:val="TableParagraph"/>
              <w:spacing w:before="75"/>
              <w:ind w:left="108"/>
              <w:rPr>
                <w:sz w:val="24"/>
              </w:rPr>
            </w:pPr>
            <w:r>
              <w:rPr>
                <w:sz w:val="24"/>
              </w:rPr>
              <w:t>A.6 - Other</w:t>
            </w:r>
          </w:p>
        </w:tc>
        <w:tc>
          <w:tcPr>
            <w:tcW w:w="2431" w:type="dxa"/>
            <w:tcBorders>
              <w:bottom w:val="nil"/>
              <w:right w:val="nil"/>
            </w:tcBorders>
          </w:tcPr>
          <w:p>
            <w:pPr/>
          </w:p>
        </w:tc>
      </w:tr>
    </w:tbl>
    <w:p>
      <w:pPr>
        <w:pStyle w:val="BodyText"/>
        <w:spacing w:before="2"/>
        <w:rPr>
          <w:sz w:val="38"/>
        </w:rPr>
      </w:pPr>
    </w:p>
    <w:p>
      <w:pPr>
        <w:pStyle w:val="BodyText"/>
        <w:ind w:left="120" w:right="241"/>
      </w:pPr>
      <w:r>
        <w:rPr/>
        <w:t>In addition, the DOF’s approval is required for the inclusion in any such estimate of any statement to the effect that reimbursement of local costs will be requested in a subsequent Governor’s Budget, Section A.1 (b) on the </w:t>
      </w:r>
      <w:hyperlink r:id="rId125">
        <w:r>
          <w:rPr>
            <w:color w:val="0000FF"/>
            <w:u w:val="single" w:color="0000FF"/>
          </w:rPr>
          <w:t>STD. 399</w:t>
        </w:r>
      </w:hyperlink>
      <w:r>
        <w:rPr/>
        <w:t>.</w:t>
      </w:r>
    </w:p>
    <w:p>
      <w:pPr>
        <w:pStyle w:val="BodyText"/>
        <w:spacing w:before="215"/>
        <w:ind w:left="120" w:right="148"/>
      </w:pPr>
      <w:r>
        <w:rPr/>
        <w:t>Requests for the DOF’s concurrence in or approval of a cost estimate for a proposed regulation must be forwarded to the DOF Principal Program Budget Analyst assigned to the issuing state agency at least 30 days prior to the date on which the “notice of proposed adoption” is to be issued. The completed STD. 399 must be submitted to the DOF along with copies of the calculations and assumptions leading to dollar estimates. Those calculations and assumptions must address the proposed regulation’s fiscal impact in the current fiscal year and in the two subsequent fiscal years. A copy of the local mandate determination and any attachments thereto must be retained by the issuing state agency in the rulemaking file required by Government Code Section </w:t>
      </w:r>
      <w:hyperlink r:id="rId148">
        <w:r>
          <w:rPr>
            <w:color w:val="0000FF"/>
            <w:u w:val="single" w:color="0000FF"/>
          </w:rPr>
          <w:t>11347.3</w:t>
        </w:r>
      </w:hyperlink>
      <w:r>
        <w:rPr/>
        <w:t>.  Questions regarding any technical aspects of the state mandate law should be directed to that DOF analyst or other governmental agencies that may be affected by the proposed</w:t>
      </w:r>
      <w:r>
        <w:rPr>
          <w:spacing w:val="-14"/>
        </w:rPr>
        <w:t> </w:t>
      </w:r>
      <w:r>
        <w:rPr/>
        <w:t>regulation.</w:t>
      </w:r>
    </w:p>
    <w:p>
      <w:pPr>
        <w:spacing w:after="0"/>
        <w:sectPr>
          <w:footerReference w:type="default" r:id="rId146"/>
          <w:pgSz w:w="12240" w:h="15840"/>
          <w:pgMar w:footer="792" w:header="728" w:top="980" w:bottom="980" w:left="1320" w:right="1320"/>
        </w:sectPr>
      </w:pPr>
    </w:p>
    <w:p>
      <w:pPr>
        <w:pStyle w:val="BodyText"/>
        <w:rPr>
          <w:sz w:val="20"/>
        </w:rPr>
      </w:pPr>
    </w:p>
    <w:p>
      <w:pPr>
        <w:pStyle w:val="Heading2"/>
        <w:spacing w:before="214"/>
        <w:ind w:left="119"/>
      </w:pPr>
      <w:r>
        <w:rPr/>
        <w:t>INPUT FROM OTHER GOVERNMENTAL AGENCIES IN THE</w:t>
      </w:r>
    </w:p>
    <w:p>
      <w:pPr>
        <w:tabs>
          <w:tab w:pos="8947" w:val="left" w:leader="none"/>
        </w:tabs>
        <w:spacing w:before="0"/>
        <w:ind w:left="119" w:right="0" w:firstLine="0"/>
        <w:jc w:val="left"/>
        <w:rPr>
          <w:b/>
          <w:sz w:val="24"/>
        </w:rPr>
      </w:pPr>
      <w:r>
        <w:rPr>
          <w:b/>
          <w:sz w:val="24"/>
        </w:rPr>
        <w:t>DEVELOPMENT OF</w:t>
      </w:r>
      <w:r>
        <w:rPr>
          <w:b/>
          <w:spacing w:val="-7"/>
          <w:sz w:val="24"/>
        </w:rPr>
        <w:t> </w:t>
      </w:r>
      <w:r>
        <w:rPr>
          <w:b/>
          <w:sz w:val="24"/>
        </w:rPr>
        <w:t>FISCAL</w:t>
      </w:r>
      <w:r>
        <w:rPr>
          <w:b/>
          <w:spacing w:val="-4"/>
          <w:sz w:val="24"/>
        </w:rPr>
        <w:t> </w:t>
      </w:r>
      <w:r>
        <w:rPr>
          <w:b/>
          <w:sz w:val="24"/>
        </w:rPr>
        <w:t>ESTIMATES</w:t>
        <w:tab/>
        <w:t>6616</w:t>
      </w:r>
    </w:p>
    <w:p>
      <w:pPr>
        <w:pStyle w:val="BodyText"/>
        <w:ind w:left="119"/>
      </w:pPr>
      <w:r>
        <w:rPr/>
        <w:t>(Revised and renumbered from 6670 on 3/2009)</w:t>
      </w:r>
    </w:p>
    <w:p>
      <w:pPr>
        <w:pStyle w:val="BodyText"/>
        <w:spacing w:before="3"/>
        <w:rPr>
          <w:sz w:val="30"/>
        </w:rPr>
      </w:pPr>
    </w:p>
    <w:p>
      <w:pPr>
        <w:pStyle w:val="BodyText"/>
        <w:ind w:left="119" w:right="162"/>
      </w:pPr>
      <w:r>
        <w:rPr/>
        <w:t>State agencies that propose to issue regulations must allow for input from any and all other governmental agencies which express concern about the potential fiscal impact of the regulation on them. Such input must be solicited by the issuing state agency by practical means such as holding public hearings, publishing a notice in the California Regulatory Notice Register, and offering any other appropriate means.</w:t>
      </w:r>
    </w:p>
    <w:p>
      <w:pPr>
        <w:pStyle w:val="BodyText"/>
        <w:spacing w:before="216"/>
        <w:ind w:left="119" w:right="122"/>
      </w:pPr>
      <w:r>
        <w:rPr/>
        <w:t>Although the DOF's concurrence is required only for those circumstances set forth in SAM Section </w:t>
      </w:r>
      <w:hyperlink r:id="rId54">
        <w:r>
          <w:rPr>
            <w:color w:val="0000FF"/>
            <w:u w:val="single" w:color="0000FF"/>
          </w:rPr>
          <w:t>6615</w:t>
        </w:r>
      </w:hyperlink>
      <w:r>
        <w:rPr/>
        <w:t>, such concurrence may be requested for any other circumstances as well. When the DOF has concurred in the fiscal estimate, the DOF will, if requested, be primarily responsible for providing evidence and testimony to the Commission on State Mandates on any claim from a local government that the regulation results in increased costs. Conversely, the issuing state agency will be primarily responsible in instances where the DOF’s concurrence was not obtained.</w:t>
      </w:r>
    </w:p>
    <w:p>
      <w:pPr>
        <w:pStyle w:val="BodyText"/>
        <w:rPr>
          <w:sz w:val="26"/>
        </w:rPr>
      </w:pPr>
    </w:p>
    <w:p>
      <w:pPr>
        <w:pStyle w:val="BodyText"/>
        <w:spacing w:before="7"/>
        <w:rPr>
          <w:sz w:val="37"/>
        </w:rPr>
      </w:pPr>
    </w:p>
    <w:p>
      <w:pPr>
        <w:pStyle w:val="Heading2"/>
        <w:tabs>
          <w:tab w:pos="8947" w:val="left" w:leader="none"/>
        </w:tabs>
        <w:ind w:left="120"/>
      </w:pPr>
      <w:r>
        <w:rPr/>
        <w:t>INFORMATION</w:t>
      </w:r>
      <w:r>
        <w:rPr>
          <w:spacing w:val="-4"/>
        </w:rPr>
        <w:t> </w:t>
      </w:r>
      <w:r>
        <w:rPr/>
        <w:t>TECHNOLOGY</w:t>
      </w:r>
      <w:r>
        <w:rPr>
          <w:spacing w:val="-6"/>
        </w:rPr>
        <w:t> </w:t>
      </w:r>
      <w:r>
        <w:rPr/>
        <w:t>EXPENDITURES</w:t>
        <w:tab/>
        <w:t>6700</w:t>
      </w:r>
    </w:p>
    <w:p>
      <w:pPr>
        <w:pStyle w:val="BodyText"/>
        <w:ind w:left="119"/>
      </w:pPr>
      <w:r>
        <w:rPr/>
        <w:t>(Revised 12/2013)</w:t>
      </w:r>
    </w:p>
    <w:p>
      <w:pPr>
        <w:pStyle w:val="BodyText"/>
      </w:pPr>
    </w:p>
    <w:p>
      <w:pPr>
        <w:pStyle w:val="BodyText"/>
        <w:ind w:left="120" w:right="268"/>
      </w:pPr>
      <w:r>
        <w:rPr/>
        <w:t>In accordance with Government Code (GC) Section </w:t>
      </w:r>
      <w:hyperlink r:id="rId149">
        <w:r>
          <w:rPr>
            <w:color w:val="0000FF"/>
            <w:u w:val="single" w:color="0000FF"/>
          </w:rPr>
          <w:t>13070</w:t>
        </w:r>
      </w:hyperlink>
      <w:r>
        <w:rPr/>
        <w:t>, the Department of Finance (Finance) has general powers of supervision over all matters concerning the financial and business policies of the State. In addition, GC Section </w:t>
      </w:r>
      <w:hyperlink r:id="rId150">
        <w:r>
          <w:rPr>
            <w:color w:val="0000FF"/>
            <w:u w:val="single" w:color="0000FF"/>
          </w:rPr>
          <w:t>11547 </w:t>
        </w:r>
      </w:hyperlink>
      <w:r>
        <w:rPr/>
        <w:t>states that Finance shall determine availability of information technology (IT) project funding from appropriate sources and project consistency with state fiscal policy.</w:t>
      </w:r>
    </w:p>
    <w:p>
      <w:pPr>
        <w:pStyle w:val="BodyText"/>
        <w:spacing w:before="10"/>
        <w:rPr>
          <w:sz w:val="23"/>
        </w:rPr>
      </w:pPr>
    </w:p>
    <w:p>
      <w:pPr>
        <w:pStyle w:val="BodyText"/>
        <w:spacing w:before="1"/>
        <w:ind w:left="120" w:right="122"/>
      </w:pPr>
      <w:r>
        <w:rPr/>
        <w:t>Established within Finance is the </w:t>
      </w:r>
      <w:hyperlink r:id="rId151">
        <w:r>
          <w:rPr>
            <w:color w:val="0000FF"/>
            <w:u w:val="single" w:color="0000FF"/>
          </w:rPr>
          <w:t>Information Technology Consulting Unit (ITCU)</w:t>
        </w:r>
      </w:hyperlink>
      <w:r>
        <w:rPr/>
        <w:t>. The ITCU performs fiscal analysis of statewide IT policies and enterprise initiatives proposed by the California Department of Technology, as well as fiscal oversight of Finance- identified critical IT projects. The Department of Technology coordinates review of IT proposals with Finance to streamline the review process and produce one decision for the Administration.</w:t>
      </w:r>
    </w:p>
    <w:p>
      <w:pPr>
        <w:spacing w:after="0"/>
        <w:sectPr>
          <w:pgSz w:w="12240" w:h="15840"/>
          <w:pgMar w:header="728" w:footer="792" w:top="980" w:bottom="980" w:left="1320" w:right="1320"/>
        </w:sectPr>
      </w:pPr>
    </w:p>
    <w:p>
      <w:pPr>
        <w:pStyle w:val="BodyText"/>
        <w:rPr>
          <w:sz w:val="20"/>
        </w:rPr>
      </w:pPr>
    </w:p>
    <w:p>
      <w:pPr>
        <w:pStyle w:val="Heading2"/>
        <w:tabs>
          <w:tab w:pos="8947" w:val="left" w:leader="none"/>
        </w:tabs>
        <w:spacing w:before="214"/>
        <w:ind w:left="119"/>
      </w:pPr>
      <w:r>
        <w:rPr/>
        <w:t>DEFINITIONS</w:t>
        <w:tab/>
        <w:t>6710</w:t>
      </w:r>
    </w:p>
    <w:p>
      <w:pPr>
        <w:pStyle w:val="BodyText"/>
        <w:ind w:left="119"/>
      </w:pPr>
      <w:r>
        <w:rPr/>
        <w:t>(Reviewed 12/2013)</w:t>
      </w:r>
    </w:p>
    <w:p>
      <w:pPr>
        <w:pStyle w:val="BodyText"/>
      </w:pPr>
    </w:p>
    <w:p>
      <w:pPr>
        <w:pStyle w:val="BodyText"/>
        <w:ind w:left="119"/>
      </w:pPr>
      <w:r>
        <w:rPr/>
        <w:t>For the purposes of this section:</w:t>
      </w:r>
    </w:p>
    <w:p>
      <w:pPr>
        <w:pStyle w:val="BodyText"/>
        <w:spacing w:before="11"/>
        <w:rPr>
          <w:sz w:val="23"/>
        </w:rPr>
      </w:pPr>
    </w:p>
    <w:p>
      <w:pPr>
        <w:pStyle w:val="ListParagraph"/>
        <w:numPr>
          <w:ilvl w:val="0"/>
          <w:numId w:val="45"/>
        </w:numPr>
        <w:tabs>
          <w:tab w:pos="480" w:val="left" w:leader="none"/>
        </w:tabs>
        <w:spacing w:line="240" w:lineRule="auto" w:before="0" w:after="0"/>
        <w:ind w:left="480" w:right="284" w:hanging="360"/>
        <w:jc w:val="left"/>
        <w:rPr>
          <w:sz w:val="24"/>
        </w:rPr>
      </w:pPr>
      <w:r>
        <w:rPr>
          <w:sz w:val="24"/>
        </w:rPr>
        <w:t>An information technology (IT) activity is classified as either new or existing, and is defined as: (a) an IT project, comprised of one-time development and continuing operations/maintenance components, or (b) an ongoing IT effort, such as technical, production, or user support</w:t>
      </w:r>
      <w:r>
        <w:rPr>
          <w:spacing w:val="-19"/>
          <w:sz w:val="24"/>
        </w:rPr>
        <w:t> </w:t>
      </w:r>
      <w:r>
        <w:rPr>
          <w:sz w:val="24"/>
        </w:rPr>
        <w:t>services.</w:t>
      </w:r>
    </w:p>
    <w:p>
      <w:pPr>
        <w:pStyle w:val="ListParagraph"/>
        <w:numPr>
          <w:ilvl w:val="0"/>
          <w:numId w:val="45"/>
        </w:numPr>
        <w:tabs>
          <w:tab w:pos="480" w:val="left" w:leader="none"/>
        </w:tabs>
        <w:spacing w:line="240" w:lineRule="auto" w:before="196" w:after="0"/>
        <w:ind w:left="480" w:right="614" w:hanging="360"/>
        <w:jc w:val="both"/>
        <w:rPr>
          <w:sz w:val="24"/>
        </w:rPr>
      </w:pPr>
      <w:r>
        <w:rPr>
          <w:sz w:val="24"/>
        </w:rPr>
        <w:t>Budgetary authority refers to the funds appropriated, expenditure authorizations granted, and expenditure limits/conditions imposed on a department through the provisions of a budget act or other superseding</w:t>
      </w:r>
      <w:r>
        <w:rPr>
          <w:spacing w:val="-32"/>
          <w:sz w:val="24"/>
        </w:rPr>
        <w:t> </w:t>
      </w:r>
      <w:r>
        <w:rPr>
          <w:sz w:val="24"/>
        </w:rPr>
        <w:t>authorization.</w:t>
      </w:r>
    </w:p>
    <w:p>
      <w:pPr>
        <w:pStyle w:val="BodyText"/>
        <w:rPr>
          <w:sz w:val="26"/>
        </w:rPr>
      </w:pPr>
    </w:p>
    <w:p>
      <w:pPr>
        <w:pStyle w:val="BodyText"/>
        <w:spacing w:before="1"/>
        <w:rPr>
          <w:sz w:val="36"/>
        </w:rPr>
      </w:pPr>
    </w:p>
    <w:p>
      <w:pPr>
        <w:pStyle w:val="Heading2"/>
        <w:tabs>
          <w:tab w:pos="8947" w:val="left" w:leader="none"/>
        </w:tabs>
        <w:spacing w:before="1"/>
        <w:ind w:left="119"/>
      </w:pPr>
      <w:r>
        <w:rPr/>
        <w:t>EXCLUSIONS</w:t>
        <w:tab/>
        <w:t>6720</w:t>
      </w:r>
    </w:p>
    <w:p>
      <w:pPr>
        <w:pStyle w:val="BodyText"/>
        <w:ind w:left="119"/>
      </w:pPr>
      <w:r>
        <w:rPr/>
        <w:t>(Reviewed 12/2013)</w:t>
      </w:r>
    </w:p>
    <w:p>
      <w:pPr>
        <w:pStyle w:val="BodyText"/>
        <w:spacing w:before="11"/>
        <w:rPr>
          <w:sz w:val="23"/>
        </w:rPr>
      </w:pPr>
    </w:p>
    <w:p>
      <w:pPr>
        <w:pStyle w:val="BodyText"/>
        <w:ind w:left="119"/>
      </w:pPr>
      <w:r>
        <w:rPr/>
        <w:t>See SAM Section </w:t>
      </w:r>
      <w:hyperlink r:id="rId152">
        <w:r>
          <w:rPr>
            <w:color w:val="0000FF"/>
            <w:u w:val="single" w:color="0000FF"/>
          </w:rPr>
          <w:t>4819.32</w:t>
        </w:r>
      </w:hyperlink>
    </w:p>
    <w:p>
      <w:pPr>
        <w:spacing w:after="0"/>
        <w:sectPr>
          <w:pgSz w:w="12240" w:h="15840"/>
          <w:pgMar w:header="728" w:footer="792" w:top="980" w:bottom="980" w:left="1320" w:right="1320"/>
        </w:sectPr>
      </w:pPr>
    </w:p>
    <w:p>
      <w:pPr>
        <w:pStyle w:val="BodyText"/>
        <w:rPr>
          <w:sz w:val="20"/>
        </w:rPr>
      </w:pPr>
    </w:p>
    <w:p>
      <w:pPr>
        <w:pStyle w:val="Heading2"/>
        <w:tabs>
          <w:tab w:pos="8947" w:val="left" w:leader="none"/>
        </w:tabs>
        <w:spacing w:before="214"/>
        <w:ind w:left="119"/>
      </w:pPr>
      <w:r>
        <w:rPr/>
        <w:t>REQUIREMENTS</w:t>
        <w:tab/>
        <w:t>6730</w:t>
      </w:r>
    </w:p>
    <w:p>
      <w:pPr>
        <w:pStyle w:val="BodyText"/>
        <w:ind w:left="119"/>
      </w:pPr>
      <w:r>
        <w:rPr/>
        <w:t>(Revised 12/2013)</w:t>
      </w:r>
    </w:p>
    <w:p>
      <w:pPr>
        <w:pStyle w:val="BodyText"/>
        <w:spacing w:before="199"/>
        <w:ind w:left="120" w:right="643"/>
      </w:pPr>
      <w:r>
        <w:rPr/>
        <w:t>The </w:t>
      </w:r>
      <w:hyperlink r:id="rId153">
        <w:r>
          <w:rPr>
            <w:color w:val="0000FF"/>
            <w:u w:val="single" w:color="0000FF"/>
          </w:rPr>
          <w:t>California Department of Technology </w:t>
        </w:r>
      </w:hyperlink>
      <w:r>
        <w:rPr/>
        <w:t>may impose conditions on information technology (IT) activity expenditures for individual departments or for specific IT activities. Such conditions must be met to gain or continue receiving </w:t>
      </w:r>
      <w:hyperlink r:id="rId35">
        <w:r>
          <w:rPr>
            <w:color w:val="0000FF"/>
            <w:u w:val="single" w:color="0000FF"/>
          </w:rPr>
          <w:t>Department of</w:t>
        </w:r>
      </w:hyperlink>
      <w:r>
        <w:rPr>
          <w:color w:val="0000FF"/>
          <w:u w:val="single" w:color="0000FF"/>
        </w:rPr>
        <w:t> </w:t>
      </w:r>
      <w:hyperlink r:id="rId35">
        <w:r>
          <w:rPr>
            <w:color w:val="0000FF"/>
            <w:u w:val="single" w:color="0000FF"/>
          </w:rPr>
          <w:t>Finance </w:t>
        </w:r>
      </w:hyperlink>
      <w:r>
        <w:rPr/>
        <w:t>(Finance) support for the IT activity expenditures.</w:t>
      </w:r>
    </w:p>
    <w:p>
      <w:pPr>
        <w:pStyle w:val="BodyText"/>
        <w:spacing w:before="201"/>
        <w:ind w:left="120" w:right="215"/>
      </w:pPr>
      <w:r>
        <w:rPr/>
        <w:t>Department of Technology approval is required prior to the commitment of resources to procure, develop, or implement a new IT activity and/or modify an existing IT activity that:</w:t>
      </w:r>
    </w:p>
    <w:p>
      <w:pPr>
        <w:pStyle w:val="BodyText"/>
        <w:spacing w:before="199"/>
        <w:ind w:left="1560" w:right="161" w:hanging="360"/>
      </w:pPr>
      <w:r>
        <w:rPr>
          <w:strike/>
          <w:color w:val="2E97D3"/>
        </w:rPr>
        <w:t>1.</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Has estimated total development and acquisition costs above a Department of Technology-established delegated cost threshold and does not meet the criteria of a desktop and mobile computing commodity expenditure (see SAM Sections </w:t>
      </w:r>
      <w:hyperlink r:id="rId154">
        <w:r>
          <w:rPr>
            <w:strike w:val="0"/>
            <w:color w:val="0000FF"/>
            <w:u w:val="single" w:color="0000FF"/>
          </w:rPr>
          <w:t>4989 </w:t>
        </w:r>
      </w:hyperlink>
      <w:r>
        <w:rPr>
          <w:strike w:val="0"/>
        </w:rPr>
        <w:t>through </w:t>
      </w:r>
      <w:hyperlink r:id="rId154">
        <w:r>
          <w:rPr>
            <w:strike w:val="0"/>
            <w:color w:val="0000FF"/>
            <w:u w:val="single" w:color="0000FF"/>
          </w:rPr>
          <w:t>4989.3</w:t>
        </w:r>
      </w:hyperlink>
      <w:r>
        <w:rPr>
          <w:strike w:val="0"/>
        </w:rPr>
        <w:t>);</w:t>
      </w:r>
    </w:p>
    <w:p>
      <w:pPr>
        <w:pStyle w:val="BodyText"/>
        <w:spacing w:before="197"/>
        <w:ind w:left="1560" w:right="165" w:hanging="360"/>
      </w:pPr>
      <w:r>
        <w:rPr>
          <w:strike/>
          <w:color w:val="2E97D3"/>
        </w:rPr>
        <w:t>2.</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Is a new system development or acquisition that is specifically required by legislative mandate or is subject to special legislative review as specified in budget control language or other legislation;</w:t>
      </w:r>
    </w:p>
    <w:p>
      <w:pPr>
        <w:pStyle w:val="ListParagraph"/>
        <w:numPr>
          <w:ilvl w:val="0"/>
          <w:numId w:val="45"/>
        </w:numPr>
        <w:tabs>
          <w:tab w:pos="480" w:val="left" w:leader="none"/>
        </w:tabs>
        <w:spacing w:line="240" w:lineRule="auto" w:before="199" w:after="0"/>
        <w:ind w:left="480" w:right="0" w:hanging="360"/>
        <w:jc w:val="left"/>
        <w:rPr>
          <w:sz w:val="24"/>
        </w:rPr>
      </w:pPr>
      <w:r>
        <w:rPr>
          <w:sz w:val="24"/>
        </w:rPr>
        <w:t>Involves a Finance budget action to fund all or part of the IT activity expenditures;</w:t>
      </w:r>
      <w:r>
        <w:rPr>
          <w:spacing w:val="-39"/>
          <w:sz w:val="24"/>
        </w:rPr>
        <w:t> </w:t>
      </w:r>
      <w:r>
        <w:rPr>
          <w:sz w:val="24"/>
        </w:rPr>
        <w:t>or</w:t>
      </w:r>
    </w:p>
    <w:p>
      <w:pPr>
        <w:pStyle w:val="ListParagraph"/>
        <w:numPr>
          <w:ilvl w:val="0"/>
          <w:numId w:val="45"/>
        </w:numPr>
        <w:tabs>
          <w:tab w:pos="480" w:val="left" w:leader="none"/>
        </w:tabs>
        <w:spacing w:line="240" w:lineRule="auto" w:before="199" w:after="0"/>
        <w:ind w:left="480" w:right="0" w:hanging="360"/>
        <w:jc w:val="left"/>
        <w:rPr>
          <w:sz w:val="24"/>
        </w:rPr>
      </w:pPr>
      <w:r>
        <w:rPr>
          <w:sz w:val="24"/>
        </w:rPr>
        <w:t>Meets conditions previously imposed by the Department of</w:t>
      </w:r>
      <w:r>
        <w:rPr>
          <w:spacing w:val="-40"/>
          <w:sz w:val="24"/>
        </w:rPr>
        <w:t> </w:t>
      </w:r>
      <w:r>
        <w:rPr>
          <w:sz w:val="24"/>
        </w:rPr>
        <w:t>Technology.</w:t>
      </w:r>
    </w:p>
    <w:p>
      <w:pPr>
        <w:pStyle w:val="BodyText"/>
        <w:spacing w:before="199"/>
        <w:ind w:left="120" w:right="402"/>
      </w:pPr>
      <w:r>
        <w:rPr/>
        <w:t>Note that all formal IT solicitations, as defined in SAM </w:t>
      </w:r>
      <w:hyperlink r:id="rId152">
        <w:r>
          <w:rPr>
            <w:color w:val="0000FF"/>
            <w:u w:val="single" w:color="0000FF"/>
          </w:rPr>
          <w:t>4819.31</w:t>
        </w:r>
      </w:hyperlink>
      <w:r>
        <w:rPr/>
        <w:t>, must be submitted to the Department of Technology for review prior to release to the public. In addition, departments are responsible for reporting to the Department of Technology the completion of an IT activity that meets one or more of the criteria listed above and the expenditures associated with that activity (see SAM Section </w:t>
      </w:r>
      <w:hyperlink r:id="rId154">
        <w:r>
          <w:rPr>
            <w:color w:val="0000FF"/>
            <w:u w:val="single" w:color="0000FF"/>
          </w:rPr>
          <w:t>4947</w:t>
        </w:r>
      </w:hyperlink>
      <w:r>
        <w:rPr/>
        <w:t>).</w:t>
      </w:r>
    </w:p>
    <w:p>
      <w:pPr>
        <w:pStyle w:val="BodyText"/>
        <w:spacing w:before="199"/>
        <w:ind w:left="120" w:right="522"/>
      </w:pPr>
      <w:r>
        <w:rPr/>
        <w:t>Splitting an IT activity into smaller components to avoid fiscal reporting requirements and controls is prohibited.</w:t>
      </w:r>
    </w:p>
    <w:p>
      <w:pPr>
        <w:pStyle w:val="BodyText"/>
      </w:pPr>
    </w:p>
    <w:p>
      <w:pPr>
        <w:pStyle w:val="BodyText"/>
        <w:ind w:left="120" w:right="415"/>
      </w:pPr>
      <w:r>
        <w:rPr/>
        <w:t>See </w:t>
      </w:r>
      <w:hyperlink r:id="rId155">
        <w:r>
          <w:rPr>
            <w:color w:val="0000FF"/>
            <w:u w:val="single" w:color="0000FF"/>
          </w:rPr>
          <w:t>SAM </w:t>
        </w:r>
      </w:hyperlink>
      <w:r>
        <w:rPr/>
        <w:t>Sections 4800 through 5180 and Sections 5300 through 5365.3, and the Statewide Information Management Manual (</w:t>
      </w:r>
      <w:hyperlink r:id="rId156">
        <w:r>
          <w:rPr>
            <w:color w:val="0000FF"/>
            <w:u w:val="single" w:color="0000FF"/>
          </w:rPr>
          <w:t>SIMM</w:t>
        </w:r>
      </w:hyperlink>
      <w:r>
        <w:rPr/>
        <w:t>), for statewide policy and process instructions for IT activities.</w:t>
      </w:r>
    </w:p>
    <w:p>
      <w:pPr>
        <w:spacing w:after="0"/>
        <w:sectPr>
          <w:pgSz w:w="12240" w:h="15840"/>
          <w:pgMar w:header="728" w:footer="792" w:top="980" w:bottom="980" w:left="1320" w:right="1320"/>
        </w:sectPr>
      </w:pPr>
    </w:p>
    <w:p>
      <w:pPr>
        <w:pStyle w:val="BodyText"/>
        <w:rPr>
          <w:sz w:val="20"/>
        </w:rPr>
      </w:pPr>
    </w:p>
    <w:p>
      <w:pPr>
        <w:pStyle w:val="Heading2"/>
        <w:tabs>
          <w:tab w:pos="8947" w:val="left" w:leader="none"/>
        </w:tabs>
        <w:spacing w:before="214"/>
        <w:ind w:left="119"/>
      </w:pPr>
      <w:r>
        <w:rPr/>
        <w:t>EXPENDITURE</w:t>
      </w:r>
      <w:r>
        <w:rPr>
          <w:spacing w:val="-3"/>
        </w:rPr>
        <w:t> </w:t>
      </w:r>
      <w:r>
        <w:rPr/>
        <w:t>SUPPORT</w:t>
        <w:tab/>
        <w:t>6750</w:t>
      </w:r>
    </w:p>
    <w:p>
      <w:pPr>
        <w:pStyle w:val="BodyText"/>
        <w:ind w:left="119"/>
      </w:pPr>
      <w:r>
        <w:rPr/>
        <w:t>(Revised 12/2013)</w:t>
      </w:r>
    </w:p>
    <w:p>
      <w:pPr>
        <w:pStyle w:val="BodyText"/>
        <w:spacing w:before="180"/>
        <w:ind w:left="120" w:right="133"/>
      </w:pPr>
      <w:r>
        <w:rPr/>
        <w:t>The </w:t>
      </w:r>
      <w:hyperlink r:id="rId35">
        <w:r>
          <w:rPr>
            <w:color w:val="0000FF"/>
            <w:u w:val="single" w:color="0000FF"/>
          </w:rPr>
          <w:t>Department of Finance </w:t>
        </w:r>
      </w:hyperlink>
      <w:r>
        <w:rPr/>
        <w:t>(Finance) reviews and makes recommendations regarding funding and/or expenditure requests associated with proposed information technology (IT) expenditures through the budgetary process. In addition to business and fiscal factors, considerations to determine whether proposed IT expenditures are supportable include compliance with </w:t>
      </w:r>
      <w:hyperlink r:id="rId155">
        <w:r>
          <w:rPr>
            <w:color w:val="0000FF"/>
            <w:u w:val="single" w:color="0000FF"/>
          </w:rPr>
          <w:t>SAM</w:t>
        </w:r>
      </w:hyperlink>
      <w:r>
        <w:rPr/>
        <w:t>. Contact your departmental budget analyst or your Finance Budget Analyst for information concerning the various budget request documents available, their intended purpose, and the appropriate use of each. Funding requests associated with IT projects require </w:t>
      </w:r>
      <w:hyperlink r:id="rId153">
        <w:r>
          <w:rPr>
            <w:color w:val="0000FF"/>
            <w:u w:val="single" w:color="0000FF"/>
          </w:rPr>
          <w:t>California Department of Technology</w:t>
        </w:r>
      </w:hyperlink>
      <w:r>
        <w:rPr>
          <w:color w:val="0000FF"/>
          <w:u w:val="single" w:color="0000FF"/>
        </w:rPr>
        <w:t> </w:t>
      </w:r>
      <w:r>
        <w:rPr/>
        <w:t>approval of a Feasibility Study Report, Special Project Report, or equivalent document.</w:t>
      </w:r>
    </w:p>
    <w:p>
      <w:pPr>
        <w:pStyle w:val="BodyText"/>
        <w:spacing w:before="180"/>
        <w:ind w:left="120" w:right="101"/>
      </w:pPr>
      <w:r>
        <w:rPr/>
        <w:t>Finance, at its discretion, may impose expectations and/or conditions for approving a department's proposed IT expenditures when such expectations and/or conditions are in the best interest of the State. Departments will be notified of any such expectations and/or conditions Finance may impose on a department's IT expenditures.</w:t>
      </w:r>
    </w:p>
    <w:p>
      <w:pPr>
        <w:pStyle w:val="BodyText"/>
        <w:rPr>
          <w:sz w:val="26"/>
        </w:rPr>
      </w:pPr>
    </w:p>
    <w:p>
      <w:pPr>
        <w:pStyle w:val="Heading2"/>
        <w:tabs>
          <w:tab w:pos="8947" w:val="left" w:leader="none"/>
        </w:tabs>
        <w:spacing w:before="217"/>
        <w:ind w:left="120"/>
      </w:pPr>
      <w:r>
        <w:rPr/>
        <w:t>INFORMATION</w:t>
      </w:r>
      <w:r>
        <w:rPr>
          <w:spacing w:val="-4"/>
        </w:rPr>
        <w:t> </w:t>
      </w:r>
      <w:r>
        <w:rPr/>
        <w:t>TECHNOLOGY</w:t>
      </w:r>
      <w:r>
        <w:rPr>
          <w:spacing w:val="-3"/>
        </w:rPr>
        <w:t> </w:t>
      </w:r>
      <w:r>
        <w:rPr/>
        <w:t>AUDITS</w:t>
        <w:tab/>
        <w:t>6760</w:t>
      </w:r>
    </w:p>
    <w:p>
      <w:pPr>
        <w:pStyle w:val="BodyText"/>
        <w:ind w:left="119"/>
      </w:pPr>
      <w:r>
        <w:rPr/>
        <w:t>(Reviewed 12/2013)</w:t>
      </w:r>
    </w:p>
    <w:p>
      <w:pPr>
        <w:pStyle w:val="BodyText"/>
      </w:pPr>
    </w:p>
    <w:p>
      <w:pPr>
        <w:pStyle w:val="BodyText"/>
        <w:ind w:left="119" w:right="749"/>
      </w:pPr>
      <w:r>
        <w:rPr/>
        <w:t>All information technology expenditures are subject to audit at the discretion of the </w:t>
      </w:r>
      <w:hyperlink r:id="rId35">
        <w:r>
          <w:rPr>
            <w:color w:val="0000FF"/>
            <w:u w:val="single" w:color="0000FF"/>
          </w:rPr>
          <w:t>Department of Finance</w:t>
        </w:r>
      </w:hyperlink>
      <w:r>
        <w:rPr/>
        <w:t>.</w:t>
      </w:r>
    </w:p>
    <w:p>
      <w:pPr>
        <w:pStyle w:val="BodyText"/>
        <w:rPr>
          <w:sz w:val="20"/>
        </w:rPr>
      </w:pPr>
    </w:p>
    <w:p>
      <w:pPr>
        <w:pStyle w:val="BodyText"/>
        <w:rPr>
          <w:sz w:val="17"/>
        </w:rPr>
      </w:pPr>
    </w:p>
    <w:p>
      <w:pPr>
        <w:pStyle w:val="Heading2"/>
        <w:tabs>
          <w:tab w:pos="8947" w:val="left" w:leader="none"/>
        </w:tabs>
        <w:spacing w:before="93"/>
        <w:ind w:left="120"/>
      </w:pPr>
      <w:r>
        <w:rPr/>
        <w:t>COST</w:t>
      </w:r>
      <w:r>
        <w:rPr>
          <w:spacing w:val="-2"/>
        </w:rPr>
        <w:t> </w:t>
      </w:r>
      <w:r>
        <w:rPr/>
        <w:t>ALLOCATION</w:t>
        <w:tab/>
        <w:t>6770</w:t>
      </w:r>
    </w:p>
    <w:p>
      <w:pPr>
        <w:pStyle w:val="BodyText"/>
        <w:ind w:left="120"/>
      </w:pPr>
      <w:r>
        <w:rPr/>
        <w:t>(Reviewed 12/2013)</w:t>
      </w:r>
    </w:p>
    <w:p>
      <w:pPr>
        <w:pStyle w:val="BodyText"/>
        <w:spacing w:before="180"/>
        <w:ind w:left="119" w:right="283"/>
      </w:pPr>
      <w:r>
        <w:rPr/>
        <w:t>Each department shall adopt policies and establish procedures for assignment of information technology (IT) costs by program or operational unit within the department, as well as for the assignment and recovery of IT costs for services.</w:t>
      </w:r>
    </w:p>
    <w:p>
      <w:pPr>
        <w:spacing w:after="0"/>
        <w:sectPr>
          <w:pgSz w:w="12240" w:h="15840"/>
          <w:pgMar w:header="728" w:footer="792" w:top="980" w:bottom="980" w:left="1320" w:right="1320"/>
        </w:sectPr>
      </w:pPr>
    </w:p>
    <w:p>
      <w:pPr>
        <w:pStyle w:val="BodyText"/>
        <w:rPr>
          <w:sz w:val="20"/>
        </w:rPr>
      </w:pPr>
    </w:p>
    <w:p>
      <w:pPr>
        <w:pStyle w:val="Heading2"/>
        <w:tabs>
          <w:tab w:pos="8947" w:val="left" w:leader="none"/>
        </w:tabs>
        <w:spacing w:before="214"/>
        <w:ind w:left="119"/>
      </w:pPr>
      <w:r>
        <w:rPr/>
        <w:t>DATA CENTER</w:t>
      </w:r>
      <w:r>
        <w:rPr>
          <w:spacing w:val="-9"/>
        </w:rPr>
        <w:t> </w:t>
      </w:r>
      <w:r>
        <w:rPr/>
        <w:t>FINANCIAL</w:t>
      </w:r>
      <w:r>
        <w:rPr>
          <w:spacing w:val="-1"/>
        </w:rPr>
        <w:t> </w:t>
      </w:r>
      <w:r>
        <w:rPr/>
        <w:t>MANAGEMENT</w:t>
        <w:tab/>
        <w:t>6780</w:t>
      </w:r>
    </w:p>
    <w:p>
      <w:pPr>
        <w:pStyle w:val="BodyText"/>
        <w:ind w:left="119"/>
      </w:pPr>
      <w:r>
        <w:rPr/>
        <w:t>(Revised 12/2013)</w:t>
      </w:r>
    </w:p>
    <w:p>
      <w:pPr>
        <w:pStyle w:val="BodyText"/>
      </w:pPr>
    </w:p>
    <w:p>
      <w:pPr>
        <w:pStyle w:val="BodyText"/>
        <w:ind w:left="120" w:right="149"/>
      </w:pPr>
      <w:r>
        <w:rPr/>
        <w:t>This financial management policy applies to the </w:t>
      </w:r>
      <w:hyperlink r:id="rId157">
        <w:r>
          <w:rPr>
            <w:color w:val="0000FF"/>
            <w:u w:val="single" w:color="0000FF"/>
          </w:rPr>
          <w:t>Office of Technology Services (OTech)</w:t>
        </w:r>
      </w:hyperlink>
      <w:r>
        <w:rPr/>
        <w:t>, an office within the </w:t>
      </w:r>
      <w:hyperlink r:id="rId153">
        <w:r>
          <w:rPr>
            <w:color w:val="0000FF"/>
            <w:u w:val="single" w:color="0000FF"/>
          </w:rPr>
          <w:t>California Department of Technology</w:t>
        </w:r>
      </w:hyperlink>
      <w:r>
        <w:rPr/>
        <w:t>.</w:t>
      </w:r>
    </w:p>
    <w:p>
      <w:pPr>
        <w:pStyle w:val="BodyText"/>
        <w:spacing w:before="11"/>
        <w:rPr>
          <w:sz w:val="15"/>
        </w:rPr>
      </w:pPr>
    </w:p>
    <w:p>
      <w:pPr>
        <w:pStyle w:val="BodyText"/>
        <w:spacing w:before="92"/>
        <w:ind w:left="120" w:right="214"/>
      </w:pPr>
      <w:r>
        <w:rPr/>
        <w:t>The data center is to operate on a breakeven cost basis by fiscal year (within any Government Code (GC) provision for carryover of operating surpluses or deficits), charging customer departments for its services according to an approved published service rate schedule. OTech will maintain a formal rate methodology approved by the Department of Finance (Finance). The approved rate methodology will be used to develop and adjust rates as necessary. Rate changes are proposed as circumstances warrant, often annually, and sometimes more frequently.</w:t>
      </w:r>
    </w:p>
    <w:p>
      <w:pPr>
        <w:pStyle w:val="BodyText"/>
        <w:spacing w:before="11"/>
        <w:rPr>
          <w:sz w:val="23"/>
        </w:rPr>
      </w:pPr>
    </w:p>
    <w:p>
      <w:pPr>
        <w:pStyle w:val="BodyText"/>
        <w:ind w:left="120" w:right="214"/>
      </w:pPr>
      <w:r>
        <w:rPr/>
        <w:t>OTech will submit proposed rates to Finance. Consistent with GC Section </w:t>
      </w:r>
      <w:hyperlink r:id="rId158">
        <w:r>
          <w:rPr>
            <w:color w:val="0000FF"/>
            <w:u w:val="single" w:color="0000FF"/>
          </w:rPr>
          <w:t>11540</w:t>
        </w:r>
      </w:hyperlink>
      <w:r>
        <w:rPr/>
        <w:t>, Finance will review and approve the proposed rates based on the reasonableness of the rates and any significant budget impacts to customer departments. Rate changes that result in cost decreases for customer departments will be effective as soon as is reasonably possible. Changes to the rate schedule that result in cost increases to customer departments will be announced at least 30 days in advance of the effective date. All details necessitating such change shall be available to customer departments for review.  The approved rate schedule will be published on the OTech website.</w:t>
      </w:r>
    </w:p>
    <w:p>
      <w:pPr>
        <w:pStyle w:val="BodyText"/>
        <w:spacing w:before="199"/>
        <w:ind w:left="120" w:right="778"/>
        <w:jc w:val="both"/>
      </w:pPr>
      <w:r>
        <w:rPr/>
        <w:t>To assist customer departments in their planning and budget preparation process, OTech will annually develop a statement for inclusion in a Budget Letter issued by Finance.</w:t>
      </w:r>
    </w:p>
    <w:p>
      <w:pPr>
        <w:spacing w:after="0"/>
        <w:jc w:val="both"/>
        <w:sectPr>
          <w:pgSz w:w="12240" w:h="15840"/>
          <w:pgMar w:header="728" w:footer="792" w:top="980" w:bottom="980" w:left="1320" w:right="1320"/>
        </w:sectPr>
      </w:pPr>
    </w:p>
    <w:p>
      <w:pPr>
        <w:pStyle w:val="BodyText"/>
        <w:rPr>
          <w:sz w:val="20"/>
        </w:rPr>
      </w:pPr>
    </w:p>
    <w:p>
      <w:pPr>
        <w:tabs>
          <w:tab w:pos="9647" w:val="left" w:leader="none"/>
        </w:tabs>
        <w:spacing w:before="214"/>
        <w:ind w:left="819" w:right="0" w:firstLine="0"/>
        <w:jc w:val="left"/>
        <w:rPr>
          <w:b/>
          <w:sz w:val="24"/>
        </w:rPr>
      </w:pPr>
      <w:r>
        <w:rPr/>
        <w:pict>
          <v:line style="position:absolute;mso-position-horizontal-relative:page;mso-position-vertical-relative:paragraph;z-index:17200" from="36.360001pt,24.715881pt" to="36.360001pt,66.115881pt" stroked="true" strokeweight=".72pt" strokecolor="#000000">
            <v:stroke dashstyle="solid"/>
            <w10:wrap type="none"/>
          </v:line>
        </w:pict>
      </w:r>
      <w:r>
        <w:rPr>
          <w:b/>
          <w:sz w:val="24"/>
        </w:rPr>
        <w:t>OVERVIEW OF</w:t>
      </w:r>
      <w:r>
        <w:rPr>
          <w:b/>
          <w:spacing w:val="-10"/>
          <w:sz w:val="24"/>
        </w:rPr>
        <w:t> </w:t>
      </w:r>
      <w:r>
        <w:rPr>
          <w:b/>
          <w:sz w:val="24"/>
        </w:rPr>
        <w:t>CAPITALIZED</w:t>
      </w:r>
      <w:r>
        <w:rPr>
          <w:b/>
          <w:spacing w:val="-1"/>
          <w:sz w:val="24"/>
        </w:rPr>
        <w:t> </w:t>
      </w:r>
      <w:r>
        <w:rPr>
          <w:b/>
          <w:sz w:val="24"/>
        </w:rPr>
        <w:t>ASSETS</w:t>
        <w:tab/>
        <w:t>6801</w:t>
      </w:r>
    </w:p>
    <w:p>
      <w:pPr>
        <w:pStyle w:val="BodyText"/>
        <w:ind w:left="820"/>
      </w:pPr>
      <w:r>
        <w:rPr/>
        <w:t>(Revised </w:t>
      </w:r>
      <w:r>
        <w:rPr>
          <w:strike/>
          <w:color w:val="2E97D3"/>
        </w:rPr>
        <w:t>5/1998)</w:t>
      </w:r>
      <w:r>
        <w:rPr>
          <w:strike w:val="0"/>
          <w:color w:val="2E97D3"/>
          <w:u w:val="single" w:color="2E97D3"/>
        </w:rPr>
        <w:t>09/2017)</w:t>
      </w:r>
    </w:p>
    <w:p>
      <w:pPr>
        <w:pStyle w:val="BodyText"/>
        <w:spacing w:before="11"/>
        <w:rPr>
          <w:sz w:val="15"/>
        </w:rPr>
      </w:pPr>
    </w:p>
    <w:p>
      <w:pPr>
        <w:pStyle w:val="BodyText"/>
        <w:spacing w:before="92"/>
        <w:ind w:left="820" w:right="174"/>
      </w:pPr>
      <w:r>
        <w:rPr/>
        <w:pict>
          <v:line style="position:absolute;mso-position-horizontal-relative:page;mso-position-vertical-relative:paragraph;z-index:-455560" from="290.279999pt,40.636356pt" to="293.519999pt,40.636356pt" stroked="true" strokeweight=".599pt" strokecolor="#2e97d3">
            <v:stroke dashstyle="solid"/>
            <w10:wrap type="none"/>
          </v:line>
        </w:pict>
      </w:r>
      <w:r>
        <w:rPr/>
        <w:pict>
          <v:line style="position:absolute;mso-position-horizontal-relative:page;mso-position-vertical-relative:paragraph;z-index:17224" from="36.360001pt,32.415855pt" to="36.360001pt,230.415855pt" stroked="true" strokeweight=".72pt" strokecolor="#000000">
            <v:stroke dashstyle="solid"/>
            <w10:wrap type="none"/>
          </v:line>
        </w:pict>
      </w:r>
      <w:r>
        <w:rPr/>
        <w:t>The Capitalized Assets sections of </w:t>
      </w:r>
      <w:r>
        <w:rPr>
          <w:strike/>
          <w:color w:val="2E97D3"/>
          <w:u w:val="single" w:color="2E97D3"/>
        </w:rPr>
        <w:t>SAM</w:t>
      </w:r>
      <w:r>
        <w:rPr>
          <w:strike w:val="0"/>
          <w:color w:val="2E97D3"/>
          <w:u w:val="single" w:color="2E97D3"/>
        </w:rPr>
        <w:t>SAM </w:t>
      </w:r>
      <w:r>
        <w:rPr>
          <w:strike w:val="0"/>
        </w:rPr>
        <w:t>reference policies and procedures on budgeting and financial administration of capital outlay projects and—more broadly—on programs for capitalized asset financing.  These sections are divided into five parts:</w:t>
      </w:r>
    </w:p>
    <w:p>
      <w:pPr>
        <w:pStyle w:val="BodyText"/>
        <w:spacing w:before="10"/>
        <w:rPr>
          <w:sz w:val="15"/>
        </w:rPr>
      </w:pPr>
    </w:p>
    <w:p>
      <w:pPr>
        <w:pStyle w:val="ListParagraph"/>
        <w:numPr>
          <w:ilvl w:val="1"/>
          <w:numId w:val="45"/>
        </w:numPr>
        <w:tabs>
          <w:tab w:pos="1539" w:val="left" w:leader="none"/>
          <w:tab w:pos="1540" w:val="left" w:leader="none"/>
        </w:tabs>
        <w:spacing w:line="240" w:lineRule="auto" w:before="93" w:after="0"/>
        <w:ind w:left="820" w:right="966" w:firstLine="0"/>
        <w:jc w:val="left"/>
        <w:rPr>
          <w:sz w:val="24"/>
        </w:rPr>
      </w:pPr>
      <w:r>
        <w:rPr>
          <w:strike w:val="0"/>
          <w:color w:val="2E97D3"/>
          <w:sz w:val="24"/>
          <w:u w:val="single" w:color="2E97D3"/>
        </w:rPr>
        <w:t>1. </w:t>
      </w:r>
      <w:r>
        <w:rPr>
          <w:strike w:val="0"/>
          <w:sz w:val="24"/>
        </w:rPr>
        <w:t>An </w:t>
      </w:r>
      <w:r>
        <w:rPr>
          <w:b/>
          <w:strike w:val="0"/>
          <w:sz w:val="24"/>
        </w:rPr>
        <w:t>overview of capital outlay </w:t>
      </w:r>
      <w:r>
        <w:rPr>
          <w:strike w:val="0"/>
          <w:sz w:val="24"/>
        </w:rPr>
        <w:t>and </w:t>
      </w:r>
      <w:r>
        <w:rPr>
          <w:b/>
          <w:strike w:val="0"/>
          <w:sz w:val="24"/>
        </w:rPr>
        <w:t>capitalized asset financing </w:t>
      </w:r>
      <w:r>
        <w:rPr>
          <w:strike w:val="0"/>
          <w:sz w:val="24"/>
        </w:rPr>
        <w:t>(</w:t>
      </w:r>
      <w:r>
        <w:rPr>
          <w:strike/>
          <w:color w:val="2E97D3"/>
          <w:sz w:val="24"/>
        </w:rPr>
        <w:t>SAM </w:t>
      </w:r>
      <w:r>
        <w:rPr>
          <w:strike w:val="0"/>
          <w:sz w:val="24"/>
        </w:rPr>
        <w:t>Sections</w:t>
      </w:r>
      <w:r>
        <w:rPr>
          <w:strike w:val="0"/>
          <w:spacing w:val="-11"/>
          <w:sz w:val="24"/>
        </w:rPr>
        <w:t> </w:t>
      </w:r>
      <w:r>
        <w:rPr>
          <w:strike w:val="0"/>
          <w:sz w:val="24"/>
        </w:rPr>
        <w:t>6800–6809);</w:t>
      </w:r>
    </w:p>
    <w:p>
      <w:pPr>
        <w:pStyle w:val="BodyText"/>
        <w:spacing w:before="10"/>
        <w:rPr>
          <w:sz w:val="20"/>
        </w:rPr>
      </w:pPr>
    </w:p>
    <w:p>
      <w:pPr>
        <w:pStyle w:val="ListParagraph"/>
        <w:numPr>
          <w:ilvl w:val="1"/>
          <w:numId w:val="45"/>
        </w:numPr>
        <w:tabs>
          <w:tab w:pos="1539" w:val="left" w:leader="none"/>
          <w:tab w:pos="1540" w:val="left" w:leader="none"/>
        </w:tabs>
        <w:spacing w:line="240" w:lineRule="auto" w:before="0" w:after="0"/>
        <w:ind w:left="1540" w:right="0" w:hanging="720"/>
        <w:jc w:val="left"/>
        <w:rPr>
          <w:sz w:val="24"/>
        </w:rPr>
      </w:pPr>
      <w:r>
        <w:rPr>
          <w:strike w:val="0"/>
          <w:color w:val="2E97D3"/>
          <w:sz w:val="24"/>
          <w:u w:val="single" w:color="2E97D3"/>
        </w:rPr>
        <w:t>2. </w:t>
      </w:r>
      <w:r>
        <w:rPr>
          <w:b/>
          <w:strike w:val="0"/>
          <w:sz w:val="24"/>
        </w:rPr>
        <w:t>Budgeting </w:t>
      </w:r>
      <w:r>
        <w:rPr>
          <w:strike w:val="0"/>
          <w:sz w:val="24"/>
        </w:rPr>
        <w:t>capital projects (</w:t>
      </w:r>
      <w:r>
        <w:rPr>
          <w:strike/>
          <w:color w:val="2E97D3"/>
          <w:sz w:val="24"/>
        </w:rPr>
        <w:t>SAM </w:t>
      </w:r>
      <w:r>
        <w:rPr>
          <w:strike w:val="0"/>
          <w:sz w:val="24"/>
        </w:rPr>
        <w:t>Sections</w:t>
      </w:r>
      <w:r>
        <w:rPr>
          <w:strike w:val="0"/>
          <w:spacing w:val="-25"/>
          <w:sz w:val="24"/>
        </w:rPr>
        <w:t> </w:t>
      </w:r>
      <w:r>
        <w:rPr>
          <w:strike w:val="0"/>
          <w:sz w:val="24"/>
        </w:rPr>
        <w:t>6810–6839);</w:t>
      </w:r>
    </w:p>
    <w:p>
      <w:pPr>
        <w:pStyle w:val="BodyText"/>
        <w:spacing w:before="10"/>
        <w:rPr>
          <w:sz w:val="20"/>
        </w:rPr>
      </w:pPr>
    </w:p>
    <w:p>
      <w:pPr>
        <w:pStyle w:val="ListParagraph"/>
        <w:numPr>
          <w:ilvl w:val="1"/>
          <w:numId w:val="45"/>
        </w:numPr>
        <w:tabs>
          <w:tab w:pos="1539" w:val="left" w:leader="none"/>
          <w:tab w:pos="1540" w:val="left" w:leader="none"/>
        </w:tabs>
        <w:spacing w:line="240" w:lineRule="auto" w:before="0" w:after="0"/>
        <w:ind w:left="820" w:right="351" w:firstLine="0"/>
        <w:jc w:val="left"/>
        <w:rPr>
          <w:sz w:val="24"/>
        </w:rPr>
      </w:pPr>
      <w:r>
        <w:rPr>
          <w:strike w:val="0"/>
          <w:color w:val="2E97D3"/>
          <w:sz w:val="24"/>
          <w:u w:val="single" w:color="2E97D3"/>
        </w:rPr>
        <w:t>3. </w:t>
      </w:r>
      <w:r>
        <w:rPr>
          <w:strike w:val="0"/>
          <w:sz w:val="24"/>
        </w:rPr>
        <w:t>The administrative approval process for </w:t>
      </w:r>
      <w:r>
        <w:rPr>
          <w:b/>
          <w:strike w:val="0"/>
          <w:sz w:val="24"/>
        </w:rPr>
        <w:t>implementing </w:t>
      </w:r>
      <w:r>
        <w:rPr>
          <w:strike w:val="0"/>
          <w:sz w:val="24"/>
        </w:rPr>
        <w:t>acquisition, planning, design, construction, and equipping of capital projects (</w:t>
      </w:r>
      <w:r>
        <w:rPr>
          <w:strike/>
          <w:color w:val="2E97D3"/>
          <w:sz w:val="24"/>
        </w:rPr>
        <w:t>SAM </w:t>
      </w:r>
      <w:r>
        <w:rPr>
          <w:strike w:val="0"/>
          <w:sz w:val="24"/>
        </w:rPr>
        <w:t>Sections</w:t>
      </w:r>
      <w:r>
        <w:rPr>
          <w:strike w:val="0"/>
          <w:spacing w:val="-42"/>
          <w:sz w:val="24"/>
        </w:rPr>
        <w:t> </w:t>
      </w:r>
      <w:r>
        <w:rPr>
          <w:strike w:val="0"/>
          <w:sz w:val="24"/>
        </w:rPr>
        <w:t>6840–6868);</w:t>
      </w:r>
    </w:p>
    <w:p>
      <w:pPr>
        <w:pStyle w:val="BodyText"/>
        <w:spacing w:before="10"/>
        <w:rPr>
          <w:sz w:val="20"/>
        </w:rPr>
      </w:pPr>
    </w:p>
    <w:p>
      <w:pPr>
        <w:pStyle w:val="ListParagraph"/>
        <w:numPr>
          <w:ilvl w:val="1"/>
          <w:numId w:val="45"/>
        </w:numPr>
        <w:tabs>
          <w:tab w:pos="1539" w:val="left" w:leader="none"/>
          <w:tab w:pos="1540" w:val="left" w:leader="none"/>
        </w:tabs>
        <w:spacing w:line="240" w:lineRule="auto" w:before="0" w:after="0"/>
        <w:ind w:left="1540" w:right="0" w:hanging="720"/>
        <w:jc w:val="left"/>
        <w:rPr>
          <w:sz w:val="24"/>
        </w:rPr>
      </w:pPr>
      <w:r>
        <w:rPr>
          <w:strike w:val="0"/>
          <w:color w:val="2E97D3"/>
          <w:sz w:val="24"/>
          <w:u w:val="single" w:color="2E97D3"/>
        </w:rPr>
        <w:t>4. </w:t>
      </w:r>
      <w:r>
        <w:rPr>
          <w:b/>
          <w:strike w:val="0"/>
          <w:sz w:val="24"/>
        </w:rPr>
        <w:t>Long-term financing </w:t>
      </w:r>
      <w:r>
        <w:rPr>
          <w:strike w:val="0"/>
          <w:sz w:val="24"/>
        </w:rPr>
        <w:t>of capitalized assets (</w:t>
      </w:r>
      <w:r>
        <w:rPr>
          <w:strike/>
          <w:color w:val="2E97D3"/>
          <w:sz w:val="24"/>
        </w:rPr>
        <w:t>SAM </w:t>
      </w:r>
      <w:r>
        <w:rPr>
          <w:strike w:val="0"/>
          <w:sz w:val="24"/>
        </w:rPr>
        <w:t>Sections 6870–6888);</w:t>
      </w:r>
      <w:r>
        <w:rPr>
          <w:strike w:val="0"/>
          <w:spacing w:val="-36"/>
          <w:sz w:val="24"/>
        </w:rPr>
        <w:t> </w:t>
      </w:r>
      <w:r>
        <w:rPr>
          <w:strike w:val="0"/>
          <w:sz w:val="24"/>
        </w:rPr>
        <w:t>and</w:t>
      </w:r>
    </w:p>
    <w:p>
      <w:pPr>
        <w:pStyle w:val="BodyText"/>
        <w:spacing w:before="10"/>
        <w:rPr>
          <w:sz w:val="20"/>
        </w:rPr>
      </w:pPr>
    </w:p>
    <w:p>
      <w:pPr>
        <w:pStyle w:val="ListParagraph"/>
        <w:numPr>
          <w:ilvl w:val="1"/>
          <w:numId w:val="45"/>
        </w:numPr>
        <w:tabs>
          <w:tab w:pos="1539" w:val="left" w:leader="none"/>
          <w:tab w:pos="1540" w:val="left" w:leader="none"/>
        </w:tabs>
        <w:spacing w:line="240" w:lineRule="auto" w:before="0" w:after="0"/>
        <w:ind w:left="820" w:right="283" w:firstLine="0"/>
        <w:jc w:val="left"/>
        <w:rPr>
          <w:sz w:val="24"/>
        </w:rPr>
      </w:pPr>
      <w:r>
        <w:rPr>
          <w:strike w:val="0"/>
          <w:color w:val="2E97D3"/>
          <w:sz w:val="24"/>
          <w:u w:val="single" w:color="2E97D3"/>
        </w:rPr>
        <w:t>5. </w:t>
      </w:r>
      <w:r>
        <w:rPr>
          <w:b/>
          <w:strike w:val="0"/>
          <w:sz w:val="24"/>
        </w:rPr>
        <w:t>Glossary </w:t>
      </w:r>
      <w:r>
        <w:rPr>
          <w:strike w:val="0"/>
          <w:sz w:val="24"/>
        </w:rPr>
        <w:t>and cross-index of capital outlay terminology, acronyms, and forms (</w:t>
      </w:r>
      <w:r>
        <w:rPr>
          <w:strike/>
          <w:color w:val="2E97D3"/>
          <w:sz w:val="24"/>
        </w:rPr>
        <w:t>SAM </w:t>
      </w:r>
      <w:r>
        <w:rPr>
          <w:strike w:val="0"/>
          <w:sz w:val="24"/>
        </w:rPr>
        <w:t>Section</w:t>
      </w:r>
      <w:r>
        <w:rPr>
          <w:strike w:val="0"/>
          <w:spacing w:val="-8"/>
          <w:sz w:val="24"/>
        </w:rPr>
        <w:t> </w:t>
      </w:r>
      <w:r>
        <w:rPr>
          <w:strike w:val="0"/>
          <w:sz w:val="24"/>
        </w:rPr>
        <w:t>6899).</w:t>
      </w:r>
    </w:p>
    <w:p>
      <w:pPr>
        <w:pStyle w:val="BodyText"/>
        <w:spacing w:before="10"/>
        <w:rPr>
          <w:sz w:val="20"/>
        </w:rPr>
      </w:pPr>
    </w:p>
    <w:p>
      <w:pPr>
        <w:pStyle w:val="BodyText"/>
        <w:ind w:left="820" w:right="189"/>
      </w:pPr>
      <w:r>
        <w:rPr/>
        <w:pict>
          <v:line style="position:absolute;mso-position-horizontal-relative:page;mso-position-vertical-relative:paragraph;z-index:-455536" from="153.479996pt,36.035851pt" to="156.840996pt,36.035851pt" stroked="true" strokeweight=".6pt" strokecolor="#2e97d3">
            <v:stroke dashstyle="solid"/>
            <w10:wrap type="none"/>
          </v:line>
        </w:pict>
      </w:r>
      <w:r>
        <w:rPr/>
        <w:pict>
          <v:line style="position:absolute;mso-position-horizontal-relative:page;mso-position-vertical-relative:paragraph;z-index:17248" from="36.360001pt,27.814852pt" to="36.360001pt,41.615852pt" stroked="true" strokeweight=".72pt" strokecolor="#000000">
            <v:stroke dashstyle="solid"/>
            <w10:wrap type="none"/>
          </v:line>
        </w:pict>
      </w:r>
      <w:r>
        <w:rPr/>
        <w:pict>
          <v:line style="position:absolute;mso-position-horizontal-relative:page;mso-position-vertical-relative:paragraph;z-index:17272" from="36.360001pt,55.415852pt" to="36.360001pt,69.215852pt" stroked="true" strokeweight=".72pt" strokecolor="#000000">
            <v:stroke dashstyle="solid"/>
            <w10:wrap type="none"/>
          </v:line>
        </w:pict>
      </w:r>
      <w:r>
        <w:rPr/>
        <w:t>The Department of Water Resources for the State Water Project and the Department of Transportation for highway-related projects are not subject to the instructions contained in this chapter.  In addition, this chapter does not address projects undertaken with funds not subject to legislative appropriation, such as higher education’s housing, student union programs, and other auxiliary organizations.</w:t>
      </w:r>
    </w:p>
    <w:p>
      <w:pPr>
        <w:pStyle w:val="BodyText"/>
        <w:spacing w:before="11"/>
        <w:rPr>
          <w:sz w:val="23"/>
        </w:rPr>
      </w:pPr>
    </w:p>
    <w:p>
      <w:pPr>
        <w:pStyle w:val="BodyText"/>
        <w:ind w:left="819" w:right="228"/>
      </w:pPr>
      <w:r>
        <w:rPr/>
        <w:pict>
          <v:line style="position:absolute;mso-position-horizontal-relative:page;mso-position-vertical-relative:paragraph;z-index:-455512" from="473.640015pt,36.035862pt" to="477.000015pt,36.035862pt" stroked="true" strokeweight=".6pt" strokecolor="#2e97d3">
            <v:stroke dashstyle="solid"/>
            <w10:wrap type="none"/>
          </v:line>
        </w:pict>
      </w:r>
      <w:r>
        <w:rPr/>
        <w:pict>
          <v:line style="position:absolute;mso-position-horizontal-relative:page;mso-position-vertical-relative:paragraph;z-index:17296" from="36.360001pt,27.814863pt" to="36.360001pt,41.615863pt" stroked="true" strokeweight=".72pt" strokecolor="#000000">
            <v:stroke dashstyle="solid"/>
            <w10:wrap type="none"/>
          </v:line>
        </w:pict>
      </w:r>
      <w:r>
        <w:rPr/>
        <w:pict>
          <v:line style="position:absolute;mso-position-horizontal-relative:page;mso-position-vertical-relative:paragraph;z-index:17320" from="36.360001pt,69.214867pt" to="36.360001pt,83.015867pt" stroked="true" strokeweight=".72pt" strokecolor="#000000">
            <v:stroke dashstyle="solid"/>
            <w10:wrap type="none"/>
          </v:line>
        </w:pict>
      </w:r>
      <w:r>
        <w:rPr/>
        <w:t>As used in this chapter, the term capitalized assets refers to all processes which may result in the acquisition, new construction, alteration, renovation or betterment of real </w:t>
      </w:r>
      <w:r>
        <w:rPr>
          <w:strike/>
          <w:color w:val="2E97D3"/>
        </w:rPr>
        <w:t>assets</w:t>
      </w:r>
      <w:r>
        <w:rPr>
          <w:strike w:val="0"/>
          <w:color w:val="2E97D3"/>
          <w:u w:val="single" w:color="2E97D3"/>
        </w:rPr>
        <w:t>property</w:t>
      </w:r>
      <w:r>
        <w:rPr>
          <w:strike w:val="0"/>
        </w:rPr>
        <w:t>, regardless of character of appropriation for the expenditure. This includes capital outlay projects and budget change proposals, certain leases that meet the definition of a capitalized lease, long-range plans for infrastructure, and financing of projects and capitalized leases.</w:t>
      </w:r>
    </w:p>
    <w:p>
      <w:pPr>
        <w:pStyle w:val="BodyText"/>
        <w:ind w:left="820" w:right="428"/>
      </w:pPr>
      <w:r>
        <w:rPr/>
        <w:pict>
          <v:line style="position:absolute;mso-position-horizontal-relative:page;mso-position-vertical-relative:paragraph;z-index:-455488" from="308.880005pt,22.235846pt" to="312.240005pt,22.235846pt" stroked="true" strokeweight=".6pt" strokecolor="#2e97d3">
            <v:stroke dashstyle="solid"/>
            <w10:wrap type="none"/>
          </v:line>
        </w:pict>
      </w:r>
      <w:r>
        <w:rPr/>
        <w:pict>
          <v:line style="position:absolute;mso-position-horizontal-relative:page;mso-position-vertical-relative:paragraph;z-index:17344" from="36.360001pt,14.015844pt" to="36.360001pt,27.815844pt" stroked="true" strokeweight=".72pt" strokecolor="#000000">
            <v:stroke dashstyle="solid"/>
            <w10:wrap type="none"/>
          </v:line>
        </w:pict>
      </w:r>
      <w:r>
        <w:rPr/>
        <w:t>The term capital outlay refers to a subset of these activities, funded specifically under the capital outlay character of appropriation. See Section 6806 for a discussion of characters of appropriation.</w:t>
      </w:r>
    </w:p>
    <w:p>
      <w:pPr>
        <w:spacing w:after="0"/>
        <w:sectPr>
          <w:footerReference w:type="default" r:id="rId159"/>
          <w:pgSz w:w="12240" w:h="15840"/>
          <w:pgMar w:footer="792" w:header="728" w:top="980" w:bottom="980" w:left="620" w:right="1320"/>
        </w:sectPr>
      </w:pPr>
    </w:p>
    <w:p>
      <w:pPr>
        <w:pStyle w:val="BodyText"/>
        <w:rPr>
          <w:sz w:val="20"/>
        </w:rPr>
      </w:pPr>
      <w:r>
        <w:rPr/>
        <w:pict>
          <v:line style="position:absolute;mso-position-horizontal-relative:page;mso-position-vertical-relative:page;z-index:17536" from="36.360001pt,709.799988pt" to="36.360001pt,755.999988pt" stroked="true" strokeweight=".72pt" strokecolor="#000000">
            <v:stroke dashstyle="solid"/>
            <w10:wrap type="none"/>
          </v:line>
        </w:pict>
      </w:r>
    </w:p>
    <w:p>
      <w:pPr>
        <w:tabs>
          <w:tab w:pos="9647" w:val="left" w:leader="none"/>
        </w:tabs>
        <w:spacing w:before="214"/>
        <w:ind w:left="820" w:right="0" w:firstLine="0"/>
        <w:jc w:val="left"/>
        <w:rPr>
          <w:b/>
          <w:sz w:val="24"/>
        </w:rPr>
      </w:pPr>
      <w:r>
        <w:rPr/>
        <w:pict>
          <v:line style="position:absolute;mso-position-horizontal-relative:page;mso-position-vertical-relative:paragraph;z-index:17416" from="36.360001pt,24.714882pt" to="36.360001pt,119.515882pt" stroked="true" strokeweight=".72pt" strokecolor="#000000">
            <v:stroke dashstyle="solid"/>
            <w10:wrap type="none"/>
          </v:line>
        </w:pict>
      </w:r>
      <w:r>
        <w:rPr>
          <w:b/>
          <w:sz w:val="24"/>
        </w:rPr>
        <w:t>CAPITALIZED ASSETS:  WHO</w:t>
      </w:r>
      <w:r>
        <w:rPr>
          <w:b/>
          <w:spacing w:val="-7"/>
          <w:sz w:val="24"/>
        </w:rPr>
        <w:t> </w:t>
      </w:r>
      <w:r>
        <w:rPr>
          <w:b/>
          <w:sz w:val="24"/>
        </w:rPr>
        <w:t>DOES</w:t>
      </w:r>
      <w:r>
        <w:rPr>
          <w:b/>
          <w:spacing w:val="-5"/>
          <w:sz w:val="24"/>
        </w:rPr>
        <w:t> </w:t>
      </w:r>
      <w:r>
        <w:rPr>
          <w:b/>
          <w:sz w:val="24"/>
        </w:rPr>
        <w:t>WHAT</w:t>
        <w:tab/>
        <w:t>6805</w:t>
      </w:r>
    </w:p>
    <w:p>
      <w:pPr>
        <w:pStyle w:val="BodyText"/>
        <w:ind w:left="820"/>
      </w:pPr>
      <w:r>
        <w:rPr>
          <w:strike/>
          <w:color w:val="2E97D3"/>
        </w:rPr>
        <w:t>(New 5/1998)</w:t>
      </w:r>
    </w:p>
    <w:p>
      <w:pPr>
        <w:pStyle w:val="BodyText"/>
        <w:spacing w:before="120"/>
        <w:ind w:left="820"/>
      </w:pPr>
      <w:r>
        <w:rPr>
          <w:strike/>
          <w:color w:val="2E97D3"/>
        </w:rPr>
        <w:t>The client department</w:t>
      </w:r>
      <w:r>
        <w:rPr>
          <w:strike w:val="0"/>
          <w:color w:val="2E97D3"/>
          <w:u w:val="single" w:color="2E97D3"/>
        </w:rPr>
        <w:t>(Revised 11/2017)</w:t>
      </w:r>
    </w:p>
    <w:p>
      <w:pPr>
        <w:pStyle w:val="BodyText"/>
        <w:spacing w:before="120"/>
        <w:ind w:left="820" w:right="190"/>
      </w:pPr>
      <w:r>
        <w:rPr>
          <w:color w:val="2E97D3"/>
          <w:u w:val="single" w:color="2E97D3"/>
        </w:rPr>
        <w:t>Departments</w:t>
      </w:r>
      <w:r>
        <w:rPr/>
        <w:t>, the State Public Works Board </w:t>
      </w:r>
      <w:r>
        <w:rPr>
          <w:strike/>
          <w:color w:val="2E97D3"/>
        </w:rPr>
        <w:t>(</w:t>
      </w:r>
      <w:r>
        <w:rPr>
          <w:strike/>
          <w:color w:val="2E97D3"/>
          <w:u w:val="single" w:color="2E97D3"/>
        </w:rPr>
        <w:t>PWB</w:t>
      </w:r>
      <w:r>
        <w:rPr>
          <w:strike/>
          <w:color w:val="2E97D3"/>
        </w:rPr>
        <w:t>),</w:t>
      </w:r>
      <w:r>
        <w:rPr>
          <w:strike w:val="0"/>
          <w:color w:val="2E97D3"/>
          <w:u w:val="single" w:color="2E97D3"/>
        </w:rPr>
        <w:t>(PWB), </w:t>
      </w:r>
      <w:r>
        <w:rPr>
          <w:strike w:val="0"/>
        </w:rPr>
        <w:t>the Department of Finance </w:t>
      </w:r>
      <w:r>
        <w:rPr>
          <w:strike/>
          <w:color w:val="2E97D3"/>
        </w:rPr>
        <w:t>(</w:t>
      </w:r>
      <w:r>
        <w:rPr>
          <w:strike/>
          <w:color w:val="2E97D3"/>
          <w:u w:val="single" w:color="2E97D3"/>
        </w:rPr>
        <w:t>DOF</w:t>
      </w:r>
      <w:r>
        <w:rPr>
          <w:strike/>
          <w:color w:val="2E97D3"/>
        </w:rPr>
        <w:t>),</w:t>
      </w:r>
      <w:r>
        <w:rPr>
          <w:strike w:val="0"/>
          <w:color w:val="2E97D3"/>
          <w:u w:val="single" w:color="2E97D3"/>
        </w:rPr>
        <w:t>(Finance), </w:t>
      </w:r>
      <w:r>
        <w:rPr>
          <w:strike w:val="0"/>
        </w:rPr>
        <w:t>the Department of General Services </w:t>
      </w:r>
      <w:r>
        <w:rPr>
          <w:strike/>
          <w:color w:val="2E97D3"/>
        </w:rPr>
        <w:t>(</w:t>
      </w:r>
      <w:r>
        <w:rPr>
          <w:strike/>
          <w:color w:val="2E97D3"/>
          <w:u w:val="single" w:color="2E97D3"/>
        </w:rPr>
        <w:t>DGS</w:t>
      </w:r>
      <w:r>
        <w:rPr>
          <w:strike/>
          <w:color w:val="2E97D3"/>
        </w:rPr>
        <w:t>),</w:t>
      </w:r>
      <w:r>
        <w:rPr>
          <w:strike w:val="0"/>
          <w:color w:val="2E97D3"/>
          <w:u w:val="single" w:color="2E97D3"/>
        </w:rPr>
        <w:t>(DGS), </w:t>
      </w:r>
      <w:r>
        <w:rPr>
          <w:strike w:val="0"/>
        </w:rPr>
        <w:t>the Pooled Money Investment Board </w:t>
      </w:r>
      <w:r>
        <w:rPr>
          <w:strike/>
          <w:color w:val="2E97D3"/>
        </w:rPr>
        <w:t>(</w:t>
      </w:r>
      <w:r>
        <w:rPr>
          <w:strike/>
          <w:color w:val="2E97D3"/>
          <w:u w:val="single" w:color="2E97D3"/>
        </w:rPr>
        <w:t>PMIB</w:t>
      </w:r>
      <w:r>
        <w:rPr>
          <w:strike/>
          <w:color w:val="2E97D3"/>
        </w:rPr>
        <w:t>),</w:t>
      </w:r>
      <w:r>
        <w:rPr>
          <w:strike w:val="0"/>
          <w:color w:val="2E97D3"/>
          <w:u w:val="single" w:color="2E97D3"/>
        </w:rPr>
        <w:t>(PMIB), </w:t>
      </w:r>
      <w:r>
        <w:rPr>
          <w:strike w:val="0"/>
        </w:rPr>
        <w:t>and the State Treasurer’s Office </w:t>
      </w:r>
      <w:r>
        <w:rPr>
          <w:strike/>
          <w:color w:val="2E97D3"/>
        </w:rPr>
        <w:t>(</w:t>
      </w:r>
      <w:r>
        <w:rPr>
          <w:strike/>
          <w:color w:val="2E97D3"/>
          <w:u w:val="single" w:color="2E97D3"/>
        </w:rPr>
        <w:t>STO</w:t>
      </w:r>
      <w:r>
        <w:rPr>
          <w:strike/>
          <w:color w:val="2E97D3"/>
        </w:rPr>
        <w:t>)</w:t>
      </w:r>
      <w:r>
        <w:rPr>
          <w:strike w:val="0"/>
          <w:color w:val="2E97D3"/>
          <w:u w:val="single" w:color="2E97D3"/>
        </w:rPr>
        <w:t>(STO) </w:t>
      </w:r>
      <w:r>
        <w:rPr>
          <w:strike w:val="0"/>
        </w:rPr>
        <w:t>all </w:t>
      </w:r>
      <w:r>
        <w:rPr>
          <w:strike/>
          <w:color w:val="2E97D3"/>
        </w:rPr>
        <w:t>may </w:t>
      </w:r>
      <w:r>
        <w:rPr>
          <w:strike w:val="0"/>
        </w:rPr>
        <w:t>perform key roles in carrying out </w:t>
      </w:r>
      <w:r>
        <w:rPr>
          <w:strike/>
          <w:color w:val="2E97D3"/>
        </w:rPr>
        <w:t>an</w:t>
      </w:r>
      <w:r>
        <w:rPr>
          <w:strike w:val="0"/>
          <w:color w:val="2E97D3"/>
          <w:u w:val="single" w:color="2E97D3"/>
        </w:rPr>
        <w:t>the state’s </w:t>
      </w:r>
      <w:r>
        <w:rPr>
          <w:strike w:val="0"/>
        </w:rPr>
        <w:t>infrastructure program.</w:t>
      </w:r>
    </w:p>
    <w:p>
      <w:pPr>
        <w:pStyle w:val="BodyText"/>
        <w:spacing w:before="11"/>
        <w:rPr>
          <w:sz w:val="15"/>
        </w:rPr>
      </w:pPr>
    </w:p>
    <w:p>
      <w:pPr>
        <w:pStyle w:val="ListParagraph"/>
        <w:numPr>
          <w:ilvl w:val="0"/>
          <w:numId w:val="46"/>
        </w:numPr>
        <w:tabs>
          <w:tab w:pos="820" w:val="left" w:leader="none"/>
          <w:tab w:pos="1539" w:val="left" w:leader="none"/>
        </w:tabs>
        <w:spacing w:line="240" w:lineRule="auto" w:before="92" w:after="0"/>
        <w:ind w:left="820" w:right="246" w:hanging="360"/>
        <w:jc w:val="left"/>
        <w:rPr>
          <w:sz w:val="24"/>
        </w:rPr>
      </w:pPr>
      <w:r>
        <w:rPr/>
        <w:pict>
          <v:line style="position:absolute;mso-position-horizontal-relative:page;mso-position-vertical-relative:paragraph;z-index:-455296" from="414.720001pt,26.835857pt" to="418.080001pt,26.835857pt" stroked="true" strokeweight=".6pt" strokecolor="#2e97d3">
            <v:stroke dashstyle="solid"/>
            <w10:wrap type="none"/>
          </v:line>
        </w:pict>
      </w:r>
      <w:r>
        <w:rPr/>
        <w:pict>
          <v:line style="position:absolute;mso-position-horizontal-relative:page;mso-position-vertical-relative:paragraph;z-index:-455272" from="280.920013pt,95.835854pt" to="284.281013pt,95.835854pt" stroked="true" strokeweight=".6pt" strokecolor="#2e97d3">
            <v:stroke dashstyle="solid"/>
            <w10:wrap type="none"/>
          </v:line>
        </w:pict>
      </w:r>
      <w:r>
        <w:rPr/>
        <w:pict>
          <v:line style="position:absolute;mso-position-horizontal-relative:page;mso-position-vertical-relative:paragraph;z-index:17440" from="36.360001pt,4.815857pt" to="36.360001pt,32.415857pt" stroked="true" strokeweight=".72pt" strokecolor="#000000">
            <v:stroke dashstyle="solid"/>
            <w10:wrap type="none"/>
          </v:line>
        </w:pict>
      </w:r>
      <w:r>
        <w:rPr/>
        <w:pict>
          <v:line style="position:absolute;mso-position-horizontal-relative:page;mso-position-vertical-relative:paragraph;z-index:17464" from="36.360001pt,46.215858pt" to="36.360001pt,73.815858pt" stroked="true" strokeweight=".72pt" strokecolor="#000000">
            <v:stroke dashstyle="solid"/>
            <w10:wrap type="none"/>
          </v:line>
        </w:pict>
      </w:r>
      <w:r>
        <w:rPr/>
        <w:pict>
          <v:line style="position:absolute;mso-position-horizontal-relative:page;mso-position-vertical-relative:paragraph;z-index:17488" from="36.360001pt,87.61586pt" to="36.360001pt,115.21586pt" stroked="true" strokeweight=".72pt" strokecolor="#000000">
            <v:stroke dashstyle="solid"/>
            <w10:wrap type="none"/>
          </v:line>
        </w:pict>
      </w:r>
      <w:r>
        <w:rPr/>
        <w:pict>
          <v:line style="position:absolute;mso-position-horizontal-relative:page;mso-position-vertical-relative:paragraph;z-index:17512" from="36.360001pt,129.015854pt" to="36.360001pt,465.015854pt" stroked="true" strokeweight=".72pt" strokecolor="#000000">
            <v:stroke dashstyle="solid"/>
            <w10:wrap type="none"/>
          </v:line>
        </w:pict>
      </w:r>
      <w:r>
        <w:rPr>
          <w:strike/>
          <w:color w:val="2E97D3"/>
          <w:sz w:val="24"/>
        </w:rPr>
        <w:t>1.</w:t>
        <w:tab/>
        <w:t>The </w:t>
      </w:r>
      <w:r>
        <w:rPr>
          <w:b/>
          <w:strike/>
          <w:color w:val="2E97D3"/>
          <w:sz w:val="24"/>
        </w:rPr>
        <w:t>client</w:t>
      </w:r>
      <w:r>
        <w:rPr>
          <w:strike w:val="0"/>
          <w:color w:val="2E97D3"/>
          <w:sz w:val="24"/>
          <w:u w:val="single" w:color="2E97D3"/>
        </w:rPr>
        <w:t>Each </w:t>
      </w:r>
      <w:r>
        <w:rPr>
          <w:b/>
          <w:strike w:val="0"/>
          <w:sz w:val="24"/>
        </w:rPr>
        <w:t>department </w:t>
      </w:r>
      <w:r>
        <w:rPr>
          <w:strike w:val="0"/>
          <w:sz w:val="24"/>
        </w:rPr>
        <w:t>manages the programs for</w:t>
      </w:r>
      <w:r>
        <w:rPr>
          <w:strike w:val="0"/>
          <w:spacing w:val="-29"/>
          <w:sz w:val="24"/>
        </w:rPr>
        <w:t> </w:t>
      </w:r>
      <w:r>
        <w:rPr>
          <w:strike w:val="0"/>
          <w:sz w:val="24"/>
        </w:rPr>
        <w:t>which</w:t>
      </w:r>
      <w:r>
        <w:rPr>
          <w:strike w:val="0"/>
          <w:spacing w:val="-3"/>
          <w:sz w:val="24"/>
        </w:rPr>
        <w:t> </w:t>
      </w:r>
      <w:r>
        <w:rPr>
          <w:strike w:val="0"/>
          <w:sz w:val="24"/>
        </w:rPr>
        <w:t>infrastructure</w:t>
      </w:r>
      <w:r>
        <w:rPr>
          <w:strike w:val="0"/>
          <w:w w:val="99"/>
          <w:sz w:val="24"/>
        </w:rPr>
        <w:t> </w:t>
      </w:r>
      <w:r>
        <w:rPr>
          <w:strike w:val="0"/>
          <w:sz w:val="24"/>
        </w:rPr>
        <w:t>acquisition, construction or improvement is a supporting activity. The department identifies program needs in a strategic plan, determines the related infrastructure requirements, prepares a five-year </w:t>
      </w:r>
      <w:r>
        <w:rPr>
          <w:strike/>
          <w:color w:val="2E97D3"/>
          <w:sz w:val="24"/>
        </w:rPr>
        <w:t>capitalized assets</w:t>
      </w:r>
      <w:r>
        <w:rPr>
          <w:strike w:val="0"/>
          <w:color w:val="2E97D3"/>
          <w:sz w:val="24"/>
          <w:u w:val="single" w:color="2E97D3"/>
        </w:rPr>
        <w:t>infrastructure </w:t>
      </w:r>
      <w:r>
        <w:rPr>
          <w:strike w:val="0"/>
          <w:sz w:val="24"/>
        </w:rPr>
        <w:t>plan, prepares individual capital outlay budget change proposals, works with </w:t>
      </w:r>
      <w:r>
        <w:rPr>
          <w:strike/>
          <w:color w:val="2E97D3"/>
          <w:sz w:val="24"/>
        </w:rPr>
        <w:t>DOF</w:t>
      </w:r>
      <w:r>
        <w:rPr>
          <w:strike w:val="0"/>
          <w:color w:val="2E97D3"/>
          <w:sz w:val="24"/>
          <w:u w:val="single" w:color="2E97D3"/>
        </w:rPr>
        <w:t>Finance </w:t>
      </w:r>
      <w:r>
        <w:rPr>
          <w:strike w:val="0"/>
          <w:sz w:val="24"/>
        </w:rPr>
        <w:t>and DGS to budget and implement the plan, and may work with PMIB and STO to provide interim and long-term financing for the project. At all stages of a capital outlay project or a capitalized lease project, </w:t>
      </w:r>
      <w:r>
        <w:rPr>
          <w:strike/>
          <w:color w:val="2E97D3"/>
          <w:sz w:val="24"/>
        </w:rPr>
        <w:t>the client department is</w:t>
      </w:r>
      <w:r>
        <w:rPr>
          <w:strike w:val="0"/>
          <w:color w:val="2E97D3"/>
          <w:sz w:val="24"/>
          <w:u w:val="single" w:color="2E97D3"/>
        </w:rPr>
        <w:t>departments are </w:t>
      </w:r>
      <w:r>
        <w:rPr>
          <w:strike w:val="0"/>
          <w:sz w:val="24"/>
        </w:rPr>
        <w:t>responsible for justifying program needs, keeping the project within scope and cost, and meeting administrative requirements set forth in statute and </w:t>
      </w:r>
      <w:r>
        <w:rPr>
          <w:strike/>
          <w:color w:val="2E97D3"/>
          <w:sz w:val="24"/>
          <w:u w:val="single" w:color="2E97D3"/>
        </w:rPr>
        <w:t>SAM</w:t>
      </w:r>
      <w:r>
        <w:rPr>
          <w:strike/>
          <w:color w:val="2E97D3"/>
          <w:sz w:val="24"/>
        </w:rPr>
        <w:t>. Some departments have the authority to design and construct projects, exclusive of the control or oversight of DOF, PWB and/or</w:t>
      </w:r>
      <w:r>
        <w:rPr>
          <w:strike/>
          <w:color w:val="2E97D3"/>
          <w:spacing w:val="-10"/>
          <w:sz w:val="24"/>
        </w:rPr>
        <w:t> </w:t>
      </w:r>
      <w:r>
        <w:rPr>
          <w:strike/>
          <w:color w:val="2E97D3"/>
          <w:sz w:val="24"/>
        </w:rPr>
        <w:t>DGS.</w:t>
      </w:r>
      <w:r>
        <w:rPr>
          <w:strike w:val="0"/>
          <w:color w:val="2E97D3"/>
          <w:sz w:val="24"/>
          <w:u w:val="single" w:color="2E97D3"/>
        </w:rPr>
        <w:t>SAM.</w:t>
      </w:r>
    </w:p>
    <w:p>
      <w:pPr>
        <w:pStyle w:val="Heading2"/>
        <w:numPr>
          <w:ilvl w:val="0"/>
          <w:numId w:val="46"/>
        </w:numPr>
        <w:tabs>
          <w:tab w:pos="1539" w:val="left" w:leader="none"/>
          <w:tab w:pos="1540" w:val="left" w:leader="none"/>
        </w:tabs>
        <w:spacing w:line="240" w:lineRule="auto" w:before="0" w:after="0"/>
        <w:ind w:left="1540" w:right="0" w:hanging="720"/>
        <w:jc w:val="left"/>
      </w:pPr>
      <w:r>
        <w:rPr>
          <w:strike/>
          <w:color w:val="2E97D3"/>
        </w:rPr>
        <w:t>DOF</w:t>
      </w:r>
    </w:p>
    <w:p>
      <w:pPr>
        <w:pStyle w:val="BodyText"/>
        <w:ind w:left="820" w:right="228"/>
      </w:pPr>
      <w:r>
        <w:rPr>
          <w:color w:val="2E97D3"/>
          <w:u w:val="single" w:color="2E97D3"/>
        </w:rPr>
        <w:t>The following departments have authority to design and construct projects, exclusive of the control or oversight of DGS, with certain limitations:</w:t>
      </w:r>
    </w:p>
    <w:p>
      <w:pPr>
        <w:pStyle w:val="BodyText"/>
        <w:spacing w:before="10"/>
        <w:rPr>
          <w:sz w:val="15"/>
        </w:rPr>
      </w:pPr>
    </w:p>
    <w:p>
      <w:pPr>
        <w:pStyle w:val="Heading2"/>
        <w:spacing w:before="93"/>
        <w:ind w:left="1180"/>
      </w:pPr>
      <w:r>
        <w:rPr>
          <w:color w:val="2E97D3"/>
          <w:u w:val="thick" w:color="2E97D3"/>
        </w:rPr>
        <w:t>Departments authorized to manage capital outlay projects</w:t>
      </w:r>
    </w:p>
    <w:p>
      <w:pPr>
        <w:pStyle w:val="ListParagraph"/>
        <w:numPr>
          <w:ilvl w:val="1"/>
          <w:numId w:val="46"/>
        </w:numPr>
        <w:tabs>
          <w:tab w:pos="1286" w:val="left" w:leader="none"/>
        </w:tabs>
        <w:spacing w:line="240" w:lineRule="auto" w:before="120" w:after="0"/>
        <w:ind w:left="1285" w:right="0" w:hanging="360"/>
        <w:jc w:val="left"/>
        <w:rPr>
          <w:sz w:val="24"/>
        </w:rPr>
      </w:pPr>
      <w:r>
        <w:rPr>
          <w:color w:val="2E97D3"/>
          <w:sz w:val="24"/>
          <w:u w:val="single" w:color="2E97D3"/>
        </w:rPr>
        <w:t>0250 – Judicial</w:t>
      </w:r>
      <w:r>
        <w:rPr>
          <w:color w:val="2E97D3"/>
          <w:spacing w:val="-9"/>
          <w:sz w:val="24"/>
          <w:u w:val="single" w:color="2E97D3"/>
        </w:rPr>
        <w:t> </w:t>
      </w:r>
      <w:r>
        <w:rPr>
          <w:color w:val="2E97D3"/>
          <w:sz w:val="24"/>
          <w:u w:val="single" w:color="2E97D3"/>
        </w:rPr>
        <w:t>Branch</w:t>
      </w:r>
    </w:p>
    <w:p>
      <w:pPr>
        <w:pStyle w:val="ListParagraph"/>
        <w:numPr>
          <w:ilvl w:val="1"/>
          <w:numId w:val="46"/>
        </w:numPr>
        <w:tabs>
          <w:tab w:pos="1286" w:val="left" w:leader="none"/>
        </w:tabs>
        <w:spacing w:line="240" w:lineRule="auto" w:before="120" w:after="0"/>
        <w:ind w:left="1285" w:right="0" w:hanging="360"/>
        <w:jc w:val="left"/>
        <w:rPr>
          <w:sz w:val="24"/>
        </w:rPr>
      </w:pPr>
      <w:r>
        <w:rPr>
          <w:color w:val="2E97D3"/>
          <w:sz w:val="24"/>
          <w:u w:val="single" w:color="2E97D3"/>
        </w:rPr>
        <w:t>3540 – Forestry and Fire Protection (limited</w:t>
      </w:r>
      <w:r>
        <w:rPr>
          <w:color w:val="2E97D3"/>
          <w:spacing w:val="-28"/>
          <w:sz w:val="24"/>
          <w:u w:val="single" w:color="2E97D3"/>
        </w:rPr>
        <w:t> </w:t>
      </w:r>
      <w:r>
        <w:rPr>
          <w:color w:val="2E97D3"/>
          <w:sz w:val="24"/>
          <w:u w:val="single" w:color="2E97D3"/>
        </w:rPr>
        <w:t>authority)</w:t>
      </w:r>
    </w:p>
    <w:p>
      <w:pPr>
        <w:pStyle w:val="ListParagraph"/>
        <w:numPr>
          <w:ilvl w:val="1"/>
          <w:numId w:val="46"/>
        </w:numPr>
        <w:tabs>
          <w:tab w:pos="1286" w:val="left" w:leader="none"/>
        </w:tabs>
        <w:spacing w:line="240" w:lineRule="auto" w:before="120" w:after="0"/>
        <w:ind w:left="1285" w:right="0" w:hanging="360"/>
        <w:jc w:val="left"/>
        <w:rPr>
          <w:sz w:val="24"/>
        </w:rPr>
      </w:pPr>
      <w:r>
        <w:rPr>
          <w:color w:val="2E97D3"/>
          <w:sz w:val="24"/>
          <w:u w:val="single" w:color="2E97D3"/>
        </w:rPr>
        <w:t>3790 – Parks and</w:t>
      </w:r>
      <w:r>
        <w:rPr>
          <w:color w:val="2E97D3"/>
          <w:spacing w:val="-13"/>
          <w:sz w:val="24"/>
          <w:u w:val="single" w:color="2E97D3"/>
        </w:rPr>
        <w:t> </w:t>
      </w:r>
      <w:r>
        <w:rPr>
          <w:color w:val="2E97D3"/>
          <w:sz w:val="24"/>
          <w:u w:val="single" w:color="2E97D3"/>
        </w:rPr>
        <w:t>Recreation</w:t>
      </w:r>
    </w:p>
    <w:p>
      <w:pPr>
        <w:pStyle w:val="ListParagraph"/>
        <w:numPr>
          <w:ilvl w:val="1"/>
          <w:numId w:val="46"/>
        </w:numPr>
        <w:tabs>
          <w:tab w:pos="1286" w:val="left" w:leader="none"/>
        </w:tabs>
        <w:spacing w:line="240" w:lineRule="auto" w:before="120" w:after="0"/>
        <w:ind w:left="1285" w:right="0" w:hanging="360"/>
        <w:jc w:val="left"/>
        <w:rPr>
          <w:sz w:val="24"/>
        </w:rPr>
      </w:pPr>
      <w:r>
        <w:rPr>
          <w:color w:val="2E97D3"/>
          <w:sz w:val="24"/>
          <w:u w:val="single" w:color="2E97D3"/>
        </w:rPr>
        <w:t>5225 – Corrections and</w:t>
      </w:r>
      <w:r>
        <w:rPr>
          <w:color w:val="2E97D3"/>
          <w:spacing w:val="-19"/>
          <w:sz w:val="24"/>
          <w:u w:val="single" w:color="2E97D3"/>
        </w:rPr>
        <w:t> </w:t>
      </w:r>
      <w:r>
        <w:rPr>
          <w:color w:val="2E97D3"/>
          <w:sz w:val="24"/>
          <w:u w:val="single" w:color="2E97D3"/>
        </w:rPr>
        <w:t>Rehabilitation</w:t>
      </w:r>
    </w:p>
    <w:p>
      <w:pPr>
        <w:pStyle w:val="ListParagraph"/>
        <w:numPr>
          <w:ilvl w:val="1"/>
          <w:numId w:val="46"/>
        </w:numPr>
        <w:tabs>
          <w:tab w:pos="1286" w:val="left" w:leader="none"/>
        </w:tabs>
        <w:spacing w:line="240" w:lineRule="auto" w:before="120" w:after="0"/>
        <w:ind w:left="1285" w:right="0" w:hanging="360"/>
        <w:jc w:val="left"/>
        <w:rPr>
          <w:sz w:val="24"/>
        </w:rPr>
      </w:pPr>
      <w:r>
        <w:rPr>
          <w:color w:val="2E97D3"/>
          <w:sz w:val="24"/>
          <w:u w:val="single" w:color="2E97D3"/>
        </w:rPr>
        <w:t>6870 – California Community</w:t>
      </w:r>
      <w:r>
        <w:rPr>
          <w:color w:val="2E97D3"/>
          <w:spacing w:val="-18"/>
          <w:sz w:val="24"/>
          <w:u w:val="single" w:color="2E97D3"/>
        </w:rPr>
        <w:t> </w:t>
      </w:r>
      <w:r>
        <w:rPr>
          <w:color w:val="2E97D3"/>
          <w:sz w:val="24"/>
          <w:u w:val="single" w:color="2E97D3"/>
        </w:rPr>
        <w:t>Colleges</w:t>
      </w:r>
    </w:p>
    <w:p>
      <w:pPr>
        <w:pStyle w:val="ListParagraph"/>
        <w:numPr>
          <w:ilvl w:val="1"/>
          <w:numId w:val="46"/>
        </w:numPr>
        <w:tabs>
          <w:tab w:pos="1286" w:val="left" w:leader="none"/>
        </w:tabs>
        <w:spacing w:line="240" w:lineRule="auto" w:before="120" w:after="0"/>
        <w:ind w:left="1285" w:right="0" w:hanging="360"/>
        <w:jc w:val="left"/>
        <w:rPr>
          <w:sz w:val="24"/>
        </w:rPr>
      </w:pPr>
      <w:r>
        <w:rPr>
          <w:color w:val="2E97D3"/>
          <w:sz w:val="24"/>
          <w:u w:val="single" w:color="2E97D3"/>
        </w:rPr>
        <w:t>6610 – California State</w:t>
      </w:r>
      <w:r>
        <w:rPr>
          <w:color w:val="2E97D3"/>
          <w:spacing w:val="-17"/>
          <w:sz w:val="24"/>
          <w:u w:val="single" w:color="2E97D3"/>
        </w:rPr>
        <w:t> </w:t>
      </w:r>
      <w:r>
        <w:rPr>
          <w:color w:val="2E97D3"/>
          <w:sz w:val="24"/>
          <w:u w:val="single" w:color="2E97D3"/>
        </w:rPr>
        <w:t>University</w:t>
      </w:r>
    </w:p>
    <w:p>
      <w:pPr>
        <w:pStyle w:val="ListParagraph"/>
        <w:numPr>
          <w:ilvl w:val="1"/>
          <w:numId w:val="46"/>
        </w:numPr>
        <w:tabs>
          <w:tab w:pos="1286" w:val="left" w:leader="none"/>
        </w:tabs>
        <w:spacing w:line="240" w:lineRule="auto" w:before="120" w:after="0"/>
        <w:ind w:left="1285" w:right="0" w:hanging="360"/>
        <w:jc w:val="left"/>
        <w:rPr>
          <w:sz w:val="24"/>
        </w:rPr>
      </w:pPr>
      <w:r>
        <w:rPr>
          <w:color w:val="2E97D3"/>
          <w:sz w:val="24"/>
          <w:u w:val="single" w:color="2E97D3"/>
        </w:rPr>
        <w:t>6440 – University of</w:t>
      </w:r>
      <w:r>
        <w:rPr>
          <w:color w:val="2E97D3"/>
          <w:spacing w:val="-15"/>
          <w:sz w:val="24"/>
          <w:u w:val="single" w:color="2E97D3"/>
        </w:rPr>
        <w:t> </w:t>
      </w:r>
      <w:r>
        <w:rPr>
          <w:color w:val="2E97D3"/>
          <w:sz w:val="24"/>
          <w:u w:val="single" w:color="2E97D3"/>
        </w:rPr>
        <w:t>California</w:t>
      </w:r>
    </w:p>
    <w:p>
      <w:pPr>
        <w:pStyle w:val="ListParagraph"/>
        <w:numPr>
          <w:ilvl w:val="1"/>
          <w:numId w:val="46"/>
        </w:numPr>
        <w:tabs>
          <w:tab w:pos="1286" w:val="left" w:leader="none"/>
        </w:tabs>
        <w:spacing w:line="240" w:lineRule="auto" w:before="120" w:after="0"/>
        <w:ind w:left="1285" w:right="0" w:hanging="360"/>
        <w:jc w:val="left"/>
        <w:rPr>
          <w:sz w:val="24"/>
        </w:rPr>
      </w:pPr>
      <w:r>
        <w:rPr>
          <w:color w:val="2E97D3"/>
          <w:sz w:val="24"/>
          <w:u w:val="single" w:color="2E97D3"/>
        </w:rPr>
        <w:t>8940 – California Military</w:t>
      </w:r>
      <w:r>
        <w:rPr>
          <w:color w:val="2E97D3"/>
          <w:spacing w:val="-17"/>
          <w:sz w:val="24"/>
          <w:u w:val="single" w:color="2E97D3"/>
        </w:rPr>
        <w:t> </w:t>
      </w:r>
      <w:r>
        <w:rPr>
          <w:color w:val="2E97D3"/>
          <w:sz w:val="24"/>
          <w:u w:val="single" w:color="2E97D3"/>
        </w:rPr>
        <w:t>Department</w:t>
      </w:r>
    </w:p>
    <w:p>
      <w:pPr>
        <w:pStyle w:val="BodyText"/>
        <w:spacing w:before="120"/>
        <w:ind w:left="820" w:right="255"/>
      </w:pPr>
      <w:r>
        <w:rPr>
          <w:color w:val="2E97D3"/>
          <w:u w:val="single" w:color="2E97D3"/>
        </w:rPr>
        <w:t>Although the above departments have authority to manage capital outlay projects exclusive of DGS’ control and oversight, these departments are subject to Finance and PWB control and oversight (special rules apply for the universities).</w:t>
      </w:r>
    </w:p>
    <w:p>
      <w:pPr>
        <w:pStyle w:val="ListParagraph"/>
        <w:numPr>
          <w:ilvl w:val="0"/>
          <w:numId w:val="47"/>
        </w:numPr>
        <w:tabs>
          <w:tab w:pos="820" w:val="left" w:leader="none"/>
        </w:tabs>
        <w:spacing w:line="240" w:lineRule="auto" w:before="120" w:after="0"/>
        <w:ind w:left="820" w:right="230" w:hanging="360"/>
        <w:jc w:val="left"/>
        <w:rPr>
          <w:color w:val="2E97D3"/>
          <w:sz w:val="24"/>
        </w:rPr>
      </w:pPr>
      <w:r>
        <w:rPr>
          <w:b/>
          <w:color w:val="2E97D3"/>
          <w:sz w:val="24"/>
          <w:u w:val="thick" w:color="2E97D3"/>
        </w:rPr>
        <w:t>Finance </w:t>
      </w:r>
      <w:r>
        <w:rPr>
          <w:sz w:val="24"/>
        </w:rPr>
        <w:t>reviews capital outlay budget change proposals (COBCPs) for inclusion in the </w:t>
      </w:r>
      <w:r>
        <w:rPr>
          <w:i/>
          <w:sz w:val="24"/>
        </w:rPr>
        <w:t>Governor’s Budget</w:t>
      </w:r>
      <w:r>
        <w:rPr>
          <w:sz w:val="24"/>
        </w:rPr>
        <w:t>, reviews legislation proposing capital outlay projects and capitalized leases, has authority to adjust the scope of projects subject to legislative reporting requirements, chairs and provides staff to PWB in that board’s oversight of project implementation, and has delegated authority from PWB to carry out certain of the </w:t>
      </w:r>
      <w:r>
        <w:rPr>
          <w:strike/>
          <w:color w:val="2E97D3"/>
          <w:sz w:val="24"/>
        </w:rPr>
        <w:t>board’s</w:t>
      </w:r>
      <w:r>
        <w:rPr>
          <w:strike w:val="0"/>
          <w:color w:val="2E97D3"/>
          <w:sz w:val="24"/>
          <w:u w:val="single" w:color="2E97D3"/>
        </w:rPr>
        <w:t>PWB’s </w:t>
      </w:r>
      <w:r>
        <w:rPr>
          <w:strike w:val="0"/>
          <w:sz w:val="24"/>
        </w:rPr>
        <w:t>tasks. </w:t>
      </w:r>
      <w:r>
        <w:rPr>
          <w:strike/>
          <w:color w:val="2E97D3"/>
          <w:sz w:val="24"/>
        </w:rPr>
        <w:t>DOF</w:t>
      </w:r>
      <w:r>
        <w:rPr>
          <w:strike w:val="0"/>
          <w:color w:val="2E97D3"/>
          <w:sz w:val="24"/>
          <w:u w:val="single" w:color="2E97D3"/>
        </w:rPr>
        <w:t>Finance </w:t>
      </w:r>
      <w:r>
        <w:rPr>
          <w:strike w:val="0"/>
          <w:sz w:val="24"/>
        </w:rPr>
        <w:t>also participates in bond </w:t>
      </w:r>
      <w:r>
        <w:rPr>
          <w:strike/>
          <w:color w:val="2E97D3"/>
          <w:sz w:val="24"/>
        </w:rPr>
        <w:t>sales</w:t>
      </w:r>
      <w:r>
        <w:rPr>
          <w:strike w:val="0"/>
          <w:color w:val="2E97D3"/>
          <w:sz w:val="24"/>
          <w:u w:val="single" w:color="2E97D3"/>
        </w:rPr>
        <w:t>sale </w:t>
      </w:r>
      <w:r>
        <w:rPr>
          <w:strike w:val="0"/>
          <w:sz w:val="24"/>
        </w:rPr>
        <w:t>activities for capital outlay and capitalized lease</w:t>
      </w:r>
      <w:r>
        <w:rPr>
          <w:strike w:val="0"/>
          <w:spacing w:val="-23"/>
          <w:sz w:val="24"/>
        </w:rPr>
        <w:t> </w:t>
      </w:r>
      <w:r>
        <w:rPr>
          <w:strike w:val="0"/>
          <w:sz w:val="24"/>
        </w:rPr>
        <w:t>projects.</w:t>
      </w:r>
    </w:p>
    <w:p>
      <w:pPr>
        <w:spacing w:after="0" w:line="240" w:lineRule="auto"/>
        <w:jc w:val="left"/>
        <w:rPr>
          <w:sz w:val="24"/>
        </w:rPr>
        <w:sectPr>
          <w:footerReference w:type="default" r:id="rId160"/>
          <w:pgSz w:w="12240" w:h="15840"/>
          <w:pgMar w:footer="792" w:header="728" w:top="980" w:bottom="980" w:left="620" w:right="1320"/>
        </w:sectPr>
      </w:pPr>
    </w:p>
    <w:p>
      <w:pPr>
        <w:pStyle w:val="BodyText"/>
        <w:rPr>
          <w:sz w:val="20"/>
        </w:rPr>
      </w:pPr>
    </w:p>
    <w:p>
      <w:pPr>
        <w:pStyle w:val="BodyText"/>
        <w:spacing w:before="214"/>
        <w:ind w:left="820" w:right="8205"/>
      </w:pPr>
      <w:r>
        <w:rPr/>
        <w:pict>
          <v:line style="position:absolute;mso-position-horizontal-relative:page;mso-position-vertical-relative:paragraph;z-index:17656" from="36.360001pt,10.915881pt" to="36.360001pt,133.315881pt" stroked="true" strokeweight=".72pt" strokecolor="#000000">
            <v:stroke dashstyle="solid"/>
            <w10:wrap type="none"/>
          </v:line>
        </w:pict>
      </w:r>
      <w:r>
        <w:rPr>
          <w:color w:val="2C6234"/>
          <w:u w:val="thick" w:color="2C6234"/>
        </w:rPr>
        <w:t>(Continued) (Continued)</w:t>
      </w:r>
    </w:p>
    <w:p>
      <w:pPr>
        <w:pStyle w:val="Heading2"/>
        <w:numPr>
          <w:ilvl w:val="0"/>
          <w:numId w:val="47"/>
        </w:numPr>
        <w:tabs>
          <w:tab w:pos="6085" w:val="left" w:leader="none"/>
          <w:tab w:pos="6086" w:val="left" w:leader="none"/>
          <w:tab w:pos="8646" w:val="left" w:leader="none"/>
        </w:tabs>
        <w:spacing w:line="240" w:lineRule="auto" w:before="0" w:after="0"/>
        <w:ind w:left="820" w:right="114" w:firstLine="0"/>
        <w:jc w:val="left"/>
        <w:rPr>
          <w:rFonts w:ascii="Times New Roman"/>
          <w:b w:val="0"/>
          <w:color w:val="2E97D3"/>
          <w:sz w:val="20"/>
        </w:rPr>
      </w:pPr>
      <w:r>
        <w:rPr/>
        <w:pict>
          <v:line style="position:absolute;mso-position-horizontal-relative:page;mso-position-vertical-relative:paragraph;z-index:-455104" from="72pt,26.975845pt" to="540pt,26.975845pt" stroked="true" strokeweight="1.2pt" strokecolor="#2e97d3">
            <v:stroke dashstyle="solid"/>
            <w10:wrap type="none"/>
          </v:line>
        </w:pict>
      </w:r>
      <w:r>
        <w:rPr>
          <w:strike w:val="0"/>
          <w:color w:val="2E97D3"/>
          <w:u w:val="thick" w:color="2E97D3"/>
        </w:rPr>
        <w:t>CAPITALIZED ASSETS: WHO DOES </w:t>
      </w:r>
      <w:r>
        <w:rPr>
          <w:strike w:val="0"/>
          <w:color w:val="2E97D3"/>
        </w:rPr>
        <w:t>WHAT</w:t>
        <w:tab/>
        <w:tab/>
        <w:t>6805 </w:t>
      </w:r>
      <w:r>
        <w:rPr>
          <w:b w:val="0"/>
          <w:strike w:val="0"/>
          <w:color w:val="2E97D3"/>
        </w:rPr>
        <w:t>(Cont.</w:t>
      </w:r>
      <w:r>
        <w:rPr>
          <w:b w:val="0"/>
          <w:strike w:val="0"/>
          <w:color w:val="2E97D3"/>
          <w:spacing w:val="-6"/>
        </w:rPr>
        <w:t> </w:t>
      </w:r>
      <w:r>
        <w:rPr>
          <w:b w:val="0"/>
          <w:strike w:val="0"/>
          <w:color w:val="2E97D3"/>
        </w:rPr>
        <w:t>1)</w:t>
      </w:r>
    </w:p>
    <w:p>
      <w:pPr>
        <w:pStyle w:val="BodyText"/>
        <w:ind w:left="820"/>
      </w:pPr>
      <w:r>
        <w:rPr>
          <w:color w:val="2E97D3"/>
          <w:u w:val="single" w:color="2E97D3"/>
        </w:rPr>
        <w:t>(Revised 11/2017)</w:t>
      </w:r>
    </w:p>
    <w:p>
      <w:pPr>
        <w:pStyle w:val="BodyText"/>
        <w:spacing w:before="10"/>
        <w:rPr>
          <w:sz w:val="20"/>
        </w:rPr>
      </w:pPr>
    </w:p>
    <w:p>
      <w:pPr>
        <w:pStyle w:val="ListParagraph"/>
        <w:numPr>
          <w:ilvl w:val="0"/>
          <w:numId w:val="48"/>
        </w:numPr>
        <w:tabs>
          <w:tab w:pos="820" w:val="left" w:leader="none"/>
        </w:tabs>
        <w:spacing w:line="240" w:lineRule="auto" w:before="0" w:after="0"/>
        <w:ind w:left="820" w:right="138" w:hanging="360"/>
        <w:jc w:val="left"/>
        <w:rPr>
          <w:sz w:val="24"/>
        </w:rPr>
      </w:pPr>
      <w:r>
        <w:rPr/>
        <w:pict>
          <v:line style="position:absolute;mso-position-horizontal-relative:page;mso-position-vertical-relative:paragraph;z-index:-455080" from="296.880005pt,109.595879pt" to="300.240005pt,109.595879pt" stroked="true" strokeweight=".84pt" strokecolor="#2e97d3">
            <v:stroke dashstyle="solid"/>
            <w10:wrap type="none"/>
          </v:line>
        </w:pict>
      </w:r>
      <w:r>
        <w:rPr/>
        <w:pict>
          <v:line style="position:absolute;mso-position-horizontal-relative:page;mso-position-vertical-relative:paragraph;z-index:17680" from="36.360001pt,55.415882pt" to="36.360001pt,165.815882pt" stroked="true" strokeweight=".72pt" strokecolor="#000000">
            <v:stroke dashstyle="solid"/>
            <w10:wrap type="none"/>
          </v:line>
        </w:pict>
      </w:r>
      <w:r>
        <w:rPr>
          <w:b/>
          <w:sz w:val="24"/>
        </w:rPr>
        <w:t>PWB </w:t>
      </w:r>
      <w:r>
        <w:rPr>
          <w:sz w:val="24"/>
        </w:rPr>
        <w:t>acquires property for the state, must approve the preliminary plans </w:t>
      </w:r>
      <w:r>
        <w:rPr>
          <w:color w:val="2E97D3"/>
          <w:sz w:val="24"/>
          <w:u w:val="single" w:color="2E97D3"/>
        </w:rPr>
        <w:t>or performance criteria </w:t>
      </w:r>
      <w:r>
        <w:rPr>
          <w:sz w:val="24"/>
        </w:rPr>
        <w:t>for capital projects, may set reasonable conditions for any project, and may issue debt instruments and authorize interim financing to construct facilities. PWB ensures that projects remain within legislatively approved scope and cost and are carried out </w:t>
      </w:r>
      <w:r>
        <w:rPr>
          <w:color w:val="2E97D3"/>
          <w:sz w:val="24"/>
          <w:u w:val="single" w:color="2E97D3"/>
        </w:rPr>
        <w:t>in a timely manner and </w:t>
      </w:r>
      <w:r>
        <w:rPr>
          <w:sz w:val="24"/>
        </w:rPr>
        <w:t>with </w:t>
      </w:r>
      <w:r>
        <w:rPr>
          <w:strike/>
          <w:color w:val="2E97D3"/>
          <w:sz w:val="24"/>
        </w:rPr>
        <w:t>speed and</w:t>
      </w:r>
      <w:r>
        <w:rPr>
          <w:strike w:val="0"/>
          <w:color w:val="2E97D3"/>
          <w:sz w:val="24"/>
          <w:u w:val="single" w:color="2E97D3"/>
        </w:rPr>
        <w:t>proper due </w:t>
      </w:r>
      <w:r>
        <w:rPr>
          <w:strike w:val="0"/>
          <w:sz w:val="24"/>
        </w:rPr>
        <w:t>diligence. </w:t>
      </w:r>
      <w:r>
        <w:rPr>
          <w:strike/>
          <w:color w:val="2E97D3"/>
          <w:sz w:val="24"/>
        </w:rPr>
        <w:t>The board</w:t>
      </w:r>
      <w:r>
        <w:rPr>
          <w:strike w:val="0"/>
          <w:color w:val="2E97D3"/>
          <w:sz w:val="24"/>
          <w:u w:val="single" w:color="2E97D3"/>
        </w:rPr>
        <w:t>PWB </w:t>
      </w:r>
      <w:r>
        <w:rPr>
          <w:strike w:val="0"/>
          <w:sz w:val="24"/>
        </w:rPr>
        <w:t>has authority to augment projects by up to 20 percent, </w:t>
      </w:r>
      <w:r>
        <w:rPr>
          <w:strike w:val="0"/>
          <w:color w:val="2E97D3"/>
          <w:sz w:val="24"/>
          <w:u w:val="single" w:color="2E97D3"/>
        </w:rPr>
        <w:t>and may terminate projects, under circumstances defined in statute and </w:t>
      </w:r>
      <w:r>
        <w:rPr>
          <w:strike w:val="0"/>
          <w:sz w:val="24"/>
        </w:rPr>
        <w:t>subject to legislative notification requirements </w:t>
      </w:r>
      <w:r>
        <w:rPr>
          <w:strike/>
          <w:color w:val="2E97D3"/>
          <w:sz w:val="24"/>
        </w:rPr>
        <w:t>and may terminate projects. </w:t>
      </w:r>
      <w:r>
        <w:rPr>
          <w:strike w:val="0"/>
          <w:color w:val="2E97D3"/>
          <w:sz w:val="24"/>
        </w:rPr>
        <w:t>. </w:t>
      </w:r>
      <w:r>
        <w:rPr>
          <w:strike w:val="0"/>
          <w:sz w:val="24"/>
        </w:rPr>
        <w:t>In addition, the </w:t>
      </w:r>
      <w:r>
        <w:rPr>
          <w:strike/>
          <w:color w:val="2E97D3"/>
          <w:sz w:val="24"/>
        </w:rPr>
        <w:t>board holds</w:t>
      </w:r>
      <w:r>
        <w:rPr>
          <w:strike w:val="0"/>
          <w:color w:val="2E97D3"/>
          <w:sz w:val="24"/>
          <w:u w:val="single" w:color="2E97D3"/>
        </w:rPr>
        <w:t>PWB is vested with </w:t>
      </w:r>
      <w:r>
        <w:rPr>
          <w:strike w:val="0"/>
          <w:sz w:val="24"/>
        </w:rPr>
        <w:t>the power of eminent domain (condemnation authority) for </w:t>
      </w:r>
      <w:r>
        <w:rPr>
          <w:strike/>
          <w:color w:val="2E97D3"/>
          <w:sz w:val="24"/>
        </w:rPr>
        <w:t>most projects. </w:t>
      </w:r>
      <w:r>
        <w:rPr>
          <w:strike w:val="0"/>
          <w:color w:val="2E97D3"/>
          <w:sz w:val="24"/>
          <w:u w:val="single" w:color="2E97D3"/>
        </w:rPr>
        <w:t>the state entities under its purview. </w:t>
      </w:r>
      <w:r>
        <w:rPr>
          <w:strike w:val="0"/>
          <w:sz w:val="24"/>
        </w:rPr>
        <w:t>An overview of PWB’s role and responsibilities is presented in </w:t>
      </w:r>
      <w:r>
        <w:rPr>
          <w:strike/>
          <w:color w:val="2E97D3"/>
          <w:sz w:val="24"/>
          <w:u w:val="single" w:color="2E97D3"/>
        </w:rPr>
        <w:t>SAM</w:t>
      </w:r>
      <w:r>
        <w:rPr>
          <w:strike w:val="0"/>
          <w:color w:val="2E97D3"/>
          <w:sz w:val="24"/>
          <w:u w:val="single" w:color="2E97D3"/>
        </w:rPr>
        <w:t>SAM </w:t>
      </w:r>
      <w:r>
        <w:rPr>
          <w:strike w:val="0"/>
          <w:sz w:val="24"/>
        </w:rPr>
        <w:t>Section</w:t>
      </w:r>
      <w:r>
        <w:rPr>
          <w:strike w:val="0"/>
          <w:spacing w:val="-12"/>
          <w:sz w:val="24"/>
        </w:rPr>
        <w:t> </w:t>
      </w:r>
      <w:r>
        <w:rPr>
          <w:strike w:val="0"/>
          <w:sz w:val="24"/>
        </w:rPr>
        <w:t>6842.</w:t>
      </w:r>
    </w:p>
    <w:p>
      <w:pPr>
        <w:pStyle w:val="BodyText"/>
        <w:tabs>
          <w:tab w:pos="1539" w:val="left" w:leader="none"/>
        </w:tabs>
        <w:ind w:left="820"/>
      </w:pPr>
      <w:r>
        <w:rPr>
          <w:strike/>
          <w:color w:val="2E97D3"/>
        </w:rPr>
        <w:t>4.</w:t>
        <w:tab/>
      </w:r>
    </w:p>
    <w:p>
      <w:pPr>
        <w:pStyle w:val="ListParagraph"/>
        <w:numPr>
          <w:ilvl w:val="0"/>
          <w:numId w:val="48"/>
        </w:numPr>
        <w:tabs>
          <w:tab w:pos="820" w:val="left" w:leader="none"/>
        </w:tabs>
        <w:spacing w:line="240" w:lineRule="auto" w:before="0" w:after="0"/>
        <w:ind w:left="820" w:right="167" w:hanging="360"/>
        <w:jc w:val="left"/>
        <w:rPr>
          <w:sz w:val="24"/>
        </w:rPr>
      </w:pPr>
      <w:r>
        <w:rPr/>
        <w:pict>
          <v:line style="position:absolute;mso-position-horizontal-relative:page;mso-position-vertical-relative:paragraph;z-index:-455056" from="267.600006pt,36.036346pt" to="270.961006pt,36.036346pt" stroked="true" strokeweight=".599pt" strokecolor="#2e97d3">
            <v:stroke dashstyle="solid"/>
            <w10:wrap type="none"/>
          </v:line>
        </w:pict>
      </w:r>
      <w:r>
        <w:rPr/>
        <w:pict>
          <v:line style="position:absolute;mso-position-horizontal-relative:page;mso-position-vertical-relative:paragraph;z-index:-455032" from="244.199997pt,95.795341pt" to="247.560997pt,95.795341pt" stroked="true" strokeweight=".841pt" strokecolor="#2e97d3">
            <v:stroke dashstyle="solid"/>
            <w10:wrap type="none"/>
          </v:line>
        </w:pict>
      </w:r>
      <w:r>
        <w:rPr/>
        <w:pict>
          <v:line style="position:absolute;mso-position-horizontal-relative:page;mso-position-vertical-relative:paragraph;z-index:17704" from="36.360001pt,27.816845pt" to="36.360001pt,96.815845pt" stroked="true" strokeweight=".72pt" strokecolor="#000000">
            <v:stroke dashstyle="solid"/>
            <w10:wrap type="none"/>
          </v:line>
        </w:pict>
      </w:r>
      <w:r>
        <w:rPr>
          <w:b/>
          <w:sz w:val="24"/>
        </w:rPr>
        <w:t>DGS </w:t>
      </w:r>
      <w:r>
        <w:rPr>
          <w:sz w:val="24"/>
        </w:rPr>
        <w:t>has broad authority for real property acquisition, sales, statewide property inventory, and energy efficiency services for state and K-14 school facilities. Its services are offered on a reimbursable basis.  DGS determines whether departments are capable of carrying out minor projects directly</w:t>
      </w:r>
      <w:r>
        <w:rPr>
          <w:strike/>
          <w:color w:val="2E97D3"/>
          <w:sz w:val="24"/>
        </w:rPr>
        <w:t>. </w:t>
      </w:r>
      <w:r>
        <w:rPr>
          <w:strike w:val="0"/>
          <w:color w:val="2E97D3"/>
          <w:sz w:val="24"/>
          <w:u w:val="single" w:color="2E97D3"/>
        </w:rPr>
        <w:t>, and may delegate the management of minor capital projects to departments. Additional information about minor capital outlay projects is provided in Section 6807. </w:t>
      </w:r>
      <w:r>
        <w:rPr>
          <w:strike w:val="0"/>
          <w:sz w:val="24"/>
        </w:rPr>
        <w:t>DGS is also staff to PWB for property acquisition </w:t>
      </w:r>
      <w:r>
        <w:rPr>
          <w:strike/>
          <w:color w:val="2E97D3"/>
          <w:sz w:val="24"/>
        </w:rPr>
        <w:t>and energy efficiency contracts.</w:t>
      </w:r>
      <w:r>
        <w:rPr>
          <w:strike/>
          <w:color w:val="2E97D3"/>
          <w:spacing w:val="-14"/>
          <w:sz w:val="24"/>
        </w:rPr>
        <w:t> </w:t>
      </w:r>
      <w:r>
        <w:rPr>
          <w:strike w:val="0"/>
          <w:color w:val="2E97D3"/>
          <w:sz w:val="24"/>
        </w:rPr>
        <w:t>.</w:t>
      </w:r>
    </w:p>
    <w:p>
      <w:pPr>
        <w:pStyle w:val="BodyText"/>
        <w:rPr>
          <w:sz w:val="20"/>
        </w:rPr>
      </w:pPr>
    </w:p>
    <w:p>
      <w:pPr>
        <w:pStyle w:val="BodyText"/>
        <w:spacing w:before="9"/>
        <w:rPr>
          <w:sz w:val="16"/>
        </w:rPr>
      </w:pPr>
    </w:p>
    <w:p>
      <w:pPr>
        <w:pStyle w:val="BodyText"/>
        <w:spacing w:before="93"/>
        <w:ind w:left="820"/>
      </w:pPr>
      <w:r>
        <w:rPr/>
        <w:pict>
          <v:line style="position:absolute;mso-position-horizontal-relative:page;mso-position-vertical-relative:paragraph;z-index:17728" from="36.360001pt,-7.134149pt" to="36.360001pt,44.465851pt" stroked="true" strokeweight=".72pt" strokecolor="#000000">
            <v:stroke dashstyle="solid"/>
            <w10:wrap type="none"/>
          </v:line>
        </w:pict>
      </w:r>
      <w:r>
        <w:rPr>
          <w:strike/>
          <w:color w:val="2C6234"/>
        </w:rPr>
        <w:t>(Continued)</w:t>
      </w:r>
    </w:p>
    <w:p>
      <w:pPr>
        <w:spacing w:after="0"/>
        <w:sectPr>
          <w:footerReference w:type="default" r:id="rId161"/>
          <w:pgSz w:w="12240" w:h="15840"/>
          <w:pgMar w:footer="803" w:header="728" w:top="980" w:bottom="1000" w:left="620" w:right="1320"/>
        </w:sectPr>
      </w:pPr>
    </w:p>
    <w:p>
      <w:pPr>
        <w:pStyle w:val="BodyText"/>
        <w:rPr>
          <w:sz w:val="20"/>
        </w:rPr>
      </w:pPr>
    </w:p>
    <w:p>
      <w:pPr>
        <w:pStyle w:val="BodyText"/>
        <w:spacing w:before="9"/>
        <w:rPr>
          <w:sz w:val="18"/>
        </w:rPr>
      </w:pPr>
    </w:p>
    <w:p>
      <w:pPr>
        <w:spacing w:line="229" w:lineRule="exact" w:before="0"/>
        <w:ind w:left="820" w:right="0" w:firstLine="0"/>
        <w:jc w:val="left"/>
        <w:rPr>
          <w:rFonts w:ascii="Times New Roman"/>
          <w:b/>
          <w:sz w:val="20"/>
        </w:rPr>
      </w:pPr>
      <w:r>
        <w:rPr/>
        <w:pict>
          <v:line style="position:absolute;mso-position-horizontal-relative:page;mso-position-vertical-relative:paragraph;z-index:17872" from="36.360001pt,.095947pt" to="36.360001pt,106.415947pt" stroked="true" strokeweight=".72pt" strokecolor="#000000">
            <v:stroke dashstyle="solid"/>
            <w10:wrap type="none"/>
          </v:line>
        </w:pict>
      </w:r>
      <w:r>
        <w:rPr>
          <w:rFonts w:ascii="Times New Roman"/>
          <w:b/>
          <w:strike/>
          <w:color w:val="2C6234"/>
          <w:sz w:val="20"/>
        </w:rPr>
        <w:t>(CONTINUED)</w:t>
      </w:r>
    </w:p>
    <w:p>
      <w:pPr>
        <w:tabs>
          <w:tab w:pos="8646" w:val="left" w:leader="none"/>
        </w:tabs>
        <w:spacing w:before="0"/>
        <w:ind w:left="820" w:right="113" w:firstLine="0"/>
        <w:jc w:val="left"/>
        <w:rPr>
          <w:sz w:val="24"/>
        </w:rPr>
      </w:pPr>
      <w:r>
        <w:rPr/>
        <w:pict>
          <v:line style="position:absolute;mso-position-horizontal-relative:page;mso-position-vertical-relative:paragraph;z-index:-454912" from="72pt,8.435862pt" to="540pt,8.435862pt" stroked="true" strokeweight=".6pt" strokecolor="#2e97d3">
            <v:stroke dashstyle="solid"/>
            <w10:wrap type="none"/>
          </v:line>
        </w:pict>
      </w:r>
      <w:r>
        <w:rPr>
          <w:b/>
          <w:color w:val="2E97D3"/>
          <w:sz w:val="24"/>
        </w:rPr>
        <w:t>CAPITALIZED ASSETS:  WHO</w:t>
      </w:r>
      <w:r>
        <w:rPr>
          <w:b/>
          <w:color w:val="2E97D3"/>
          <w:spacing w:val="-7"/>
          <w:sz w:val="24"/>
        </w:rPr>
        <w:t> </w:t>
      </w:r>
      <w:r>
        <w:rPr>
          <w:b/>
          <w:color w:val="2E97D3"/>
          <w:sz w:val="24"/>
        </w:rPr>
        <w:t>DOES</w:t>
      </w:r>
      <w:r>
        <w:rPr>
          <w:b/>
          <w:color w:val="2E97D3"/>
          <w:spacing w:val="-5"/>
          <w:sz w:val="24"/>
        </w:rPr>
        <w:t> </w:t>
      </w:r>
      <w:r>
        <w:rPr>
          <w:b/>
          <w:color w:val="2E97D3"/>
          <w:sz w:val="24"/>
        </w:rPr>
        <w:t>WHAT</w:t>
        <w:tab/>
        <w:t>6805</w:t>
      </w:r>
      <w:r>
        <w:rPr>
          <w:b/>
          <w:color w:val="2E97D3"/>
          <w:spacing w:val="-2"/>
          <w:sz w:val="24"/>
        </w:rPr>
        <w:t> </w:t>
      </w:r>
      <w:r>
        <w:rPr>
          <w:color w:val="2E97D3"/>
          <w:sz w:val="24"/>
        </w:rPr>
        <w:t>(Cont.</w:t>
      </w:r>
      <w:r>
        <w:rPr>
          <w:color w:val="2E97D3"/>
          <w:spacing w:val="-5"/>
          <w:sz w:val="24"/>
        </w:rPr>
        <w:t> </w:t>
      </w:r>
      <w:r>
        <w:rPr>
          <w:color w:val="2E97D3"/>
          <w:sz w:val="24"/>
        </w:rPr>
        <w:t>1)</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rPr>
          <w:sz w:val="20"/>
        </w:rPr>
      </w:pPr>
    </w:p>
    <w:p>
      <w:pPr>
        <w:pStyle w:val="BodyText"/>
        <w:spacing w:before="11"/>
        <w:rPr>
          <w:sz w:val="16"/>
        </w:rPr>
      </w:pPr>
    </w:p>
    <w:p>
      <w:pPr>
        <w:pStyle w:val="ListParagraph"/>
        <w:numPr>
          <w:ilvl w:val="0"/>
          <w:numId w:val="48"/>
        </w:numPr>
        <w:tabs>
          <w:tab w:pos="820" w:val="left" w:leader="none"/>
          <w:tab w:pos="1539" w:val="left" w:leader="none"/>
        </w:tabs>
        <w:spacing w:line="240" w:lineRule="auto" w:before="92" w:after="0"/>
        <w:ind w:left="820" w:right="335" w:hanging="360"/>
        <w:jc w:val="left"/>
        <w:rPr>
          <w:sz w:val="24"/>
        </w:rPr>
      </w:pPr>
      <w:r>
        <w:rPr/>
        <w:pict>
          <v:line style="position:absolute;mso-position-horizontal-relative:page;mso-position-vertical-relative:paragraph;z-index:-454888" from="473.040009pt,26.836338pt" to="476.400009pt,26.836338pt" stroked="true" strokeweight=".599pt" strokecolor="#2e97d3">
            <v:stroke dashstyle="solid"/>
            <w10:wrap type="none"/>
          </v:line>
        </w:pict>
      </w:r>
      <w:r>
        <w:rPr>
          <w:strike/>
          <w:color w:val="2E97D3"/>
          <w:sz w:val="24"/>
        </w:rPr>
        <w:t>5.</w:t>
        <w:tab/>
      </w:r>
      <w:r>
        <w:rPr>
          <w:strike w:val="0"/>
          <w:color w:val="2E97D3"/>
          <w:sz w:val="24"/>
          <w:u w:val="single" w:color="2E97D3"/>
        </w:rPr>
        <w:t>The </w:t>
      </w:r>
      <w:r>
        <w:rPr>
          <w:b/>
          <w:strike w:val="0"/>
          <w:sz w:val="24"/>
        </w:rPr>
        <w:t>PMIB </w:t>
      </w:r>
      <w:r>
        <w:rPr>
          <w:strike w:val="0"/>
          <w:sz w:val="24"/>
        </w:rPr>
        <w:t>has the authority to grant requests for Pooled</w:t>
      </w:r>
      <w:r>
        <w:rPr>
          <w:strike w:val="0"/>
          <w:spacing w:val="-26"/>
          <w:sz w:val="24"/>
        </w:rPr>
        <w:t> </w:t>
      </w:r>
      <w:r>
        <w:rPr>
          <w:strike w:val="0"/>
          <w:sz w:val="24"/>
        </w:rPr>
        <w:t>Money</w:t>
      </w:r>
      <w:r>
        <w:rPr>
          <w:strike w:val="0"/>
          <w:spacing w:val="-5"/>
          <w:sz w:val="24"/>
        </w:rPr>
        <w:t> </w:t>
      </w:r>
      <w:r>
        <w:rPr>
          <w:strike w:val="0"/>
          <w:sz w:val="24"/>
        </w:rPr>
        <w:t>Investment</w:t>
      </w:r>
      <w:r>
        <w:rPr>
          <w:strike w:val="0"/>
          <w:w w:val="99"/>
          <w:sz w:val="24"/>
        </w:rPr>
        <w:t> </w:t>
      </w:r>
      <w:r>
        <w:rPr>
          <w:strike w:val="0"/>
          <w:sz w:val="24"/>
        </w:rPr>
        <w:t>Account loans for projects needing interim financing before bonds are sold. Additional information on </w:t>
      </w:r>
      <w:r>
        <w:rPr>
          <w:strike/>
          <w:color w:val="2E97D3"/>
          <w:sz w:val="24"/>
        </w:rPr>
        <w:t>PMIB’s processes</w:t>
      </w:r>
      <w:r>
        <w:rPr>
          <w:strike w:val="0"/>
          <w:color w:val="2E97D3"/>
          <w:sz w:val="24"/>
          <w:u w:val="single" w:color="2E97D3"/>
        </w:rPr>
        <w:t>PMIB </w:t>
      </w:r>
      <w:r>
        <w:rPr>
          <w:strike w:val="0"/>
          <w:sz w:val="24"/>
        </w:rPr>
        <w:t>is provided in </w:t>
      </w:r>
      <w:r>
        <w:rPr>
          <w:strike/>
          <w:color w:val="2E97D3"/>
          <w:sz w:val="24"/>
          <w:u w:val="single" w:color="2E97D3"/>
        </w:rPr>
        <w:t>SAM</w:t>
      </w:r>
      <w:r>
        <w:rPr>
          <w:strike w:val="0"/>
          <w:color w:val="2E97D3"/>
          <w:sz w:val="24"/>
          <w:u w:val="single" w:color="2E97D3"/>
        </w:rPr>
        <w:t>SAM </w:t>
      </w:r>
      <w:r>
        <w:rPr>
          <w:strike w:val="0"/>
          <w:sz w:val="24"/>
        </w:rPr>
        <w:t>Section</w:t>
      </w:r>
      <w:r>
        <w:rPr>
          <w:strike w:val="0"/>
          <w:spacing w:val="-30"/>
          <w:sz w:val="24"/>
        </w:rPr>
        <w:t> </w:t>
      </w:r>
      <w:r>
        <w:rPr>
          <w:strike w:val="0"/>
          <w:sz w:val="24"/>
        </w:rPr>
        <w:t>6878.</w:t>
      </w:r>
    </w:p>
    <w:p>
      <w:pPr>
        <w:pStyle w:val="BodyText"/>
        <w:spacing w:before="10"/>
        <w:rPr>
          <w:sz w:val="15"/>
        </w:rPr>
      </w:pPr>
    </w:p>
    <w:p>
      <w:pPr>
        <w:pStyle w:val="ListParagraph"/>
        <w:numPr>
          <w:ilvl w:val="0"/>
          <w:numId w:val="48"/>
        </w:numPr>
        <w:tabs>
          <w:tab w:pos="1180" w:val="left" w:leader="none"/>
        </w:tabs>
        <w:spacing w:line="240" w:lineRule="auto" w:before="93" w:after="0"/>
        <w:ind w:left="1180" w:right="455" w:hanging="360"/>
        <w:jc w:val="left"/>
        <w:rPr>
          <w:sz w:val="24"/>
        </w:rPr>
      </w:pPr>
      <w:r>
        <w:rPr/>
        <w:pict>
          <v:line style="position:absolute;mso-position-horizontal-relative:page;mso-position-vertical-relative:paragraph;z-index:-454864" from="430.320007pt,13.086387pt" to="433.560007pt,13.086387pt" stroked="true" strokeweight=".599pt" strokecolor="#2e97d3">
            <v:stroke dashstyle="solid"/>
            <w10:wrap type="none"/>
          </v:line>
        </w:pict>
      </w:r>
      <w:r>
        <w:rPr/>
        <w:pict>
          <v:line style="position:absolute;mso-position-horizontal-relative:page;mso-position-vertical-relative:paragraph;z-index:-454840" from="472.320007pt,40.685886pt" to="475.680007pt,40.685886pt" stroked="true" strokeweight=".6pt" strokecolor="#2e97d3">
            <v:stroke dashstyle="solid"/>
            <w10:wrap type="none"/>
          </v:line>
        </w:pict>
      </w:r>
      <w:r>
        <w:rPr/>
        <w:pict>
          <v:line style="position:absolute;mso-position-horizontal-relative:page;mso-position-vertical-relative:paragraph;z-index:17896" from="36.360001pt,4.865886pt" to="36.360001pt,60.065886pt" stroked="true" strokeweight=".72pt" strokecolor="#000000">
            <v:stroke dashstyle="solid"/>
            <w10:wrap type="none"/>
          </v:line>
        </w:pict>
      </w:r>
      <w:r>
        <w:rPr>
          <w:b/>
          <w:strike w:val="0"/>
          <w:sz w:val="24"/>
        </w:rPr>
        <w:t>STO </w:t>
      </w:r>
      <w:r>
        <w:rPr>
          <w:strike w:val="0"/>
          <w:sz w:val="24"/>
        </w:rPr>
        <w:t>is the state’s official agent for the sale of debt instruments. STO chairs </w:t>
      </w:r>
      <w:r>
        <w:rPr>
          <w:strike w:val="0"/>
          <w:color w:val="2E97D3"/>
          <w:sz w:val="24"/>
          <w:u w:val="single" w:color="2E97D3"/>
        </w:rPr>
        <w:t>the </w:t>
      </w:r>
      <w:r>
        <w:rPr>
          <w:strike w:val="0"/>
          <w:sz w:val="24"/>
        </w:rPr>
        <w:t>PMIB and sits as a member on </w:t>
      </w:r>
      <w:r>
        <w:rPr>
          <w:strike w:val="0"/>
          <w:color w:val="2E97D3"/>
          <w:sz w:val="24"/>
          <w:u w:val="single" w:color="2E97D3"/>
        </w:rPr>
        <w:t>the </w:t>
      </w:r>
      <w:r>
        <w:rPr>
          <w:strike w:val="0"/>
          <w:sz w:val="24"/>
        </w:rPr>
        <w:t>PWB</w:t>
      </w:r>
      <w:r>
        <w:rPr>
          <w:strike/>
          <w:color w:val="2E97D3"/>
          <w:sz w:val="24"/>
        </w:rPr>
        <w:t>. </w:t>
      </w:r>
      <w:r>
        <w:rPr>
          <w:strike w:val="0"/>
          <w:color w:val="2E97D3"/>
          <w:sz w:val="24"/>
          <w:u w:val="single" w:color="2E97D3"/>
        </w:rPr>
        <w:t>(Bond Items only). </w:t>
      </w:r>
      <w:r>
        <w:rPr>
          <w:strike w:val="0"/>
          <w:sz w:val="24"/>
        </w:rPr>
        <w:t>In addition, STO provides (or makes arrangements for) trust services for debt issuances. As agent for sale, STO holds the exclusive right to select financing teams for</w:t>
      </w:r>
      <w:r>
        <w:rPr>
          <w:strike w:val="0"/>
          <w:spacing w:val="-33"/>
          <w:sz w:val="24"/>
        </w:rPr>
        <w:t> </w:t>
      </w:r>
      <w:r>
        <w:rPr>
          <w:strike w:val="0"/>
          <w:sz w:val="24"/>
        </w:rPr>
        <w:t>issuances.</w:t>
      </w:r>
    </w:p>
    <w:p>
      <w:pPr>
        <w:pStyle w:val="BodyText"/>
        <w:ind w:left="1180" w:right="113"/>
      </w:pPr>
      <w:r>
        <w:rPr/>
        <w:pict>
          <v:line style="position:absolute;mso-position-horizontal-relative:page;mso-position-vertical-relative:paragraph;z-index:-454816" from="413.519989pt,22.235874pt" to="416.879989pt,22.235874pt" stroked="true" strokeweight=".6pt" strokecolor="#2e97d3">
            <v:stroke dashstyle="solid"/>
            <w10:wrap type="none"/>
          </v:line>
        </w:pict>
      </w:r>
      <w:r>
        <w:rPr/>
        <w:pict>
          <v:line style="position:absolute;mso-position-horizontal-relative:page;mso-position-vertical-relative:paragraph;z-index:17920" from="36.360001pt,14.015874pt" to="36.360001pt,41.615874pt" stroked="true" strokeweight=".72pt" strokecolor="#000000">
            <v:stroke dashstyle="solid"/>
            <w10:wrap type="none"/>
          </v:line>
        </w:pict>
      </w:r>
      <w:r>
        <w:rPr/>
        <w:t>STO’s agent-for-sale role includes all debt financings of joint powers authorities, regardless of whether the state is a member of the authority. Additional information on </w:t>
      </w:r>
      <w:r>
        <w:rPr>
          <w:strike/>
          <w:color w:val="2E97D3"/>
        </w:rPr>
        <w:t>STO’s role</w:t>
      </w:r>
      <w:r>
        <w:rPr>
          <w:strike w:val="0"/>
          <w:color w:val="2E97D3"/>
          <w:u w:val="single" w:color="2E97D3"/>
        </w:rPr>
        <w:t>STO </w:t>
      </w:r>
      <w:r>
        <w:rPr>
          <w:strike w:val="0"/>
        </w:rPr>
        <w:t>is provided in SAM Sections 6870–6888.</w:t>
      </w:r>
    </w:p>
    <w:p>
      <w:pPr>
        <w:spacing w:after="0"/>
        <w:sectPr>
          <w:pgSz w:w="12240" w:h="15840"/>
          <w:pgMar w:header="728" w:footer="803" w:top="980" w:bottom="1000" w:left="620" w:right="1320"/>
        </w:sectPr>
      </w:pPr>
    </w:p>
    <w:p>
      <w:pPr>
        <w:pStyle w:val="BodyText"/>
        <w:rPr>
          <w:sz w:val="20"/>
        </w:rPr>
      </w:pPr>
    </w:p>
    <w:p>
      <w:pPr>
        <w:spacing w:before="214"/>
        <w:ind w:left="820" w:right="0" w:firstLine="0"/>
        <w:jc w:val="left"/>
        <w:rPr>
          <w:b/>
          <w:sz w:val="24"/>
        </w:rPr>
      </w:pPr>
      <w:r>
        <w:rPr>
          <w:b/>
          <w:sz w:val="24"/>
        </w:rPr>
        <w:t>CAPITAL OUTLAY VERSUS STATE OPERATIONS AND</w:t>
      </w:r>
    </w:p>
    <w:p>
      <w:pPr>
        <w:tabs>
          <w:tab w:pos="9647" w:val="left" w:leader="none"/>
        </w:tabs>
        <w:spacing w:before="0"/>
        <w:ind w:left="819" w:right="0" w:firstLine="0"/>
        <w:jc w:val="left"/>
        <w:rPr>
          <w:b/>
          <w:sz w:val="24"/>
        </w:rPr>
      </w:pPr>
      <w:r>
        <w:rPr/>
        <w:pict>
          <v:line style="position:absolute;mso-position-horizontal-relative:page;mso-position-vertical-relative:paragraph;z-index:18208" from="36.360001pt,14.015833pt" to="36.360001pt,47.615833pt" stroked="true" strokeweight=".72pt" strokecolor="#000000">
            <v:stroke dashstyle="solid"/>
            <w10:wrap type="none"/>
          </v:line>
        </w:pict>
      </w:r>
      <w:r>
        <w:rPr>
          <w:b/>
          <w:sz w:val="24"/>
        </w:rPr>
        <w:t>LOCAL</w:t>
      </w:r>
      <w:r>
        <w:rPr>
          <w:b/>
          <w:spacing w:val="-1"/>
          <w:sz w:val="24"/>
        </w:rPr>
        <w:t> </w:t>
      </w:r>
      <w:r>
        <w:rPr>
          <w:b/>
          <w:sz w:val="24"/>
        </w:rPr>
        <w:t>ASSISTANCE</w:t>
        <w:tab/>
        <w:t>6806</w:t>
      </w:r>
    </w:p>
    <w:p>
      <w:pPr>
        <w:pStyle w:val="BodyText"/>
        <w:ind w:left="820"/>
      </w:pPr>
      <w:r>
        <w:rPr>
          <w:color w:val="2E97D3"/>
          <w:u w:val="single" w:color="2E97D3"/>
        </w:rPr>
        <w:t>(Revised 11/2017)</w:t>
      </w:r>
    </w:p>
    <w:p>
      <w:pPr>
        <w:pStyle w:val="BodyText"/>
        <w:spacing w:before="120"/>
        <w:ind w:left="820"/>
      </w:pPr>
      <w:r>
        <w:rPr>
          <w:strike/>
          <w:color w:val="2C6234"/>
        </w:rPr>
        <w:t>(Revised 09/2017)</w:t>
      </w:r>
    </w:p>
    <w:p>
      <w:pPr>
        <w:pStyle w:val="BodyText"/>
        <w:spacing w:line="274" w:lineRule="exact" w:before="6"/>
        <w:ind w:left="820" w:right="268"/>
      </w:pPr>
      <w:r>
        <w:rPr/>
        <w:pict>
          <v:line style="position:absolute;mso-position-horizontal-relative:page;mso-position-vertical-relative:paragraph;z-index:18232" from="36.360001pt,14.01901pt" to="36.360001pt,27.82001pt" stroked="true" strokeweight=".72pt" strokecolor="#000000">
            <v:stroke dashstyle="solid"/>
            <w10:wrap type="none"/>
          </v:line>
        </w:pict>
      </w:r>
      <w:r>
        <w:rPr/>
        <w:t>The state appropriates funds in three broad classifications—state operations (support), local assistance, and capital outlay—referred to as the </w:t>
      </w:r>
      <w:r>
        <w:rPr>
          <w:i/>
        </w:rPr>
        <w:t>character of appropriation</w:t>
      </w:r>
      <w:r>
        <w:rPr/>
        <w:t>.</w:t>
      </w:r>
    </w:p>
    <w:p>
      <w:pPr>
        <w:pStyle w:val="BodyText"/>
        <w:ind w:left="820" w:right="109"/>
      </w:pPr>
      <w:r>
        <w:rPr/>
        <w:pict>
          <v:line style="position:absolute;mso-position-horizontal-relative:page;mso-position-vertical-relative:paragraph;z-index:18256" from="36.360001pt,14.015833pt" to="36.360001pt,41.615833pt" stroked="true" strokeweight=".72pt" strokecolor="#000000">
            <v:stroke dashstyle="solid"/>
            <w10:wrap type="none"/>
          </v:line>
        </w:pict>
      </w:r>
      <w:r>
        <w:rPr/>
        <w:t>Unless statutory language specifically allows otherwise, once budgeted as one of the three characters, a program or activity must follow that classification’s expenditure rules.</w:t>
      </w:r>
    </w:p>
    <w:p>
      <w:pPr>
        <w:pStyle w:val="BodyText"/>
        <w:spacing w:before="1"/>
      </w:pPr>
    </w:p>
    <w:p>
      <w:pPr>
        <w:pStyle w:val="BodyText"/>
        <w:ind w:left="820" w:right="134"/>
      </w:pPr>
      <w:r>
        <w:rPr/>
        <w:pict>
          <v:line style="position:absolute;mso-position-horizontal-relative:page;mso-position-vertical-relative:paragraph;z-index:-454720" from="115.32pt,22.235868pt" to="118.681pt,22.235868pt" stroked="true" strokeweight=".6pt" strokecolor="#2e97d3">
            <v:stroke dashstyle="solid"/>
            <w10:wrap type="none"/>
          </v:line>
        </w:pict>
      </w:r>
      <w:r>
        <w:rPr/>
        <w:pict>
          <v:line style="position:absolute;mso-position-horizontal-relative:page;mso-position-vertical-relative:paragraph;z-index:-454696" from="444.23999pt,91.236366pt" to="447.59999pt,91.236366pt" stroked="true" strokeweight=".599pt" strokecolor="#2e97d3">
            <v:stroke dashstyle="solid"/>
            <w10:wrap type="none"/>
          </v:line>
        </w:pict>
      </w:r>
      <w:r>
        <w:rPr/>
        <w:pict>
          <v:line style="position:absolute;mso-position-horizontal-relative:page;mso-position-vertical-relative:paragraph;z-index:18280" from="36.360001pt,14.015869pt" to="36.360001pt,110.615869pt" stroked="true" strokeweight=".72pt" strokecolor="#000000">
            <v:stroke dashstyle="solid"/>
            <w10:wrap type="none"/>
          </v:line>
        </w:pict>
      </w:r>
      <w:r>
        <w:rPr/>
        <w:t>Infrastructure management uses all three characters of appropriation, depending on the activity.  The general rule is that the acquisition/creation/renovation of real </w:t>
      </w:r>
      <w:r>
        <w:rPr>
          <w:strike/>
          <w:color w:val="2E97D3"/>
        </w:rPr>
        <w:t>assets</w:t>
      </w:r>
      <w:r>
        <w:rPr>
          <w:strike w:val="0"/>
          <w:color w:val="2E97D3"/>
          <w:u w:val="single" w:color="2E97D3"/>
        </w:rPr>
        <w:t>property </w:t>
      </w:r>
      <w:r>
        <w:rPr>
          <w:strike w:val="0"/>
        </w:rPr>
        <w:t>is classified as capital outlay </w:t>
      </w:r>
      <w:r>
        <w:rPr>
          <w:strike/>
          <w:color w:val="2E97D3"/>
        </w:rPr>
        <w:t>if</w:t>
      </w:r>
      <w:r>
        <w:rPr>
          <w:strike w:val="0"/>
          <w:color w:val="2E97D3"/>
          <w:u w:val="single" w:color="2E97D3"/>
        </w:rPr>
        <w:t>when </w:t>
      </w:r>
      <w:r>
        <w:rPr>
          <w:strike w:val="0"/>
        </w:rPr>
        <w:t>the state holds </w:t>
      </w:r>
      <w:r>
        <w:rPr>
          <w:strike w:val="0"/>
          <w:color w:val="2E97D3"/>
          <w:u w:val="single" w:color="2E97D3"/>
        </w:rPr>
        <w:t>or has the equivalent of fee </w:t>
      </w:r>
      <w:r>
        <w:rPr>
          <w:strike w:val="0"/>
        </w:rPr>
        <w:t>ownership. </w:t>
      </w:r>
      <w:r>
        <w:rPr>
          <w:strike w:val="0"/>
          <w:color w:val="2E97D3"/>
          <w:u w:val="single" w:color="2E97D3"/>
        </w:rPr>
        <w:t>If the state does not hold title to the real property but has a long-term interest in the property, such as a long-term lease, the betterment or improvement of this property may be classified as capital outlay, as determined by Finance. </w:t>
      </w:r>
      <w:r>
        <w:rPr>
          <w:strike w:val="0"/>
        </w:rPr>
        <w:t>Operation and maintenance of state real assets is classified as state operations. State-funded but locally-owned infrastructure is classified as local</w:t>
      </w:r>
      <w:r>
        <w:rPr>
          <w:strike w:val="0"/>
          <w:spacing w:val="-27"/>
        </w:rPr>
        <w:t> </w:t>
      </w:r>
      <w:r>
        <w:rPr>
          <w:strike w:val="0"/>
        </w:rPr>
        <w:t>assistance.</w:t>
      </w:r>
    </w:p>
    <w:p>
      <w:pPr>
        <w:pStyle w:val="BodyText"/>
        <w:spacing w:before="11"/>
        <w:rPr>
          <w:sz w:val="23"/>
        </w:rPr>
      </w:pPr>
    </w:p>
    <w:p>
      <w:pPr>
        <w:pStyle w:val="BodyText"/>
        <w:ind w:left="820" w:right="454"/>
      </w:pPr>
      <w:r>
        <w:rPr/>
        <w:pict>
          <v:line style="position:absolute;mso-position-horizontal-relative:page;mso-position-vertical-relative:paragraph;z-index:-454672" from="365.519989pt,22.235857pt" to="368.880989pt,22.235857pt" stroked="true" strokeweight=".6pt" strokecolor="#2e97d3">
            <v:stroke dashstyle="solid"/>
            <w10:wrap type="none"/>
          </v:line>
        </w:pict>
      </w:r>
      <w:r>
        <w:rPr/>
        <w:pict>
          <v:line style="position:absolute;mso-position-horizontal-relative:page;mso-position-vertical-relative:paragraph;z-index:-454648" from="116.760002pt,49.836357pt" to="120.121002pt,49.836357pt" stroked="true" strokeweight=".599pt" strokecolor="#2e97d3">
            <v:stroke dashstyle="solid"/>
            <w10:wrap type="none"/>
          </v:line>
        </w:pict>
      </w:r>
      <w:r>
        <w:rPr/>
        <w:pict>
          <v:line style="position:absolute;mso-position-horizontal-relative:page;mso-position-vertical-relative:paragraph;z-index:-454624" from="179.520004pt,49.836357pt" to="182.760004pt,49.836357pt" stroked="true" strokeweight=".599pt" strokecolor="#2e97d3">
            <v:stroke dashstyle="solid"/>
            <w10:wrap type="none"/>
          </v:line>
        </w:pict>
      </w:r>
      <w:r>
        <w:rPr/>
        <w:pict>
          <v:line style="position:absolute;mso-position-horizontal-relative:page;mso-position-vertical-relative:paragraph;z-index:18304" from="36.360001pt,14.015857pt" to="36.360001pt,27.815857pt" stroked="true" strokeweight=".72pt" strokecolor="#000000">
            <v:stroke dashstyle="solid"/>
            <w10:wrap type="none"/>
          </v:line>
        </w:pict>
      </w:r>
      <w:r>
        <w:rPr/>
        <w:pict>
          <v:line style="position:absolute;mso-position-horizontal-relative:page;mso-position-vertical-relative:paragraph;z-index:18328" from="36.360001pt,41.615856pt" to="36.360001pt,96.815856pt" stroked="true" strokeweight=".72pt" strokecolor="#000000">
            <v:stroke dashstyle="solid"/>
            <w10:wrap type="none"/>
          </v:line>
        </w:pict>
      </w:r>
      <w:r>
        <w:rPr/>
        <w:t>Certain types of leasing activities—called capitalized leasing—which are funded as state operations can also result in a capital acquisition. As used in this chapter, the term </w:t>
      </w:r>
      <w:r>
        <w:rPr>
          <w:i/>
        </w:rPr>
        <w:t>capitalized assets </w:t>
      </w:r>
      <w:r>
        <w:rPr/>
        <w:t>covers both traditional capital outlay as well as capitalized leasing. (Reminder: Capitalized assets are to be reported to the DGS Statewide Property Inventory [SPI] Unit for inclusion in the SPI.)</w:t>
      </w:r>
    </w:p>
    <w:p>
      <w:pPr>
        <w:pStyle w:val="BodyText"/>
      </w:pPr>
    </w:p>
    <w:p>
      <w:pPr>
        <w:spacing w:before="0"/>
        <w:ind w:left="820" w:right="721" w:firstLine="0"/>
        <w:jc w:val="left"/>
        <w:rPr>
          <w:sz w:val="24"/>
        </w:rPr>
      </w:pPr>
      <w:r>
        <w:rPr/>
        <w:pict>
          <v:line style="position:absolute;mso-position-horizontal-relative:page;mso-position-vertical-relative:paragraph;z-index:-454600" from="343.679993pt,36.035870pt" to="346.919993pt,36.035870pt" stroked="true" strokeweight=".6pt" strokecolor="#2e97d3">
            <v:stroke dashstyle="solid"/>
            <w10:wrap type="none"/>
          </v:line>
        </w:pict>
      </w:r>
      <w:r>
        <w:rPr/>
        <w:pict>
          <v:line style="position:absolute;mso-position-horizontal-relative:page;mso-position-vertical-relative:paragraph;z-index:18352" from="36.360001pt,27.814869pt" to="36.360001pt,248.615869pt" stroked="true" strokeweight=".72pt" strokecolor="#000000">
            <v:stroke dashstyle="solid"/>
            <w10:wrap type="none"/>
          </v:line>
        </w:pict>
      </w:r>
      <w:r>
        <w:rPr>
          <w:b/>
          <w:sz w:val="24"/>
        </w:rPr>
        <w:t>Exception to the prohibition against using support funds for capital outlay</w:t>
      </w:r>
      <w:r>
        <w:rPr>
          <w:sz w:val="24"/>
        </w:rPr>
        <w:t>: Section 6.00 of the Budget Act provides a limited exception to the rule that support funds may not be used for capital outlay purposes.  This section allows up to</w:t>
      </w:r>
    </w:p>
    <w:p>
      <w:pPr>
        <w:pStyle w:val="BodyText"/>
        <w:ind w:left="820" w:right="101"/>
      </w:pPr>
      <w:r>
        <w:rPr/>
        <w:pict>
          <v:line style="position:absolute;mso-position-horizontal-relative:page;mso-position-vertical-relative:paragraph;z-index:-454576" from="125.400002pt,49.836346pt" to="128.640002pt,49.836346pt" stroked="true" strokeweight=".599pt" strokecolor="#2e97d3">
            <v:stroke dashstyle="solid"/>
            <w10:wrap type="none"/>
          </v:line>
        </w:pict>
      </w:r>
      <w:r>
        <w:rPr/>
        <w:t>$</w:t>
      </w:r>
      <w:r>
        <w:rPr>
          <w:strike/>
          <w:color w:val="2E97D3"/>
        </w:rPr>
        <w:t>35</w:t>
      </w:r>
      <w:r>
        <w:rPr>
          <w:strike w:val="0"/>
          <w:color w:val="2E97D3"/>
          <w:u w:val="single" w:color="2E97D3"/>
        </w:rPr>
        <w:t>100</w:t>
      </w:r>
      <w:r>
        <w:rPr>
          <w:strike w:val="0"/>
        </w:rPr>
        <w:t>,000 of support funds to be encumbered for preliminary plans, working drawings, </w:t>
      </w:r>
      <w:r>
        <w:rPr>
          <w:strike/>
          <w:color w:val="2E97D3"/>
        </w:rPr>
        <w:t>or</w:t>
      </w:r>
      <w:r>
        <w:rPr>
          <w:strike w:val="0"/>
          <w:color w:val="2E97D3"/>
          <w:u w:val="single" w:color="2E97D3"/>
        </w:rPr>
        <w:t>performance criteria, </w:t>
      </w:r>
      <w:r>
        <w:rPr>
          <w:strike w:val="0"/>
        </w:rPr>
        <w:t>construction</w:t>
      </w:r>
      <w:r>
        <w:rPr>
          <w:strike w:val="0"/>
          <w:color w:val="2E97D3"/>
          <w:u w:val="single" w:color="2E97D3"/>
        </w:rPr>
        <w:t>, or design build </w:t>
      </w:r>
      <w:r>
        <w:rPr>
          <w:strike w:val="0"/>
        </w:rPr>
        <w:t>of any project for the </w:t>
      </w:r>
      <w:r>
        <w:rPr>
          <w:i/>
          <w:strike w:val="0"/>
        </w:rPr>
        <w:t>alteration of a </w:t>
      </w:r>
      <w:r>
        <w:rPr>
          <w:i/>
          <w:strike w:val="0"/>
        </w:rPr>
        <w:t>state-owned facility </w:t>
      </w:r>
      <w:r>
        <w:rPr>
          <w:i/>
          <w:strike w:val="0"/>
          <w:color w:val="2E97D3"/>
          <w:u w:val="single" w:color="2E97D3"/>
        </w:rPr>
        <w:t>upon Finance Approval </w:t>
      </w:r>
      <w:r>
        <w:rPr>
          <w:strike w:val="0"/>
        </w:rPr>
        <w:t>(Section 6.00 does not apply to leased facilities).  This amount may be exceeded only if:</w:t>
      </w:r>
    </w:p>
    <w:p>
      <w:pPr>
        <w:pStyle w:val="BodyText"/>
        <w:spacing w:before="11"/>
        <w:rPr>
          <w:sz w:val="15"/>
        </w:rPr>
      </w:pPr>
    </w:p>
    <w:p>
      <w:pPr>
        <w:pStyle w:val="ListParagraph"/>
        <w:numPr>
          <w:ilvl w:val="0"/>
          <w:numId w:val="49"/>
        </w:numPr>
        <w:tabs>
          <w:tab w:pos="1023" w:val="left" w:leader="none"/>
          <w:tab w:pos="1539" w:val="left" w:leader="none"/>
        </w:tabs>
        <w:spacing w:line="274" w:lineRule="exact" w:before="98" w:after="0"/>
        <w:ind w:left="820" w:right="778" w:firstLine="0"/>
        <w:jc w:val="left"/>
        <w:rPr>
          <w:i/>
          <w:sz w:val="24"/>
        </w:rPr>
      </w:pPr>
      <w:r>
        <w:rPr>
          <w:strike/>
          <w:color w:val="2E97D3"/>
          <w:w w:val="100"/>
          <w:sz w:val="24"/>
        </w:rPr>
        <w:t> </w:t>
      </w:r>
      <w:r>
        <w:rPr>
          <w:strike/>
          <w:color w:val="2E97D3"/>
          <w:sz w:val="24"/>
        </w:rPr>
        <w:tab/>
        <w:t>DOF </w:t>
      </w:r>
      <w:r>
        <w:rPr>
          <w:strike w:val="0"/>
          <w:color w:val="2E97D3"/>
          <w:sz w:val="24"/>
          <w:u w:val="single" w:color="2E97D3"/>
        </w:rPr>
        <w:t>Finance </w:t>
      </w:r>
      <w:r>
        <w:rPr>
          <w:strike w:val="0"/>
          <w:sz w:val="24"/>
        </w:rPr>
        <w:t>determines the proposed alteration is critical and the use</w:t>
      </w:r>
      <w:r>
        <w:rPr>
          <w:strike w:val="0"/>
          <w:spacing w:val="-30"/>
          <w:sz w:val="24"/>
        </w:rPr>
        <w:t> </w:t>
      </w:r>
      <w:r>
        <w:rPr>
          <w:strike w:val="0"/>
          <w:sz w:val="24"/>
        </w:rPr>
        <w:t>of</w:t>
      </w:r>
      <w:r>
        <w:rPr>
          <w:strike w:val="0"/>
          <w:spacing w:val="-3"/>
          <w:sz w:val="24"/>
        </w:rPr>
        <w:t> </w:t>
      </w:r>
      <w:r>
        <w:rPr>
          <w:strike w:val="0"/>
          <w:sz w:val="24"/>
        </w:rPr>
        <w:t>a</w:t>
      </w:r>
      <w:r>
        <w:rPr>
          <w:strike w:val="0"/>
          <w:w w:val="99"/>
          <w:sz w:val="24"/>
        </w:rPr>
        <w:t> </w:t>
      </w:r>
      <w:r>
        <w:rPr>
          <w:strike w:val="0"/>
          <w:sz w:val="24"/>
        </w:rPr>
        <w:t>higher level of support funds is necessary;</w:t>
      </w:r>
      <w:r>
        <w:rPr>
          <w:strike w:val="0"/>
          <w:spacing w:val="-26"/>
          <w:sz w:val="24"/>
        </w:rPr>
        <w:t> </w:t>
      </w:r>
      <w:r>
        <w:rPr>
          <w:i/>
          <w:strike w:val="0"/>
          <w:sz w:val="24"/>
        </w:rPr>
        <w:t>and</w:t>
      </w:r>
    </w:p>
    <w:p>
      <w:pPr>
        <w:pStyle w:val="BodyText"/>
        <w:spacing w:before="9"/>
        <w:rPr>
          <w:i/>
          <w:sz w:val="23"/>
        </w:rPr>
      </w:pPr>
    </w:p>
    <w:p>
      <w:pPr>
        <w:pStyle w:val="ListParagraph"/>
        <w:numPr>
          <w:ilvl w:val="0"/>
          <w:numId w:val="49"/>
        </w:numPr>
        <w:tabs>
          <w:tab w:pos="1607" w:val="left" w:leader="none"/>
          <w:tab w:pos="1608" w:val="left" w:leader="none"/>
        </w:tabs>
        <w:spacing w:line="240" w:lineRule="auto" w:before="0" w:after="0"/>
        <w:ind w:left="820" w:right="1846" w:firstLine="0"/>
        <w:jc w:val="left"/>
        <w:rPr>
          <w:sz w:val="24"/>
        </w:rPr>
      </w:pPr>
      <w:r>
        <w:rPr/>
        <w:pict>
          <v:line style="position:absolute;mso-position-horizontal-relative:page;mso-position-vertical-relative:paragraph;z-index:-454552" from="108pt,12.995866pt" to="111.36pt,12.995866pt" stroked="true" strokeweight=".84pt" strokecolor="#2e97d3">
            <v:stroke dashstyle="solid"/>
            <w10:wrap type="none"/>
          </v:line>
        </w:pict>
      </w:r>
      <w:r>
        <w:rPr/>
        <w:pict>
          <v:line style="position:absolute;mso-position-horizontal-relative:page;mso-position-vertical-relative:paragraph;z-index:-454528" from="81.959999pt,8.435866pt" to="107.999999pt,8.435866pt" stroked="true" strokeweight=".6pt" strokecolor="#2e97d3">
            <v:stroke dashstyle="solid"/>
            <w10:wrap type="none"/>
          </v:line>
        </w:pict>
      </w:r>
      <w:r>
        <w:rPr>
          <w:sz w:val="24"/>
        </w:rPr>
        <w:t>The maximum cost of the project does not exceed $</w:t>
      </w:r>
      <w:r>
        <w:rPr>
          <w:strike/>
          <w:color w:val="2E97D3"/>
          <w:sz w:val="24"/>
        </w:rPr>
        <w:t>250</w:t>
      </w:r>
      <w:r>
        <w:rPr>
          <w:strike w:val="0"/>
          <w:color w:val="2E97D3"/>
          <w:sz w:val="24"/>
          <w:u w:val="single" w:color="2E97D3"/>
        </w:rPr>
        <w:t>656</w:t>
      </w:r>
      <w:r>
        <w:rPr>
          <w:strike w:val="0"/>
          <w:sz w:val="24"/>
        </w:rPr>
        <w:t>,000. </w:t>
      </w:r>
      <w:r>
        <w:rPr>
          <w:strike/>
          <w:color w:val="2E97D3"/>
          <w:sz w:val="24"/>
        </w:rPr>
        <w:t>DOF</w:t>
      </w:r>
    </w:p>
    <w:p>
      <w:pPr>
        <w:pStyle w:val="BodyText"/>
        <w:ind w:left="820" w:right="389"/>
        <w:jc w:val="both"/>
      </w:pPr>
      <w:r>
        <w:rPr/>
        <w:pict>
          <v:line style="position:absolute;mso-position-horizontal-relative:page;mso-position-vertical-relative:paragraph;z-index:-454504" from="402.959991pt,22.235861pt" to="406.320991pt,22.235861pt" stroked="true" strokeweight=".6pt" strokecolor="#2e97d3">
            <v:stroke dashstyle="solid"/>
            <w10:wrap type="none"/>
          </v:line>
        </w:pict>
      </w:r>
      <w:r>
        <w:rPr>
          <w:color w:val="2E97D3"/>
          <w:u w:val="single" w:color="2E97D3"/>
        </w:rPr>
        <w:t>Finance </w:t>
      </w:r>
      <w:r>
        <w:rPr/>
        <w:t>must notify the Legislature not less than 30 days in advance when approving more than $</w:t>
      </w:r>
      <w:r>
        <w:rPr>
          <w:strike/>
          <w:color w:val="2E97D3"/>
        </w:rPr>
        <w:t>35</w:t>
      </w:r>
      <w:r>
        <w:rPr>
          <w:strike w:val="0"/>
          <w:color w:val="2E97D3"/>
          <w:u w:val="single" w:color="2E97D3"/>
        </w:rPr>
        <w:t>100</w:t>
      </w:r>
      <w:r>
        <w:rPr>
          <w:strike w:val="0"/>
        </w:rPr>
        <w:t>,000 in support funding for a capital project. Section 6807 on minor capital outlay describes the approval process for projects of more than $</w:t>
      </w:r>
      <w:r>
        <w:rPr>
          <w:strike/>
          <w:color w:val="2E97D3"/>
        </w:rPr>
        <w:t>35</w:t>
      </w:r>
      <w:r>
        <w:rPr>
          <w:strike w:val="0"/>
          <w:color w:val="2E97D3"/>
          <w:u w:val="single" w:color="2E97D3"/>
        </w:rPr>
        <w:t>100</w:t>
      </w:r>
      <w:r>
        <w:rPr>
          <w:strike w:val="0"/>
        </w:rPr>
        <w:t>,000.</w:t>
      </w:r>
    </w:p>
    <w:p>
      <w:pPr>
        <w:pStyle w:val="BodyText"/>
        <w:rPr>
          <w:sz w:val="16"/>
        </w:rPr>
      </w:pPr>
    </w:p>
    <w:p>
      <w:pPr>
        <w:spacing w:before="92"/>
        <w:ind w:left="820" w:right="454" w:firstLine="0"/>
        <w:jc w:val="left"/>
        <w:rPr>
          <w:sz w:val="24"/>
        </w:rPr>
      </w:pPr>
      <w:r>
        <w:rPr/>
        <w:pict>
          <v:line style="position:absolute;mso-position-horizontal-relative:page;mso-position-vertical-relative:paragraph;z-index:-454480" from="381.480011pt,13.035863pt" to="384.840011pt,13.035863pt" stroked="true" strokeweight=".6pt" strokecolor="#2e97d3">
            <v:stroke dashstyle="solid"/>
            <w10:wrap type="none"/>
          </v:line>
        </w:pict>
      </w:r>
      <w:r>
        <w:rPr/>
        <w:pict>
          <v:line style="position:absolute;mso-position-horizontal-relative:page;mso-position-vertical-relative:paragraph;z-index:18376" from="36.360001pt,32.415863pt" to="36.360001pt,87.615863pt" stroked="true" strokeweight=".72pt" strokecolor="#000000">
            <v:stroke dashstyle="solid"/>
            <w10:wrap type="none"/>
          </v:line>
        </w:pict>
      </w:r>
      <w:r>
        <w:rPr>
          <w:b/>
          <w:sz w:val="24"/>
        </w:rPr>
        <w:t>Guidelines for determining character of appropriation: </w:t>
      </w:r>
      <w:r>
        <w:rPr>
          <w:sz w:val="24"/>
        </w:rPr>
        <w:t>The following discussion and table are intended as a guide to assist departments in determining whether an activity should be budgeted as capital outlay, support, or local assistance.</w:t>
      </w:r>
    </w:p>
    <w:p>
      <w:pPr>
        <w:pStyle w:val="BodyText"/>
        <w:ind w:left="820"/>
        <w:rPr>
          <w:i/>
        </w:rPr>
      </w:pPr>
      <w:r>
        <w:rPr>
          <w:b/>
          <w:strike/>
          <w:color w:val="2E97D3"/>
        </w:rPr>
        <w:t>Capital outlay: </w:t>
      </w:r>
      <w:r>
        <w:rPr>
          <w:strike/>
          <w:color w:val="2E97D3"/>
        </w:rPr>
        <w:t>Section 3.00 of the Budget Act defines capital outlay as “acquisition of land or other real property, major construction, improvements, equipment, designs, working plans, specifications, repairs, and equipment </w:t>
      </w:r>
      <w:r>
        <w:rPr>
          <w:i/>
          <w:strike/>
          <w:color w:val="2E97D3"/>
        </w:rPr>
        <w:t>necessary in connection with a</w:t>
      </w:r>
    </w:p>
    <w:p>
      <w:pPr>
        <w:spacing w:after="0"/>
        <w:sectPr>
          <w:footerReference w:type="default" r:id="rId162"/>
          <w:pgSz w:w="12240" w:h="15840"/>
          <w:pgMar w:footer="803" w:header="728" w:top="980" w:bottom="1000" w:left="620" w:right="1320"/>
        </w:sectPr>
      </w:pPr>
    </w:p>
    <w:p>
      <w:pPr>
        <w:pStyle w:val="BodyText"/>
        <w:rPr>
          <w:i/>
          <w:sz w:val="20"/>
        </w:rPr>
      </w:pPr>
    </w:p>
    <w:p>
      <w:pPr>
        <w:spacing w:before="211"/>
        <w:ind w:left="820" w:right="0" w:firstLine="0"/>
        <w:jc w:val="left"/>
        <w:rPr>
          <w:sz w:val="24"/>
        </w:rPr>
      </w:pPr>
      <w:r>
        <w:rPr/>
        <w:pict>
          <v:line style="position:absolute;mso-position-horizontal-relative:page;mso-position-vertical-relative:paragraph;z-index:18424" from="36.360001pt,10.885877pt" to="36.360001pt,131.605877pt" stroked="true" strokeweight=".72pt" strokecolor="#000000">
            <v:stroke dashstyle="solid"/>
            <w10:wrap type="none"/>
          </v:line>
        </w:pict>
      </w:r>
      <w:r>
        <w:rPr>
          <w:i/>
          <w:strike/>
          <w:color w:val="2E97D3"/>
          <w:sz w:val="24"/>
        </w:rPr>
        <w:t>construction or improvement project</w:t>
      </w:r>
      <w:r>
        <w:rPr>
          <w:strike/>
          <w:color w:val="2E97D3"/>
          <w:sz w:val="24"/>
        </w:rPr>
        <w:t>” (emphasis added).</w:t>
      </w:r>
    </w:p>
    <w:p>
      <w:pPr>
        <w:pStyle w:val="BodyText"/>
        <w:spacing w:before="1"/>
        <w:rPr>
          <w:sz w:val="16"/>
        </w:rPr>
      </w:pPr>
    </w:p>
    <w:p>
      <w:pPr>
        <w:pStyle w:val="BodyText"/>
        <w:spacing w:before="92"/>
        <w:ind w:left="820"/>
      </w:pPr>
      <w:r>
        <w:rPr>
          <w:strike/>
          <w:color w:val="2C6234"/>
          <w:w w:val="100"/>
        </w:rPr>
        <w:t> </w:t>
      </w:r>
      <w:r>
        <w:rPr>
          <w:strike/>
          <w:color w:val="2C6234"/>
        </w:rPr>
        <w:t>Administratively, capital outlay is defined as:</w:t>
      </w:r>
    </w:p>
    <w:p>
      <w:pPr>
        <w:pStyle w:val="BodyText"/>
        <w:ind w:left="820"/>
      </w:pPr>
      <w:r>
        <w:rPr/>
        <w:pict>
          <v:group style="position:absolute;margin-left:71.699997pt;margin-top:7.535857pt;width:280.7pt;height:1.8pt;mso-position-horizontal-relative:page;mso-position-vertical-relative:paragraph;z-index:-454264" coordorigin="1434,151" coordsize="5614,36">
            <v:line style="position:absolute" from="1440,169" to="1800,169" stroked="true" strokeweight=".6pt" strokecolor="#2e97d3">
              <v:stroke dashstyle="solid"/>
            </v:line>
            <v:line style="position:absolute" from="1800,181" to="7042,181" stroked="true" strokeweight=".599pt" strokecolor="#2c6234">
              <v:stroke dashstyle="solid"/>
            </v:line>
            <v:line style="position:absolute" from="1800,157" to="7042,157" stroked="true" strokeweight=".6pt" strokecolor="#2c6234">
              <v:stroke dashstyle="solid"/>
            </v:line>
            <w10:wrap type="none"/>
          </v:group>
        </w:pict>
      </w:r>
      <w:r>
        <w:rPr>
          <w:color w:val="2E97D3"/>
        </w:rPr>
        <w:t>1.  </w:t>
      </w:r>
      <w:r>
        <w:rPr>
          <w:color w:val="2C6234"/>
        </w:rPr>
        <w:t>Any real property acquisition or new construction.</w:t>
      </w:r>
    </w:p>
    <w:p>
      <w:pPr>
        <w:pStyle w:val="BodyText"/>
        <w:rPr>
          <w:sz w:val="20"/>
        </w:rPr>
      </w:pPr>
    </w:p>
    <w:p>
      <w:pPr>
        <w:pStyle w:val="BodyText"/>
        <w:spacing w:before="10"/>
        <w:rPr>
          <w:sz w:val="16"/>
        </w:rPr>
      </w:pPr>
    </w:p>
    <w:p>
      <w:pPr>
        <w:pStyle w:val="BodyText"/>
        <w:spacing w:before="93"/>
        <w:ind w:left="820"/>
      </w:pPr>
      <w:r>
        <w:rPr/>
        <w:t>(Continued)</w:t>
      </w:r>
    </w:p>
    <w:p>
      <w:pPr>
        <w:spacing w:after="0"/>
        <w:sectPr>
          <w:pgSz w:w="12240" w:h="15840"/>
          <w:pgMar w:header="728" w:footer="803" w:top="980" w:bottom="1000" w:left="620" w:right="1720"/>
        </w:sectPr>
      </w:pPr>
    </w:p>
    <w:p>
      <w:pPr>
        <w:pStyle w:val="BodyText"/>
        <w:rPr>
          <w:sz w:val="20"/>
        </w:rPr>
      </w:pPr>
    </w:p>
    <w:p>
      <w:pPr>
        <w:pStyle w:val="BodyText"/>
        <w:spacing w:before="214"/>
        <w:ind w:left="820"/>
      </w:pPr>
      <w:r>
        <w:rPr/>
        <w:pict>
          <v:line style="position:absolute;mso-position-horizontal-relative:page;mso-position-vertical-relative:paragraph;z-index:18688" from="36.360001pt,24.714882pt" to="36.360001pt,212.035882pt" stroked="true" strokeweight=".72pt" strokecolor="#000000">
            <v:stroke dashstyle="solid"/>
            <w10:wrap type="none"/>
          </v:line>
        </w:pict>
      </w:r>
      <w:r>
        <w:rPr/>
        <w:t>(Continued)</w:t>
      </w:r>
    </w:p>
    <w:p>
      <w:pPr>
        <w:pStyle w:val="Heading2"/>
        <w:tabs>
          <w:tab w:pos="8559" w:val="left" w:leader="none"/>
        </w:tabs>
        <w:spacing w:line="275" w:lineRule="exact"/>
        <w:ind w:left="820"/>
        <w:rPr>
          <w:b w:val="0"/>
        </w:rPr>
      </w:pPr>
      <w:r>
        <w:rPr/>
        <w:t>CAPITAL OUTLAY VERSUS</w:t>
      </w:r>
      <w:r>
        <w:rPr>
          <w:spacing w:val="-10"/>
        </w:rPr>
        <w:t> </w:t>
      </w:r>
      <w:r>
        <w:rPr/>
        <w:t>STATE</w:t>
      </w:r>
      <w:r>
        <w:rPr>
          <w:spacing w:val="-3"/>
        </w:rPr>
        <w:t> </w:t>
      </w:r>
      <w:r>
        <w:rPr/>
        <w:t>OPERATIONS</w:t>
      </w:r>
      <w:r>
        <w:rPr>
          <w:color w:val="2E97D3"/>
          <w:u w:val="thick" w:color="2E97D3"/>
        </w:rPr>
        <w:t> </w:t>
        <w:tab/>
        <w:t>6806 </w:t>
      </w:r>
      <w:r>
        <w:rPr>
          <w:b w:val="0"/>
          <w:color w:val="2E97D3"/>
          <w:u w:val="thick" w:color="2E97D3"/>
        </w:rPr>
        <w:t>(Cont.</w:t>
      </w:r>
      <w:r>
        <w:rPr>
          <w:b w:val="0"/>
          <w:color w:val="2E97D3"/>
          <w:spacing w:val="-6"/>
          <w:u w:val="thick" w:color="2E97D3"/>
        </w:rPr>
        <w:t> </w:t>
      </w:r>
      <w:r>
        <w:rPr>
          <w:b w:val="0"/>
          <w:color w:val="2E97D3"/>
          <w:u w:val="thick" w:color="2E97D3"/>
        </w:rPr>
        <w:t>1)</w:t>
      </w:r>
    </w:p>
    <w:p>
      <w:pPr>
        <w:spacing w:line="229" w:lineRule="exact" w:before="0"/>
        <w:ind w:left="820" w:right="0" w:firstLine="0"/>
        <w:jc w:val="left"/>
        <w:rPr>
          <w:rFonts w:ascii="Times New Roman"/>
          <w:sz w:val="20"/>
        </w:rPr>
      </w:pPr>
      <w:r>
        <w:rPr>
          <w:rFonts w:ascii="Times New Roman"/>
          <w:sz w:val="20"/>
        </w:rPr>
        <w:t>AND</w:t>
      </w:r>
    </w:p>
    <w:p>
      <w:pPr>
        <w:tabs>
          <w:tab w:pos="8471" w:val="left" w:leader="none"/>
        </w:tabs>
        <w:spacing w:before="3"/>
        <w:ind w:left="820" w:right="0" w:firstLine="0"/>
        <w:jc w:val="left"/>
        <w:rPr>
          <w:sz w:val="24"/>
        </w:rPr>
      </w:pPr>
      <w:r>
        <w:rPr>
          <w:b/>
          <w:sz w:val="24"/>
        </w:rPr>
        <w:t>LOCAL ASSISTANCE</w:t>
      </w:r>
      <w:r>
        <w:rPr>
          <w:strike/>
          <w:color w:val="2E97D3"/>
          <w:sz w:val="24"/>
        </w:rPr>
        <w:tab/>
        <w:t>6806 (Cont.</w:t>
      </w:r>
      <w:r>
        <w:rPr>
          <w:strike/>
          <w:color w:val="2E97D3"/>
          <w:spacing w:val="-6"/>
          <w:sz w:val="24"/>
        </w:rPr>
        <w:t> </w:t>
      </w:r>
      <w:r>
        <w:rPr>
          <w:strike/>
          <w:color w:val="2E97D3"/>
          <w:sz w:val="24"/>
        </w:rPr>
        <w:t>1)</w:t>
      </w:r>
    </w:p>
    <w:p>
      <w:pPr>
        <w:pStyle w:val="BodyText"/>
        <w:ind w:left="820" w:right="7458"/>
      </w:pPr>
      <w:r>
        <w:rPr>
          <w:strike/>
          <w:color w:val="2C6234"/>
        </w:rPr>
        <w:t>(Revised 09/2017) </w:t>
      </w:r>
      <w:r>
        <w:rPr>
          <w:strike w:val="0"/>
          <w:color w:val="2E97D3"/>
          <w:u w:val="single" w:color="2E97D3"/>
        </w:rPr>
        <w:t>(Revised 11/2017)</w:t>
      </w:r>
    </w:p>
    <w:p>
      <w:pPr>
        <w:pStyle w:val="BodyText"/>
        <w:spacing w:before="11"/>
        <w:rPr>
          <w:sz w:val="15"/>
        </w:rPr>
      </w:pPr>
    </w:p>
    <w:p>
      <w:pPr>
        <w:spacing w:line="240" w:lineRule="auto" w:before="92"/>
        <w:ind w:left="820" w:right="95" w:firstLine="0"/>
        <w:jc w:val="left"/>
        <w:rPr>
          <w:sz w:val="24"/>
        </w:rPr>
      </w:pPr>
      <w:r>
        <w:rPr/>
        <w:pict>
          <v:group style="position:absolute;margin-left:71.574997pt;margin-top:57.845375pt;width:467pt;height:1.95pt;mso-position-horizontal-relative:page;mso-position-vertical-relative:paragraph;z-index:-454168" coordorigin="1431,1157" coordsize="9340,39">
            <v:line style="position:absolute" from="1440,1178" to="7246,1178" stroked="true" strokeweight=".84pt" strokecolor="#2e97d3">
              <v:stroke dashstyle="solid"/>
            </v:line>
            <v:shape style="position:absolute;left:7246;top:1162;width:3521;height:29" coordorigin="7246,1162" coordsize="3521,29" path="m7246,1162l10766,1162m7246,1191l10766,1191e" filled="false" stroked="true" strokeweight=".481pt" strokecolor="#2c6234">
              <v:path arrowok="t"/>
              <v:stroke dashstyle="solid"/>
            </v:shape>
            <w10:wrap type="none"/>
          </v:group>
        </w:pict>
      </w:r>
      <w:r>
        <w:rPr>
          <w:b/>
          <w:color w:val="2E97D3"/>
          <w:sz w:val="24"/>
          <w:u w:val="single" w:color="2E97D3"/>
        </w:rPr>
        <w:t>Capital outlay: </w:t>
      </w:r>
      <w:r>
        <w:rPr>
          <w:color w:val="2E97D3"/>
          <w:sz w:val="24"/>
          <w:u w:val="single" w:color="2E97D3"/>
        </w:rPr>
        <w:t>Section 3.00 of the Budget Act defines capital outlay as the expenditure of funds for the acquisition of land or other real property, major construction, improvements, equipment, designs, specifications, and equipment </w:t>
      </w:r>
      <w:r>
        <w:rPr>
          <w:i/>
          <w:color w:val="2E97D3"/>
          <w:sz w:val="24"/>
          <w:u w:val="single" w:color="2E97D3"/>
        </w:rPr>
        <w:t>necessary in </w:t>
      </w:r>
      <w:r>
        <w:rPr>
          <w:i/>
          <w:color w:val="2E97D3"/>
          <w:sz w:val="24"/>
        </w:rPr>
        <w:t>connection with a construction or improvement project</w:t>
      </w:r>
      <w:r>
        <w:rPr>
          <w:color w:val="2E97D3"/>
          <w:sz w:val="24"/>
        </w:rPr>
        <w:t>. </w:t>
      </w:r>
      <w:r>
        <w:rPr>
          <w:color w:val="2C6234"/>
          <w:sz w:val="24"/>
        </w:rPr>
        <w:t>Administratively, capital outlay is </w:t>
      </w:r>
      <w:r>
        <w:rPr>
          <w:color w:val="2C6234"/>
          <w:sz w:val="24"/>
          <w:u w:val="thick" w:color="2C6234"/>
        </w:rPr>
        <w:t>defined as:</w:t>
      </w:r>
    </w:p>
    <w:p>
      <w:pPr>
        <w:pStyle w:val="BodyText"/>
        <w:spacing w:before="9"/>
        <w:rPr>
          <w:sz w:val="20"/>
        </w:rPr>
      </w:pPr>
    </w:p>
    <w:p>
      <w:pPr>
        <w:pStyle w:val="ListParagraph"/>
        <w:numPr>
          <w:ilvl w:val="0"/>
          <w:numId w:val="50"/>
        </w:numPr>
        <w:tabs>
          <w:tab w:pos="1179" w:val="left" w:leader="none"/>
          <w:tab w:pos="1180" w:val="left" w:leader="none"/>
          <w:tab w:pos="7299" w:val="left" w:leader="none"/>
        </w:tabs>
        <w:spacing w:line="240" w:lineRule="auto" w:before="0" w:after="0"/>
        <w:ind w:left="1180" w:right="0" w:hanging="360"/>
        <w:jc w:val="left"/>
        <w:rPr>
          <w:sz w:val="24"/>
        </w:rPr>
      </w:pPr>
      <w:r>
        <w:rPr/>
        <w:pict>
          <v:group style="position:absolute;margin-left:71.574997pt;margin-top:11.965874pt;width:280.9pt;height:1.95pt;mso-position-horizontal-relative:page;mso-position-vertical-relative:paragraph;z-index:-454144" coordorigin="1431,239" coordsize="5618,39">
            <v:line style="position:absolute" from="1440,260" to="1800,260" stroked="true" strokeweight=".841pt" strokecolor="#2e97d3">
              <v:stroke dashstyle="solid"/>
            </v:line>
            <v:shape style="position:absolute;left:1800;top:244;width:5244;height:29" coordorigin="1800,244" coordsize="5244,29" path="m1800,244l7044,244m1800,273l7044,273e" filled="false" stroked="true" strokeweight=".48pt" strokecolor="#2c6234">
              <v:path arrowok="t"/>
              <v:stroke dashstyle="solid"/>
            </v:shape>
            <w10:wrap type="none"/>
          </v:group>
        </w:pict>
      </w:r>
      <w:r>
        <w:rPr>
          <w:color w:val="2C6234"/>
          <w:sz w:val="24"/>
        </w:rPr>
        <w:t>Any real property acquisition or new</w:t>
      </w:r>
      <w:r>
        <w:rPr>
          <w:color w:val="2C6234"/>
          <w:spacing w:val="-24"/>
          <w:sz w:val="24"/>
        </w:rPr>
        <w:t> </w:t>
      </w:r>
      <w:r>
        <w:rPr>
          <w:color w:val="2C6234"/>
          <w:sz w:val="24"/>
        </w:rPr>
        <w:t>construction.</w:t>
      </w:r>
      <w:r>
        <w:rPr>
          <w:strike/>
          <w:color w:val="2E97D3"/>
          <w:sz w:val="24"/>
        </w:rPr>
        <w:t>2.</w:t>
        <w:tab/>
      </w:r>
    </w:p>
    <w:p>
      <w:pPr>
        <w:pStyle w:val="BodyText"/>
        <w:spacing w:before="9"/>
        <w:rPr>
          <w:sz w:val="20"/>
        </w:rPr>
      </w:pPr>
    </w:p>
    <w:p>
      <w:pPr>
        <w:pStyle w:val="ListParagraph"/>
        <w:numPr>
          <w:ilvl w:val="0"/>
          <w:numId w:val="50"/>
        </w:numPr>
        <w:tabs>
          <w:tab w:pos="1179" w:val="left" w:leader="none"/>
          <w:tab w:pos="1180" w:val="left" w:leader="none"/>
        </w:tabs>
        <w:spacing w:line="240" w:lineRule="auto" w:before="0" w:after="0"/>
        <w:ind w:left="1180" w:right="179" w:hanging="360"/>
        <w:jc w:val="left"/>
        <w:rPr>
          <w:sz w:val="24"/>
        </w:rPr>
      </w:pPr>
      <w:r>
        <w:rPr/>
        <w:pict>
          <v:line style="position:absolute;mso-position-horizontal-relative:page;mso-position-vertical-relative:paragraph;z-index:18712" from="36.360001pt,27.814856pt" to="36.360001pt,41.615856pt" stroked="true" strokeweight=".72pt" strokecolor="#000000">
            <v:stroke dashstyle="solid"/>
            <w10:wrap type="none"/>
          </v:line>
        </w:pict>
      </w:r>
      <w:r>
        <w:rPr>
          <w:sz w:val="24"/>
        </w:rPr>
        <w:t>Any alteration, renovation, addition or betterment (including interior asbestos removal/remodeling) which extends the design life or alters/upgrades the function of a</w:t>
      </w:r>
      <w:r>
        <w:rPr>
          <w:spacing w:val="-4"/>
          <w:sz w:val="24"/>
        </w:rPr>
        <w:t> </w:t>
      </w:r>
      <w:r>
        <w:rPr>
          <w:sz w:val="24"/>
        </w:rPr>
        <w:t>structure.</w:t>
      </w:r>
    </w:p>
    <w:p>
      <w:pPr>
        <w:pStyle w:val="BodyText"/>
        <w:spacing w:before="11"/>
        <w:rPr>
          <w:sz w:val="23"/>
        </w:rPr>
      </w:pPr>
    </w:p>
    <w:p>
      <w:pPr>
        <w:pStyle w:val="ListParagraph"/>
        <w:numPr>
          <w:ilvl w:val="1"/>
          <w:numId w:val="50"/>
        </w:numPr>
        <w:tabs>
          <w:tab w:pos="1539" w:val="left" w:leader="none"/>
          <w:tab w:pos="1540" w:val="left" w:leader="none"/>
          <w:tab w:pos="2259" w:val="left" w:leader="none"/>
        </w:tabs>
        <w:spacing w:line="240" w:lineRule="auto" w:before="0" w:after="0"/>
        <w:ind w:left="1540" w:right="592" w:hanging="360"/>
        <w:jc w:val="left"/>
        <w:rPr>
          <w:sz w:val="24"/>
        </w:rPr>
      </w:pPr>
      <w:r>
        <w:rPr/>
        <w:pict>
          <v:line style="position:absolute;mso-position-horizontal-relative:page;mso-position-vertical-relative:paragraph;z-index:18736" from="36.360001pt,.215874pt" to="36.360001pt,27.815874pt" stroked="true" strokeweight=".72pt" strokecolor="#000000">
            <v:stroke dashstyle="solid"/>
            <w10:wrap type="none"/>
          </v:line>
        </w:pict>
      </w:r>
      <w:r>
        <w:rPr/>
        <w:pict>
          <v:line style="position:absolute;mso-position-horizontal-relative:page;mso-position-vertical-relative:paragraph;z-index:18760" from="36.360001pt,41.615875pt" to="36.360001pt,83.015875pt" stroked="true" strokeweight=".72pt" strokecolor="#000000">
            <v:stroke dashstyle="solid"/>
            <w10:wrap type="none"/>
          </v:line>
        </w:pict>
      </w:r>
      <w:r>
        <w:rPr>
          <w:strike/>
          <w:color w:val="2E97D3"/>
          <w:sz w:val="24"/>
        </w:rPr>
        <w:t>a.</w:t>
        <w:tab/>
      </w:r>
      <w:r>
        <w:rPr>
          <w:strike w:val="0"/>
          <w:sz w:val="24"/>
        </w:rPr>
        <w:t>This does not include repairs and maintenance, which are</w:t>
      </w:r>
      <w:r>
        <w:rPr>
          <w:strike w:val="0"/>
          <w:spacing w:val="-30"/>
          <w:sz w:val="24"/>
        </w:rPr>
        <w:t> </w:t>
      </w:r>
      <w:r>
        <w:rPr>
          <w:strike w:val="0"/>
          <w:sz w:val="24"/>
        </w:rPr>
        <w:t>intended</w:t>
      </w:r>
      <w:r>
        <w:rPr>
          <w:strike w:val="0"/>
          <w:spacing w:val="-5"/>
          <w:sz w:val="24"/>
        </w:rPr>
        <w:t> </w:t>
      </w:r>
      <w:r>
        <w:rPr>
          <w:strike w:val="0"/>
          <w:sz w:val="24"/>
        </w:rPr>
        <w:t>to</w:t>
      </w:r>
      <w:r>
        <w:rPr>
          <w:strike w:val="0"/>
          <w:w w:val="99"/>
          <w:sz w:val="24"/>
        </w:rPr>
        <w:t> </w:t>
      </w:r>
      <w:r>
        <w:rPr>
          <w:strike w:val="0"/>
          <w:sz w:val="24"/>
        </w:rPr>
        <w:t>keep a facility functional at its designed level of services and life</w:t>
      </w:r>
      <w:r>
        <w:rPr>
          <w:strike w:val="0"/>
          <w:spacing w:val="-36"/>
          <w:sz w:val="24"/>
        </w:rPr>
        <w:t> </w:t>
      </w:r>
      <w:r>
        <w:rPr>
          <w:strike w:val="0"/>
          <w:sz w:val="24"/>
        </w:rPr>
        <w:t>expectancy.</w:t>
      </w:r>
    </w:p>
    <w:p>
      <w:pPr>
        <w:pStyle w:val="BodyText"/>
        <w:rPr>
          <w:sz w:val="26"/>
        </w:rPr>
      </w:pPr>
    </w:p>
    <w:p>
      <w:pPr>
        <w:pStyle w:val="BodyText"/>
        <w:spacing w:before="11"/>
        <w:rPr>
          <w:sz w:val="21"/>
        </w:rPr>
      </w:pPr>
    </w:p>
    <w:p>
      <w:pPr>
        <w:pStyle w:val="BodyText"/>
        <w:ind w:left="1540" w:right="402" w:hanging="360"/>
      </w:pPr>
      <w:r>
        <w:rPr/>
        <w:pict>
          <v:line style="position:absolute;mso-position-horizontal-relative:page;mso-position-vertical-relative:paragraph;z-index:-454120" from="108pt,8.435862pt" to="111.96pt,8.435862pt" stroked="true" strokeweight=".6pt" strokecolor="#2e97d3">
            <v:stroke dashstyle="solid"/>
            <w10:wrap type="none"/>
          </v:line>
        </w:pict>
      </w:r>
      <w:r>
        <w:rPr/>
        <w:pict>
          <v:line style="position:absolute;mso-position-horizontal-relative:page;mso-position-vertical-relative:paragraph;z-index:-454096" from="162.839996pt,8.435862pt" to="166.799996pt,8.435862pt" stroked="true" strokeweight=".6pt" strokecolor="#2e97d3">
            <v:stroke dashstyle="solid"/>
            <w10:wrap type="none"/>
          </v:line>
        </w:pict>
      </w:r>
      <w:r>
        <w:rPr/>
        <w:pict>
          <v:line style="position:absolute;mso-position-horizontal-relative:page;mso-position-vertical-relative:paragraph;z-index:18784" from="36.360001pt,41.614861pt" to="36.360001pt,55.415861pt" stroked="true" strokeweight=".72pt" strokecolor="#000000">
            <v:stroke dashstyle="solid"/>
            <w10:wrap type="none"/>
          </v:line>
        </w:pict>
      </w:r>
      <w:r>
        <w:rPr>
          <w:strike/>
          <w:color w:val="2E97D3"/>
        </w:rPr>
        <w:t>b.</w:t>
      </w:r>
      <w:r>
        <w:rPr>
          <w:strike w:val="0"/>
          <w:color w:val="2E97D3"/>
          <w:u w:val="single" w:color="2E97D3"/>
        </w:rPr>
        <w:t>• </w:t>
      </w:r>
      <w:r>
        <w:rPr>
          <w:strike w:val="0"/>
          <w:color w:val="2E97D3"/>
        </w:rPr>
        <w:t>“</w:t>
      </w:r>
      <w:r>
        <w:rPr>
          <w:strike w:val="0"/>
        </w:rPr>
        <w:t>Alteration</w:t>
      </w:r>
      <w:r>
        <w:rPr>
          <w:strike w:val="0"/>
          <w:color w:val="2E97D3"/>
        </w:rPr>
        <w:t>” </w:t>
      </w:r>
      <w:r>
        <w:rPr>
          <w:strike w:val="0"/>
        </w:rPr>
        <w:t>means any modification of existing space (buildings, structures or other facilities) that changes the use as to function, layout, capacity, or quality. Typical alterations include demolition of fixed partitions and/or construction of new fixed partitions or initial installation of carpeting and movable partitions.</w:t>
      </w:r>
    </w:p>
    <w:p>
      <w:pPr>
        <w:pStyle w:val="BodyText"/>
        <w:ind w:left="1540" w:right="495"/>
      </w:pPr>
      <w:r>
        <w:rPr/>
        <w:pict>
          <v:line style="position:absolute;mso-position-horizontal-relative:page;mso-position-vertical-relative:paragraph;z-index:-454072" from="334.320007pt,77.435852pt" to="337.560007pt,77.435852pt" stroked="true" strokeweight=".6pt" strokecolor="#2e97d3">
            <v:stroke dashstyle="solid"/>
            <w10:wrap type="none"/>
          </v:line>
        </w:pict>
      </w:r>
      <w:r>
        <w:rPr/>
        <w:pict>
          <v:line style="position:absolute;mso-position-horizontal-relative:page;mso-position-vertical-relative:paragraph;z-index:18808" from="36.360001pt,14.01585pt" to="36.360001pt,27.81585pt" stroked="true" strokeweight=".72pt" strokecolor="#000000">
            <v:stroke dashstyle="solid"/>
            <w10:wrap type="none"/>
          </v:line>
        </w:pict>
      </w:r>
      <w:r>
        <w:rPr/>
        <w:pict>
          <v:line style="position:absolute;mso-position-horizontal-relative:page;mso-position-vertical-relative:paragraph;z-index:18832" from="36.360001pt,69.214851pt" to="36.360001pt,83.015851pt" stroked="true" strokeweight=".72pt" strokecolor="#000000">
            <v:stroke dashstyle="solid"/>
            <w10:wrap type="none"/>
          </v:line>
        </w:pict>
      </w:r>
      <w:r>
        <w:rPr/>
        <w:pict>
          <v:line style="position:absolute;mso-position-horizontal-relative:page;mso-position-vertical-relative:paragraph;z-index:18856" from="36.360001pt,96.815849pt" to="36.360001pt,110.615849pt" stroked="true" strokeweight=".72pt" strokecolor="#000000">
            <v:stroke dashstyle="solid"/>
            <w10:wrap type="none"/>
          </v:line>
        </w:pict>
      </w:r>
      <w:r>
        <w:rPr/>
        <w:t>However, there are two instances in which alterations may be done with state operations funding:</w:t>
      </w:r>
    </w:p>
    <w:p>
      <w:pPr>
        <w:pStyle w:val="BodyText"/>
        <w:spacing w:before="4"/>
        <w:rPr>
          <w:sz w:val="20"/>
        </w:rPr>
      </w:pPr>
      <w:r>
        <w:rPr/>
        <w:pict>
          <v:line style="position:absolute;mso-position-horizontal-relative:page;mso-position-vertical-relative:paragraph;z-index:18448;mso-wrap-distance-left:0;mso-wrap-distance-right:0" from="36.360001pt,14.03287pt" to="36.360001pt,27.83287pt" stroked="true" strokeweight=".72pt" strokecolor="#000000">
            <v:stroke dashstyle="solid"/>
            <w10:wrap type="topAndBottom"/>
          </v:line>
        </w:pict>
      </w:r>
    </w:p>
    <w:p>
      <w:pPr>
        <w:pStyle w:val="BodyText"/>
        <w:ind w:left="1900" w:right="101" w:hanging="269"/>
      </w:pPr>
      <w:r>
        <w:rPr>
          <w:strike/>
          <w:color w:val="2E97D3"/>
        </w:rPr>
        <w:t>(1)</w:t>
      </w:r>
      <w:r>
        <w:rPr>
          <w:strike w:val="0"/>
          <w:color w:val="2E97D3"/>
          <w:u w:val="single" w:color="2E97D3"/>
        </w:rPr>
        <w:t>1. </w:t>
      </w:r>
      <w:r>
        <w:rPr>
          <w:strike w:val="0"/>
        </w:rPr>
        <w:t>In a leased space situation, the landlord generally makes the alterations and amortizes them through the lease. The lease, including increases for amortized alterations or lump-sum payment for alterations, is a state operations expense subject to the support budget review process; and</w:t>
      </w:r>
    </w:p>
    <w:p>
      <w:pPr>
        <w:pStyle w:val="BodyText"/>
        <w:spacing w:before="3"/>
        <w:rPr>
          <w:sz w:val="20"/>
        </w:rPr>
      </w:pPr>
      <w:r>
        <w:rPr/>
        <w:pict>
          <v:line style="position:absolute;mso-position-horizontal-relative:page;mso-position-vertical-relative:paragraph;z-index:18472;mso-wrap-distance-left:0;mso-wrap-distance-right:0" from="36.360001pt,14.017031pt" to="36.360001pt,27.697031pt" stroked="true" strokeweight=".72pt" strokecolor="#000000">
            <v:stroke dashstyle="solid"/>
            <w10:wrap type="topAndBottom"/>
          </v:line>
        </w:pict>
      </w:r>
    </w:p>
    <w:p>
      <w:pPr>
        <w:pStyle w:val="BodyText"/>
        <w:ind w:left="1900" w:right="284" w:hanging="269"/>
      </w:pPr>
      <w:r>
        <w:rPr>
          <w:strike/>
          <w:color w:val="2E97D3"/>
        </w:rPr>
        <w:t>(2)</w:t>
      </w:r>
      <w:r>
        <w:rPr>
          <w:strike w:val="0"/>
          <w:color w:val="2E97D3"/>
          <w:u w:val="single" w:color="2E97D3"/>
        </w:rPr>
        <w:t>2. </w:t>
      </w:r>
      <w:r>
        <w:rPr>
          <w:strike w:val="0"/>
        </w:rPr>
        <w:t>As noted in preceding text, Section 6.00 of the Budget Act allows the use of the support appropriation for alterations, within specified limits.</w:t>
      </w:r>
    </w:p>
    <w:p>
      <w:pPr>
        <w:pStyle w:val="BodyText"/>
        <w:rPr>
          <w:sz w:val="26"/>
        </w:rPr>
      </w:pPr>
    </w:p>
    <w:p>
      <w:pPr>
        <w:pStyle w:val="BodyText"/>
        <w:rPr>
          <w:sz w:val="22"/>
        </w:rPr>
      </w:pPr>
    </w:p>
    <w:p>
      <w:pPr>
        <w:pStyle w:val="ListParagraph"/>
        <w:numPr>
          <w:ilvl w:val="1"/>
          <w:numId w:val="50"/>
        </w:numPr>
        <w:tabs>
          <w:tab w:pos="1539" w:val="left" w:leader="none"/>
          <w:tab w:pos="1540" w:val="left" w:leader="none"/>
        </w:tabs>
        <w:spacing w:line="240" w:lineRule="auto" w:before="0" w:after="0"/>
        <w:ind w:left="1540" w:right="339" w:hanging="360"/>
        <w:jc w:val="left"/>
        <w:rPr>
          <w:sz w:val="24"/>
        </w:rPr>
      </w:pPr>
      <w:r>
        <w:rPr/>
        <w:pict>
          <v:line style="position:absolute;mso-position-horizontal-relative:page;mso-position-vertical-relative:paragraph;z-index:-454048" from="108pt,8.435863pt" to="111.96pt,8.435863pt" stroked="true" strokeweight=".6pt" strokecolor="#2e97d3">
            <v:stroke dashstyle="solid"/>
            <w10:wrap type="none"/>
          </v:line>
        </w:pict>
      </w:r>
      <w:r>
        <w:rPr/>
        <w:pict>
          <v:line style="position:absolute;mso-position-horizontal-relative:page;mso-position-vertical-relative:paragraph;z-index:-454024" from="170.759995pt,8.435863pt" to="174.719995pt,8.435863pt" stroked="true" strokeweight=".6pt" strokecolor="#2e97d3">
            <v:stroke dashstyle="solid"/>
            <w10:wrap type="none"/>
          </v:line>
        </w:pict>
      </w:r>
      <w:r>
        <w:rPr/>
        <w:pict>
          <v:line style="position:absolute;mso-position-horizontal-relative:page;mso-position-vertical-relative:paragraph;z-index:18880" from="36.360001pt,-41.184135pt" to="36.360001pt,-27.384135pt" stroked="true" strokeweight=".72pt" strokecolor="#000000">
            <v:stroke dashstyle="solid"/>
            <w10:wrap type="none"/>
          </v:line>
        </w:pict>
      </w:r>
      <w:r>
        <w:rPr/>
        <w:pict>
          <v:line style="position:absolute;mso-position-horizontal-relative:page;mso-position-vertical-relative:paragraph;z-index:18904" from="36.360001pt,-13.583137pt" to="36.360001pt,14.015863pt" stroked="true" strokeweight=".72pt" strokecolor="#000000">
            <v:stroke dashstyle="solid"/>
            <w10:wrap type="none"/>
          </v:line>
        </w:pict>
      </w:r>
      <w:r>
        <w:rPr/>
        <w:pict>
          <v:line style="position:absolute;mso-position-horizontal-relative:page;mso-position-vertical-relative:paragraph;z-index:18928" from="36.360001pt,27.815863pt" to="36.360001pt,41.615863pt" stroked="true" strokeweight=".72pt" strokecolor="#000000">
            <v:stroke dashstyle="solid"/>
            <w10:wrap type="none"/>
          </v:line>
        </w:pict>
      </w:r>
      <w:r>
        <w:rPr>
          <w:color w:val="2E97D3"/>
          <w:sz w:val="24"/>
        </w:rPr>
        <w:t>“</w:t>
      </w:r>
      <w:r>
        <w:rPr>
          <w:sz w:val="24"/>
        </w:rPr>
        <w:t>Betterment</w:t>
      </w:r>
      <w:r>
        <w:rPr>
          <w:color w:val="2E97D3"/>
          <w:sz w:val="24"/>
        </w:rPr>
        <w:t>” </w:t>
      </w:r>
      <w:r>
        <w:rPr>
          <w:sz w:val="24"/>
        </w:rPr>
        <w:t>means any modification that increases the designed level of services or life expectancy of a facility or other state infrastructure (e.g. seismic improvements, upgrades,</w:t>
      </w:r>
      <w:r>
        <w:rPr>
          <w:spacing w:val="-16"/>
          <w:sz w:val="24"/>
        </w:rPr>
        <w:t> </w:t>
      </w:r>
      <w:r>
        <w:rPr>
          <w:sz w:val="24"/>
        </w:rPr>
        <w:t>etc</w:t>
      </w:r>
      <w:r>
        <w:rPr>
          <w:strike/>
          <w:color w:val="2E97D3"/>
          <w:sz w:val="24"/>
        </w:rPr>
        <w:t>.).</w:t>
      </w:r>
      <w:r>
        <w:rPr>
          <w:strike w:val="0"/>
          <w:color w:val="2E97D3"/>
          <w:sz w:val="24"/>
          <w:u w:val="single" w:color="2E97D3"/>
        </w:rPr>
        <w:t>.)</w:t>
      </w:r>
    </w:p>
    <w:p>
      <w:pPr>
        <w:pStyle w:val="BodyText"/>
        <w:spacing w:before="11"/>
        <w:rPr>
          <w:sz w:val="15"/>
        </w:rPr>
      </w:pPr>
    </w:p>
    <w:p>
      <w:pPr>
        <w:pStyle w:val="BodyText"/>
        <w:spacing w:before="92"/>
        <w:ind w:left="1271" w:right="551" w:hanging="363"/>
      </w:pPr>
      <w:r>
        <w:rPr/>
        <w:pict>
          <v:line style="position:absolute;mso-position-horizontal-relative:page;mso-position-vertical-relative:paragraph;z-index:-454000" from="190.080002pt,40.516357pt" to="193.440002pt,40.516357pt" stroked="true" strokeweight=".599pt" strokecolor="#2e97d3">
            <v:stroke dashstyle="solid"/>
            <w10:wrap type="none"/>
          </v:line>
        </w:pict>
      </w:r>
      <w:r>
        <w:rPr/>
        <w:pict>
          <v:line style="position:absolute;mso-position-horizontal-relative:page;mso-position-vertical-relative:paragraph;z-index:18952" from="36.360001pt,32.415859pt" to="36.360001pt,46.215859pt" stroked="true" strokeweight=".72pt" strokecolor="#000000">
            <v:stroke dashstyle="solid"/>
            <w10:wrap type="none"/>
          </v:line>
        </w:pict>
      </w:r>
      <w:r>
        <w:rPr>
          <w:strike/>
          <w:color w:val="2E97D3"/>
        </w:rPr>
        <w:t>3.</w:t>
      </w:r>
      <w:r>
        <w:rPr>
          <w:strike w:val="0"/>
          <w:color w:val="2E97D3"/>
          <w:u w:val="single" w:color="2E97D3"/>
        </w:rPr>
        <w:t>• </w:t>
      </w:r>
      <w:r>
        <w:rPr>
          <w:strike w:val="0"/>
        </w:rPr>
        <w:t>Fixed and movable equipment needed for initial occupancy of a new facility or space, but usually only if the new facility is not replacing an existing facility (see 6806 Illustration).  Fixed equipment is referred to as </w:t>
      </w:r>
      <w:r>
        <w:rPr>
          <w:i/>
          <w:strike w:val="0"/>
        </w:rPr>
        <w:t>Group 1 </w:t>
      </w:r>
      <w:r>
        <w:rPr>
          <w:strike w:val="0"/>
        </w:rPr>
        <w:t>equipment, and</w:t>
      </w:r>
    </w:p>
    <w:p>
      <w:pPr>
        <w:spacing w:after="0"/>
        <w:sectPr>
          <w:pgSz w:w="12240" w:h="15840"/>
          <w:pgMar w:header="728" w:footer="803" w:top="980" w:bottom="1000" w:left="620" w:right="1360"/>
        </w:sectPr>
      </w:pPr>
    </w:p>
    <w:p>
      <w:pPr>
        <w:pStyle w:val="BodyText"/>
        <w:rPr>
          <w:sz w:val="20"/>
        </w:rPr>
      </w:pPr>
    </w:p>
    <w:p>
      <w:pPr>
        <w:pStyle w:val="BodyText"/>
        <w:spacing w:line="722" w:lineRule="auto" w:before="211"/>
        <w:ind w:left="820" w:right="964" w:firstLine="451"/>
      </w:pPr>
      <w:r>
        <w:rPr/>
        <w:pict>
          <v:line style="position:absolute;mso-position-horizontal-relative:page;mso-position-vertical-relative:paragraph;z-index:18976" from="36.360001pt,10.885877pt" to="36.360001pt,24.685877pt" stroked="true" strokeweight=".72pt" strokecolor="#000000">
            <v:stroke dashstyle="solid"/>
            <w10:wrap type="none"/>
          </v:line>
        </w:pict>
      </w:r>
      <w:r>
        <w:rPr/>
        <w:pict>
          <v:line style="position:absolute;mso-position-horizontal-relative:page;mso-position-vertical-relative:paragraph;z-index:19000" from="36.360001pt,38.486877pt" to="36.360001pt,66.085877pt" stroked="true" strokeweight=".72pt" strokecolor="#000000">
            <v:stroke dashstyle="solid"/>
            <w10:wrap type="none"/>
          </v:line>
        </w:pict>
      </w:r>
      <w:r>
        <w:rPr/>
        <w:t>movable equipment is referred to as </w:t>
      </w:r>
      <w:r>
        <w:rPr>
          <w:i/>
        </w:rPr>
        <w:t>Group 2 </w:t>
      </w:r>
      <w:r>
        <w:rPr/>
        <w:t>equipment (Section 6855). (Continued)</w:t>
      </w:r>
    </w:p>
    <w:p>
      <w:pPr>
        <w:spacing w:after="0" w:line="722" w:lineRule="auto"/>
        <w:sectPr>
          <w:pgSz w:w="12240" w:h="15840"/>
          <w:pgMar w:header="728" w:footer="803" w:top="980" w:bottom="1000" w:left="620" w:right="1720"/>
        </w:sectPr>
      </w:pPr>
    </w:p>
    <w:p>
      <w:pPr>
        <w:pStyle w:val="BodyText"/>
        <w:rPr>
          <w:sz w:val="20"/>
        </w:rPr>
      </w:pPr>
    </w:p>
    <w:p>
      <w:pPr>
        <w:pStyle w:val="BodyText"/>
        <w:spacing w:before="214"/>
        <w:ind w:left="820"/>
      </w:pPr>
      <w:r>
        <w:rPr/>
        <w:pict>
          <v:line style="position:absolute;mso-position-horizontal-relative:page;mso-position-vertical-relative:paragraph;z-index:19312" from="36.360001pt,24.714882pt" to="36.360001pt,183.955882pt" stroked="true" strokeweight=".72pt" strokecolor="#000000">
            <v:stroke dashstyle="solid"/>
            <w10:wrap type="none"/>
          </v:line>
        </w:pict>
      </w:r>
      <w:r>
        <w:rPr/>
        <w:t>(Continued)</w:t>
      </w:r>
    </w:p>
    <w:p>
      <w:pPr>
        <w:pStyle w:val="Heading2"/>
        <w:tabs>
          <w:tab w:pos="8471" w:val="left" w:leader="none"/>
        </w:tabs>
        <w:ind w:left="820"/>
        <w:rPr>
          <w:b w:val="0"/>
        </w:rPr>
      </w:pPr>
      <w:r>
        <w:rPr/>
        <w:t>CAPITAL OUTLAY VERSUS</w:t>
      </w:r>
      <w:r>
        <w:rPr>
          <w:spacing w:val="-10"/>
        </w:rPr>
        <w:t> </w:t>
      </w:r>
      <w:r>
        <w:rPr/>
        <w:t>STATE</w:t>
      </w:r>
      <w:r>
        <w:rPr>
          <w:spacing w:val="-3"/>
        </w:rPr>
        <w:t> </w:t>
      </w:r>
      <w:r>
        <w:rPr/>
        <w:t>OPERATIONS</w:t>
      </w:r>
      <w:r>
        <w:rPr>
          <w:color w:val="2E97D3"/>
          <w:u w:val="thick" w:color="2E97D3"/>
        </w:rPr>
        <w:t> </w:t>
        <w:tab/>
        <w:t>6806 </w:t>
      </w:r>
      <w:r>
        <w:rPr>
          <w:b w:val="0"/>
          <w:color w:val="2E97D3"/>
          <w:u w:val="thick" w:color="2E97D3"/>
        </w:rPr>
        <w:t>(Cont.</w:t>
      </w:r>
      <w:r>
        <w:rPr>
          <w:b w:val="0"/>
          <w:color w:val="2E97D3"/>
          <w:spacing w:val="-6"/>
          <w:u w:val="thick" w:color="2E97D3"/>
        </w:rPr>
        <w:t> </w:t>
      </w:r>
      <w:r>
        <w:rPr>
          <w:b w:val="0"/>
          <w:color w:val="2E97D3"/>
          <w:u w:val="thick" w:color="2E97D3"/>
        </w:rPr>
        <w:t>2)</w:t>
      </w:r>
    </w:p>
    <w:p>
      <w:pPr>
        <w:spacing w:before="0"/>
        <w:ind w:left="820" w:right="0" w:firstLine="0"/>
        <w:jc w:val="left"/>
        <w:rPr>
          <w:b/>
          <w:sz w:val="24"/>
        </w:rPr>
      </w:pPr>
      <w:r>
        <w:rPr>
          <w:b/>
          <w:sz w:val="24"/>
        </w:rPr>
        <w:t>AND</w:t>
      </w:r>
    </w:p>
    <w:p>
      <w:pPr>
        <w:spacing w:before="0"/>
        <w:ind w:left="820" w:right="6486" w:firstLine="0"/>
        <w:jc w:val="left"/>
        <w:rPr>
          <w:sz w:val="24"/>
        </w:rPr>
      </w:pPr>
      <w:r>
        <w:rPr/>
        <w:pict>
          <v:line style="position:absolute;mso-position-horizontal-relative:page;mso-position-vertical-relative:paragraph;z-index:19024" from="194.039993pt,8.435857pt" to="454.559993pt,8.435857pt" stroked="true" strokeweight=".6pt" strokecolor="#2e97d3">
            <v:stroke dashstyle="solid"/>
            <w10:wrap type="none"/>
          </v:line>
        </w:pict>
      </w:r>
      <w:r>
        <w:rPr>
          <w:b/>
          <w:sz w:val="24"/>
        </w:rPr>
        <w:t>LOCAL ASSISTANCE </w:t>
      </w:r>
      <w:r>
        <w:rPr>
          <w:b/>
          <w:strike/>
          <w:color w:val="2E97D3"/>
          <w:sz w:val="24"/>
        </w:rPr>
        <w:t>6806 </w:t>
      </w:r>
      <w:r>
        <w:rPr>
          <w:strike/>
          <w:color w:val="2E97D3"/>
          <w:sz w:val="24"/>
        </w:rPr>
        <w:t>(Cont. 2)</w:t>
      </w:r>
    </w:p>
    <w:p>
      <w:pPr>
        <w:spacing w:line="184" w:lineRule="exact" w:before="1"/>
        <w:ind w:left="820" w:right="0" w:firstLine="0"/>
        <w:jc w:val="left"/>
        <w:rPr>
          <w:rFonts w:ascii="Times New Roman"/>
          <w:b/>
          <w:sz w:val="16"/>
        </w:rPr>
      </w:pPr>
      <w:r>
        <w:rPr>
          <w:rFonts w:ascii="Times New Roman"/>
          <w:b/>
          <w:strike/>
          <w:color w:val="2C6234"/>
          <w:sz w:val="16"/>
        </w:rPr>
        <w:t>(Revised 09/2017)</w:t>
      </w:r>
    </w:p>
    <w:p>
      <w:pPr>
        <w:pStyle w:val="BodyText"/>
        <w:spacing w:line="276" w:lineRule="exact"/>
        <w:ind w:left="820"/>
      </w:pPr>
      <w:r>
        <w:rPr>
          <w:color w:val="2E97D3"/>
          <w:u w:val="single" w:color="2E97D3"/>
        </w:rPr>
        <w:t>(Revised 11/2017)</w:t>
      </w:r>
    </w:p>
    <w:p>
      <w:pPr>
        <w:pStyle w:val="BodyText"/>
        <w:rPr>
          <w:sz w:val="16"/>
        </w:rPr>
      </w:pPr>
    </w:p>
    <w:p>
      <w:pPr>
        <w:pStyle w:val="ListParagraph"/>
        <w:numPr>
          <w:ilvl w:val="0"/>
          <w:numId w:val="51"/>
        </w:numPr>
        <w:tabs>
          <w:tab w:pos="1180" w:val="left" w:leader="none"/>
        </w:tabs>
        <w:spacing w:line="240" w:lineRule="auto" w:before="92" w:after="0"/>
        <w:ind w:left="1180" w:right="242" w:hanging="360"/>
        <w:jc w:val="left"/>
        <w:rPr>
          <w:sz w:val="24"/>
        </w:rPr>
      </w:pPr>
      <w:r>
        <w:rPr/>
        <w:pict>
          <v:line style="position:absolute;mso-position-horizontal-relative:page;mso-position-vertical-relative:paragraph;z-index:-453616" from="202.800003pt,31.395855pt" to="206.161003pt,31.395855pt" stroked="true" strokeweight=".84pt" strokecolor="#2e97d3">
            <v:stroke dashstyle="solid"/>
            <w10:wrap type="none"/>
          </v:line>
        </w:pict>
      </w:r>
      <w:r>
        <w:rPr/>
        <w:pict>
          <v:line style="position:absolute;mso-position-horizontal-relative:page;mso-position-vertical-relative:paragraph;z-index:-453592" from="411.600006pt,40.636356pt" to="414.840006pt,40.636356pt" stroked="true" strokeweight=".599pt" strokecolor="#2e97d3">
            <v:stroke dashstyle="solid"/>
            <w10:wrap type="none"/>
          </v:line>
        </w:pict>
      </w:r>
      <w:r>
        <w:rPr>
          <w:strike w:val="0"/>
          <w:sz w:val="24"/>
        </w:rPr>
        <w:t>A lease-purchase (installment payment) agreement </w:t>
      </w:r>
      <w:r>
        <w:rPr>
          <w:strike/>
          <w:color w:val="2E97D3"/>
          <w:sz w:val="24"/>
        </w:rPr>
        <w:t>because equity is built as payments are made. </w:t>
      </w:r>
      <w:r>
        <w:rPr>
          <w:strike w:val="0"/>
          <w:color w:val="2E97D3"/>
          <w:sz w:val="24"/>
        </w:rPr>
        <w:t>. </w:t>
      </w:r>
      <w:r>
        <w:rPr>
          <w:strike w:val="0"/>
          <w:sz w:val="24"/>
        </w:rPr>
        <w:t>Although the actual lease payments will be budgeted in state operations, the transaction is a capitalized assets</w:t>
      </w:r>
      <w:r>
        <w:rPr>
          <w:strike w:val="0"/>
          <w:spacing w:val="-32"/>
          <w:sz w:val="24"/>
        </w:rPr>
        <w:t> </w:t>
      </w:r>
      <w:r>
        <w:rPr>
          <w:strike w:val="0"/>
          <w:sz w:val="24"/>
        </w:rPr>
        <w:t>acquisition</w:t>
      </w:r>
      <w:r>
        <w:rPr>
          <w:strike w:val="0"/>
          <w:color w:val="2E97D3"/>
          <w:sz w:val="24"/>
        </w:rPr>
        <w:t>.</w:t>
      </w:r>
    </w:p>
    <w:p>
      <w:pPr>
        <w:pStyle w:val="BodyText"/>
        <w:spacing w:before="9"/>
        <w:rPr>
          <w:sz w:val="20"/>
        </w:rPr>
      </w:pPr>
    </w:p>
    <w:p>
      <w:pPr>
        <w:pStyle w:val="ListParagraph"/>
        <w:numPr>
          <w:ilvl w:val="1"/>
          <w:numId w:val="51"/>
        </w:numPr>
        <w:tabs>
          <w:tab w:pos="1271" w:val="left" w:leader="none"/>
          <w:tab w:pos="1539" w:val="left" w:leader="none"/>
          <w:tab w:pos="1540" w:val="left" w:leader="none"/>
        </w:tabs>
        <w:spacing w:line="240" w:lineRule="auto" w:before="0" w:after="0"/>
        <w:ind w:left="1271" w:right="112" w:hanging="363"/>
        <w:jc w:val="left"/>
        <w:rPr>
          <w:sz w:val="24"/>
        </w:rPr>
      </w:pPr>
      <w:r>
        <w:rPr/>
        <w:pict>
          <v:line style="position:absolute;mso-position-horizontal-relative:page;mso-position-vertical-relative:paragraph;z-index:-453568" from="94.559998pt,8.435830pt" to="107.999998pt,8.435830pt" stroked="true" strokeweight=".6pt" strokecolor="#2e97d3">
            <v:stroke dashstyle="solid"/>
            <w10:wrap type="none"/>
          </v:line>
        </w:pict>
      </w:r>
      <w:r>
        <w:rPr/>
        <w:pict>
          <v:line style="position:absolute;mso-position-horizontal-relative:page;mso-position-vertical-relative:paragraph;z-index:-453544" from="424.920013pt,36.035831pt" to="428.160013pt,36.035831pt" stroked="true" strokeweight=".6pt" strokecolor="#2e97d3">
            <v:stroke dashstyle="solid"/>
            <w10:wrap type="none"/>
          </v:line>
        </w:pict>
      </w:r>
      <w:r>
        <w:rPr/>
        <w:pict>
          <v:line style="position:absolute;mso-position-horizontal-relative:page;mso-position-vertical-relative:paragraph;z-index:-453520" from="241.320007pt,104.915833pt" to="244.681007pt,104.915833pt" stroked="true" strokeweight=".6pt" strokecolor="#2e97d3">
            <v:stroke dashstyle="solid"/>
            <w10:wrap type="none"/>
          </v:line>
        </w:pict>
      </w:r>
      <w:r>
        <w:rPr/>
        <w:pict>
          <v:line style="position:absolute;mso-position-horizontal-relative:page;mso-position-vertical-relative:paragraph;z-index:19336" from="36.360001pt,27.81583pt" to="36.360001pt,41.615830pt" stroked="true" strokeweight=".72pt" strokecolor="#000000">
            <v:stroke dashstyle="solid"/>
            <w10:wrap type="none"/>
          </v:line>
        </w:pict>
      </w:r>
      <w:r>
        <w:rPr/>
        <w:pict>
          <v:line style="position:absolute;mso-position-horizontal-relative:page;mso-position-vertical-relative:paragraph;z-index:19360" from="36.360001pt,55.415829pt" to="36.360001pt,69.215829pt" stroked="true" strokeweight=".72pt" strokecolor="#000000">
            <v:stroke dashstyle="solid"/>
            <w10:wrap type="none"/>
          </v:line>
        </w:pict>
      </w:r>
      <w:r>
        <w:rPr/>
        <w:pict>
          <v:line style="position:absolute;mso-position-horizontal-relative:page;mso-position-vertical-relative:paragraph;z-index:19384" from="36.360001pt,83.014832pt" to="36.360001pt,110.495832pt" stroked="true" strokeweight=".72pt" strokecolor="#000000">
            <v:stroke dashstyle="solid"/>
            <w10:wrap type="none"/>
          </v:line>
        </w:pict>
      </w:r>
      <w:r>
        <w:rPr/>
        <w:pict>
          <v:line style="position:absolute;mso-position-horizontal-relative:page;mso-position-vertical-relative:paragraph;z-index:19408" from="36.360001pt,124.29583pt" to="36.360001pt,138.09583pt" stroked="true" strokeweight=".72pt" strokecolor="#000000">
            <v:stroke dashstyle="solid"/>
            <w10:wrap type="none"/>
          </v:line>
        </w:pict>
      </w:r>
      <w:r>
        <w:rPr>
          <w:color w:val="2E97D3"/>
          <w:sz w:val="24"/>
          <w:u w:val="single" w:color="2E97D3"/>
        </w:rPr>
        <w:t>, and because equity is built as payments are made. </w:t>
      </w:r>
      <w:r>
        <w:rPr>
          <w:sz w:val="24"/>
        </w:rPr>
        <w:t>All planned lease- purchases, whether authorized through the budget or special legislation, must be included in the department’s five-year capitalized assets plan.  If the lease- purchase will be authorized through the Budget Act, a COBCP is required to verify economic benefits, whether or not there is a related support BCP for lease costs. (For lease-purchase agreements authorized through special legislation, </w:t>
      </w:r>
      <w:r>
        <w:rPr>
          <w:strike/>
          <w:color w:val="2E97D3"/>
          <w:sz w:val="24"/>
        </w:rPr>
        <w:t>DOF</w:t>
      </w:r>
      <w:r>
        <w:rPr>
          <w:strike w:val="0"/>
          <w:color w:val="2E97D3"/>
          <w:sz w:val="24"/>
          <w:u w:val="single" w:color="2E97D3"/>
        </w:rPr>
        <w:t>Finance </w:t>
      </w:r>
      <w:r>
        <w:rPr>
          <w:strike w:val="0"/>
          <w:sz w:val="24"/>
        </w:rPr>
        <w:t>may require information similar in content to a COBCP at the proposed legislation stage.) These requirements apply to lease-purchases for state infrastructure financed through a joint powers authority, another level of government, or a private developer (Sections 6818 and</w:t>
      </w:r>
      <w:r>
        <w:rPr>
          <w:strike w:val="0"/>
          <w:spacing w:val="-31"/>
          <w:sz w:val="24"/>
        </w:rPr>
        <w:t> </w:t>
      </w:r>
      <w:r>
        <w:rPr>
          <w:strike w:val="0"/>
          <w:sz w:val="24"/>
        </w:rPr>
        <w:t>6820).</w:t>
      </w:r>
    </w:p>
    <w:p>
      <w:pPr>
        <w:pStyle w:val="BodyText"/>
        <w:spacing w:before="10"/>
        <w:rPr>
          <w:sz w:val="23"/>
        </w:rPr>
      </w:pPr>
    </w:p>
    <w:p>
      <w:pPr>
        <w:pStyle w:val="ListParagraph"/>
        <w:numPr>
          <w:ilvl w:val="1"/>
          <w:numId w:val="51"/>
        </w:numPr>
        <w:tabs>
          <w:tab w:pos="1271" w:val="left" w:leader="none"/>
          <w:tab w:pos="1272" w:val="left" w:leader="none"/>
        </w:tabs>
        <w:spacing w:line="240" w:lineRule="auto" w:before="1" w:after="0"/>
        <w:ind w:left="1271" w:right="193" w:hanging="363"/>
        <w:jc w:val="left"/>
        <w:rPr>
          <w:sz w:val="24"/>
        </w:rPr>
      </w:pPr>
      <w:r>
        <w:rPr/>
        <w:pict>
          <v:line style="position:absolute;mso-position-horizontal-relative:page;mso-position-vertical-relative:paragraph;z-index:-453496" from="427.079987pt,8.486368pt" to="430.319987pt,8.486368pt" stroked="true" strokeweight=".599pt" strokecolor="#2e97d3">
            <v:stroke dashstyle="solid"/>
            <w10:wrap type="none"/>
          </v:line>
        </w:pict>
      </w:r>
      <w:r>
        <w:rPr/>
        <w:pict>
          <v:line style="position:absolute;mso-position-horizontal-relative:page;mso-position-vertical-relative:paragraph;z-index:-453472" from="158.039993pt,49.886368pt" to="161.399993pt,49.886368pt" stroked="true" strokeweight=".599pt" strokecolor="#2e97d3">
            <v:stroke dashstyle="solid"/>
            <w10:wrap type="none"/>
          </v:line>
        </w:pict>
      </w:r>
      <w:r>
        <w:rPr/>
        <w:pict>
          <v:line style="position:absolute;mso-position-horizontal-relative:page;mso-position-vertical-relative:paragraph;z-index:-453448" from="290.040009pt,63.685867pt" to="293.400009pt,63.685867pt" stroked="true" strokeweight=".6pt" strokecolor="#2e97d3">
            <v:stroke dashstyle="solid"/>
            <w10:wrap type="none"/>
          </v:line>
        </w:pict>
      </w:r>
      <w:r>
        <w:rPr/>
        <w:pict>
          <v:line style="position:absolute;mso-position-horizontal-relative:page;mso-position-vertical-relative:paragraph;z-index:19432" from="36.360001pt,.265868pt" to="36.360001pt,14.065868pt" stroked="true" strokeweight=".72pt" strokecolor="#000000">
            <v:stroke dashstyle="solid"/>
            <w10:wrap type="none"/>
          </v:line>
        </w:pict>
      </w:r>
      <w:r>
        <w:rPr/>
        <w:pict>
          <v:line style="position:absolute;mso-position-horizontal-relative:page;mso-position-vertical-relative:paragraph;z-index:19456" from="36.360001pt,41.666866pt" to="36.360001pt,69.265866pt" stroked="true" strokeweight=".72pt" strokecolor="#000000">
            <v:stroke dashstyle="solid"/>
            <w10:wrap type="none"/>
          </v:line>
        </w:pict>
      </w:r>
      <w:r>
        <w:rPr/>
        <w:pict>
          <v:line style="position:absolute;mso-position-horizontal-relative:page;mso-position-vertical-relative:paragraph;z-index:19480" from="36.360001pt,83.065865pt" to="36.360001pt,96.865865pt" stroked="true" strokeweight=".72pt" strokecolor="#000000">
            <v:stroke dashstyle="solid"/>
            <w10:wrap type="none"/>
          </v:line>
        </w:pict>
      </w:r>
      <w:r>
        <w:rPr>
          <w:strike/>
          <w:color w:val="2E97D3"/>
          <w:sz w:val="24"/>
        </w:rPr>
        <w:t>5. </w:t>
      </w:r>
      <w:r>
        <w:rPr>
          <w:strike w:val="0"/>
          <w:sz w:val="24"/>
        </w:rPr>
        <w:t>Both the request for, and the exercise of, a purchase option. A lease with a purchase option gives the state the right, during the course of the lease, to purchase the asset for a predetermined price, if desired, which is a capital outlay acquisition. Adding a purchase option in a lease agreement is considered initiating a potential capital outlay acquisition. Although the lease payments prior to the exercise of the option are classified as state operations, the potential acquisition must be tracked as part of the department’s overall capitalized asset</w:t>
      </w:r>
      <w:r>
        <w:rPr>
          <w:strike w:val="0"/>
          <w:spacing w:val="-34"/>
          <w:sz w:val="24"/>
        </w:rPr>
        <w:t> </w:t>
      </w:r>
      <w:r>
        <w:rPr>
          <w:strike w:val="0"/>
          <w:sz w:val="24"/>
        </w:rPr>
        <w:t>plan.</w:t>
      </w:r>
    </w:p>
    <w:p>
      <w:pPr>
        <w:pStyle w:val="BodyText"/>
        <w:ind w:left="1271" w:right="284"/>
      </w:pPr>
      <w:r>
        <w:rPr/>
        <w:pict>
          <v:line style="position:absolute;mso-position-horizontal-relative:page;mso-position-vertical-relative:paragraph;z-index:-453424" from="381.600006pt,36.036362pt" to="384.960006pt,36.036362pt" stroked="true" strokeweight=".599pt" strokecolor="#2e97d3">
            <v:stroke dashstyle="solid"/>
            <w10:wrap type="none"/>
          </v:line>
        </w:pict>
      </w:r>
      <w:r>
        <w:rPr/>
        <w:pict>
          <v:line style="position:absolute;mso-position-horizontal-relative:page;mso-position-vertical-relative:paragraph;z-index:19504" from="36.360001pt,27.815863pt" to="36.360001pt,41.615863pt" stroked="true" strokeweight=".72pt" strokecolor="#000000">
            <v:stroke dashstyle="solid"/>
            <w10:wrap type="none"/>
          </v:line>
        </w:pict>
      </w:r>
      <w:r>
        <w:rPr/>
        <w:pict>
          <v:line style="position:absolute;mso-position-horizontal-relative:page;mso-position-vertical-relative:paragraph;z-index:19528" from="36.360001pt,55.415863pt" to="36.360001pt,138.215863pt" stroked="true" strokeweight=".72pt" strokecolor="#000000">
            <v:stroke dashstyle="solid"/>
            <w10:wrap type="none"/>
          </v:line>
        </w:pict>
      </w:r>
      <w:r>
        <w:rPr/>
        <w:t>Therefore, if authorization is sought through the Budget Act, anticipated purchase options and their exercise must both be presented for review as COBCPs, subject to dollar thresholds noted in Sections 6818 and 6820. Regardless of method of authorization, the planned use of purchase options must be included in the department’s five-year </w:t>
      </w:r>
      <w:r>
        <w:rPr>
          <w:strike/>
          <w:color w:val="2E97D3"/>
        </w:rPr>
        <w:t>capitalized assets</w:t>
      </w:r>
      <w:r>
        <w:rPr>
          <w:strike w:val="0"/>
          <w:color w:val="2E97D3"/>
          <w:u w:val="single" w:color="2E97D3"/>
        </w:rPr>
        <w:t>infrastructure </w:t>
      </w:r>
      <w:r>
        <w:rPr>
          <w:strike w:val="0"/>
        </w:rPr>
        <w:t>plan.</w:t>
      </w:r>
    </w:p>
    <w:p>
      <w:pPr>
        <w:pStyle w:val="BodyText"/>
        <w:spacing w:before="11"/>
        <w:rPr>
          <w:sz w:val="15"/>
        </w:rPr>
      </w:pPr>
    </w:p>
    <w:p>
      <w:pPr>
        <w:pStyle w:val="ListParagraph"/>
        <w:numPr>
          <w:ilvl w:val="1"/>
          <w:numId w:val="51"/>
        </w:numPr>
        <w:tabs>
          <w:tab w:pos="1271" w:val="left" w:leader="none"/>
          <w:tab w:pos="1272" w:val="left" w:leader="none"/>
        </w:tabs>
        <w:spacing w:line="240" w:lineRule="auto" w:before="92" w:after="0"/>
        <w:ind w:left="1271" w:right="109" w:hanging="363"/>
        <w:jc w:val="left"/>
        <w:rPr>
          <w:sz w:val="24"/>
        </w:rPr>
      </w:pPr>
      <w:r>
        <w:rPr/>
        <w:pict>
          <v:line style="position:absolute;mso-position-horizontal-relative:page;mso-position-vertical-relative:paragraph;z-index:-453400" from="151.919998pt,26.835859pt" to="155.879998pt,26.835859pt" stroked="true" strokeweight=".6pt" strokecolor="#2e97d3">
            <v:stroke dashstyle="solid"/>
            <w10:wrap type="none"/>
          </v:line>
        </w:pict>
      </w:r>
      <w:r>
        <w:rPr/>
        <w:pict>
          <v:line style="position:absolute;mso-position-horizontal-relative:page;mso-position-vertical-relative:paragraph;z-index:-453376" from="234pt,26.835859pt" to="237.96pt,26.835859pt" stroked="true" strokeweight=".6pt" strokecolor="#2e97d3">
            <v:stroke dashstyle="solid"/>
            <w10:wrap type="none"/>
          </v:line>
        </w:pict>
      </w:r>
      <w:r>
        <w:rPr>
          <w:strike/>
          <w:color w:val="2E97D3"/>
          <w:sz w:val="24"/>
        </w:rPr>
        <w:t>6. </w:t>
      </w:r>
      <w:r>
        <w:rPr>
          <w:strike w:val="0"/>
          <w:sz w:val="24"/>
        </w:rPr>
        <w:t>Generally, the following are not considered </w:t>
      </w:r>
      <w:r>
        <w:rPr>
          <w:strike/>
          <w:color w:val="2E97D3"/>
          <w:sz w:val="24"/>
        </w:rPr>
        <w:t>as </w:t>
      </w:r>
      <w:r>
        <w:rPr>
          <w:strike w:val="0"/>
          <w:sz w:val="24"/>
        </w:rPr>
        <w:t>capital outlay: relocation (including temporary </w:t>
      </w:r>
      <w:r>
        <w:rPr>
          <w:strike w:val="0"/>
          <w:color w:val="2E97D3"/>
          <w:sz w:val="24"/>
        </w:rPr>
        <w:t>“</w:t>
      </w:r>
      <w:r>
        <w:rPr>
          <w:strike w:val="0"/>
          <w:color w:val="2E97D3"/>
          <w:sz w:val="24"/>
          <w:u w:val="single" w:color="2E97D3"/>
        </w:rPr>
        <w:t>―</w:t>
      </w:r>
      <w:r>
        <w:rPr>
          <w:strike w:val="0"/>
          <w:sz w:val="24"/>
        </w:rPr>
        <w:t>swing space</w:t>
      </w:r>
      <w:r>
        <w:rPr>
          <w:strike w:val="0"/>
          <w:color w:val="2E97D3"/>
          <w:sz w:val="24"/>
        </w:rPr>
        <w:t>” </w:t>
      </w:r>
      <w:r>
        <w:rPr>
          <w:strike w:val="0"/>
          <w:sz w:val="24"/>
        </w:rPr>
        <w:t>while a project is under construction) and moving expenses, although </w:t>
      </w:r>
      <w:r>
        <w:rPr>
          <w:strike/>
          <w:color w:val="2E97D3"/>
          <w:sz w:val="24"/>
        </w:rPr>
        <w:t>DOF</w:t>
      </w:r>
      <w:r>
        <w:rPr>
          <w:strike w:val="0"/>
          <w:color w:val="2E97D3"/>
          <w:sz w:val="24"/>
          <w:u w:val="single" w:color="2E97D3"/>
        </w:rPr>
        <w:t>Finance </w:t>
      </w:r>
      <w:r>
        <w:rPr>
          <w:strike w:val="0"/>
          <w:sz w:val="24"/>
        </w:rPr>
        <w:t>may authorize moving expenses as a capital outlay cost on </w:t>
      </w:r>
      <w:r>
        <w:rPr>
          <w:strike/>
          <w:color w:val="2E97D3"/>
          <w:sz w:val="24"/>
        </w:rPr>
        <w:t>an exception</w:t>
      </w:r>
      <w:r>
        <w:rPr>
          <w:strike w:val="0"/>
          <w:color w:val="2E97D3"/>
          <w:sz w:val="24"/>
          <w:u w:val="single" w:color="2E97D3"/>
        </w:rPr>
        <w:t>a case-by-case</w:t>
      </w:r>
      <w:r>
        <w:rPr>
          <w:strike w:val="0"/>
          <w:color w:val="2E97D3"/>
          <w:spacing w:val="-23"/>
          <w:sz w:val="24"/>
          <w:u w:val="single" w:color="2E97D3"/>
        </w:rPr>
        <w:t> </w:t>
      </w:r>
      <w:r>
        <w:rPr>
          <w:strike w:val="0"/>
          <w:sz w:val="24"/>
        </w:rPr>
        <w:t>basis.</w:t>
      </w:r>
    </w:p>
    <w:p>
      <w:pPr>
        <w:pStyle w:val="BodyText"/>
        <w:spacing w:before="10"/>
        <w:rPr>
          <w:sz w:val="15"/>
        </w:rPr>
      </w:pPr>
    </w:p>
    <w:p>
      <w:pPr>
        <w:pStyle w:val="BodyText"/>
        <w:spacing w:before="93"/>
        <w:ind w:left="820"/>
      </w:pPr>
      <w:r>
        <w:rPr/>
        <w:pict>
          <v:line style="position:absolute;mso-position-horizontal-relative:page;mso-position-vertical-relative:paragraph;z-index:19552" from="36.360001pt,4.865859pt" to="36.360001pt,44.585859pt" stroked="true" strokeweight=".72pt" strokecolor="#000000">
            <v:stroke dashstyle="solid"/>
            <w10:wrap type="none"/>
          </v:line>
        </w:pict>
      </w:r>
      <w:r>
        <w:rPr>
          <w:strike/>
          <w:color w:val="2C6234"/>
        </w:rPr>
        <w:t>(Continued)</w:t>
      </w:r>
    </w:p>
    <w:p>
      <w:pPr>
        <w:spacing w:after="0"/>
        <w:sectPr>
          <w:pgSz w:w="12240" w:h="15840"/>
          <w:pgMar w:header="728" w:footer="803" w:top="980" w:bottom="1000" w:left="620" w:right="1360"/>
        </w:sectPr>
      </w:pPr>
    </w:p>
    <w:p>
      <w:pPr>
        <w:pStyle w:val="BodyText"/>
        <w:rPr>
          <w:sz w:val="20"/>
        </w:rPr>
      </w:pPr>
    </w:p>
    <w:p>
      <w:pPr>
        <w:pStyle w:val="BodyText"/>
        <w:spacing w:before="214"/>
        <w:ind w:left="820"/>
      </w:pPr>
      <w:r>
        <w:rPr/>
        <w:pict>
          <v:line style="position:absolute;mso-position-horizontal-relative:page;mso-position-vertical-relative:paragraph;z-index:19624" from="36.360001pt,10.915881pt" to="36.360001pt,200.515881pt" stroked="true" strokeweight=".72pt" strokecolor="#000000">
            <v:stroke dashstyle="solid"/>
            <w10:wrap type="none"/>
          </v:line>
        </w:pict>
      </w:r>
      <w:r>
        <w:rPr>
          <w:strike/>
          <w:color w:val="2C6234"/>
        </w:rPr>
        <w:t>(Continued)</w:t>
      </w:r>
    </w:p>
    <w:p>
      <w:pPr>
        <w:pStyle w:val="Heading2"/>
        <w:ind w:left="820"/>
      </w:pPr>
      <w:r>
        <w:rPr>
          <w:strike/>
          <w:color w:val="2E97D3"/>
        </w:rPr>
        <w:t>CAPITAL OUTLAY VERSUS STATE OPERATIONS AND</w:t>
      </w:r>
    </w:p>
    <w:p>
      <w:pPr>
        <w:tabs>
          <w:tab w:pos="8595" w:val="left" w:leader="none"/>
        </w:tabs>
        <w:spacing w:before="0"/>
        <w:ind w:left="820" w:right="0" w:firstLine="0"/>
        <w:jc w:val="left"/>
        <w:rPr>
          <w:sz w:val="24"/>
        </w:rPr>
      </w:pPr>
      <w:r>
        <w:rPr/>
        <w:pict>
          <v:line style="position:absolute;mso-position-horizontal-relative:page;mso-position-vertical-relative:paragraph;z-index:-453088" from="72pt,8.436345pt" to="537.36pt,8.436345pt" stroked="true" strokeweight=".599pt" strokecolor="#2e97d3">
            <v:stroke dashstyle="solid"/>
            <w10:wrap type="none"/>
          </v:line>
        </w:pict>
      </w:r>
      <w:r>
        <w:rPr>
          <w:b/>
          <w:color w:val="2E97D3"/>
          <w:sz w:val="24"/>
        </w:rPr>
        <w:t>LOCAL</w:t>
      </w:r>
      <w:r>
        <w:rPr>
          <w:b/>
          <w:color w:val="2E97D3"/>
          <w:spacing w:val="-1"/>
          <w:sz w:val="24"/>
        </w:rPr>
        <w:t> </w:t>
      </w:r>
      <w:r>
        <w:rPr>
          <w:b/>
          <w:color w:val="2E97D3"/>
          <w:sz w:val="24"/>
        </w:rPr>
        <w:t>ASSISTANCE</w:t>
        <w:tab/>
        <w:t>6806 </w:t>
      </w:r>
      <w:r>
        <w:rPr>
          <w:color w:val="2E97D3"/>
          <w:sz w:val="24"/>
        </w:rPr>
        <w:t>(Cont.</w:t>
      </w:r>
      <w:r>
        <w:rPr>
          <w:color w:val="2E97D3"/>
          <w:spacing w:val="-7"/>
          <w:sz w:val="24"/>
        </w:rPr>
        <w:t> </w:t>
      </w:r>
      <w:r>
        <w:rPr>
          <w:color w:val="2E97D3"/>
          <w:sz w:val="24"/>
        </w:rPr>
        <w:t>3)</w:t>
      </w:r>
    </w:p>
    <w:p>
      <w:pPr>
        <w:pStyle w:val="BodyText"/>
        <w:ind w:left="820"/>
      </w:pPr>
      <w:r>
        <w:rPr>
          <w:strike/>
          <w:color w:val="2C6234"/>
        </w:rPr>
        <w:t>(Revised 09/2017)</w:t>
      </w:r>
    </w:p>
    <w:p>
      <w:pPr>
        <w:pStyle w:val="BodyText"/>
        <w:ind w:left="820"/>
      </w:pPr>
      <w:r>
        <w:rPr/>
        <w:pict>
          <v:line style="position:absolute;mso-position-horizontal-relative:page;mso-position-vertical-relative:paragraph;z-index:-453064" from="172.800003pt,8.435869pt" to="176.040003pt,8.435869pt" stroked="true" strokeweight=".6pt" strokecolor="#2e97d3">
            <v:stroke dashstyle="solid"/>
            <w10:wrap type="none"/>
          </v:line>
        </w:pict>
      </w:r>
      <w:r>
        <w:rPr>
          <w:b/>
        </w:rPr>
        <w:t>State operations</w:t>
      </w:r>
      <w:r>
        <w:rPr/>
        <w:t>: The following facility-related expenses are classified as state operations:</w:t>
      </w:r>
    </w:p>
    <w:p>
      <w:pPr>
        <w:pStyle w:val="ListParagraph"/>
        <w:numPr>
          <w:ilvl w:val="0"/>
          <w:numId w:val="52"/>
        </w:numPr>
        <w:tabs>
          <w:tab w:pos="1180" w:val="left" w:leader="none"/>
        </w:tabs>
        <w:spacing w:line="240" w:lineRule="auto" w:before="0" w:after="0"/>
        <w:ind w:left="1180" w:right="354" w:hanging="360"/>
        <w:jc w:val="left"/>
        <w:rPr>
          <w:sz w:val="24"/>
        </w:rPr>
      </w:pPr>
      <w:r>
        <w:rPr>
          <w:strike/>
          <w:color w:val="2E97D3"/>
          <w:sz w:val="24"/>
        </w:rPr>
        <w:t>Equipment not included in the complement necessary for initial operation of a new construction or renovation</w:t>
      </w:r>
      <w:r>
        <w:rPr>
          <w:strike/>
          <w:color w:val="2E97D3"/>
          <w:spacing w:val="-18"/>
          <w:sz w:val="24"/>
        </w:rPr>
        <w:t> </w:t>
      </w:r>
      <w:r>
        <w:rPr>
          <w:strike/>
          <w:color w:val="2E97D3"/>
          <w:sz w:val="24"/>
        </w:rPr>
        <w:t>project.</w:t>
      </w:r>
    </w:p>
    <w:p>
      <w:pPr>
        <w:pStyle w:val="BodyText"/>
        <w:spacing w:before="10"/>
        <w:rPr>
          <w:sz w:val="20"/>
        </w:rPr>
      </w:pPr>
    </w:p>
    <w:p>
      <w:pPr>
        <w:pStyle w:val="ListParagraph"/>
        <w:numPr>
          <w:ilvl w:val="0"/>
          <w:numId w:val="52"/>
        </w:numPr>
        <w:tabs>
          <w:tab w:pos="1180" w:val="left" w:leader="none"/>
        </w:tabs>
        <w:spacing w:line="240" w:lineRule="auto" w:before="0" w:after="0"/>
        <w:ind w:left="1180" w:right="198" w:hanging="360"/>
        <w:jc w:val="left"/>
        <w:rPr>
          <w:sz w:val="24"/>
        </w:rPr>
      </w:pPr>
      <w:r>
        <w:rPr>
          <w:strike/>
          <w:color w:val="2E97D3"/>
          <w:sz w:val="24"/>
        </w:rPr>
        <w:t>Movable equipment for new employees or new programs that are not part of a capital outlay project. (Such equipment is budgeted as an operating expense in the department’s support budget when the positions or programs are</w:t>
      </w:r>
      <w:r>
        <w:rPr>
          <w:strike/>
          <w:color w:val="2E97D3"/>
          <w:spacing w:val="-37"/>
          <w:sz w:val="24"/>
        </w:rPr>
        <w:t> </w:t>
      </w:r>
      <w:r>
        <w:rPr>
          <w:strike/>
          <w:color w:val="2E97D3"/>
          <w:sz w:val="24"/>
        </w:rPr>
        <w:t>authorized.)</w:t>
      </w:r>
    </w:p>
    <w:p>
      <w:pPr>
        <w:pStyle w:val="BodyText"/>
        <w:rPr>
          <w:sz w:val="20"/>
        </w:rPr>
      </w:pPr>
    </w:p>
    <w:p>
      <w:pPr>
        <w:pStyle w:val="BodyText"/>
        <w:spacing w:before="9"/>
        <w:rPr>
          <w:sz w:val="16"/>
        </w:rPr>
      </w:pPr>
    </w:p>
    <w:p>
      <w:pPr>
        <w:pStyle w:val="BodyText"/>
        <w:tabs>
          <w:tab w:pos="1539" w:val="left" w:leader="none"/>
        </w:tabs>
        <w:spacing w:before="93"/>
        <w:ind w:left="925"/>
      </w:pPr>
      <w:r>
        <w:rPr/>
        <w:pict>
          <v:line style="position:absolute;mso-position-horizontal-relative:page;mso-position-vertical-relative:paragraph;z-index:19648" from="36.360001pt,18.665844pt" to="36.360001pt,123.905844pt" stroked="true" strokeweight=".72pt" strokecolor="#000000">
            <v:stroke dashstyle="solid"/>
            <w10:wrap type="none"/>
          </v:line>
        </w:pict>
      </w:r>
      <w:r>
        <w:rPr>
          <w:strike/>
          <w:color w:val="2E97D3"/>
        </w:rPr>
        <w:t>3.</w:t>
      </w:r>
      <w:r>
        <w:rPr>
          <w:strike w:val="0"/>
          <w:color w:val="2E97D3"/>
          <w:u w:val="single" w:color="2E97D3"/>
        </w:rPr>
        <w:t>1.</w:t>
        <w:tab/>
      </w:r>
      <w:r>
        <w:rPr>
          <w:strike w:val="0"/>
        </w:rPr>
        <w:t>Replacement equipment items (regardless of</w:t>
      </w:r>
      <w:r>
        <w:rPr>
          <w:strike w:val="0"/>
          <w:spacing w:val="-24"/>
        </w:rPr>
        <w:t> </w:t>
      </w:r>
      <w:r>
        <w:rPr>
          <w:strike w:val="0"/>
        </w:rPr>
        <w:t>amount).</w:t>
      </w:r>
    </w:p>
    <w:p>
      <w:pPr>
        <w:pStyle w:val="BodyText"/>
        <w:rPr>
          <w:sz w:val="20"/>
        </w:rPr>
      </w:pPr>
    </w:p>
    <w:p>
      <w:pPr>
        <w:pStyle w:val="BodyText"/>
        <w:rPr>
          <w:sz w:val="20"/>
        </w:rPr>
      </w:pPr>
    </w:p>
    <w:p>
      <w:pPr>
        <w:pStyle w:val="BodyText"/>
        <w:spacing w:before="9"/>
        <w:rPr>
          <w:sz w:val="20"/>
        </w:rPr>
      </w:pPr>
    </w:p>
    <w:p>
      <w:pPr>
        <w:pStyle w:val="BodyText"/>
        <w:spacing w:before="93"/>
        <w:ind w:left="820"/>
      </w:pPr>
      <w:r>
        <w:rPr>
          <w:color w:val="2C6234"/>
          <w:u w:val="thick" w:color="2C6234"/>
        </w:rPr>
        <w:t>(Continued)</w:t>
      </w:r>
    </w:p>
    <w:p>
      <w:pPr>
        <w:spacing w:after="0"/>
        <w:sectPr>
          <w:pgSz w:w="12240" w:h="15840"/>
          <w:pgMar w:header="728" w:footer="803" w:top="980" w:bottom="1000" w:left="620" w:right="1380"/>
        </w:sectPr>
      </w:pPr>
    </w:p>
    <w:p>
      <w:pPr>
        <w:pStyle w:val="BodyText"/>
        <w:rPr>
          <w:sz w:val="20"/>
        </w:rPr>
      </w:pPr>
    </w:p>
    <w:p>
      <w:pPr>
        <w:pStyle w:val="BodyText"/>
        <w:spacing w:before="214"/>
        <w:ind w:left="820"/>
      </w:pPr>
      <w:r>
        <w:rPr/>
        <w:pict>
          <v:line style="position:absolute;mso-position-horizontal-relative:page;mso-position-vertical-relative:paragraph;z-index:19912" from="36.360001pt,10.915881pt" to="36.360001pt,79.915881pt" stroked="true" strokeweight=".72pt" strokecolor="#000000">
            <v:stroke dashstyle="solid"/>
            <w10:wrap type="none"/>
          </v:line>
        </w:pict>
      </w:r>
      <w:r>
        <w:rPr>
          <w:color w:val="2C6234"/>
          <w:u w:val="thick" w:color="2C6234"/>
        </w:rPr>
        <w:t>(Continued)</w:t>
      </w:r>
    </w:p>
    <w:p>
      <w:pPr>
        <w:pStyle w:val="Heading2"/>
        <w:tabs>
          <w:tab w:pos="8471" w:val="left" w:leader="none"/>
        </w:tabs>
        <w:ind w:left="820"/>
        <w:rPr>
          <w:b w:val="0"/>
        </w:rPr>
      </w:pPr>
      <w:r>
        <w:rPr/>
        <w:pict>
          <v:line style="position:absolute;mso-position-horizontal-relative:page;mso-position-vertical-relative:paragraph;z-index:-452992" from="72pt,13.175833pt" to="531.24pt,13.175833pt" stroked="true" strokeweight="1.2pt" strokecolor="#2e97d3">
            <v:stroke dashstyle="solid"/>
            <w10:wrap type="none"/>
          </v:line>
        </w:pict>
      </w:r>
      <w:r>
        <w:rPr>
          <w:color w:val="2E97D3"/>
        </w:rPr>
        <w:t>CAPITAL OUTLAY VERSUS</w:t>
      </w:r>
      <w:r>
        <w:rPr>
          <w:color w:val="2E97D3"/>
          <w:spacing w:val="-10"/>
        </w:rPr>
        <w:t> </w:t>
      </w:r>
      <w:r>
        <w:rPr>
          <w:color w:val="2E97D3"/>
        </w:rPr>
        <w:t>STATE</w:t>
      </w:r>
      <w:r>
        <w:rPr>
          <w:color w:val="2E97D3"/>
          <w:spacing w:val="-3"/>
        </w:rPr>
        <w:t> </w:t>
      </w:r>
      <w:r>
        <w:rPr>
          <w:color w:val="2E97D3"/>
        </w:rPr>
        <w:t>OPERATIONS</w:t>
        <w:tab/>
        <w:t>6806 </w:t>
      </w:r>
      <w:r>
        <w:rPr>
          <w:b w:val="0"/>
          <w:color w:val="2E97D3"/>
        </w:rPr>
        <w:t>(Cont.</w:t>
      </w:r>
      <w:r>
        <w:rPr>
          <w:b w:val="0"/>
          <w:color w:val="2E97D3"/>
          <w:spacing w:val="-6"/>
        </w:rPr>
        <w:t> </w:t>
      </w:r>
      <w:r>
        <w:rPr>
          <w:b w:val="0"/>
          <w:color w:val="2E97D3"/>
        </w:rPr>
        <w:t>3)</w:t>
      </w:r>
    </w:p>
    <w:p>
      <w:pPr>
        <w:spacing w:before="0"/>
        <w:ind w:left="820" w:right="0" w:firstLine="0"/>
        <w:jc w:val="left"/>
        <w:rPr>
          <w:b/>
          <w:sz w:val="24"/>
        </w:rPr>
      </w:pPr>
      <w:r>
        <w:rPr>
          <w:b/>
          <w:color w:val="2E97D3"/>
          <w:sz w:val="24"/>
          <w:u w:val="thick" w:color="2E97D3"/>
        </w:rPr>
        <w:t>AND LOCAL ASSISTANCE</w:t>
      </w:r>
    </w:p>
    <w:p>
      <w:pPr>
        <w:pStyle w:val="BodyText"/>
        <w:ind w:left="820"/>
      </w:pPr>
      <w:r>
        <w:rPr>
          <w:color w:val="2E97D3"/>
          <w:u w:val="single" w:color="2E97D3"/>
        </w:rPr>
        <w:t>(Revised 11/2017)</w:t>
      </w:r>
    </w:p>
    <w:p>
      <w:pPr>
        <w:pStyle w:val="BodyText"/>
        <w:spacing w:before="11"/>
        <w:rPr>
          <w:sz w:val="15"/>
        </w:rPr>
      </w:pPr>
    </w:p>
    <w:p>
      <w:pPr>
        <w:pStyle w:val="BodyText"/>
        <w:tabs>
          <w:tab w:pos="1539" w:val="left" w:leader="none"/>
        </w:tabs>
        <w:spacing w:before="92"/>
        <w:ind w:left="1285" w:right="409" w:hanging="360"/>
      </w:pPr>
      <w:r>
        <w:rPr/>
        <w:pict>
          <v:line style="position:absolute;mso-position-horizontal-relative:page;mso-position-vertical-relative:paragraph;z-index:-452968" from="210.720001pt,26.835882pt" to="213.960001pt,26.835882pt" stroked="true" strokeweight=".6pt" strokecolor="#2e97d3">
            <v:stroke dashstyle="solid"/>
            <w10:wrap type="none"/>
          </v:line>
        </w:pict>
      </w:r>
      <w:r>
        <w:rPr/>
        <w:pict>
          <v:line style="position:absolute;mso-position-horizontal-relative:page;mso-position-vertical-relative:paragraph;z-index:-452944" from="223.440002pt,68.235878pt" to="227.400002pt,68.235878pt" stroked="true" strokeweight=".6pt" strokecolor="#2e97d3">
            <v:stroke dashstyle="solid"/>
            <w10:wrap type="none"/>
          </v:line>
        </w:pict>
      </w:r>
      <w:r>
        <w:rPr/>
        <w:pict>
          <v:line style="position:absolute;mso-position-horizontal-relative:page;mso-position-vertical-relative:paragraph;z-index:-452920" from="304.799988pt,68.235878pt" to="308.759988pt,68.235878pt" stroked="true" strokeweight=".6pt" strokecolor="#2e97d3">
            <v:stroke dashstyle="solid"/>
            <w10:wrap type="none"/>
          </v:line>
        </w:pict>
      </w:r>
      <w:r>
        <w:rPr/>
        <w:pict>
          <v:line style="position:absolute;mso-position-horizontal-relative:page;mso-position-vertical-relative:paragraph;z-index:19936" from="36.360001pt,18.615881pt" to="36.360001pt,32.415881pt" stroked="true" strokeweight=".72pt" strokecolor="#000000">
            <v:stroke dashstyle="solid"/>
            <w10:wrap type="none"/>
          </v:line>
        </w:pict>
      </w:r>
      <w:r>
        <w:rPr/>
        <w:pict>
          <v:line style="position:absolute;mso-position-horizontal-relative:page;mso-position-vertical-relative:paragraph;z-index:19960" from="36.360001pt,46.216881pt" to="36.360001pt,73.815881pt" stroked="true" strokeweight=".72pt" strokecolor="#000000">
            <v:stroke dashstyle="solid"/>
            <w10:wrap type="none"/>
          </v:line>
        </w:pict>
      </w:r>
      <w:r>
        <w:rPr/>
        <w:pict>
          <v:line style="position:absolute;mso-position-horizontal-relative:page;mso-position-vertical-relative:paragraph;z-index:19984" from="36.360001pt,87.615883pt" to="36.360001pt,211.815883pt" stroked="true" strokeweight=".72pt" strokecolor="#000000">
            <v:stroke dashstyle="solid"/>
            <w10:wrap type="none"/>
          </v:line>
        </w:pict>
      </w:r>
      <w:r>
        <w:rPr>
          <w:strike/>
          <w:color w:val="2E97D3"/>
        </w:rPr>
        <w:t>4.</w:t>
      </w:r>
      <w:r>
        <w:rPr>
          <w:strike w:val="0"/>
          <w:color w:val="2E97D3"/>
          <w:u w:val="single" w:color="2E97D3"/>
        </w:rPr>
        <w:t>2.</w:t>
        <w:tab/>
      </w:r>
      <w:r>
        <w:rPr>
          <w:strike w:val="0"/>
        </w:rPr>
        <w:t>Repair projects, including special repairs, not connected with a</w:t>
      </w:r>
      <w:r>
        <w:rPr>
          <w:strike w:val="0"/>
          <w:spacing w:val="-32"/>
        </w:rPr>
        <w:t> </w:t>
      </w:r>
      <w:r>
        <w:rPr>
          <w:strike w:val="0"/>
        </w:rPr>
        <w:t>construction</w:t>
      </w:r>
      <w:r>
        <w:rPr>
          <w:strike w:val="0"/>
          <w:spacing w:val="-3"/>
        </w:rPr>
        <w:t> </w:t>
      </w:r>
      <w:r>
        <w:rPr>
          <w:strike w:val="0"/>
        </w:rPr>
        <w:t>or</w:t>
      </w:r>
      <w:r>
        <w:rPr>
          <w:strike w:val="0"/>
          <w:w w:val="99"/>
        </w:rPr>
        <w:t> </w:t>
      </w:r>
      <w:r>
        <w:rPr>
          <w:strike w:val="0"/>
        </w:rPr>
        <w:t>improvement project. Examples of special repair projects include repainting, re- roofing, electrical rewiring, plumbing repairs, dredging of river or stream beds to restore original flow capacity, replacing old equipment items, and road repairs. (Regardless of amount, </w:t>
      </w:r>
      <w:r>
        <w:rPr>
          <w:strike w:val="0"/>
          <w:color w:val="2E97D3"/>
        </w:rPr>
        <w:t>“</w:t>
      </w:r>
      <w:r>
        <w:rPr>
          <w:strike w:val="0"/>
        </w:rPr>
        <w:t>special repairs</w:t>
      </w:r>
      <w:r>
        <w:rPr>
          <w:strike w:val="0"/>
          <w:color w:val="2E97D3"/>
        </w:rPr>
        <w:t>” </w:t>
      </w:r>
      <w:r>
        <w:rPr>
          <w:strike w:val="0"/>
        </w:rPr>
        <w:t>are budgeted in the </w:t>
      </w:r>
      <w:r>
        <w:rPr>
          <w:strike/>
          <w:color w:val="2E97D3"/>
        </w:rPr>
        <w:t>client </w:t>
      </w:r>
      <w:r>
        <w:rPr>
          <w:strike w:val="0"/>
        </w:rPr>
        <w:t>department’s state operations</w:t>
      </w:r>
      <w:r>
        <w:rPr>
          <w:strike w:val="0"/>
          <w:spacing w:val="-16"/>
        </w:rPr>
        <w:t> </w:t>
      </w:r>
      <w:r>
        <w:rPr>
          <w:strike w:val="0"/>
        </w:rPr>
        <w:t>appropriation.)</w:t>
      </w:r>
    </w:p>
    <w:p>
      <w:pPr>
        <w:pStyle w:val="BodyText"/>
        <w:spacing w:before="11"/>
        <w:rPr>
          <w:sz w:val="23"/>
        </w:rPr>
      </w:pPr>
    </w:p>
    <w:p>
      <w:pPr>
        <w:pStyle w:val="BodyText"/>
        <w:tabs>
          <w:tab w:pos="1539" w:val="left" w:leader="none"/>
        </w:tabs>
        <w:ind w:left="1285" w:right="636" w:hanging="360"/>
      </w:pPr>
      <w:r>
        <w:rPr/>
        <w:pict>
          <v:line style="position:absolute;mso-position-horizontal-relative:page;mso-position-vertical-relative:paragraph;z-index:-452896" from="357.600006pt,8.435844pt" to="360.961006pt,8.435844pt" stroked="true" strokeweight=".6pt" strokecolor="#2e97d3">
            <v:stroke dashstyle="solid"/>
            <w10:wrap type="none"/>
          </v:line>
        </w:pict>
      </w:r>
      <w:r>
        <w:rPr/>
        <w:pict>
          <v:line style="position:absolute;mso-position-horizontal-relative:page;mso-position-vertical-relative:paragraph;z-index:-452872" from="95.279999pt,22.235846pt" to="99.239999pt,22.235846pt" stroked="true" strokeweight=".6pt" strokecolor="#2e97d3">
            <v:stroke dashstyle="solid"/>
            <w10:wrap type="none"/>
          </v:line>
        </w:pict>
      </w:r>
      <w:r>
        <w:rPr/>
        <w:pict>
          <v:line style="position:absolute;mso-position-horizontal-relative:page;mso-position-vertical-relative:paragraph;z-index:-452848" from="201.479996pt,22.235846pt" to="205.439996pt,22.235846pt" stroked="true" strokeweight=".6pt" strokecolor="#2e97d3">
            <v:stroke dashstyle="solid"/>
            <w10:wrap type="none"/>
          </v:line>
        </w:pict>
      </w:r>
      <w:r>
        <w:rPr>
          <w:strike/>
          <w:color w:val="2E97D3"/>
        </w:rPr>
        <w:t>5.</w:t>
      </w:r>
      <w:r>
        <w:rPr>
          <w:strike w:val="0"/>
          <w:color w:val="2E97D3"/>
          <w:u w:val="single" w:color="2E97D3"/>
        </w:rPr>
        <w:t>3.</w:t>
        <w:tab/>
      </w:r>
      <w:r>
        <w:rPr>
          <w:strike w:val="0"/>
        </w:rPr>
        <w:t>Maintenance, including deferred maintenance.  Maintenance is</w:t>
      </w:r>
      <w:r>
        <w:rPr>
          <w:strike w:val="0"/>
          <w:spacing w:val="-31"/>
        </w:rPr>
        <w:t> </w:t>
      </w:r>
      <w:r>
        <w:rPr>
          <w:strike w:val="0"/>
        </w:rPr>
        <w:t>budgeted</w:t>
      </w:r>
      <w:r>
        <w:rPr>
          <w:strike w:val="0"/>
          <w:spacing w:val="-6"/>
        </w:rPr>
        <w:t> </w:t>
      </w:r>
      <w:r>
        <w:rPr>
          <w:strike w:val="0"/>
        </w:rPr>
        <w:t>as </w:t>
      </w:r>
      <w:r>
        <w:rPr>
          <w:strike w:val="0"/>
          <w:color w:val="2E97D3"/>
        </w:rPr>
        <w:t>“</w:t>
      </w:r>
      <w:r>
        <w:rPr>
          <w:strike w:val="0"/>
        </w:rPr>
        <w:t>facilities operations</w:t>
      </w:r>
      <w:r>
        <w:rPr>
          <w:strike w:val="0"/>
          <w:color w:val="2E97D3"/>
        </w:rPr>
        <w:t>” </w:t>
      </w:r>
      <w:r>
        <w:rPr>
          <w:strike w:val="0"/>
        </w:rPr>
        <w:t>in the </w:t>
      </w:r>
      <w:r>
        <w:rPr>
          <w:strike/>
          <w:color w:val="2E97D3"/>
        </w:rPr>
        <w:t>client </w:t>
      </w:r>
      <w:r>
        <w:rPr>
          <w:strike w:val="0"/>
        </w:rPr>
        <w:t>department’s operating expense</w:t>
      </w:r>
      <w:r>
        <w:rPr>
          <w:strike w:val="0"/>
          <w:spacing w:val="-41"/>
        </w:rPr>
        <w:t> </w:t>
      </w:r>
      <w:r>
        <w:rPr>
          <w:strike w:val="0"/>
        </w:rPr>
        <w:t>schedule.</w:t>
      </w:r>
    </w:p>
    <w:p>
      <w:pPr>
        <w:pStyle w:val="BodyText"/>
        <w:ind w:left="1180"/>
      </w:pPr>
      <w:r>
        <w:rPr>
          <w:strike/>
          <w:color w:val="2E97D3"/>
        </w:rPr>
        <w:t>Relocation</w:t>
      </w:r>
    </w:p>
    <w:p>
      <w:pPr>
        <w:pStyle w:val="BodyText"/>
        <w:tabs>
          <w:tab w:pos="1539" w:val="left" w:leader="none"/>
        </w:tabs>
        <w:ind w:left="1285" w:right="345" w:hanging="360"/>
      </w:pPr>
      <w:r>
        <w:rPr>
          <w:strike/>
          <w:color w:val="2E97D3"/>
        </w:rPr>
        <w:t>6.</w:t>
      </w:r>
      <w:r>
        <w:rPr>
          <w:strike w:val="0"/>
          <w:color w:val="2E97D3"/>
          <w:u w:val="single" w:color="2E97D3"/>
        </w:rPr>
        <w:t>4.</w:t>
        <w:tab/>
        <w:t>Most relocation costs</w:t>
      </w:r>
      <w:r>
        <w:rPr>
          <w:strike w:val="0"/>
        </w:rPr>
        <w:t>—including temporary </w:t>
      </w:r>
      <w:r>
        <w:rPr>
          <w:strike/>
          <w:color w:val="2E97D3"/>
        </w:rPr>
        <w:t>“</w:t>
      </w:r>
      <w:r>
        <w:rPr>
          <w:strike w:val="0"/>
          <w:color w:val="2E97D3"/>
          <w:u w:val="single" w:color="2E97D3"/>
        </w:rPr>
        <w:t>―”</w:t>
      </w:r>
      <w:r>
        <w:rPr>
          <w:strike w:val="0"/>
        </w:rPr>
        <w:t>swing”</w:t>
      </w:r>
      <w:r>
        <w:rPr>
          <w:strike w:val="0"/>
          <w:spacing w:val="-27"/>
        </w:rPr>
        <w:t> </w:t>
      </w:r>
      <w:r>
        <w:rPr>
          <w:strike w:val="0"/>
        </w:rPr>
        <w:t>space—and</w:t>
      </w:r>
      <w:r>
        <w:rPr>
          <w:strike w:val="0"/>
          <w:spacing w:val="-7"/>
        </w:rPr>
        <w:t> </w:t>
      </w:r>
      <w:r>
        <w:rPr>
          <w:strike w:val="0"/>
        </w:rPr>
        <w:t>moving</w:t>
      </w:r>
      <w:r>
        <w:rPr>
          <w:strike w:val="0"/>
          <w:w w:val="99"/>
        </w:rPr>
        <w:t> </w:t>
      </w:r>
      <w:r>
        <w:rPr>
          <w:strike w:val="0"/>
        </w:rPr>
        <w:t>expenses, whether or not related to a capital outlay project. </w:t>
      </w:r>
      <w:r>
        <w:rPr>
          <w:strike/>
          <w:color w:val="2E97D3"/>
        </w:rPr>
        <w:t>(However, DOF may authorize exceptions</w:t>
      </w:r>
      <w:r>
        <w:rPr>
          <w:strike w:val="0"/>
          <w:color w:val="2E97D3"/>
          <w:u w:val="single" w:color="2E97D3"/>
        </w:rPr>
        <w:t>Exceptions </w:t>
      </w:r>
      <w:r>
        <w:rPr>
          <w:strike w:val="0"/>
        </w:rPr>
        <w:t>to this </w:t>
      </w:r>
      <w:r>
        <w:rPr>
          <w:strike/>
          <w:color w:val="2E97D3"/>
        </w:rPr>
        <w:t>rule.)</w:t>
      </w:r>
      <w:r>
        <w:rPr>
          <w:strike w:val="0"/>
          <w:color w:val="2E97D3"/>
          <w:u w:val="single" w:color="2E97D3"/>
        </w:rPr>
        <w:t>must be approved by</w:t>
      </w:r>
      <w:r>
        <w:rPr>
          <w:strike w:val="0"/>
          <w:color w:val="2E97D3"/>
          <w:spacing w:val="-38"/>
          <w:u w:val="single" w:color="2E97D3"/>
        </w:rPr>
        <w:t> </w:t>
      </w:r>
      <w:r>
        <w:rPr>
          <w:strike w:val="0"/>
          <w:color w:val="2E97D3"/>
          <w:u w:val="single" w:color="2E97D3"/>
        </w:rPr>
        <w:t>Finance.</w:t>
      </w:r>
    </w:p>
    <w:p>
      <w:pPr>
        <w:pStyle w:val="BodyText"/>
        <w:spacing w:before="11"/>
        <w:rPr>
          <w:sz w:val="15"/>
        </w:rPr>
      </w:pPr>
    </w:p>
    <w:p>
      <w:pPr>
        <w:pStyle w:val="BodyText"/>
        <w:spacing w:before="92"/>
        <w:ind w:left="1180" w:right="72" w:hanging="255"/>
      </w:pPr>
      <w:r>
        <w:rPr/>
        <w:pict>
          <v:line style="position:absolute;mso-position-horizontal-relative:page;mso-position-vertical-relative:paragraph;z-index:-452824" from="409.679993pt,13.03587pt" to="412.919993pt,13.03587pt" stroked="true" strokeweight=".6pt" strokecolor="#2e97d3">
            <v:stroke dashstyle="solid"/>
            <w10:wrap type="none"/>
          </v:line>
        </w:pict>
      </w:r>
      <w:r>
        <w:rPr/>
        <w:pict>
          <v:line style="position:absolute;mso-position-horizontal-relative:page;mso-position-vertical-relative:paragraph;z-index:20008" from="36.360001pt,32.415871pt" to="36.360001pt,46.215871pt" stroked="true" strokeweight=".72pt" strokecolor="#000000">
            <v:stroke dashstyle="solid"/>
            <w10:wrap type="none"/>
          </v:line>
        </w:pict>
      </w:r>
      <w:r>
        <w:rPr>
          <w:color w:val="2E97D3"/>
          <w:spacing w:val="-4"/>
          <w:u w:val="single" w:color="2E97D3"/>
        </w:rPr>
        <w:t>5.</w:t>
      </w:r>
      <w:r>
        <w:rPr>
          <w:color w:val="2E97D3"/>
          <w:spacing w:val="58"/>
          <w:u w:val="single" w:color="2E97D3"/>
        </w:rPr>
        <w:t> </w:t>
      </w:r>
      <w:r>
        <w:rPr/>
        <w:t>Lease or rental costs, and </w:t>
      </w:r>
      <w:r>
        <w:rPr>
          <w:strike/>
          <w:color w:val="2E97D3"/>
        </w:rPr>
        <w:t>any </w:t>
      </w:r>
      <w:r>
        <w:rPr>
          <w:strike w:val="0"/>
        </w:rPr>
        <w:t>associated budget requests. (However, as noted in the preceding text, capitalized leasing must be reflected in the five-year capitalized asset plan and COBCPs are required under specified conditions per Section 6818.) </w:t>
      </w:r>
      <w:r>
        <w:rPr>
          <w:strike/>
          <w:color w:val="2E97D3"/>
        </w:rPr>
        <w:t>7.</w:t>
      </w:r>
    </w:p>
    <w:p>
      <w:pPr>
        <w:pStyle w:val="BodyText"/>
        <w:tabs>
          <w:tab w:pos="1539" w:val="left" w:leader="none"/>
        </w:tabs>
        <w:ind w:left="1285" w:right="184" w:hanging="360"/>
      </w:pPr>
      <w:r>
        <w:rPr/>
        <w:pict>
          <v:line style="position:absolute;mso-position-horizontal-relative:page;mso-position-vertical-relative:paragraph;z-index:-452800" from="330.119995pt,22.235857pt" to="333.479995pt,22.235857pt" stroked="true" strokeweight=".6pt" strokecolor="#2e97d3">
            <v:stroke dashstyle="solid"/>
            <w10:wrap type="none"/>
          </v:line>
        </w:pict>
      </w:r>
      <w:r>
        <w:rPr/>
        <w:pict>
          <v:line style="position:absolute;mso-position-horizontal-relative:page;mso-position-vertical-relative:paragraph;z-index:20032" from="36.360001pt,14.015857pt" to="36.360001pt,27.815857pt" stroked="true" strokeweight=".72pt" strokecolor="#000000">
            <v:stroke dashstyle="solid"/>
            <w10:wrap type="none"/>
          </v:line>
        </w:pict>
      </w:r>
      <w:r>
        <w:rPr/>
        <w:pict>
          <v:line style="position:absolute;mso-position-horizontal-relative:page;mso-position-vertical-relative:paragraph;z-index:20056" from="36.360001pt,41.615856pt" to="36.360001pt,96.815856pt" stroked="true" strokeweight=".72pt" strokecolor="#000000">
            <v:stroke dashstyle="solid"/>
            <w10:wrap type="none"/>
          </v:line>
        </w:pict>
      </w:r>
      <w:r>
        <w:rPr>
          <w:strike/>
          <w:color w:val="2E97D3"/>
        </w:rPr>
        <w:t>8.</w:t>
      </w:r>
      <w:r>
        <w:rPr>
          <w:strike w:val="0"/>
          <w:color w:val="2E97D3"/>
          <w:u w:val="single" w:color="2E97D3"/>
        </w:rPr>
        <w:t>6.</w:t>
        <w:tab/>
      </w:r>
      <w:r>
        <w:rPr>
          <w:strike w:val="0"/>
        </w:rPr>
        <w:t>Generally NOT alterations in state-owned buildings, except as</w:t>
      </w:r>
      <w:r>
        <w:rPr>
          <w:strike w:val="0"/>
          <w:spacing w:val="-33"/>
        </w:rPr>
        <w:t> </w:t>
      </w:r>
      <w:r>
        <w:rPr>
          <w:strike w:val="0"/>
        </w:rPr>
        <w:t>provided</w:t>
      </w:r>
      <w:r>
        <w:rPr>
          <w:strike w:val="0"/>
          <w:spacing w:val="-4"/>
        </w:rPr>
        <w:t> </w:t>
      </w:r>
      <w:r>
        <w:rPr>
          <w:strike w:val="0"/>
        </w:rPr>
        <w:t>in</w:t>
      </w:r>
      <w:r>
        <w:rPr>
          <w:strike w:val="0"/>
          <w:w w:val="99"/>
        </w:rPr>
        <w:t> </w:t>
      </w:r>
      <w:r>
        <w:rPr>
          <w:strike w:val="0"/>
        </w:rPr>
        <w:t>Section 6.00 of the Budget (see preceding). In leased facilities, support funds may be used for</w:t>
      </w:r>
      <w:r>
        <w:rPr>
          <w:strike w:val="0"/>
          <w:spacing w:val="-13"/>
        </w:rPr>
        <w:t> </w:t>
      </w:r>
      <w:r>
        <w:rPr>
          <w:strike w:val="0"/>
        </w:rPr>
        <w:t>alterations.</w:t>
      </w:r>
    </w:p>
    <w:p>
      <w:pPr>
        <w:pStyle w:val="BodyText"/>
      </w:pPr>
    </w:p>
    <w:p>
      <w:pPr>
        <w:pStyle w:val="BodyText"/>
        <w:ind w:left="820" w:right="102"/>
      </w:pPr>
      <w:r>
        <w:rPr/>
        <w:pict>
          <v:line style="position:absolute;mso-position-horizontal-relative:page;mso-position-vertical-relative:paragraph;z-index:-452776" from="188.160004pt,12.995345pt" to="191.520004pt,12.995345pt" stroked="true" strokeweight=".841pt" strokecolor="#2e97d3">
            <v:stroke dashstyle="solid"/>
            <w10:wrap type="none"/>
          </v:line>
        </w:pict>
      </w:r>
      <w:r>
        <w:rPr>
          <w:b/>
        </w:rPr>
        <w:t>Local assistance </w:t>
      </w:r>
      <w:r>
        <w:rPr>
          <w:b/>
          <w:strike/>
          <w:color w:val="2E97D3"/>
        </w:rPr>
        <w:t>is</w:t>
      </w:r>
      <w:r>
        <w:rPr>
          <w:strike/>
          <w:color w:val="2E97D3"/>
        </w:rPr>
        <w:t>: </w:t>
      </w:r>
      <w:r>
        <w:rPr>
          <w:strike w:val="0"/>
          <w:color w:val="2E97D3"/>
        </w:rPr>
        <w:t>: </w:t>
      </w:r>
      <w:r>
        <w:rPr>
          <w:strike w:val="0"/>
        </w:rPr>
        <w:t>The following infrastructure-related expense is classified as local assistance:</w:t>
      </w:r>
    </w:p>
    <w:p>
      <w:pPr>
        <w:pStyle w:val="BodyText"/>
        <w:spacing w:before="10"/>
        <w:rPr>
          <w:sz w:val="23"/>
        </w:rPr>
      </w:pPr>
    </w:p>
    <w:p>
      <w:pPr>
        <w:pStyle w:val="BodyText"/>
        <w:spacing w:before="1"/>
        <w:ind w:left="1285" w:right="423" w:hanging="360"/>
      </w:pPr>
      <w:r>
        <w:rPr/>
        <w:pict>
          <v:line style="position:absolute;mso-position-horizontal-relative:page;mso-position-vertical-relative:paragraph;z-index:20080" from="36.360001pt,27.86585pt" to="36.360001pt,41.66585pt" stroked="true" strokeweight=".72pt" strokecolor="#000000">
            <v:stroke dashstyle="solid"/>
            <w10:wrap type="none"/>
          </v:line>
        </w:pict>
      </w:r>
      <w:r>
        <w:rPr/>
        <w:t>1. Grants to local agencies for the operation, maintenance, and acquisition or development of facilities or land, provided the local entity retains ownership after completion of the project.</w:t>
      </w:r>
    </w:p>
    <w:p>
      <w:pPr>
        <w:pStyle w:val="BodyText"/>
      </w:pPr>
    </w:p>
    <w:p>
      <w:pPr>
        <w:pStyle w:val="BodyText"/>
        <w:ind w:left="820"/>
      </w:pPr>
      <w:r>
        <w:rPr/>
        <w:t>(Continued)</w:t>
      </w:r>
    </w:p>
    <w:p>
      <w:pPr>
        <w:spacing w:after="0"/>
        <w:sectPr>
          <w:pgSz w:w="12240" w:h="15840"/>
          <w:pgMar w:header="728" w:footer="803" w:top="980" w:bottom="1000" w:left="620" w:right="1380"/>
        </w:sectPr>
      </w:pPr>
    </w:p>
    <w:p>
      <w:pPr>
        <w:pStyle w:val="BodyText"/>
        <w:rPr>
          <w:sz w:val="20"/>
        </w:rPr>
      </w:pPr>
      <w:r>
        <w:rPr/>
        <w:pict>
          <v:line style="position:absolute;mso-position-horizontal-relative:page;mso-position-vertical-relative:page;z-index:-452512" from="141.479996pt,417.419495pt" to="200.759996pt,417.419495pt" stroked="true" strokeweight=".841pt" strokecolor="#2e97d3">
            <v:stroke dashstyle="solid"/>
            <w10:wrap type="none"/>
          </v:line>
        </w:pict>
      </w:r>
      <w:r>
        <w:rPr/>
        <w:pict>
          <v:line style="position:absolute;mso-position-horizontal-relative:page;mso-position-vertical-relative:page;z-index:-452488" from="77.639999pt,458.700012pt" to="80.999999pt,458.700012pt" stroked="true" strokeweight=".84pt" strokecolor="#2e97d3">
            <v:stroke dashstyle="solid"/>
            <w10:wrap type="none"/>
          </v:line>
        </w:pict>
      </w:r>
      <w:r>
        <w:rPr/>
        <w:pict>
          <v:line style="position:absolute;mso-position-horizontal-relative:page;mso-position-vertical-relative:page;z-index:-452464" from="351.119995pt,417.419495pt" to="354.480995pt,417.419495pt" stroked="true" strokeweight=".841pt" strokecolor="#2e97d3">
            <v:stroke dashstyle="solid"/>
            <w10:wrap type="none"/>
          </v:line>
        </w:pict>
      </w:r>
      <w:r>
        <w:rPr/>
        <w:pict>
          <v:line style="position:absolute;mso-position-horizontal-relative:page;mso-position-vertical-relative:page;z-index:-452440" from="359.160004pt,445.019989pt" to="362.520004pt,445.019989pt" stroked="true" strokeweight=".84pt" strokecolor="#2e97d3">
            <v:stroke dashstyle="solid"/>
            <w10:wrap type="none"/>
          </v:line>
        </w:pict>
      </w:r>
      <w:r>
        <w:rPr/>
        <w:pict>
          <v:line style="position:absolute;mso-position-horizontal-relative:page;mso-position-vertical-relative:page;z-index:-452416" from="438.600006pt,417.419495pt" to="498.720006pt,417.419495pt" stroked="true" strokeweight=".841pt" strokecolor="#2e97d3">
            <v:stroke dashstyle="solid"/>
            <w10:wrap type="none"/>
          </v:line>
        </w:pict>
      </w:r>
    </w:p>
    <w:p>
      <w:pPr>
        <w:pStyle w:val="BodyText"/>
        <w:spacing w:before="214"/>
        <w:ind w:left="820"/>
      </w:pPr>
      <w:r>
        <w:rPr/>
        <w:pict>
          <v:line style="position:absolute;mso-position-horizontal-relative:page;mso-position-vertical-relative:paragraph;z-index:20272" from="36.360001pt,24.714882pt" to="36.360001pt,121.315882pt" stroked="true" strokeweight=".72pt" strokecolor="#000000">
            <v:stroke dashstyle="solid"/>
            <w10:wrap type="none"/>
          </v:line>
        </w:pict>
      </w:r>
      <w:r>
        <w:rPr/>
        <w:t>(Continued)</w:t>
      </w:r>
    </w:p>
    <w:p>
      <w:pPr>
        <w:pStyle w:val="Heading2"/>
        <w:tabs>
          <w:tab w:pos="8471" w:val="left" w:leader="none"/>
        </w:tabs>
        <w:ind w:left="820"/>
        <w:rPr>
          <w:b w:val="0"/>
        </w:rPr>
      </w:pPr>
      <w:r>
        <w:rPr/>
        <w:t>CAPITAL OUTLAY VERSUS</w:t>
      </w:r>
      <w:r>
        <w:rPr>
          <w:spacing w:val="-10"/>
        </w:rPr>
        <w:t> </w:t>
      </w:r>
      <w:r>
        <w:rPr/>
        <w:t>STATE</w:t>
      </w:r>
      <w:r>
        <w:rPr>
          <w:spacing w:val="-3"/>
        </w:rPr>
        <w:t> </w:t>
      </w:r>
      <w:r>
        <w:rPr/>
        <w:t>OPERATIONS</w:t>
      </w:r>
      <w:r>
        <w:rPr>
          <w:color w:val="2E97D3"/>
          <w:u w:val="thick" w:color="2E97D3"/>
        </w:rPr>
        <w:t> </w:t>
        <w:tab/>
        <w:t>6806 </w:t>
      </w:r>
      <w:r>
        <w:rPr>
          <w:b w:val="0"/>
          <w:color w:val="2E97D3"/>
          <w:u w:val="thick" w:color="2E97D3"/>
        </w:rPr>
        <w:t>(Cont.</w:t>
      </w:r>
      <w:r>
        <w:rPr>
          <w:b w:val="0"/>
          <w:color w:val="2E97D3"/>
          <w:spacing w:val="-6"/>
          <w:u w:val="thick" w:color="2E97D3"/>
        </w:rPr>
        <w:t> </w:t>
      </w:r>
      <w:r>
        <w:rPr>
          <w:b w:val="0"/>
          <w:color w:val="2E97D3"/>
          <w:u w:val="thick" w:color="2E97D3"/>
        </w:rPr>
        <w:t>4)</w:t>
      </w:r>
    </w:p>
    <w:p>
      <w:pPr>
        <w:spacing w:before="0"/>
        <w:ind w:left="820" w:right="0" w:firstLine="0"/>
        <w:jc w:val="left"/>
        <w:rPr>
          <w:b/>
          <w:sz w:val="24"/>
        </w:rPr>
      </w:pPr>
      <w:r>
        <w:rPr>
          <w:b/>
          <w:sz w:val="24"/>
        </w:rPr>
        <w:t>AND</w:t>
      </w:r>
    </w:p>
    <w:p>
      <w:pPr>
        <w:spacing w:before="0"/>
        <w:ind w:left="820" w:right="6906" w:firstLine="0"/>
        <w:jc w:val="left"/>
        <w:rPr>
          <w:sz w:val="24"/>
        </w:rPr>
      </w:pPr>
      <w:r>
        <w:rPr/>
        <w:pict>
          <v:line style="position:absolute;mso-position-horizontal-relative:page;mso-position-vertical-relative:paragraph;z-index:20128" from="194.039993pt,8.435857pt" to="454.559993pt,8.435857pt" stroked="true" strokeweight=".6pt" strokecolor="#2e97d3">
            <v:stroke dashstyle="solid"/>
            <w10:wrap type="none"/>
          </v:line>
        </w:pict>
      </w:r>
      <w:r>
        <w:rPr>
          <w:b/>
          <w:sz w:val="24"/>
        </w:rPr>
        <w:t>LOCAL ASSISTANCE </w:t>
      </w:r>
      <w:r>
        <w:rPr>
          <w:b/>
          <w:strike/>
          <w:color w:val="2E97D3"/>
          <w:sz w:val="24"/>
        </w:rPr>
        <w:t>6806 </w:t>
      </w:r>
      <w:r>
        <w:rPr>
          <w:strike/>
          <w:color w:val="2E97D3"/>
          <w:sz w:val="24"/>
        </w:rPr>
        <w:t>(Cont. 4)</w:t>
      </w:r>
    </w:p>
    <w:p>
      <w:pPr>
        <w:pStyle w:val="BodyText"/>
        <w:ind w:left="820" w:right="7878"/>
      </w:pPr>
      <w:r>
        <w:rPr>
          <w:strike/>
          <w:color w:val="2C6234"/>
        </w:rPr>
        <w:t>(Revised 09/2017) </w:t>
      </w:r>
      <w:r>
        <w:rPr>
          <w:strike w:val="0"/>
          <w:color w:val="2E97D3"/>
          <w:u w:val="single" w:color="2E97D3"/>
        </w:rPr>
        <w:t>(Revised 11/2017)</w:t>
      </w:r>
    </w:p>
    <w:p>
      <w:pPr>
        <w:pStyle w:val="BodyText"/>
        <w:spacing w:before="11"/>
        <w:rPr>
          <w:sz w:val="15"/>
        </w:rPr>
      </w:pPr>
    </w:p>
    <w:p>
      <w:pPr>
        <w:pStyle w:val="Heading2"/>
        <w:spacing w:before="92"/>
        <w:ind w:left="3985" w:right="1768" w:hanging="1880"/>
      </w:pPr>
      <w:r>
        <w:rPr/>
        <w:pict>
          <v:line style="position:absolute;mso-position-horizontal-relative:page;mso-position-vertical-relative:paragraph;z-index:20296" from="36.360001pt,46.695858pt" to="36.360001pt,337.935858pt" stroked="true" strokeweight=".72pt" strokecolor="#000000">
            <v:stroke dashstyle="solid"/>
            <w10:wrap type="none"/>
          </v:line>
        </w:pict>
      </w:r>
      <w:r>
        <w:rPr/>
        <w:t>ILLUSTRATION DISTINCTION BETWEEN CAPITAL OUTLAY AND STATE OPERATIONS</w:t>
      </w:r>
    </w:p>
    <w:p>
      <w:pPr>
        <w:pStyle w:val="BodyText"/>
        <w:spacing w:before="10"/>
        <w:rPr>
          <w:b/>
          <w:sz w:val="20"/>
        </w:rPr>
      </w:pPr>
      <w:r>
        <w:rPr/>
        <w:pict>
          <v:line style="position:absolute;mso-position-horizontal-relative:page;mso-position-vertical-relative:paragraph;z-index:20104;mso-wrap-distance-left:0;mso-wrap-distance-right:0" from="36.360001pt,347.112213pt" to="36.360001pt,360.912213pt" stroked="true" strokeweight=".72pt" strokecolor="#000000">
            <v:stroke dashstyle="solid"/>
            <w10:wrap type="topAndBottom"/>
          </v:line>
        </w:pict>
      </w:r>
      <w:r>
        <w:rPr/>
        <w:pict>
          <v:shape style="position:absolute;margin-left:72pt;margin-top:13.992227pt;width:487.7pt;height:348.7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8"/>
                    <w:gridCol w:w="2071"/>
                    <w:gridCol w:w="1980"/>
                    <w:gridCol w:w="2520"/>
                  </w:tblGrid>
                  <w:tr>
                    <w:trPr>
                      <w:trHeight w:val="1390" w:hRule="exact"/>
                    </w:trPr>
                    <w:tc>
                      <w:tcPr>
                        <w:tcW w:w="3168" w:type="dxa"/>
                      </w:tcPr>
                      <w:p>
                        <w:pPr>
                          <w:pStyle w:val="TableParagraph"/>
                          <w:rPr>
                            <w:b/>
                            <w:sz w:val="26"/>
                          </w:rPr>
                        </w:pPr>
                      </w:p>
                      <w:p>
                        <w:pPr>
                          <w:pStyle w:val="TableParagraph"/>
                          <w:rPr>
                            <w:b/>
                            <w:sz w:val="26"/>
                          </w:rPr>
                        </w:pPr>
                      </w:p>
                      <w:p>
                        <w:pPr>
                          <w:pStyle w:val="TableParagraph"/>
                          <w:spacing w:before="225"/>
                          <w:ind w:left="878" w:right="542" w:hanging="322"/>
                          <w:rPr>
                            <w:b/>
                            <w:sz w:val="24"/>
                          </w:rPr>
                        </w:pPr>
                        <w:r>
                          <w:rPr>
                            <w:b/>
                            <w:color w:val="2E97D3"/>
                            <w:sz w:val="24"/>
                            <w:u w:val="thick" w:color="2E97D3"/>
                          </w:rPr>
                          <w:t>DESCRIPTION OF </w:t>
                        </w:r>
                        <w:r>
                          <w:rPr>
                            <w:b/>
                            <w:color w:val="2C6234"/>
                            <w:sz w:val="24"/>
                            <w:u w:val="double" w:color="2C6234"/>
                          </w:rPr>
                          <w:t>PROJE</w:t>
                        </w:r>
                        <w:r>
                          <w:rPr>
                            <w:b/>
                            <w:color w:val="2C6234"/>
                            <w:sz w:val="24"/>
                            <w:u w:val="single" w:color="2C6234"/>
                          </w:rPr>
                          <w:t>C</w:t>
                        </w:r>
                        <w:r>
                          <w:rPr>
                            <w:b/>
                            <w:color w:val="2C6234"/>
                            <w:sz w:val="24"/>
                          </w:rPr>
                          <w:t>T 1/</w:t>
                        </w:r>
                      </w:p>
                    </w:tc>
                    <w:tc>
                      <w:tcPr>
                        <w:tcW w:w="2071" w:type="dxa"/>
                      </w:tcPr>
                      <w:p>
                        <w:pPr>
                          <w:pStyle w:val="TableParagraph"/>
                          <w:ind w:left="235" w:right="219" w:firstLine="400"/>
                          <w:rPr>
                            <w:b/>
                            <w:sz w:val="24"/>
                          </w:rPr>
                        </w:pPr>
                        <w:r>
                          <w:rPr>
                            <w:b/>
                            <w:sz w:val="24"/>
                          </w:rPr>
                          <w:t>STATE OPERATIONS</w:t>
                        </w:r>
                      </w:p>
                    </w:tc>
                    <w:tc>
                      <w:tcPr>
                        <w:tcW w:w="4500" w:type="dxa"/>
                        <w:gridSpan w:val="2"/>
                      </w:tcPr>
                      <w:p>
                        <w:pPr>
                          <w:pStyle w:val="TableParagraph"/>
                          <w:spacing w:before="7"/>
                          <w:rPr>
                            <w:b/>
                            <w:sz w:val="23"/>
                          </w:rPr>
                        </w:pPr>
                      </w:p>
                      <w:p>
                        <w:pPr>
                          <w:pStyle w:val="TableParagraph"/>
                          <w:ind w:left="1200"/>
                          <w:rPr>
                            <w:b/>
                            <w:sz w:val="24"/>
                          </w:rPr>
                        </w:pPr>
                        <w:r>
                          <w:rPr>
                            <w:b/>
                            <w:sz w:val="24"/>
                          </w:rPr>
                          <w:t>CAPITAL OUTLAY</w:t>
                        </w:r>
                      </w:p>
                    </w:tc>
                  </w:tr>
                  <w:tr>
                    <w:trPr>
                      <w:trHeight w:val="1390" w:hRule="exact"/>
                    </w:trPr>
                    <w:tc>
                      <w:tcPr>
                        <w:tcW w:w="3168" w:type="dxa"/>
                      </w:tcPr>
                      <w:p>
                        <w:pPr>
                          <w:pStyle w:val="TableParagraph"/>
                          <w:rPr>
                            <w:b/>
                            <w:sz w:val="26"/>
                          </w:rPr>
                        </w:pPr>
                      </w:p>
                      <w:p>
                        <w:pPr>
                          <w:pStyle w:val="TableParagraph"/>
                          <w:spacing w:before="7"/>
                          <w:rPr>
                            <w:b/>
                            <w:sz w:val="21"/>
                          </w:rPr>
                        </w:pPr>
                      </w:p>
                      <w:p>
                        <w:pPr>
                          <w:pStyle w:val="TableParagraph"/>
                          <w:ind w:left="878" w:right="532" w:hanging="312"/>
                          <w:rPr>
                            <w:b/>
                            <w:sz w:val="24"/>
                          </w:rPr>
                        </w:pPr>
                        <w:r>
                          <w:rPr>
                            <w:b/>
                            <w:strike/>
                            <w:color w:val="2E97D3"/>
                            <w:sz w:val="24"/>
                          </w:rPr>
                          <w:t>DESCRIPTION OF </w:t>
                        </w:r>
                        <w:r>
                          <w:rPr>
                            <w:b/>
                            <w:strike/>
                            <w:color w:val="2C6234"/>
                            <w:sz w:val="24"/>
                          </w:rPr>
                          <w:t>PROJECT 1/</w:t>
                        </w:r>
                      </w:p>
                    </w:tc>
                    <w:tc>
                      <w:tcPr>
                        <w:tcW w:w="2071" w:type="dxa"/>
                      </w:tcPr>
                      <w:p>
                        <w:pPr>
                          <w:pStyle w:val="TableParagraph"/>
                          <w:spacing w:before="7"/>
                          <w:rPr>
                            <w:b/>
                            <w:sz w:val="23"/>
                          </w:rPr>
                        </w:pPr>
                      </w:p>
                      <w:p>
                        <w:pPr>
                          <w:pStyle w:val="TableParagraph"/>
                          <w:ind w:left="314" w:right="316" w:firstLine="1"/>
                          <w:jc w:val="center"/>
                          <w:rPr>
                            <w:b/>
                            <w:sz w:val="24"/>
                          </w:rPr>
                        </w:pPr>
                        <w:r>
                          <w:rPr>
                            <w:b/>
                            <w:sz w:val="24"/>
                          </w:rPr>
                          <w:t>OPERATING EXPENSES AND EQUIPMENT</w:t>
                        </w:r>
                      </w:p>
                    </w:tc>
                    <w:tc>
                      <w:tcPr>
                        <w:tcW w:w="1980" w:type="dxa"/>
                      </w:tcPr>
                      <w:p>
                        <w:pPr>
                          <w:pStyle w:val="TableParagraph"/>
                          <w:spacing w:before="7"/>
                          <w:rPr>
                            <w:b/>
                            <w:sz w:val="23"/>
                          </w:rPr>
                        </w:pPr>
                      </w:p>
                      <w:p>
                        <w:pPr>
                          <w:pStyle w:val="TableParagraph"/>
                          <w:ind w:left="163" w:right="163" w:firstLine="1"/>
                          <w:jc w:val="center"/>
                          <w:rPr>
                            <w:b/>
                            <w:sz w:val="24"/>
                          </w:rPr>
                        </w:pPr>
                        <w:r>
                          <w:rPr>
                            <w:b/>
                            <w:sz w:val="24"/>
                          </w:rPr>
                          <w:t>PROJECT LEVEL MINOR PROJECTS</w:t>
                        </w:r>
                      </w:p>
                    </w:tc>
                    <w:tc>
                      <w:tcPr>
                        <w:tcW w:w="2520" w:type="dxa"/>
                      </w:tcPr>
                      <w:p>
                        <w:pPr>
                          <w:pStyle w:val="TableParagraph"/>
                          <w:spacing w:before="7"/>
                          <w:rPr>
                            <w:b/>
                            <w:sz w:val="23"/>
                          </w:rPr>
                        </w:pPr>
                      </w:p>
                      <w:p>
                        <w:pPr>
                          <w:pStyle w:val="TableParagraph"/>
                          <w:ind w:left="403" w:right="400" w:hanging="4"/>
                          <w:jc w:val="center"/>
                          <w:rPr>
                            <w:b/>
                            <w:sz w:val="24"/>
                          </w:rPr>
                        </w:pPr>
                        <w:r>
                          <w:rPr>
                            <w:b/>
                            <w:sz w:val="24"/>
                          </w:rPr>
                          <w:t>PROJECT LEVEL MAJOR PROJECTS</w:t>
                        </w:r>
                      </w:p>
                    </w:tc>
                  </w:tr>
                  <w:tr>
                    <w:trPr>
                      <w:trHeight w:val="2494" w:hRule="exact"/>
                    </w:trPr>
                    <w:tc>
                      <w:tcPr>
                        <w:tcW w:w="3168" w:type="dxa"/>
                      </w:tcPr>
                      <w:p>
                        <w:pPr>
                          <w:pStyle w:val="TableParagraph"/>
                          <w:spacing w:line="276" w:lineRule="exact"/>
                          <w:ind w:left="283" w:right="461" w:hanging="180"/>
                          <w:rPr>
                            <w:sz w:val="16"/>
                          </w:rPr>
                        </w:pPr>
                        <w:r>
                          <w:rPr>
                            <w:b/>
                            <w:sz w:val="24"/>
                          </w:rPr>
                          <w:t>Construction projects: </w:t>
                        </w:r>
                        <w:r>
                          <w:rPr>
                            <w:sz w:val="24"/>
                          </w:rPr>
                          <w:t>New construction, </w:t>
                        </w:r>
                        <w:r>
                          <w:rPr>
                            <w:strike/>
                            <w:color w:val="2E97D3"/>
                            <w:sz w:val="24"/>
                          </w:rPr>
                          <w:t>alteration </w:t>
                        </w:r>
                        <w:r>
                          <w:rPr>
                            <w:strike/>
                            <w:color w:val="2E97D3"/>
                            <w:position w:val="8"/>
                            <w:sz w:val="16"/>
                          </w:rPr>
                          <w:t>2/</w:t>
                        </w:r>
                      </w:p>
                      <w:p>
                        <w:pPr>
                          <w:pStyle w:val="TableParagraph"/>
                          <w:ind w:left="283" w:right="293"/>
                          <w:rPr>
                            <w:sz w:val="24"/>
                          </w:rPr>
                        </w:pPr>
                        <w:r>
                          <w:rPr>
                            <w:strike/>
                            <w:color w:val="2E97D3"/>
                            <w:sz w:val="24"/>
                          </w:rPr>
                          <w:t>,extension</w:t>
                        </w:r>
                        <w:r>
                          <w:rPr>
                            <w:strike w:val="0"/>
                            <w:color w:val="2E97D3"/>
                            <w:sz w:val="24"/>
                          </w:rPr>
                          <w:t>alteration</w:t>
                        </w:r>
                        <w:r>
                          <w:rPr>
                            <w:strike w:val="0"/>
                            <w:color w:val="2E97D3"/>
                            <w:position w:val="8"/>
                            <w:sz w:val="16"/>
                          </w:rPr>
                          <w:t>2/</w:t>
                        </w:r>
                        <w:r>
                          <w:rPr>
                            <w:strike w:val="0"/>
                            <w:color w:val="2E97D3"/>
                            <w:sz w:val="24"/>
                          </w:rPr>
                          <w:t>, </w:t>
                        </w:r>
                        <w:r>
                          <w:rPr>
                            <w:strike w:val="0"/>
                            <w:sz w:val="24"/>
                          </w:rPr>
                          <w:t>or betterment of existing structure.</w:t>
                        </w:r>
                      </w:p>
                      <w:p>
                        <w:pPr>
                          <w:pStyle w:val="TableParagraph"/>
                          <w:spacing w:before="7"/>
                          <w:ind w:left="103" w:right="247" w:firstLine="67"/>
                          <w:rPr>
                            <w:i/>
                            <w:sz w:val="24"/>
                          </w:rPr>
                        </w:pPr>
                        <w:r>
                          <w:rPr>
                            <w:i/>
                            <w:sz w:val="24"/>
                          </w:rPr>
                          <w:t>(Construction projects </w:t>
                        </w:r>
                        <w:r>
                          <w:rPr>
                            <w:i/>
                            <w:sz w:val="24"/>
                          </w:rPr>
                          <w:t>include necessary Group I fixed equipment.)</w:t>
                        </w:r>
                      </w:p>
                    </w:tc>
                    <w:tc>
                      <w:tcPr>
                        <w:tcW w:w="2071" w:type="dxa"/>
                      </w:tcPr>
                      <w:p>
                        <w:pPr/>
                      </w:p>
                    </w:tc>
                    <w:tc>
                      <w:tcPr>
                        <w:tcW w:w="1980" w:type="dxa"/>
                      </w:tcPr>
                      <w:p>
                        <w:pPr>
                          <w:pStyle w:val="TableParagraph"/>
                          <w:spacing w:before="7"/>
                          <w:rPr>
                            <w:b/>
                            <w:sz w:val="23"/>
                          </w:rPr>
                        </w:pPr>
                      </w:p>
                      <w:p>
                        <w:pPr>
                          <w:pStyle w:val="TableParagraph"/>
                          <w:ind w:left="253" w:right="74"/>
                          <w:jc w:val="center"/>
                          <w:rPr>
                            <w:sz w:val="24"/>
                          </w:rPr>
                        </w:pPr>
                        <w:r>
                          <w:rPr>
                            <w:sz w:val="24"/>
                          </w:rPr>
                          <w:t>If $</w:t>
                        </w:r>
                        <w:r>
                          <w:rPr>
                            <w:strike/>
                            <w:color w:val="2E97D3"/>
                            <w:sz w:val="24"/>
                          </w:rPr>
                          <w:t>250</w:t>
                        </w:r>
                        <w:r>
                          <w:rPr>
                            <w:strike w:val="0"/>
                            <w:color w:val="2E97D3"/>
                            <w:sz w:val="24"/>
                            <w:u w:val="single" w:color="2E97D3"/>
                          </w:rPr>
                          <w:t>656</w:t>
                        </w:r>
                        <w:r>
                          <w:rPr>
                            <w:strike w:val="0"/>
                            <w:sz w:val="24"/>
                          </w:rPr>
                          <w:t>,000</w:t>
                        </w:r>
                      </w:p>
                      <w:p>
                        <w:pPr>
                          <w:pStyle w:val="TableParagraph"/>
                          <w:spacing w:line="276" w:lineRule="exact" w:before="4"/>
                          <w:ind w:left="400" w:right="150" w:hanging="71"/>
                          <w:jc w:val="center"/>
                          <w:rPr>
                            <w:sz w:val="16"/>
                          </w:rPr>
                        </w:pPr>
                        <w:r>
                          <w:rPr>
                            <w:sz w:val="24"/>
                          </w:rPr>
                          <w:t>or less and scheduled as minor projects in Budget Act</w:t>
                        </w:r>
                        <w:r>
                          <w:rPr>
                            <w:position w:val="8"/>
                            <w:sz w:val="16"/>
                          </w:rPr>
                          <w:t>3/</w:t>
                        </w:r>
                      </w:p>
                    </w:tc>
                    <w:tc>
                      <w:tcPr>
                        <w:tcW w:w="2520" w:type="dxa"/>
                      </w:tcPr>
                      <w:p>
                        <w:pPr>
                          <w:pStyle w:val="TableParagraph"/>
                          <w:spacing w:before="7"/>
                          <w:rPr>
                            <w:b/>
                            <w:sz w:val="23"/>
                          </w:rPr>
                        </w:pPr>
                      </w:p>
                      <w:p>
                        <w:pPr>
                          <w:pStyle w:val="TableParagraph"/>
                          <w:spacing w:line="274" w:lineRule="exact"/>
                          <w:ind w:left="748"/>
                          <w:rPr>
                            <w:sz w:val="24"/>
                          </w:rPr>
                        </w:pPr>
                        <w:r>
                          <w:rPr>
                            <w:sz w:val="24"/>
                          </w:rPr>
                          <w:t>In excess of</w:t>
                        </w:r>
                      </w:p>
                      <w:p>
                        <w:pPr>
                          <w:pStyle w:val="TableParagraph"/>
                          <w:spacing w:line="276" w:lineRule="exact"/>
                          <w:ind w:left="787"/>
                          <w:rPr>
                            <w:sz w:val="16"/>
                          </w:rPr>
                        </w:pPr>
                        <w:r>
                          <w:rPr>
                            <w:strike/>
                            <w:color w:val="2E97D3"/>
                            <w:sz w:val="24"/>
                          </w:rPr>
                          <w:t>$250,000 </w:t>
                        </w:r>
                        <w:r>
                          <w:rPr>
                            <w:strike/>
                            <w:color w:val="2E97D3"/>
                            <w:position w:val="8"/>
                            <w:sz w:val="16"/>
                          </w:rPr>
                          <w:t>3/</w:t>
                        </w:r>
                      </w:p>
                      <w:p>
                        <w:pPr>
                          <w:pStyle w:val="TableParagraph"/>
                          <w:spacing w:line="278" w:lineRule="exact"/>
                          <w:ind w:left="170"/>
                          <w:rPr>
                            <w:sz w:val="16"/>
                          </w:rPr>
                        </w:pPr>
                        <w:r>
                          <w:rPr>
                            <w:color w:val="2E97D3"/>
                            <w:sz w:val="24"/>
                          </w:rPr>
                          <w:t>$656,000</w:t>
                        </w:r>
                        <w:r>
                          <w:rPr>
                            <w:color w:val="2E97D3"/>
                            <w:position w:val="8"/>
                            <w:sz w:val="16"/>
                          </w:rPr>
                          <w:t>3/</w:t>
                        </w:r>
                      </w:p>
                    </w:tc>
                  </w:tr>
                  <w:tr>
                    <w:trPr>
                      <w:trHeight w:val="1692" w:hRule="exact"/>
                    </w:trPr>
                    <w:tc>
                      <w:tcPr>
                        <w:tcW w:w="3168" w:type="dxa"/>
                      </w:tcPr>
                      <w:p>
                        <w:pPr>
                          <w:pStyle w:val="TableParagraph"/>
                          <w:ind w:left="103" w:right="276"/>
                          <w:jc w:val="both"/>
                          <w:rPr>
                            <w:b/>
                            <w:sz w:val="24"/>
                          </w:rPr>
                        </w:pPr>
                        <w:r>
                          <w:rPr>
                            <w:b/>
                            <w:sz w:val="24"/>
                          </w:rPr>
                          <w:t>Repair and maintenance projects:</w:t>
                        </w:r>
                      </w:p>
                      <w:p>
                        <w:pPr>
                          <w:pStyle w:val="TableParagraph"/>
                          <w:spacing w:before="4"/>
                          <w:ind w:left="103" w:right="301"/>
                          <w:jc w:val="both"/>
                          <w:rPr>
                            <w:sz w:val="24"/>
                          </w:rPr>
                        </w:pPr>
                        <w:r>
                          <w:rPr>
                            <w:sz w:val="24"/>
                          </w:rPr>
                          <w:t>Repair and maintenance projects that continue the usability of a facility at its designed level of services</w:t>
                        </w:r>
                      </w:p>
                    </w:tc>
                    <w:tc>
                      <w:tcPr>
                        <w:tcW w:w="2071" w:type="dxa"/>
                      </w:tcPr>
                      <w:p>
                        <w:pPr>
                          <w:pStyle w:val="TableParagraph"/>
                          <w:spacing w:before="7"/>
                          <w:rPr>
                            <w:b/>
                            <w:sz w:val="23"/>
                          </w:rPr>
                        </w:pPr>
                      </w:p>
                      <w:p>
                        <w:pPr>
                          <w:pStyle w:val="TableParagraph"/>
                          <w:ind w:left="103" w:right="431"/>
                          <w:rPr>
                            <w:sz w:val="24"/>
                          </w:rPr>
                        </w:pPr>
                        <w:r>
                          <w:rPr>
                            <w:sz w:val="24"/>
                          </w:rPr>
                          <w:t>Irrespective of amount</w:t>
                        </w:r>
                      </w:p>
                    </w:tc>
                    <w:tc>
                      <w:tcPr>
                        <w:tcW w:w="1980" w:type="dxa"/>
                      </w:tcPr>
                      <w:p>
                        <w:pPr/>
                      </w:p>
                    </w:tc>
                    <w:tc>
                      <w:tcPr>
                        <w:tcW w:w="2520" w:type="dxa"/>
                      </w:tcPr>
                      <w:p>
                        <w:pPr/>
                      </w:p>
                    </w:tc>
                  </w:tr>
                </w:tbl>
                <w:p>
                  <w:pPr>
                    <w:pStyle w:val="BodyText"/>
                  </w:pPr>
                </w:p>
              </w:txbxContent>
            </v:textbox>
            <w10:wrap type="topAndBottom"/>
          </v:shape>
        </w:pict>
      </w:r>
    </w:p>
    <w:p>
      <w:pPr>
        <w:spacing w:after="0"/>
        <w:rPr>
          <w:sz w:val="20"/>
        </w:rPr>
        <w:sectPr>
          <w:pgSz w:w="12240" w:h="15840"/>
          <w:pgMar w:header="728" w:footer="803" w:top="980" w:bottom="1000" w:left="620" w:right="940"/>
        </w:sectPr>
      </w:pPr>
    </w:p>
    <w:p>
      <w:pPr>
        <w:pStyle w:val="BodyText"/>
        <w:rPr>
          <w:rFonts w:ascii="Times New Roman"/>
          <w:sz w:val="20"/>
        </w:rPr>
      </w:pPr>
      <w:r>
        <w:rPr/>
        <w:pict>
          <v:line style="position:absolute;mso-position-horizontal-relative:page;mso-position-vertical-relative:page;z-index:-452296" from="36.360001pt,100.080002pt" to="36.360001pt,142.320002pt" stroked="true" strokeweight=".72pt" strokecolor="#000000">
            <v:stroke dashstyle="solid"/>
            <w10:wrap type="none"/>
          </v:line>
        </w:pict>
      </w:r>
      <w:r>
        <w:rPr/>
        <w:pict>
          <v:line style="position:absolute;mso-position-horizontal-relative:page;mso-position-vertical-relative:page;z-index:-452272" from="36.360001pt,239.759995pt" to="36.360001pt,365.399995pt" stroked="true" strokeweight=".72pt" strokecolor="#000000">
            <v:stroke dashstyle="solid"/>
            <w10:wrap type="none"/>
          </v:line>
        </w:pict>
      </w:r>
      <w:r>
        <w:rPr/>
        <w:pict>
          <v:line style="position:absolute;mso-position-horizontal-relative:page;mso-position-vertical-relative:page;z-index:20416" from="36.360001pt,410.040009pt" to="36.360001pt,435.960009pt" stroked="true" strokeweight=".72pt" strokecolor="#000000">
            <v:stroke dashstyle="solid"/>
            <w10:wrap type="none"/>
          </v:line>
        </w:pict>
      </w:r>
    </w:p>
    <w:p>
      <w:pPr>
        <w:pStyle w:val="BodyText"/>
        <w:spacing w:before="11"/>
        <w:rPr>
          <w:rFonts w:ascii="Times New Roman"/>
          <w:sz w:val="18"/>
        </w:rPr>
      </w:pPr>
    </w:p>
    <w:p>
      <w:pPr>
        <w:tabs>
          <w:tab w:pos="820" w:val="left" w:leader="none"/>
        </w:tabs>
        <w:spacing w:line="240" w:lineRule="auto"/>
        <w:ind w:left="99" w:right="0" w:firstLine="0"/>
        <w:rPr>
          <w:rFonts w:ascii="Times New Roman"/>
          <w:sz w:val="20"/>
        </w:rPr>
      </w:pPr>
      <w:r>
        <w:rPr>
          <w:rFonts w:ascii="Times New Roman"/>
          <w:position w:val="501"/>
          <w:sz w:val="20"/>
        </w:rPr>
        <w:pict>
          <v:group style="width:.75pt;height:14.6pt;mso-position-horizontal-relative:char;mso-position-vertical-relative:line" coordorigin="0,0" coordsize="15,292">
            <v:line style="position:absolute" from="8,8" to="8,284" stroked="true" strokeweight=".72pt" strokecolor="#000000">
              <v:stroke dashstyle="solid"/>
            </v:line>
          </v:group>
        </w:pict>
      </w:r>
      <w:r>
        <w:rPr>
          <w:rFonts w:ascii="Times New Roman"/>
          <w:position w:val="501"/>
          <w:sz w:val="20"/>
        </w:rPr>
      </w:r>
      <w:r>
        <w:rPr>
          <w:rFonts w:ascii="Times New Roman"/>
          <w:position w:val="501"/>
          <w:sz w:val="20"/>
        </w:rPr>
        <w:tab/>
      </w:r>
      <w:r>
        <w:rPr>
          <w:rFonts w:ascii="Times New Roman"/>
          <w:sz w:val="20"/>
        </w:rPr>
        <w:pict>
          <v:shape style="width:487.7pt;height:265.350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8"/>
                    <w:gridCol w:w="2071"/>
                    <w:gridCol w:w="1980"/>
                    <w:gridCol w:w="2520"/>
                  </w:tblGrid>
                  <w:tr>
                    <w:trPr>
                      <w:trHeight w:val="3631" w:hRule="exact"/>
                    </w:trPr>
                    <w:tc>
                      <w:tcPr>
                        <w:tcW w:w="3168" w:type="dxa"/>
                      </w:tcPr>
                      <w:p>
                        <w:pPr>
                          <w:pStyle w:val="TableParagraph"/>
                          <w:ind w:left="103" w:right="662"/>
                          <w:rPr>
                            <w:i/>
                            <w:sz w:val="24"/>
                          </w:rPr>
                        </w:pPr>
                        <w:r>
                          <w:rPr>
                            <w:b/>
                            <w:sz w:val="24"/>
                          </w:rPr>
                          <w:t>Equipment (Group II, movable) projects </w:t>
                        </w:r>
                        <w:r>
                          <w:rPr>
                            <w:i/>
                            <w:sz w:val="24"/>
                          </w:rPr>
                          <w:t>(Section 6855):</w:t>
                        </w:r>
                      </w:p>
                      <w:p>
                        <w:pPr>
                          <w:pStyle w:val="TableParagraph"/>
                          <w:spacing w:before="7"/>
                          <w:ind w:left="463" w:right="293" w:hanging="360"/>
                          <w:rPr>
                            <w:sz w:val="24"/>
                          </w:rPr>
                        </w:pPr>
                        <w:r>
                          <w:rPr>
                            <w:rFonts w:ascii="Symbol" w:hAnsi="Symbol"/>
                            <w:strike/>
                            <w:color w:val="2E97D3"/>
                            <w:sz w:val="24"/>
                          </w:rPr>
                          <w:t></w:t>
                        </w:r>
                        <w:r>
                          <w:rPr>
                            <w:strike w:val="0"/>
                            <w:color w:val="2E97D3"/>
                            <w:sz w:val="24"/>
                            <w:u w:val="single" w:color="2E97D3"/>
                          </w:rPr>
                          <w:t>1. </w:t>
                        </w:r>
                        <w:r>
                          <w:rPr>
                            <w:strike w:val="0"/>
                            <w:sz w:val="24"/>
                          </w:rPr>
                          <w:t>If related to a specific construction project.</w:t>
                        </w:r>
                      </w:p>
                      <w:p>
                        <w:pPr>
                          <w:pStyle w:val="TableParagraph"/>
                          <w:ind w:left="463" w:right="87" w:hanging="360"/>
                          <w:rPr>
                            <w:sz w:val="24"/>
                          </w:rPr>
                        </w:pPr>
                        <w:r>
                          <w:rPr>
                            <w:rFonts w:ascii="Symbol" w:hAnsi="Symbol"/>
                            <w:strike/>
                            <w:color w:val="2E97D3"/>
                            <w:sz w:val="24"/>
                          </w:rPr>
                          <w:t></w:t>
                        </w:r>
                        <w:r>
                          <w:rPr>
                            <w:strike w:val="0"/>
                            <w:color w:val="2E97D3"/>
                            <w:sz w:val="24"/>
                            <w:u w:val="single" w:color="2E97D3"/>
                          </w:rPr>
                          <w:t>2. </w:t>
                        </w:r>
                        <w:r>
                          <w:rPr>
                            <w:strike w:val="0"/>
                            <w:sz w:val="24"/>
                          </w:rPr>
                          <w:t>New equipment to meet program needs and not related to a construction project; replacement of existing equipment even though the new equipment is to be used in a new facility.</w:t>
                        </w:r>
                      </w:p>
                    </w:tc>
                    <w:tc>
                      <w:tcPr>
                        <w:tcW w:w="2071" w:type="dxa"/>
                      </w:tcPr>
                      <w:p>
                        <w:pPr>
                          <w:pStyle w:val="TableParagraph"/>
                          <w:ind w:left="103" w:right="431"/>
                          <w:rPr>
                            <w:sz w:val="24"/>
                          </w:rPr>
                        </w:pPr>
                        <w:r>
                          <w:rPr>
                            <w:sz w:val="24"/>
                          </w:rPr>
                          <w:t>Irrespective of amount</w:t>
                        </w:r>
                      </w:p>
                    </w:tc>
                    <w:tc>
                      <w:tcPr>
                        <w:tcW w:w="1980" w:type="dxa"/>
                      </w:tcPr>
                      <w:p>
                        <w:pPr/>
                      </w:p>
                    </w:tc>
                    <w:tc>
                      <w:tcPr>
                        <w:tcW w:w="2520" w:type="dxa"/>
                      </w:tcPr>
                      <w:p>
                        <w:pPr>
                          <w:pStyle w:val="TableParagraph"/>
                          <w:spacing w:before="7"/>
                          <w:rPr>
                            <w:rFonts w:ascii="Times New Roman"/>
                            <w:sz w:val="23"/>
                          </w:rPr>
                        </w:pPr>
                      </w:p>
                      <w:p>
                        <w:pPr>
                          <w:pStyle w:val="TableParagraph"/>
                          <w:ind w:left="103" w:right="519"/>
                          <w:rPr>
                            <w:sz w:val="24"/>
                          </w:rPr>
                        </w:pPr>
                        <w:r>
                          <w:rPr>
                            <w:sz w:val="24"/>
                          </w:rPr>
                          <w:t>Irrespective of amount or time of purchase</w:t>
                        </w:r>
                      </w:p>
                    </w:tc>
                  </w:tr>
                  <w:tr>
                    <w:trPr>
                      <w:trHeight w:val="1666" w:hRule="exact"/>
                    </w:trPr>
                    <w:tc>
                      <w:tcPr>
                        <w:tcW w:w="3168" w:type="dxa"/>
                      </w:tcPr>
                      <w:p>
                        <w:pPr>
                          <w:pStyle w:val="TableParagraph"/>
                          <w:ind w:left="103" w:right="90"/>
                          <w:rPr>
                            <w:sz w:val="24"/>
                          </w:rPr>
                        </w:pPr>
                        <w:r>
                          <w:rPr>
                            <w:b/>
                            <w:color w:val="2E97D3"/>
                            <w:sz w:val="24"/>
                            <w:u w:val="thick" w:color="2E97D3"/>
                          </w:rPr>
                          <w:t>Purchase of land and/or facility/structure: </w:t>
                        </w:r>
                        <w:r>
                          <w:rPr>
                            <w:color w:val="2E97D3"/>
                            <w:sz w:val="24"/>
                            <w:u w:val="single" w:color="2E97D3"/>
                          </w:rPr>
                          <w:t>Including related costs such as condemnation and court costs, legal fees, and title reports</w:t>
                        </w:r>
                        <w:r>
                          <w:rPr>
                            <w:color w:val="2E97D3"/>
                            <w:spacing w:val="-4"/>
                            <w:sz w:val="24"/>
                            <w:u w:val="single" w:color="2E97D3"/>
                          </w:rPr>
                          <w:t> </w:t>
                        </w:r>
                        <w:r>
                          <w:rPr>
                            <w:color w:val="2E97D3"/>
                            <w:sz w:val="24"/>
                            <w:u w:val="single" w:color="2E97D3"/>
                          </w:rPr>
                          <w:t>etc.</w:t>
                        </w:r>
                      </w:p>
                    </w:tc>
                    <w:tc>
                      <w:tcPr>
                        <w:tcW w:w="2071" w:type="dxa"/>
                      </w:tcPr>
                      <w:p>
                        <w:pPr/>
                      </w:p>
                    </w:tc>
                    <w:tc>
                      <w:tcPr>
                        <w:tcW w:w="1980" w:type="dxa"/>
                      </w:tcPr>
                      <w:p>
                        <w:pPr/>
                      </w:p>
                    </w:tc>
                    <w:tc>
                      <w:tcPr>
                        <w:tcW w:w="2520" w:type="dxa"/>
                      </w:tcPr>
                      <w:p>
                        <w:pPr>
                          <w:pStyle w:val="TableParagraph"/>
                          <w:spacing w:line="247" w:lineRule="exact"/>
                          <w:ind w:left="103"/>
                          <w:rPr>
                            <w:rFonts w:ascii="Times New Roman"/>
                            <w:sz w:val="22"/>
                          </w:rPr>
                        </w:pPr>
                        <w:r>
                          <w:rPr>
                            <w:rFonts w:ascii="Times New Roman"/>
                            <w:color w:val="2E97D3"/>
                            <w:sz w:val="22"/>
                            <w:u w:val="single" w:color="2E97D3"/>
                          </w:rPr>
                          <w:t>Irrespective of amount</w:t>
                        </w:r>
                      </w:p>
                    </w:tc>
                  </w:tr>
                </w:tbl>
                <w:p>
                  <w:pPr>
                    <w:pStyle w:val="BodyText"/>
                  </w:pPr>
                </w:p>
              </w:txbxContent>
            </v:textbox>
          </v:shape>
        </w:pict>
      </w:r>
      <w:r>
        <w:rPr>
          <w:rFonts w:ascii="Times New Roman"/>
          <w:sz w:val="20"/>
        </w:rPr>
      </w:r>
    </w:p>
    <w:p>
      <w:pPr>
        <w:pStyle w:val="BodyText"/>
        <w:spacing w:before="5"/>
        <w:rPr>
          <w:rFonts w:ascii="Times New Roman"/>
          <w:sz w:val="18"/>
        </w:rPr>
      </w:pPr>
      <w:r>
        <w:rPr/>
        <w:pict>
          <v:shape style="position:absolute;margin-left:72.239998pt;margin-top:12.8295pt;width:487pt;height:58.45pt;mso-position-horizontal-relative:page;mso-position-vertical-relative:paragraph;z-index:20344;mso-wrap-distance-left:0;mso-wrap-distance-right:0" type="#_x0000_t202" filled="false" stroked="true" strokeweight=".48pt" strokecolor="#000000">
            <v:textbox inset="0,0,0,0">
              <w:txbxContent>
                <w:p>
                  <w:pPr>
                    <w:pStyle w:val="BodyText"/>
                    <w:spacing w:line="272" w:lineRule="exact"/>
                    <w:ind w:left="103"/>
                  </w:pPr>
                  <w:r>
                    <w:rPr>
                      <w:strike/>
                      <w:color w:val="2C6234"/>
                    </w:rPr>
                    <w:t>(Continued)</w:t>
                  </w:r>
                </w:p>
              </w:txbxContent>
            </v:textbox>
            <v:stroke dashstyle="solid"/>
            <w10:wrap type="topAndBottom"/>
          </v:shape>
        </w:pict>
      </w:r>
    </w:p>
    <w:p>
      <w:pPr>
        <w:spacing w:after="0"/>
        <w:rPr>
          <w:rFonts w:ascii="Times New Roman"/>
          <w:sz w:val="18"/>
        </w:rPr>
        <w:sectPr>
          <w:pgSz w:w="12240" w:h="15840"/>
          <w:pgMar w:header="728" w:footer="803" w:top="980" w:bottom="1000" w:left="620" w:right="940"/>
        </w:sectPr>
      </w:pPr>
    </w:p>
    <w:p>
      <w:pPr>
        <w:pStyle w:val="BodyText"/>
        <w:rPr>
          <w:rFonts w:ascii="Times New Roman"/>
          <w:sz w:val="20"/>
        </w:rPr>
      </w:pPr>
      <w:r>
        <w:rPr/>
        <w:pict>
          <v:line style="position:absolute;mso-position-horizontal-relative:page;mso-position-vertical-relative:page;z-index:-452152" from="107.040001pt,633.179993pt" to="110.041001pt,633.179993pt" stroked="true" strokeweight=".6pt" strokecolor="#2e97d3">
            <v:stroke dashstyle="solid"/>
            <w10:wrap type="none"/>
          </v:line>
        </w:pict>
      </w:r>
      <w:r>
        <w:rPr/>
        <w:pict>
          <v:line style="position:absolute;mso-position-horizontal-relative:page;mso-position-vertical-relative:page;z-index:-452128" from="189.600006pt,659.7005pt" to="192.600006pt,659.7005pt" stroked="true" strokeweight=".599pt" strokecolor="#2e97d3">
            <v:stroke dashstyle="solid"/>
            <w10:wrap type="none"/>
          </v:line>
        </w:pict>
      </w:r>
      <w:r>
        <w:rPr/>
        <w:pict>
          <v:line style="position:absolute;mso-position-horizontal-relative:page;mso-position-vertical-relative:page;z-index:-452104" from="489pt,645.900024pt" to="492.001pt,645.900024pt" stroked="true" strokeweight=".6pt" strokecolor="#2e97d3">
            <v:stroke dashstyle="solid"/>
            <w10:wrap type="none"/>
          </v:line>
        </w:pict>
      </w:r>
      <w:r>
        <w:rPr/>
        <w:pict>
          <v:line style="position:absolute;mso-position-horizontal-relative:page;mso-position-vertical-relative:page;z-index:20632" from="36.360001pt,312.959015pt" to="36.360001pt,588.120015pt" stroked="true" strokeweight=".72pt" strokecolor="#000000">
            <v:stroke dashstyle="solid"/>
            <w10:wrap type="none"/>
          </v:line>
        </w:pict>
      </w:r>
      <w:r>
        <w:rPr/>
        <w:pict>
          <v:line style="position:absolute;mso-position-horizontal-relative:page;mso-position-vertical-relative:page;z-index:20656" from="36.360001pt,626.039978pt" to="36.360001pt,678.479978pt" stroked="true" strokeweight=".72pt" strokecolor="#000000">
            <v:stroke dashstyle="solid"/>
            <w10:wrap type="none"/>
          </v:line>
        </w:pict>
      </w:r>
      <w:r>
        <w:rPr/>
        <w:pict>
          <v:line style="position:absolute;mso-position-horizontal-relative:page;mso-position-vertical-relative:page;z-index:20680" from="36.360001pt,689.280029pt" to="36.360001pt,702.000029pt" stroked="true" strokeweight=".72pt" strokecolor="#000000">
            <v:stroke dashstyle="solid"/>
            <w10:wrap type="none"/>
          </v:line>
        </w:pict>
      </w:r>
      <w:r>
        <w:rPr/>
        <w:pict>
          <v:line style="position:absolute;mso-position-horizontal-relative:page;mso-position-vertical-relative:page;z-index:20704" from="36.360001pt,715.799988pt" to="36.360001pt,728.399988pt" stroked="true" strokeweight=".72pt" strokecolor="#000000">
            <v:stroke dashstyle="solid"/>
            <w10:wrap type="none"/>
          </v:line>
        </w:pict>
      </w:r>
    </w:p>
    <w:p>
      <w:pPr>
        <w:pStyle w:val="BodyText"/>
        <w:spacing w:before="214"/>
        <w:ind w:left="820"/>
      </w:pPr>
      <w:r>
        <w:rPr/>
        <w:pict>
          <v:line style="position:absolute;mso-position-horizontal-relative:page;mso-position-vertical-relative:paragraph;z-index:20584" from="36.360001pt,10.915881pt" to="36.360001pt,176.635881pt" stroked="true" strokeweight=".72pt" strokecolor="#000000">
            <v:stroke dashstyle="solid"/>
            <w10:wrap type="none"/>
          </v:line>
        </w:pict>
      </w:r>
      <w:r>
        <w:rPr>
          <w:strike/>
          <w:color w:val="2C6234"/>
        </w:rPr>
        <w:t>(Continued)</w:t>
      </w:r>
    </w:p>
    <w:p>
      <w:pPr>
        <w:pStyle w:val="Heading2"/>
        <w:ind w:left="820"/>
      </w:pPr>
      <w:r>
        <w:rPr>
          <w:strike/>
          <w:color w:val="2E97D3"/>
        </w:rPr>
        <w:t>CAPITAL OUTLAY VERSUS STATE OPERATIONS AND</w:t>
      </w:r>
    </w:p>
    <w:p>
      <w:pPr>
        <w:tabs>
          <w:tab w:pos="8595" w:val="left" w:leader="none"/>
        </w:tabs>
        <w:spacing w:before="0"/>
        <w:ind w:left="820" w:right="0" w:firstLine="0"/>
        <w:jc w:val="left"/>
        <w:rPr>
          <w:sz w:val="24"/>
        </w:rPr>
      </w:pPr>
      <w:r>
        <w:rPr/>
        <w:pict>
          <v:line style="position:absolute;mso-position-horizontal-relative:page;mso-position-vertical-relative:paragraph;z-index:-452176" from="72pt,8.436345pt" to="537.36pt,8.436345pt" stroked="true" strokeweight=".599pt" strokecolor="#2e97d3">
            <v:stroke dashstyle="solid"/>
            <w10:wrap type="none"/>
          </v:line>
        </w:pict>
      </w:r>
      <w:r>
        <w:rPr>
          <w:b/>
          <w:color w:val="2E97D3"/>
          <w:sz w:val="24"/>
        </w:rPr>
        <w:t>LOCAL</w:t>
      </w:r>
      <w:r>
        <w:rPr>
          <w:b/>
          <w:color w:val="2E97D3"/>
          <w:spacing w:val="-1"/>
          <w:sz w:val="24"/>
        </w:rPr>
        <w:t> </w:t>
      </w:r>
      <w:r>
        <w:rPr>
          <w:b/>
          <w:color w:val="2E97D3"/>
          <w:sz w:val="24"/>
        </w:rPr>
        <w:t>ASSISTANCE</w:t>
        <w:tab/>
        <w:t>6806 </w:t>
      </w:r>
      <w:r>
        <w:rPr>
          <w:color w:val="2E97D3"/>
          <w:sz w:val="24"/>
        </w:rPr>
        <w:t>(Cont.</w:t>
      </w:r>
      <w:r>
        <w:rPr>
          <w:color w:val="2E97D3"/>
          <w:spacing w:val="-7"/>
          <w:sz w:val="24"/>
        </w:rPr>
        <w:t> </w:t>
      </w:r>
      <w:r>
        <w:rPr>
          <w:color w:val="2E97D3"/>
          <w:sz w:val="24"/>
        </w:rPr>
        <w:t>5)</w:t>
      </w:r>
    </w:p>
    <w:p>
      <w:pPr>
        <w:pStyle w:val="BodyText"/>
        <w:ind w:left="820"/>
      </w:pPr>
      <w:r>
        <w:rPr>
          <w:strike/>
          <w:color w:val="2E97D3"/>
        </w:rPr>
        <w:t>(Revised 09/2017)</w:t>
      </w:r>
    </w:p>
    <w:p>
      <w:pPr>
        <w:pStyle w:val="BodyText"/>
        <w:spacing w:before="4"/>
        <w:rPr>
          <w:sz w:val="26"/>
        </w:rPr>
      </w:pPr>
    </w:p>
    <w:p>
      <w:pPr>
        <w:pStyle w:val="Heading2"/>
        <w:spacing w:before="93"/>
        <w:ind w:left="3985" w:right="1308" w:hanging="1880"/>
      </w:pPr>
      <w:r>
        <w:rPr/>
        <w:pict>
          <v:line style="position:absolute;mso-position-horizontal-relative:page;mso-position-vertical-relative:paragraph;z-index:20608" from="36.360001pt,115.985878pt" to="36.360001pt,157.385878pt" stroked="true" strokeweight=".72pt" strokecolor="#000000">
            <v:stroke dashstyle="solid"/>
            <w10:wrap type="none"/>
          </v:line>
        </w:pict>
      </w:r>
      <w:bookmarkStart w:name="ILLUSTRATION DISTINCTION BETWEEN CAPITAL" w:id="67"/>
      <w:bookmarkEnd w:id="67"/>
      <w:r>
        <w:rPr>
          <w:b w:val="0"/>
        </w:rPr>
      </w:r>
      <w:r>
        <w:rPr>
          <w:strike/>
          <w:color w:val="2E97D3"/>
        </w:rPr>
        <w:t>ILLUSTRATION DISTINCTION BETWEEN CAPITAL OUTLAY AND STATE OPERATIONS</w:t>
      </w:r>
    </w:p>
    <w:p>
      <w:pPr>
        <w:pStyle w:val="BodyText"/>
        <w:spacing w:before="4"/>
        <w:rPr>
          <w:b/>
        </w:rPr>
      </w:pPr>
    </w:p>
    <w:tbl>
      <w:tblPr>
        <w:tblW w:w="0" w:type="auto"/>
        <w:jc w:val="left"/>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06"/>
        <w:gridCol w:w="1219"/>
        <w:gridCol w:w="4224"/>
        <w:gridCol w:w="1219"/>
        <w:gridCol w:w="1171"/>
      </w:tblGrid>
      <w:tr>
        <w:trPr>
          <w:trHeight w:val="2477" w:hRule="exact"/>
        </w:trPr>
        <w:tc>
          <w:tcPr>
            <w:tcW w:w="1906" w:type="dxa"/>
            <w:tcBorders>
              <w:right w:val="single" w:sz="4" w:space="0" w:color="000000"/>
            </w:tcBorders>
          </w:tcPr>
          <w:p>
            <w:pPr/>
          </w:p>
        </w:tc>
        <w:tc>
          <w:tcPr>
            <w:tcW w:w="5443" w:type="dxa"/>
            <w:gridSpan w:val="2"/>
            <w:tcBorders>
              <w:top w:val="nil"/>
              <w:left w:val="single" w:sz="4" w:space="0" w:color="000000"/>
            </w:tcBorders>
          </w:tcPr>
          <w:p>
            <w:pPr>
              <w:pStyle w:val="TableParagraph"/>
              <w:spacing w:before="3"/>
              <w:ind w:left="103"/>
              <w:rPr>
                <w:sz w:val="24"/>
              </w:rPr>
            </w:pPr>
            <w:r>
              <w:rPr>
                <w:color w:val="2C6234"/>
                <w:sz w:val="24"/>
                <w:u w:val="thick" w:color="2C6234"/>
              </w:rPr>
              <w:t>(Continued)</w:t>
            </w:r>
          </w:p>
          <w:p>
            <w:pPr>
              <w:pStyle w:val="TableParagraph"/>
              <w:ind w:left="103" w:right="1308"/>
              <w:rPr>
                <w:b/>
                <w:sz w:val="24"/>
              </w:rPr>
            </w:pPr>
            <w:r>
              <w:rPr>
                <w:b/>
                <w:color w:val="2E97D3"/>
                <w:sz w:val="24"/>
                <w:u w:val="thick" w:color="2E97D3"/>
              </w:rPr>
              <w:t>CAPITAL OUTLAY VERSUS </w:t>
            </w:r>
            <w:r>
              <w:rPr>
                <w:b/>
                <w:sz w:val="24"/>
              </w:rPr>
              <w:t>STATE OPERATIONS</w:t>
            </w:r>
          </w:p>
          <w:p>
            <w:pPr>
              <w:pStyle w:val="TableParagraph"/>
              <w:spacing w:before="9" w:after="1"/>
              <w:rPr>
                <w:b/>
                <w:sz w:val="21"/>
              </w:rPr>
            </w:pPr>
          </w:p>
          <w:p>
            <w:pPr>
              <w:pStyle w:val="TableParagraph"/>
              <w:spacing w:line="24" w:lineRule="exact"/>
              <w:ind w:left="91"/>
              <w:rPr>
                <w:sz w:val="2"/>
              </w:rPr>
            </w:pPr>
            <w:r>
              <w:rPr>
                <w:sz w:val="2"/>
              </w:rPr>
              <w:pict>
                <v:group style="width:262.6pt;height:1.2pt;mso-position-horizontal-relative:char;mso-position-vertical-relative:line" coordorigin="0,0" coordsize="5252,24">
                  <v:line style="position:absolute" from="12,12" to="5239,12" stroked="true" strokeweight="1.2pt" strokecolor="#2e97d3">
                    <v:stroke dashstyle="solid"/>
                  </v:line>
                </v:group>
              </w:pict>
            </w:r>
            <w:r>
              <w:rPr>
                <w:sz w:val="2"/>
              </w:rPr>
            </w:r>
          </w:p>
          <w:p>
            <w:pPr>
              <w:pStyle w:val="TableParagraph"/>
              <w:spacing w:before="10"/>
              <w:rPr>
                <w:b/>
                <w:sz w:val="21"/>
              </w:rPr>
            </w:pPr>
          </w:p>
          <w:p>
            <w:pPr>
              <w:pStyle w:val="TableParagraph"/>
              <w:spacing w:line="24" w:lineRule="exact"/>
              <w:ind w:left="91"/>
              <w:rPr>
                <w:sz w:val="2"/>
              </w:rPr>
            </w:pPr>
            <w:r>
              <w:rPr>
                <w:sz w:val="2"/>
              </w:rPr>
              <w:pict>
                <v:group style="width:262.6pt;height:1.2pt;mso-position-horizontal-relative:char;mso-position-vertical-relative:line" coordorigin="0,0" coordsize="5252,24">
                  <v:line style="position:absolute" from="12,12" to="5239,12" stroked="true" strokeweight="1.2pt" strokecolor="#2e97d3">
                    <v:stroke dashstyle="solid"/>
                  </v:line>
                </v:group>
              </w:pict>
            </w:r>
            <w:r>
              <w:rPr>
                <w:sz w:val="2"/>
              </w:rPr>
            </w:r>
          </w:p>
          <w:p>
            <w:pPr>
              <w:pStyle w:val="TableParagraph"/>
              <w:ind w:left="103"/>
              <w:rPr>
                <w:sz w:val="24"/>
              </w:rPr>
            </w:pPr>
            <w:r>
              <w:rPr>
                <w:b/>
                <w:color w:val="2E97D3"/>
                <w:sz w:val="24"/>
                <w:u w:val="single" w:color="2E97D3"/>
              </w:rPr>
              <w:t>6806 </w:t>
            </w:r>
            <w:r>
              <w:rPr>
                <w:color w:val="2E97D3"/>
                <w:sz w:val="24"/>
                <w:u w:val="single" w:color="2E97D3"/>
              </w:rPr>
              <w:t>(Cont. 5)</w:t>
            </w:r>
          </w:p>
          <w:p>
            <w:pPr>
              <w:pStyle w:val="TableParagraph"/>
              <w:ind w:left="103"/>
              <w:rPr>
                <w:b/>
                <w:sz w:val="24"/>
              </w:rPr>
            </w:pPr>
            <w:r>
              <w:rPr>
                <w:b/>
                <w:color w:val="2E97D3"/>
                <w:sz w:val="24"/>
                <w:u w:val="thick" w:color="2E97D3"/>
              </w:rPr>
              <w:t>AND LOCAL ASSISTANCE</w:t>
            </w:r>
          </w:p>
          <w:p>
            <w:pPr>
              <w:pStyle w:val="TableParagraph"/>
              <w:ind w:left="103"/>
              <w:rPr>
                <w:sz w:val="24"/>
              </w:rPr>
            </w:pPr>
            <w:r>
              <w:rPr>
                <w:color w:val="2E97D3"/>
                <w:sz w:val="24"/>
                <w:u w:val="single" w:color="2E97D3"/>
              </w:rPr>
              <w:t>(Revised 11/2017)</w:t>
            </w:r>
          </w:p>
        </w:tc>
        <w:tc>
          <w:tcPr>
            <w:tcW w:w="1219" w:type="dxa"/>
          </w:tcPr>
          <w:p>
            <w:pPr>
              <w:pStyle w:val="TableParagraph"/>
              <w:ind w:left="117" w:right="107" w:firstLine="13"/>
              <w:jc w:val="center"/>
              <w:rPr>
                <w:b/>
                <w:sz w:val="24"/>
              </w:rPr>
            </w:pPr>
            <w:r>
              <w:rPr>
                <w:b/>
                <w:strike/>
                <w:color w:val="2E97D3"/>
                <w:sz w:val="24"/>
              </w:rPr>
              <w:t>CAPITA L     </w:t>
            </w:r>
            <w:r>
              <w:rPr>
                <w:b/>
                <w:strike/>
                <w:color w:val="2E97D3"/>
                <w:spacing w:val="-2"/>
                <w:sz w:val="24"/>
              </w:rPr>
              <w:t>OUTLAY</w:t>
            </w:r>
          </w:p>
        </w:tc>
        <w:tc>
          <w:tcPr>
            <w:tcW w:w="1171" w:type="dxa"/>
          </w:tcPr>
          <w:p>
            <w:pPr/>
          </w:p>
        </w:tc>
      </w:tr>
      <w:tr>
        <w:trPr>
          <w:trHeight w:val="1670" w:hRule="exact"/>
        </w:trPr>
        <w:tc>
          <w:tcPr>
            <w:tcW w:w="1906" w:type="dxa"/>
          </w:tcPr>
          <w:p>
            <w:pPr>
              <w:pStyle w:val="TableParagraph"/>
              <w:spacing w:before="6"/>
              <w:rPr>
                <w:b/>
                <w:sz w:val="35"/>
              </w:rPr>
            </w:pPr>
          </w:p>
          <w:p>
            <w:pPr>
              <w:pStyle w:val="TableParagraph"/>
              <w:ind w:left="131" w:right="115"/>
              <w:jc w:val="center"/>
              <w:rPr>
                <w:b/>
                <w:sz w:val="24"/>
              </w:rPr>
            </w:pPr>
            <w:r>
              <w:rPr>
                <w:b/>
                <w:strike/>
                <w:color w:val="2E97D3"/>
                <w:sz w:val="24"/>
              </w:rPr>
              <w:t>DESCRIPTION OF</w:t>
            </w:r>
          </w:p>
          <w:p>
            <w:pPr>
              <w:pStyle w:val="TableParagraph"/>
              <w:spacing w:line="276" w:lineRule="exact"/>
              <w:ind w:left="130" w:right="115"/>
              <w:jc w:val="center"/>
              <w:rPr>
                <w:b/>
                <w:sz w:val="16"/>
              </w:rPr>
            </w:pPr>
            <w:r>
              <w:rPr>
                <w:b/>
                <w:strike/>
                <w:color w:val="2E97D3"/>
                <w:sz w:val="24"/>
              </w:rPr>
              <w:t>PROJECT </w:t>
            </w:r>
            <w:r>
              <w:rPr>
                <w:b/>
                <w:strike/>
                <w:color w:val="2E97D3"/>
                <w:position w:val="8"/>
                <w:sz w:val="16"/>
              </w:rPr>
              <w:t>1/</w:t>
            </w:r>
          </w:p>
        </w:tc>
        <w:tc>
          <w:tcPr>
            <w:tcW w:w="1219" w:type="dxa"/>
          </w:tcPr>
          <w:p>
            <w:pPr>
              <w:pStyle w:val="TableParagraph"/>
              <w:ind w:left="110" w:right="93"/>
              <w:jc w:val="center"/>
              <w:rPr>
                <w:b/>
                <w:sz w:val="24"/>
              </w:rPr>
            </w:pPr>
            <w:r>
              <w:rPr>
                <w:b/>
                <w:strike/>
                <w:color w:val="2E97D3"/>
                <w:sz w:val="24"/>
              </w:rPr>
              <w:t>OPERAT ING EXPENS ES AND EQUIPM ENT</w:t>
            </w:r>
          </w:p>
        </w:tc>
        <w:tc>
          <w:tcPr>
            <w:tcW w:w="4224" w:type="dxa"/>
          </w:tcPr>
          <w:p>
            <w:pPr>
              <w:pStyle w:val="TableParagraph"/>
              <w:rPr>
                <w:b/>
                <w:sz w:val="26"/>
              </w:rPr>
            </w:pPr>
          </w:p>
          <w:p>
            <w:pPr>
              <w:pStyle w:val="TableParagraph"/>
              <w:spacing w:before="7"/>
              <w:rPr>
                <w:b/>
                <w:sz w:val="21"/>
              </w:rPr>
            </w:pPr>
          </w:p>
          <w:p>
            <w:pPr>
              <w:pStyle w:val="TableParagraph"/>
              <w:ind w:left="1466" w:right="656" w:hanging="773"/>
              <w:rPr>
                <w:b/>
                <w:sz w:val="24"/>
              </w:rPr>
            </w:pPr>
            <w:r>
              <w:rPr>
                <w:b/>
                <w:strike/>
                <w:color w:val="2E97D3"/>
                <w:sz w:val="24"/>
              </w:rPr>
              <w:t>PROJECT LEVEL MINOR PROJECTS</w:t>
            </w:r>
          </w:p>
        </w:tc>
        <w:tc>
          <w:tcPr>
            <w:tcW w:w="2390" w:type="dxa"/>
            <w:gridSpan w:val="2"/>
          </w:tcPr>
          <w:p>
            <w:pPr>
              <w:pStyle w:val="TableParagraph"/>
              <w:spacing w:before="6"/>
              <w:rPr>
                <w:b/>
                <w:sz w:val="35"/>
              </w:rPr>
            </w:pPr>
          </w:p>
          <w:p>
            <w:pPr>
              <w:pStyle w:val="TableParagraph"/>
              <w:ind w:left="208" w:right="189"/>
              <w:jc w:val="center"/>
              <w:rPr>
                <w:b/>
                <w:sz w:val="24"/>
              </w:rPr>
            </w:pPr>
            <w:r>
              <w:rPr>
                <w:b/>
                <w:strike/>
                <w:color w:val="2E97D3"/>
                <w:sz w:val="24"/>
              </w:rPr>
              <w:t>PROJECT LEVEL MAJOR PROJECTS</w:t>
            </w:r>
          </w:p>
        </w:tc>
      </w:tr>
      <w:tr>
        <w:trPr>
          <w:trHeight w:val="3326" w:hRule="exact"/>
        </w:trPr>
        <w:tc>
          <w:tcPr>
            <w:tcW w:w="1906" w:type="dxa"/>
          </w:tcPr>
          <w:p>
            <w:pPr>
              <w:pStyle w:val="TableParagraph"/>
              <w:ind w:left="100" w:right="130"/>
              <w:rPr>
                <w:b/>
                <w:sz w:val="24"/>
              </w:rPr>
            </w:pPr>
            <w:r>
              <w:rPr>
                <w:b/>
                <w:strike/>
                <w:color w:val="2E97D3"/>
                <w:sz w:val="24"/>
              </w:rPr>
              <w:t>Purchase of land and/or facility/structu re:</w:t>
            </w:r>
          </w:p>
          <w:p>
            <w:pPr>
              <w:pStyle w:val="TableParagraph"/>
              <w:spacing w:before="4"/>
              <w:ind w:left="280" w:right="83"/>
              <w:rPr>
                <w:sz w:val="24"/>
              </w:rPr>
            </w:pPr>
            <w:r>
              <w:rPr>
                <w:strike/>
                <w:color w:val="2E97D3"/>
                <w:sz w:val="24"/>
              </w:rPr>
              <w:t>Including related costs such as condemnation and court costs, legal fees, and title reports etc.</w:t>
            </w:r>
          </w:p>
        </w:tc>
        <w:tc>
          <w:tcPr>
            <w:tcW w:w="1219" w:type="dxa"/>
          </w:tcPr>
          <w:p>
            <w:pPr/>
          </w:p>
        </w:tc>
        <w:tc>
          <w:tcPr>
            <w:tcW w:w="4224" w:type="dxa"/>
          </w:tcPr>
          <w:p>
            <w:pPr/>
          </w:p>
        </w:tc>
        <w:tc>
          <w:tcPr>
            <w:tcW w:w="2390" w:type="dxa"/>
            <w:gridSpan w:val="2"/>
          </w:tcPr>
          <w:p>
            <w:pPr>
              <w:pStyle w:val="TableParagraph"/>
              <w:rPr>
                <w:b/>
                <w:sz w:val="26"/>
              </w:rPr>
            </w:pPr>
          </w:p>
          <w:p>
            <w:pPr>
              <w:pStyle w:val="TableParagraph"/>
              <w:spacing w:before="7"/>
              <w:rPr>
                <w:b/>
                <w:sz w:val="21"/>
              </w:rPr>
            </w:pPr>
          </w:p>
          <w:p>
            <w:pPr>
              <w:pStyle w:val="TableParagraph"/>
              <w:ind w:left="100" w:right="748"/>
              <w:rPr>
                <w:sz w:val="24"/>
              </w:rPr>
            </w:pPr>
            <w:r>
              <w:rPr>
                <w:strike/>
                <w:color w:val="2E97D3"/>
                <w:sz w:val="24"/>
              </w:rPr>
              <w:t>Irrespective of amount</w:t>
            </w:r>
          </w:p>
        </w:tc>
      </w:tr>
      <w:tr>
        <w:trPr>
          <w:trHeight w:val="3372" w:hRule="exact"/>
        </w:trPr>
        <w:tc>
          <w:tcPr>
            <w:tcW w:w="1906" w:type="dxa"/>
            <w:tcBorders>
              <w:left w:val="single" w:sz="4" w:space="0" w:color="000000"/>
              <w:bottom w:val="single" w:sz="4" w:space="0" w:color="000000"/>
              <w:right w:val="single" w:sz="4" w:space="0" w:color="000000"/>
            </w:tcBorders>
          </w:tcPr>
          <w:p>
            <w:pPr>
              <w:pStyle w:val="TableParagraph"/>
              <w:ind w:left="103" w:right="104"/>
              <w:rPr>
                <w:rFonts w:ascii="Times New Roman"/>
                <w:i/>
                <w:sz w:val="22"/>
              </w:rPr>
            </w:pPr>
            <w:r>
              <w:rPr>
                <w:rFonts w:ascii="Times New Roman"/>
                <w:b/>
                <w:sz w:val="22"/>
              </w:rPr>
              <w:t>Capitalized leases of real property</w:t>
            </w:r>
            <w:r>
              <w:rPr>
                <w:rFonts w:ascii="Times New Roman"/>
                <w:sz w:val="22"/>
              </w:rPr>
              <w:t>: All leases which build equity as payments are made. </w:t>
            </w:r>
            <w:r>
              <w:rPr>
                <w:rFonts w:ascii="Times New Roman"/>
                <w:i/>
                <w:sz w:val="22"/>
              </w:rPr>
              <w:t>(Section </w:t>
            </w:r>
            <w:r>
              <w:rPr>
                <w:rFonts w:ascii="Times New Roman"/>
                <w:i/>
                <w:sz w:val="22"/>
              </w:rPr>
              <w:t>6818):</w:t>
            </w:r>
          </w:p>
          <w:p>
            <w:pPr>
              <w:pStyle w:val="TableParagraph"/>
              <w:spacing w:line="290" w:lineRule="exact" w:before="1"/>
              <w:ind w:left="103"/>
              <w:rPr>
                <w:rFonts w:ascii="Times New Roman" w:hAnsi="Times New Roman"/>
                <w:sz w:val="22"/>
              </w:rPr>
            </w:pPr>
            <w:r>
              <w:rPr>
                <w:rFonts w:ascii="Symbol" w:hAnsi="Symbol"/>
                <w:strike/>
                <w:color w:val="2E97D3"/>
                <w:sz w:val="24"/>
              </w:rPr>
              <w:t></w:t>
            </w:r>
            <w:r>
              <w:rPr>
                <w:strike w:val="0"/>
                <w:color w:val="2E97D3"/>
                <w:sz w:val="24"/>
                <w:u w:val="single" w:color="2E97D3"/>
              </w:rPr>
              <w:t>1. </w:t>
            </w:r>
            <w:r>
              <w:rPr>
                <w:rFonts w:ascii="Times New Roman" w:hAnsi="Times New Roman"/>
                <w:strike w:val="0"/>
                <w:sz w:val="22"/>
              </w:rPr>
              <w:t>Lease-</w:t>
            </w:r>
          </w:p>
          <w:p>
            <w:pPr>
              <w:pStyle w:val="TableParagraph"/>
              <w:spacing w:line="250" w:lineRule="exact"/>
              <w:ind w:left="463"/>
              <w:rPr>
                <w:rFonts w:ascii="Times New Roman"/>
                <w:sz w:val="22"/>
              </w:rPr>
            </w:pPr>
            <w:r>
              <w:rPr>
                <w:rFonts w:ascii="Times New Roman"/>
                <w:sz w:val="22"/>
              </w:rPr>
              <w:t>purchase</w:t>
            </w:r>
          </w:p>
          <w:p>
            <w:pPr>
              <w:pStyle w:val="TableParagraph"/>
              <w:spacing w:line="237" w:lineRule="auto" w:before="4"/>
              <w:ind w:left="463" w:right="258" w:hanging="360"/>
              <w:rPr>
                <w:rFonts w:ascii="Times New Roman" w:hAnsi="Times New Roman"/>
                <w:sz w:val="22"/>
              </w:rPr>
            </w:pPr>
            <w:r>
              <w:rPr>
                <w:rFonts w:ascii="Symbol" w:hAnsi="Symbol"/>
                <w:strike/>
                <w:color w:val="2E97D3"/>
                <w:sz w:val="24"/>
              </w:rPr>
              <w:t></w:t>
            </w:r>
            <w:r>
              <w:rPr>
                <w:strike w:val="0"/>
                <w:color w:val="2E97D3"/>
                <w:sz w:val="24"/>
                <w:u w:val="single" w:color="2E97D3"/>
              </w:rPr>
              <w:t>2. </w:t>
            </w:r>
            <w:r>
              <w:rPr>
                <w:rFonts w:ascii="Times New Roman" w:hAnsi="Times New Roman"/>
                <w:strike w:val="0"/>
                <w:sz w:val="22"/>
              </w:rPr>
              <w:t>A lease with purchase option agreement or</w:t>
            </w:r>
          </w:p>
        </w:tc>
        <w:tc>
          <w:tcPr>
            <w:tcW w:w="1219" w:type="dxa"/>
            <w:tcBorders>
              <w:left w:val="single" w:sz="4" w:space="0" w:color="000000"/>
              <w:bottom w:val="single" w:sz="4" w:space="0" w:color="000000"/>
              <w:right w:val="single" w:sz="4" w:space="0" w:color="000000"/>
            </w:tcBorders>
          </w:tcPr>
          <w:p>
            <w:pPr>
              <w:pStyle w:val="TableParagraph"/>
              <w:spacing w:before="5"/>
              <w:rPr>
                <w:b/>
                <w:sz w:val="23"/>
              </w:rPr>
            </w:pPr>
          </w:p>
          <w:p>
            <w:pPr>
              <w:pStyle w:val="TableParagraph"/>
              <w:ind w:left="103" w:right="129"/>
              <w:rPr>
                <w:rFonts w:ascii="Times New Roman"/>
                <w:sz w:val="22"/>
              </w:rPr>
            </w:pPr>
            <w:r>
              <w:rPr>
                <w:rFonts w:ascii="Times New Roman"/>
                <w:sz w:val="22"/>
              </w:rPr>
              <w:t>The lease payments are budgeted in support appropriati on. Use a support BCP to request a budget increase.</w:t>
            </w:r>
          </w:p>
        </w:tc>
        <w:tc>
          <w:tcPr>
            <w:tcW w:w="4224" w:type="dxa"/>
            <w:tcBorders>
              <w:left w:val="single" w:sz="4" w:space="0" w:color="000000"/>
              <w:bottom w:val="single" w:sz="4" w:space="0" w:color="000000"/>
              <w:right w:val="single" w:sz="4" w:space="0" w:color="000000"/>
            </w:tcBorders>
          </w:tcPr>
          <w:p>
            <w:pPr/>
          </w:p>
        </w:tc>
        <w:tc>
          <w:tcPr>
            <w:tcW w:w="2390" w:type="dxa"/>
            <w:gridSpan w:val="2"/>
            <w:tcBorders>
              <w:left w:val="single" w:sz="4" w:space="0" w:color="000000"/>
              <w:bottom w:val="single" w:sz="4" w:space="0" w:color="000000"/>
              <w:right w:val="single" w:sz="4" w:space="0" w:color="000000"/>
            </w:tcBorders>
          </w:tcPr>
          <w:p>
            <w:pPr>
              <w:pStyle w:val="TableParagraph"/>
              <w:ind w:left="103" w:right="156"/>
              <w:rPr>
                <w:rFonts w:ascii="Times New Roman" w:hAnsi="Times New Roman"/>
                <w:i/>
                <w:sz w:val="22"/>
              </w:rPr>
            </w:pPr>
            <w:r>
              <w:rPr>
                <w:rFonts w:ascii="Times New Roman" w:hAnsi="Times New Roman"/>
                <w:sz w:val="22"/>
              </w:rPr>
              <w:t>Transaction is reviewed for infrastructure cost/benefits because the property is acquired—or may be acquired—as a result of the lease. </w:t>
            </w:r>
            <w:r>
              <w:rPr>
                <w:rFonts w:ascii="Times New Roman" w:hAnsi="Times New Roman"/>
                <w:i/>
                <w:sz w:val="22"/>
              </w:rPr>
              <w:t>Submit a </w:t>
            </w:r>
            <w:r>
              <w:rPr>
                <w:rFonts w:ascii="Times New Roman" w:hAnsi="Times New Roman"/>
                <w:i/>
                <w:sz w:val="22"/>
              </w:rPr>
              <w:t>COBCP when requesting authority through the Budget Act, per Section 6818.</w:t>
            </w:r>
          </w:p>
        </w:tc>
      </w:tr>
    </w:tbl>
    <w:p>
      <w:pPr>
        <w:spacing w:after="0"/>
        <w:rPr>
          <w:rFonts w:ascii="Times New Roman" w:hAnsi="Times New Roman"/>
          <w:sz w:val="22"/>
        </w:rPr>
        <w:sectPr>
          <w:pgSz w:w="12240" w:h="15840"/>
          <w:pgMar w:header="728" w:footer="803" w:top="980" w:bottom="1000" w:left="620" w:right="920"/>
        </w:sectPr>
      </w:pPr>
    </w:p>
    <w:p>
      <w:pPr>
        <w:pStyle w:val="BodyText"/>
        <w:rPr>
          <w:b/>
          <w:sz w:val="20"/>
        </w:rPr>
      </w:pPr>
    </w:p>
    <w:p>
      <w:pPr>
        <w:spacing w:after="0"/>
        <w:rPr>
          <w:sz w:val="20"/>
        </w:rPr>
        <w:sectPr>
          <w:pgSz w:w="12240" w:h="15840"/>
          <w:pgMar w:header="728" w:footer="803" w:top="980" w:bottom="1000" w:left="620" w:right="940"/>
        </w:sectPr>
      </w:pPr>
    </w:p>
    <w:p>
      <w:pPr>
        <w:pStyle w:val="BodyText"/>
        <w:spacing w:before="1"/>
        <w:rPr>
          <w:b/>
          <w:sz w:val="19"/>
        </w:rPr>
      </w:pPr>
    </w:p>
    <w:p>
      <w:pPr>
        <w:spacing w:before="0"/>
        <w:ind w:left="1295" w:right="-20" w:firstLine="0"/>
        <w:jc w:val="left"/>
        <w:rPr>
          <w:rFonts w:ascii="Times New Roman"/>
          <w:sz w:val="22"/>
        </w:rPr>
      </w:pPr>
      <w:r>
        <w:rPr/>
        <w:pict>
          <v:line style="position:absolute;mso-position-horizontal-relative:page;mso-position-vertical-relative:paragraph;z-index:-451936" from="123.959999pt,76.242599pt" to="126.719999pt,76.242599pt" stroked="true" strokeweight=".481pt" strokecolor="#2e97d3">
            <v:stroke dashstyle="solid"/>
            <w10:wrap type="none"/>
          </v:line>
        </w:pict>
      </w:r>
      <w:r>
        <w:rPr/>
        <w:pict>
          <v:group style="position:absolute;margin-left:72.110497pt;margin-top:-.326904pt;width:487.5pt;height:522.3pt;mso-position-horizontal-relative:page;mso-position-vertical-relative:paragraph;z-index:-451912" coordorigin="1442,-7" coordsize="9750,10446">
            <v:shape style="position:absolute;left:1452;top:3;width:9730;height:5153" coordorigin="1452,3" coordsize="9730,5153" path="m1452,3l3348,3m3358,3l4567,3m4577,3l8791,3m8801,3l11182,3m1452,3351l3348,3351m3358,3351l4567,3351m4577,3351l8791,3351m8801,3351l11182,3351m1452,5156l3348,5156m3358,5156l4567,5156m4577,5156l8791,5156m8801,5156l11182,5156e" filled="false" stroked="true" strokeweight=".48pt" strokecolor="#000000">
              <v:path arrowok="t"/>
              <v:stroke dashstyle="solid"/>
            </v:shape>
            <v:shape style="position:absolute;left:1452;top:6270;width:9730;height:2" coordorigin="1452,6270" coordsize="9730,0" path="m1452,6270l3348,6270m3358,6270l4567,6270m4577,6270l8791,6270m8801,6270l11182,6270e" filled="false" stroked="true" strokeweight=".481pt" strokecolor="#000000">
              <v:path arrowok="t"/>
              <v:stroke dashstyle="solid"/>
            </v:shape>
            <v:shape style="position:absolute;left:1452;top:8211;width:9730;height:2" coordorigin="1452,8211" coordsize="9730,0" path="m1452,8211l3348,8211m3358,8211l4567,8211m4577,8211l8791,8211m8801,8211l11182,8211e" filled="false" stroked="true" strokeweight=".48pt" strokecolor="#000000">
              <v:path arrowok="t"/>
              <v:stroke dashstyle="solid"/>
            </v:shape>
            <v:line style="position:absolute" from="1447,-2" to="1447,10434" stroked="true" strokeweight=".481pt" strokecolor="#000000">
              <v:stroke dashstyle="solid"/>
            </v:line>
            <v:line style="position:absolute" from="1555,10404" to="3919,10404" stroked="true" strokeweight=".84pt" strokecolor="#2e97d3">
              <v:stroke dashstyle="solid"/>
            </v:line>
            <v:line style="position:absolute" from="1452,10429" to="3348,10429" stroked="true" strokeweight=".48pt" strokecolor="#000000">
              <v:stroke dashstyle="solid"/>
            </v:line>
            <v:line style="position:absolute" from="1555,5420" to="3970,5420" stroked="true" strokeweight="1.201pt" strokecolor="#2e97d3">
              <v:stroke dashstyle="solid"/>
            </v:line>
            <v:line style="position:absolute" from="1555,5694" to="4450,5694" stroked="true" strokeweight=".959pt" strokecolor="#2e97d3">
              <v:stroke dashstyle="solid"/>
            </v:line>
            <v:line style="position:absolute" from="1555,5968" to="4198,5968" stroked="true" strokeweight=".84pt" strokecolor="#2e97d3">
              <v:stroke dashstyle="solid"/>
            </v:line>
            <v:line style="position:absolute" from="1555,6534" to="4195,6534" stroked="true" strokeweight="1.2pt" strokecolor="#2e97d3">
              <v:stroke dashstyle="solid"/>
            </v:line>
            <v:line style="position:absolute" from="3461,6502" to="4402,6502" stroked="true" strokeweight=".48pt" strokecolor="#2e97d3">
              <v:stroke dashstyle="solid"/>
            </v:line>
            <v:line style="position:absolute" from="1644,7082" to="4382,7082" stroked="true" strokeweight=".84pt" strokecolor="#2e97d3">
              <v:stroke dashstyle="solid"/>
            </v:line>
            <v:line style="position:absolute" from="3461,7009" to="4229,7009" stroked="true" strokeweight=".48pt" strokecolor="#2e97d3">
              <v:stroke dashstyle="solid"/>
            </v:line>
            <v:line style="position:absolute" from="2006,7358" to="4154,7358" stroked="true" strokeweight=".84pt" strokecolor="#2e97d3">
              <v:stroke dashstyle="solid"/>
            </v:line>
            <v:line style="position:absolute" from="1769,7634" to="4291,7634" stroked="true" strokeweight=".841pt" strokecolor="#2e97d3">
              <v:stroke dashstyle="solid"/>
            </v:line>
            <v:line style="position:absolute" from="2129,7910" to="4277,7910" stroked="true" strokeweight=".84pt" strokecolor="#2e97d3">
              <v:stroke dashstyle="solid"/>
            </v:line>
            <v:line style="position:absolute" from="1555,8751" to="4198,8751" stroked="true" strokeweight="1.2pt" strokecolor="#2e97d3">
              <v:stroke dashstyle="solid"/>
            </v:line>
            <v:line style="position:absolute" from="3461,8696" to="4310,8696" stroked="true" strokeweight=".481pt" strokecolor="#2e97d3">
              <v:stroke dashstyle="solid"/>
            </v:line>
            <v:line style="position:absolute" from="1555,9300" to="4250,9300" stroked="true" strokeweight=".84pt" strokecolor="#2e97d3">
              <v:stroke dashstyle="solid"/>
            </v:line>
            <v:line style="position:absolute" from="1555,9852" to="3439,9852" stroked="true" strokeweight=".841pt" strokecolor="#2e97d3">
              <v:stroke dashstyle="solid"/>
            </v:line>
            <v:line style="position:absolute" from="1555,10128" to="3984,10128" stroked="true" strokeweight=".84pt" strokecolor="#2e97d3">
              <v:stroke dashstyle="solid"/>
            </v:line>
            <v:line style="position:absolute" from="3353,-2" to="3353,10434" stroked="true" strokeweight=".48pt" strokecolor="#000000">
              <v:stroke dashstyle="solid"/>
            </v:line>
            <v:line style="position:absolute" from="3358,10429" to="4567,10429" stroked="true" strokeweight=".48pt" strokecolor="#000000">
              <v:stroke dashstyle="solid"/>
            </v:line>
            <v:line style="position:absolute" from="4572,-2" to="4572,10434" stroked="true" strokeweight=".481pt" strokecolor="#000000">
              <v:stroke dashstyle="solid"/>
            </v:line>
            <v:line style="position:absolute" from="4577,10429" to="8791,10429" stroked="true" strokeweight=".48pt" strokecolor="#000000">
              <v:stroke dashstyle="solid"/>
            </v:line>
            <v:line style="position:absolute" from="8796,-2" to="8796,10434" stroked="true" strokeweight=".48pt" strokecolor="#000000">
              <v:stroke dashstyle="solid"/>
            </v:line>
            <v:line style="position:absolute" from="8801,10429" to="11182,10429" stroked="true" strokeweight=".48pt" strokecolor="#000000">
              <v:stroke dashstyle="solid"/>
            </v:line>
            <v:line style="position:absolute" from="11186,-2" to="11186,10434" stroked="true" strokeweight=".48pt" strokecolor="#000000">
              <v:stroke dashstyle="solid"/>
            </v:line>
            <w10:wrap type="none"/>
          </v:group>
        </w:pict>
      </w:r>
      <w:r>
        <w:rPr/>
        <w:pict>
          <v:line style="position:absolute;mso-position-horizontal-relative:page;mso-position-vertical-relative:paragraph;z-index:20800" from="36.360001pt,.403096pt" to="36.360001pt,84.643096pt" stroked="true" strokeweight=".72pt" strokecolor="#000000">
            <v:stroke dashstyle="solid"/>
            <w10:wrap type="none"/>
          </v:line>
        </w:pict>
      </w:r>
      <w:r>
        <w:rPr>
          <w:rFonts w:ascii="Times New Roman"/>
          <w:strike/>
          <w:color w:val="2E97D3"/>
          <w:sz w:val="24"/>
        </w:rPr>
        <w:t>amend</w:t>
      </w:r>
      <w:r>
        <w:rPr>
          <w:rFonts w:ascii="Times New Roman"/>
          <w:strike w:val="0"/>
          <w:color w:val="2E97D3"/>
          <w:sz w:val="22"/>
          <w:u w:val="single" w:color="2E97D3"/>
        </w:rPr>
        <w:t>amend ment to </w:t>
      </w:r>
      <w:r>
        <w:rPr>
          <w:rFonts w:ascii="Times New Roman"/>
          <w:strike w:val="0"/>
          <w:sz w:val="22"/>
        </w:rPr>
        <w:t>an existing lease to add a purchase option</w:t>
      </w:r>
      <w:r>
        <w:rPr>
          <w:rFonts w:ascii="Times New Roman"/>
          <w:strike w:val="0"/>
          <w:color w:val="2E97D3"/>
          <w:sz w:val="22"/>
        </w:rPr>
        <w:t>.</w:t>
      </w:r>
    </w:p>
    <w:p>
      <w:pPr>
        <w:pStyle w:val="ListParagraph"/>
        <w:numPr>
          <w:ilvl w:val="0"/>
          <w:numId w:val="53"/>
        </w:numPr>
        <w:tabs>
          <w:tab w:pos="1296" w:val="left" w:leader="none"/>
        </w:tabs>
        <w:spacing w:line="240" w:lineRule="auto" w:before="0" w:after="0"/>
        <w:ind w:left="1295" w:right="67" w:hanging="360"/>
        <w:jc w:val="left"/>
        <w:rPr>
          <w:rFonts w:ascii="Times New Roman"/>
          <w:sz w:val="22"/>
        </w:rPr>
      </w:pPr>
      <w:r>
        <w:rPr/>
        <w:pict>
          <v:line style="position:absolute;mso-position-horizontal-relative:page;mso-position-vertical-relative:paragraph;z-index:20824" from="36.360001pt,15.335857pt" to="36.360001pt,59.135857pt" stroked="true" strokeweight=".72pt" strokecolor="#000000">
            <v:stroke dashstyle="solid"/>
            <w10:wrap type="none"/>
          </v:line>
        </w:pict>
      </w:r>
      <w:r>
        <w:rPr>
          <w:rFonts w:ascii="Times New Roman"/>
          <w:sz w:val="22"/>
        </w:rPr>
        <w:t>Any other capitalized lease per Section</w:t>
      </w:r>
      <w:r>
        <w:rPr>
          <w:rFonts w:ascii="Times New Roman"/>
          <w:spacing w:val="-1"/>
          <w:sz w:val="22"/>
        </w:rPr>
        <w:t> </w:t>
      </w:r>
      <w:r>
        <w:rPr>
          <w:rFonts w:ascii="Times New Roman"/>
          <w:sz w:val="22"/>
        </w:rPr>
        <w:t>6818</w:t>
      </w:r>
    </w:p>
    <w:p>
      <w:pPr>
        <w:spacing w:before="220"/>
        <w:ind w:left="279" w:right="6853" w:firstLine="0"/>
        <w:jc w:val="left"/>
        <w:rPr>
          <w:rFonts w:ascii="Times New Roman"/>
          <w:sz w:val="22"/>
        </w:rPr>
      </w:pPr>
      <w:r>
        <w:rPr/>
        <w:br w:type="column"/>
      </w:r>
      <w:r>
        <w:rPr>
          <w:rFonts w:ascii="Times New Roman"/>
          <w:strike/>
          <w:color w:val="2E97D3"/>
          <w:sz w:val="24"/>
        </w:rPr>
        <w:t>However, </w:t>
      </w:r>
      <w:r>
        <w:rPr>
          <w:rFonts w:ascii="Times New Roman"/>
          <w:strike w:val="0"/>
          <w:color w:val="2E97D3"/>
          <w:sz w:val="22"/>
          <w:u w:val="single" w:color="2E97D3"/>
        </w:rPr>
        <w:t>Provide </w:t>
      </w:r>
      <w:r>
        <w:rPr>
          <w:rFonts w:ascii="Times New Roman"/>
          <w:strike w:val="0"/>
          <w:sz w:val="22"/>
        </w:rPr>
        <w:t>a </w:t>
      </w:r>
      <w:r>
        <w:rPr>
          <w:rFonts w:ascii="Times New Roman"/>
          <w:strike/>
          <w:color w:val="2E97D3"/>
          <w:sz w:val="24"/>
        </w:rPr>
        <w:t>coordinat ed</w:t>
      </w:r>
      <w:r>
        <w:rPr>
          <w:rFonts w:ascii="Times New Roman"/>
          <w:strike w:val="0"/>
          <w:color w:val="2E97D3"/>
          <w:sz w:val="22"/>
          <w:u w:val="single" w:color="2E97D3"/>
        </w:rPr>
        <w:t>copy of the BCP to the </w:t>
      </w:r>
      <w:r>
        <w:rPr>
          <w:rFonts w:ascii="Times New Roman"/>
          <w:strike w:val="0"/>
          <w:sz w:val="22"/>
        </w:rPr>
        <w:t>capital outlay </w:t>
      </w:r>
      <w:r>
        <w:rPr>
          <w:rFonts w:ascii="Times New Roman"/>
          <w:strike/>
          <w:color w:val="2E97D3"/>
          <w:sz w:val="24"/>
        </w:rPr>
        <w:t>review is</w:t>
      </w:r>
      <w:r>
        <w:rPr>
          <w:rFonts w:ascii="Times New Roman"/>
          <w:strike w:val="0"/>
          <w:color w:val="2E97D3"/>
          <w:sz w:val="22"/>
          <w:u w:val="single" w:color="2E97D3"/>
        </w:rPr>
        <w:t>unit </w:t>
      </w:r>
      <w:r>
        <w:rPr>
          <w:rFonts w:ascii="Times New Roman"/>
          <w:strike w:val="0"/>
          <w:sz w:val="22"/>
        </w:rPr>
        <w:t>also </w:t>
      </w:r>
      <w:r>
        <w:rPr>
          <w:rFonts w:ascii="Times New Roman"/>
          <w:strike/>
          <w:color w:val="2E97D3"/>
          <w:sz w:val="24"/>
        </w:rPr>
        <w:t>required</w:t>
      </w:r>
      <w:r>
        <w:rPr>
          <w:rFonts w:ascii="Times New Roman"/>
          <w:strike w:val="0"/>
          <w:sz w:val="22"/>
        </w:rPr>
        <w:t>.</w:t>
      </w:r>
    </w:p>
    <w:p>
      <w:pPr>
        <w:spacing w:after="0"/>
        <w:jc w:val="left"/>
        <w:rPr>
          <w:rFonts w:ascii="Times New Roman"/>
          <w:sz w:val="22"/>
        </w:rPr>
        <w:sectPr>
          <w:type w:val="continuous"/>
          <w:pgSz w:w="12240" w:h="15840"/>
          <w:pgMar w:top="560" w:bottom="280" w:left="620" w:right="940"/>
          <w:cols w:num="2" w:equalWidth="0">
            <w:col w:w="2522" w:space="40"/>
            <w:col w:w="8118"/>
          </w:cols>
        </w:sectPr>
      </w:pPr>
    </w:p>
    <w:p>
      <w:pPr>
        <w:pStyle w:val="BodyText"/>
        <w:spacing w:line="203" w:lineRule="exact"/>
        <w:ind w:left="935"/>
        <w:rPr>
          <w:rFonts w:ascii="Symbol" w:hAnsi="Symbol"/>
        </w:rPr>
      </w:pPr>
      <w:r>
        <w:rPr>
          <w:rFonts w:ascii="Symbol" w:hAnsi="Symbol"/>
          <w:strike/>
          <w:color w:val="2E97D3"/>
          <w:w w:val="100"/>
        </w:rPr>
        <w:t></w:t>
      </w:r>
    </w:p>
    <w:p>
      <w:pPr>
        <w:pStyle w:val="BodyText"/>
        <w:rPr>
          <w:rFonts w:ascii="Symbol" w:hAnsi="Symbol"/>
          <w:sz w:val="20"/>
        </w:rPr>
      </w:pPr>
    </w:p>
    <w:p>
      <w:pPr>
        <w:spacing w:after="0"/>
        <w:rPr>
          <w:rFonts w:ascii="Symbol" w:hAnsi="Symbol"/>
          <w:sz w:val="20"/>
        </w:rPr>
        <w:sectPr>
          <w:type w:val="continuous"/>
          <w:pgSz w:w="12240" w:h="15840"/>
          <w:pgMar w:top="560" w:bottom="280" w:left="620" w:right="940"/>
        </w:sectPr>
      </w:pPr>
    </w:p>
    <w:p>
      <w:pPr>
        <w:pStyle w:val="BodyText"/>
        <w:spacing w:before="5"/>
        <w:rPr>
          <w:rFonts w:ascii="Symbol" w:hAnsi="Symbol"/>
          <w:sz w:val="19"/>
        </w:rPr>
      </w:pPr>
    </w:p>
    <w:p>
      <w:pPr>
        <w:spacing w:line="240" w:lineRule="auto" w:before="0"/>
        <w:ind w:left="935" w:right="-18" w:firstLine="0"/>
        <w:jc w:val="left"/>
        <w:rPr>
          <w:rFonts w:ascii="Times New Roman"/>
          <w:sz w:val="22"/>
        </w:rPr>
      </w:pPr>
      <w:r>
        <w:rPr/>
        <w:pict>
          <v:line style="position:absolute;mso-position-horizontal-relative:page;mso-position-vertical-relative:paragraph;z-index:20848" from="36.360001pt,.068514pt" to="36.360001pt,25.389514pt" stroked="true" strokeweight=".72pt" strokecolor="#000000">
            <v:stroke dashstyle="solid"/>
            <w10:wrap type="none"/>
          </v:line>
        </w:pict>
      </w:r>
      <w:r>
        <w:rPr/>
        <w:pict>
          <v:line style="position:absolute;mso-position-horizontal-relative:page;mso-position-vertical-relative:paragraph;z-index:20872" from="36.360001pt,39.189514pt" to="36.360001pt,51.789514pt" stroked="true" strokeweight=".72pt" strokecolor="#000000">
            <v:stroke dashstyle="solid"/>
            <w10:wrap type="none"/>
          </v:line>
        </w:pict>
      </w:r>
      <w:r>
        <w:rPr/>
        <w:pict>
          <v:line style="position:absolute;mso-position-horizontal-relative:page;mso-position-vertical-relative:paragraph;z-index:20896" from="36.360001pt,76.02951pt" to="36.360001pt,428.70951pt" stroked="true" strokeweight=".72pt" strokecolor="#000000">
            <v:stroke dashstyle="solid"/>
            <w10:wrap type="none"/>
          </v:line>
        </w:pict>
      </w:r>
      <w:r>
        <w:rPr>
          <w:rFonts w:ascii="Times New Roman"/>
          <w:b/>
          <w:sz w:val="22"/>
        </w:rPr>
        <w:t>Operating leases of real property: </w:t>
      </w:r>
      <w:r>
        <w:rPr>
          <w:rFonts w:ascii="Times New Roman"/>
          <w:sz w:val="22"/>
        </w:rPr>
        <w:t>Pure leases that do not build up equity as payments are made</w:t>
      </w:r>
    </w:p>
    <w:p>
      <w:pPr>
        <w:spacing w:before="0"/>
        <w:ind w:left="935" w:right="0" w:firstLine="0"/>
        <w:jc w:val="left"/>
        <w:rPr>
          <w:i/>
          <w:sz w:val="24"/>
        </w:rPr>
      </w:pPr>
      <w:r>
        <w:rPr>
          <w:i/>
          <w:sz w:val="24"/>
        </w:rPr>
        <w:t>(Section 6876).</w:t>
      </w:r>
    </w:p>
    <w:p>
      <w:pPr>
        <w:pStyle w:val="BodyText"/>
        <w:rPr>
          <w:i/>
        </w:rPr>
      </w:pPr>
      <w:r>
        <w:rPr/>
        <w:br w:type="column"/>
      </w:r>
      <w:r>
        <w:rPr>
          <w:i/>
        </w:rPr>
      </w:r>
    </w:p>
    <w:p>
      <w:pPr>
        <w:pStyle w:val="BodyText"/>
        <w:spacing w:before="3"/>
        <w:rPr>
          <w:i/>
          <w:sz w:val="20"/>
        </w:rPr>
      </w:pPr>
    </w:p>
    <w:p>
      <w:pPr>
        <w:spacing w:before="0"/>
        <w:ind w:left="195" w:right="6878" w:firstLine="0"/>
        <w:jc w:val="left"/>
        <w:rPr>
          <w:rFonts w:ascii="Times New Roman"/>
          <w:sz w:val="22"/>
        </w:rPr>
      </w:pPr>
      <w:r>
        <w:rPr>
          <w:rFonts w:ascii="Times New Roman"/>
          <w:sz w:val="22"/>
        </w:rPr>
        <w:t>Irrespectiv e of amount</w:t>
      </w:r>
    </w:p>
    <w:p>
      <w:pPr>
        <w:spacing w:after="0"/>
        <w:jc w:val="left"/>
        <w:rPr>
          <w:rFonts w:ascii="Times New Roman"/>
          <w:sz w:val="22"/>
        </w:rPr>
        <w:sectPr>
          <w:type w:val="continuous"/>
          <w:pgSz w:w="12240" w:h="15840"/>
          <w:pgMar w:top="560" w:bottom="280" w:left="620" w:right="940"/>
          <w:cols w:num="2" w:equalWidth="0">
            <w:col w:w="2606" w:space="40"/>
            <w:col w:w="8034"/>
          </w:cols>
        </w:sectPr>
      </w:pPr>
    </w:p>
    <w:p>
      <w:pPr>
        <w:spacing w:before="11"/>
        <w:ind w:left="935" w:right="-16" w:firstLine="0"/>
        <w:jc w:val="left"/>
        <w:rPr>
          <w:sz w:val="24"/>
        </w:rPr>
      </w:pPr>
      <w:r>
        <w:rPr>
          <w:b/>
          <w:color w:val="2E97D3"/>
          <w:sz w:val="24"/>
        </w:rPr>
        <w:t>Exercise of purchase option: </w:t>
      </w:r>
      <w:r>
        <w:rPr>
          <w:color w:val="2E97D3"/>
          <w:sz w:val="24"/>
        </w:rPr>
        <w:t>for currently rented or leased space (Section </w:t>
      </w:r>
      <w:r>
        <w:rPr>
          <w:color w:val="2E97D3"/>
          <w:sz w:val="24"/>
          <w:u w:val="single" w:color="2E97D3"/>
        </w:rPr>
        <w:t>6820)</w:t>
      </w:r>
    </w:p>
    <w:p>
      <w:pPr>
        <w:spacing w:line="259" w:lineRule="exact" w:before="8"/>
        <w:ind w:left="935" w:right="0" w:firstLine="0"/>
        <w:jc w:val="left"/>
        <w:rPr>
          <w:rFonts w:ascii="Times New Roman"/>
          <w:sz w:val="22"/>
        </w:rPr>
      </w:pPr>
      <w:r>
        <w:rPr>
          <w:b/>
          <w:color w:val="2E97D3"/>
          <w:spacing w:val="-1"/>
          <w:w w:val="99"/>
          <w:sz w:val="24"/>
        </w:rPr>
        <w:t>R</w:t>
      </w:r>
      <w:r>
        <w:rPr>
          <w:b/>
          <w:color w:val="2E97D3"/>
          <w:w w:val="99"/>
          <w:sz w:val="24"/>
        </w:rPr>
        <w:t>e</w:t>
      </w:r>
      <w:r>
        <w:rPr>
          <w:b/>
          <w:color w:val="2E97D3"/>
          <w:w w:val="100"/>
          <w:sz w:val="24"/>
        </w:rPr>
        <w:t>l</w:t>
      </w:r>
      <w:r>
        <w:rPr>
          <w:b/>
          <w:color w:val="2E97D3"/>
          <w:spacing w:val="-1"/>
          <w:sz w:val="24"/>
        </w:rPr>
        <w:t>o</w:t>
      </w:r>
      <w:r>
        <w:rPr>
          <w:b/>
          <w:color w:val="2E97D3"/>
          <w:sz w:val="24"/>
        </w:rPr>
        <w:t>c</w:t>
      </w:r>
      <w:r>
        <w:rPr>
          <w:b/>
          <w:color w:val="2E97D3"/>
          <w:w w:val="99"/>
          <w:sz w:val="24"/>
        </w:rPr>
        <w:t>a</w:t>
      </w:r>
      <w:r>
        <w:rPr>
          <w:b/>
          <w:color w:val="2E97D3"/>
          <w:spacing w:val="-1"/>
          <w:w w:val="99"/>
          <w:sz w:val="24"/>
        </w:rPr>
        <w:t>t</w:t>
      </w:r>
      <w:r>
        <w:rPr>
          <w:b/>
          <w:color w:val="2E97D3"/>
          <w:w w:val="100"/>
          <w:sz w:val="24"/>
        </w:rPr>
        <w:t>i</w:t>
      </w:r>
      <w:r>
        <w:rPr>
          <w:b/>
          <w:color w:val="2E97D3"/>
          <w:spacing w:val="-1"/>
          <w:w w:val="100"/>
          <w:sz w:val="24"/>
        </w:rPr>
        <w:t>o</w:t>
      </w:r>
      <w:r>
        <w:rPr>
          <w:b/>
          <w:color w:val="2E97D3"/>
          <w:w w:val="100"/>
          <w:sz w:val="24"/>
        </w:rPr>
        <w:t>n</w:t>
      </w:r>
      <w:r>
        <w:rPr>
          <w:b/>
          <w:color w:val="2E97D3"/>
          <w:sz w:val="24"/>
        </w:rPr>
        <w:t> </w:t>
      </w:r>
      <w:r>
        <w:rPr>
          <w:b/>
          <w:color w:val="2E97D3"/>
          <w:w w:val="99"/>
          <w:sz w:val="24"/>
        </w:rPr>
        <w:t>a</w:t>
      </w:r>
      <w:r>
        <w:rPr>
          <w:b/>
          <w:color w:val="2E97D3"/>
          <w:spacing w:val="-1"/>
          <w:w w:val="100"/>
          <w:sz w:val="24"/>
        </w:rPr>
        <w:t>n</w:t>
      </w:r>
      <w:r>
        <w:rPr>
          <w:b/>
          <w:color w:val="2E97D3"/>
          <w:w w:val="100"/>
          <w:sz w:val="24"/>
        </w:rPr>
        <w:t>d</w:t>
      </w:r>
      <w:r>
        <w:rPr>
          <w:b/>
          <w:color w:val="2E97D3"/>
          <w:sz w:val="24"/>
        </w:rPr>
        <w:t> </w:t>
      </w:r>
      <w:r>
        <w:rPr>
          <w:b/>
          <w:color w:val="2E97D3"/>
          <w:spacing w:val="-99"/>
          <w:w w:val="99"/>
          <w:sz w:val="24"/>
        </w:rPr>
        <w:t>m</w:t>
      </w:r>
      <w:r>
        <w:rPr>
          <w:rFonts w:ascii="Times New Roman"/>
          <w:color w:val="2E97D3"/>
          <w:spacing w:val="-4"/>
          <w:w w:val="100"/>
          <w:position w:val="2"/>
          <w:sz w:val="22"/>
        </w:rPr>
        <w:t>I</w:t>
      </w:r>
      <w:r>
        <w:rPr>
          <w:rFonts w:ascii="Times New Roman"/>
          <w:color w:val="2E97D3"/>
          <w:spacing w:val="-45"/>
          <w:w w:val="100"/>
          <w:position w:val="2"/>
          <w:sz w:val="22"/>
        </w:rPr>
        <w:t>r</w:t>
      </w:r>
      <w:r>
        <w:rPr>
          <w:b/>
          <w:color w:val="2E97D3"/>
          <w:spacing w:val="-102"/>
          <w:w w:val="100"/>
          <w:sz w:val="24"/>
        </w:rPr>
        <w:t>o</w:t>
      </w:r>
      <w:r>
        <w:rPr>
          <w:rFonts w:ascii="Times New Roman"/>
          <w:color w:val="2E97D3"/>
          <w:w w:val="100"/>
          <w:position w:val="2"/>
          <w:sz w:val="22"/>
        </w:rPr>
        <w:t>r</w:t>
      </w:r>
      <w:r>
        <w:rPr>
          <w:rFonts w:ascii="Times New Roman"/>
          <w:color w:val="2E97D3"/>
          <w:spacing w:val="-72"/>
          <w:w w:val="100"/>
          <w:position w:val="2"/>
          <w:sz w:val="22"/>
        </w:rPr>
        <w:t>e</w:t>
      </w:r>
      <w:r>
        <w:rPr>
          <w:b/>
          <w:color w:val="2E97D3"/>
          <w:spacing w:val="-62"/>
          <w:w w:val="99"/>
          <w:sz w:val="24"/>
        </w:rPr>
        <w:t>v</w:t>
      </w:r>
      <w:r>
        <w:rPr>
          <w:rFonts w:ascii="Times New Roman"/>
          <w:color w:val="2E97D3"/>
          <w:spacing w:val="-29"/>
          <w:w w:val="100"/>
          <w:position w:val="2"/>
          <w:sz w:val="22"/>
        </w:rPr>
        <w:t>s</w:t>
      </w:r>
      <w:r>
        <w:rPr>
          <w:b/>
          <w:color w:val="2E97D3"/>
          <w:spacing w:val="-38"/>
          <w:w w:val="100"/>
          <w:sz w:val="24"/>
        </w:rPr>
        <w:t>i</w:t>
      </w:r>
      <w:r>
        <w:rPr>
          <w:rFonts w:ascii="Times New Roman"/>
          <w:color w:val="2E97D3"/>
          <w:spacing w:val="-72"/>
          <w:w w:val="100"/>
          <w:position w:val="2"/>
          <w:sz w:val="22"/>
        </w:rPr>
        <w:t>p</w:t>
      </w:r>
      <w:r>
        <w:rPr>
          <w:b/>
          <w:color w:val="2E97D3"/>
          <w:spacing w:val="-75"/>
          <w:w w:val="100"/>
          <w:sz w:val="24"/>
        </w:rPr>
        <w:t>n</w:t>
      </w:r>
      <w:r>
        <w:rPr>
          <w:rFonts w:ascii="Times New Roman"/>
          <w:color w:val="2E97D3"/>
          <w:spacing w:val="-24"/>
          <w:w w:val="100"/>
          <w:position w:val="2"/>
          <w:sz w:val="22"/>
        </w:rPr>
        <w:t>e</w:t>
      </w:r>
      <w:r>
        <w:rPr>
          <w:b/>
          <w:color w:val="2E97D3"/>
          <w:spacing w:val="-123"/>
          <w:w w:val="100"/>
          <w:sz w:val="24"/>
        </w:rPr>
        <w:t>g</w:t>
      </w:r>
      <w:r>
        <w:rPr>
          <w:rFonts w:ascii="Times New Roman"/>
          <w:color w:val="2E97D3"/>
          <w:w w:val="100"/>
          <w:position w:val="2"/>
          <w:sz w:val="22"/>
        </w:rPr>
        <w:t>c</w:t>
      </w:r>
      <w:r>
        <w:rPr>
          <w:rFonts w:ascii="Times New Roman"/>
          <w:color w:val="2E97D3"/>
          <w:spacing w:val="-2"/>
          <w:w w:val="100"/>
          <w:position w:val="2"/>
          <w:sz w:val="22"/>
        </w:rPr>
        <w:t>t</w:t>
      </w:r>
      <w:r>
        <w:rPr>
          <w:rFonts w:ascii="Times New Roman"/>
          <w:color w:val="2E97D3"/>
          <w:spacing w:val="1"/>
          <w:w w:val="100"/>
          <w:position w:val="2"/>
          <w:sz w:val="22"/>
        </w:rPr>
        <w:t>i</w:t>
      </w:r>
      <w:r>
        <w:rPr>
          <w:rFonts w:ascii="Times New Roman"/>
          <w:color w:val="2E97D3"/>
          <w:w w:val="100"/>
          <w:position w:val="2"/>
          <w:sz w:val="22"/>
        </w:rPr>
        <w:t>v</w:t>
      </w:r>
    </w:p>
    <w:p>
      <w:pPr>
        <w:pStyle w:val="BodyText"/>
        <w:spacing w:before="11"/>
        <w:ind w:left="935" w:right="868"/>
      </w:pPr>
      <w:r>
        <w:rPr/>
        <w:br w:type="column"/>
      </w:r>
      <w:r>
        <w:rPr>
          <w:color w:val="2E97D3"/>
          <w:u w:val="single" w:color="2E97D3"/>
        </w:rPr>
        <w:t>Irrespective of amount</w:t>
      </w:r>
    </w:p>
    <w:p>
      <w:pPr>
        <w:spacing w:after="0"/>
        <w:sectPr>
          <w:type w:val="continuous"/>
          <w:pgSz w:w="12240" w:h="15840"/>
          <w:pgMar w:top="560" w:bottom="280" w:left="620" w:right="940"/>
          <w:cols w:num="2" w:equalWidth="0">
            <w:col w:w="3833" w:space="3516"/>
            <w:col w:w="3331"/>
          </w:cols>
        </w:sectPr>
      </w:pPr>
    </w:p>
    <w:p>
      <w:pPr>
        <w:pStyle w:val="Heading2"/>
        <w:spacing w:line="231" w:lineRule="exact" w:before="16"/>
        <w:ind w:left="935"/>
        <w:rPr>
          <w:b w:val="0"/>
        </w:rPr>
      </w:pPr>
      <w:r>
        <w:rPr>
          <w:color w:val="2E97D3"/>
          <w:u w:val="thick" w:color="2E97D3"/>
        </w:rPr>
        <w:t>costs</w:t>
      </w:r>
      <w:r>
        <w:rPr>
          <w:b w:val="0"/>
          <w:color w:val="2E97D3"/>
          <w:u w:val="thick" w:color="2E97D3"/>
        </w:rPr>
        <w:t>:</w:t>
      </w:r>
    </w:p>
    <w:p>
      <w:pPr>
        <w:spacing w:line="244" w:lineRule="exact" w:before="0"/>
        <w:ind w:left="935" w:right="0" w:firstLine="0"/>
        <w:jc w:val="left"/>
        <w:rPr>
          <w:rFonts w:ascii="Times New Roman"/>
          <w:sz w:val="22"/>
        </w:rPr>
      </w:pPr>
      <w:r>
        <w:rPr/>
        <w:br w:type="column"/>
      </w:r>
      <w:r>
        <w:rPr>
          <w:rFonts w:ascii="Times New Roman"/>
          <w:color w:val="2E97D3"/>
          <w:sz w:val="22"/>
          <w:u w:val="single" w:color="2E97D3"/>
        </w:rPr>
        <w:t>e of</w:t>
      </w:r>
    </w:p>
    <w:p>
      <w:pPr>
        <w:spacing w:after="0" w:line="244" w:lineRule="exact"/>
        <w:jc w:val="left"/>
        <w:rPr>
          <w:rFonts w:ascii="Times New Roman"/>
          <w:sz w:val="22"/>
        </w:rPr>
        <w:sectPr>
          <w:type w:val="continuous"/>
          <w:pgSz w:w="12240" w:h="15840"/>
          <w:pgMar w:top="560" w:bottom="280" w:left="620" w:right="940"/>
          <w:cols w:num="2" w:equalWidth="0">
            <w:col w:w="1631" w:space="274"/>
            <w:col w:w="8775"/>
          </w:cols>
        </w:sectPr>
      </w:pPr>
    </w:p>
    <w:p>
      <w:pPr>
        <w:pStyle w:val="ListParagraph"/>
        <w:numPr>
          <w:ilvl w:val="1"/>
          <w:numId w:val="53"/>
        </w:numPr>
        <w:tabs>
          <w:tab w:pos="1387" w:val="left" w:leader="none"/>
        </w:tabs>
        <w:spacing w:line="240" w:lineRule="auto" w:before="0" w:after="0"/>
        <w:ind w:left="1386" w:right="6915" w:hanging="362"/>
        <w:jc w:val="left"/>
        <w:rPr>
          <w:sz w:val="24"/>
        </w:rPr>
      </w:pPr>
      <w:r>
        <w:rPr>
          <w:color w:val="2E97D3"/>
          <w:spacing w:val="-1"/>
          <w:w w:val="99"/>
          <w:sz w:val="24"/>
        </w:rPr>
        <w:t>U</w:t>
      </w:r>
      <w:r>
        <w:rPr>
          <w:color w:val="2E97D3"/>
          <w:w w:val="99"/>
          <w:sz w:val="24"/>
        </w:rPr>
        <w:t>n</w:t>
      </w:r>
      <w:r>
        <w:rPr>
          <w:color w:val="2E97D3"/>
          <w:spacing w:val="-1"/>
          <w:w w:val="99"/>
          <w:sz w:val="24"/>
        </w:rPr>
        <w:t>r</w:t>
      </w:r>
      <w:r>
        <w:rPr>
          <w:color w:val="2E97D3"/>
          <w:w w:val="99"/>
          <w:sz w:val="24"/>
        </w:rPr>
        <w:t>e</w:t>
      </w:r>
      <w:r>
        <w:rPr>
          <w:color w:val="2E97D3"/>
          <w:spacing w:val="-1"/>
          <w:w w:val="99"/>
          <w:sz w:val="24"/>
        </w:rPr>
        <w:t>l</w:t>
      </w:r>
      <w:r>
        <w:rPr>
          <w:color w:val="2E97D3"/>
          <w:w w:val="100"/>
          <w:sz w:val="24"/>
        </w:rPr>
        <w:t>at</w:t>
      </w:r>
      <w:r>
        <w:rPr>
          <w:color w:val="2E97D3"/>
          <w:w w:val="99"/>
          <w:sz w:val="24"/>
        </w:rPr>
        <w:t>ed</w:t>
      </w:r>
      <w:r>
        <w:rPr>
          <w:color w:val="2E97D3"/>
          <w:spacing w:val="-1"/>
          <w:sz w:val="24"/>
        </w:rPr>
        <w:t> </w:t>
      </w:r>
      <w:r>
        <w:rPr>
          <w:color w:val="2E97D3"/>
          <w:w w:val="100"/>
          <w:sz w:val="24"/>
        </w:rPr>
        <w:t>t</w:t>
      </w:r>
      <w:r>
        <w:rPr>
          <w:color w:val="2E97D3"/>
          <w:w w:val="99"/>
          <w:sz w:val="24"/>
        </w:rPr>
        <w:t>o</w:t>
      </w:r>
      <w:r>
        <w:rPr>
          <w:color w:val="2E97D3"/>
          <w:spacing w:val="-1"/>
          <w:sz w:val="24"/>
        </w:rPr>
        <w:t> </w:t>
      </w:r>
      <w:r>
        <w:rPr>
          <w:color w:val="2E97D3"/>
          <w:spacing w:val="-55"/>
          <w:w w:val="99"/>
          <w:sz w:val="24"/>
        </w:rPr>
        <w:t>a</w:t>
      </w:r>
      <w:r>
        <w:rPr>
          <w:rFonts w:ascii="Times New Roman"/>
          <w:color w:val="2E97D3"/>
          <w:w w:val="100"/>
          <w:position w:val="7"/>
          <w:sz w:val="22"/>
        </w:rPr>
        <w:t>a</w:t>
      </w:r>
      <w:r>
        <w:rPr>
          <w:rFonts w:ascii="Times New Roman"/>
          <w:color w:val="2E97D3"/>
          <w:spacing w:val="-148"/>
          <w:w w:val="100"/>
          <w:position w:val="7"/>
          <w:sz w:val="22"/>
        </w:rPr>
        <w:t>m</w:t>
      </w:r>
      <w:r>
        <w:rPr>
          <w:color w:val="2E97D3"/>
          <w:sz w:val="24"/>
        </w:rPr>
        <w:t>s</w:t>
      </w:r>
      <w:r>
        <w:rPr>
          <w:color w:val="2E97D3"/>
          <w:spacing w:val="-110"/>
          <w:w w:val="99"/>
          <w:sz w:val="24"/>
        </w:rPr>
        <w:t>p</w:t>
      </w:r>
      <w:r>
        <w:rPr>
          <w:rFonts w:ascii="Times New Roman"/>
          <w:color w:val="2E97D3"/>
          <w:spacing w:val="-3"/>
          <w:w w:val="100"/>
          <w:position w:val="7"/>
          <w:sz w:val="22"/>
        </w:rPr>
        <w:t>o</w:t>
      </w:r>
      <w:r>
        <w:rPr>
          <w:color w:val="2E97D3"/>
          <w:spacing w:val="-132"/>
          <w:w w:val="99"/>
          <w:sz w:val="24"/>
        </w:rPr>
        <w:t>e</w:t>
      </w:r>
      <w:r>
        <w:rPr>
          <w:rFonts w:ascii="Times New Roman"/>
          <w:color w:val="2E97D3"/>
          <w:w w:val="100"/>
          <w:position w:val="7"/>
          <w:sz w:val="22"/>
        </w:rPr>
        <w:t>u</w:t>
      </w:r>
      <w:r>
        <w:rPr>
          <w:rFonts w:ascii="Times New Roman"/>
          <w:color w:val="2E97D3"/>
          <w:spacing w:val="-89"/>
          <w:w w:val="100"/>
          <w:position w:val="7"/>
          <w:sz w:val="22"/>
        </w:rPr>
        <w:t>n</w:t>
      </w:r>
      <w:r>
        <w:rPr>
          <w:color w:val="2E97D3"/>
          <w:spacing w:val="-32"/>
          <w:sz w:val="24"/>
        </w:rPr>
        <w:t>c</w:t>
      </w:r>
      <w:r>
        <w:rPr>
          <w:rFonts w:ascii="Times New Roman"/>
          <w:color w:val="2E97D3"/>
          <w:spacing w:val="-31"/>
          <w:w w:val="100"/>
          <w:position w:val="7"/>
          <w:sz w:val="22"/>
        </w:rPr>
        <w:t>t</w:t>
      </w:r>
      <w:r>
        <w:rPr>
          <w:color w:val="2E97D3"/>
          <w:spacing w:val="-23"/>
          <w:w w:val="99"/>
          <w:sz w:val="24"/>
        </w:rPr>
        <w:t>i</w:t>
      </w:r>
      <w:r>
        <w:rPr>
          <w:rFonts w:ascii="Times New Roman"/>
          <w:color w:val="2E97D3"/>
          <w:spacing w:val="-51"/>
          <w:w w:val="99"/>
          <w:position w:val="15"/>
          <w:sz w:val="14"/>
        </w:rPr>
        <w:t>4</w:t>
      </w:r>
      <w:r>
        <w:rPr>
          <w:color w:val="2E97D3"/>
          <w:spacing w:val="-17"/>
          <w:w w:val="100"/>
          <w:sz w:val="24"/>
        </w:rPr>
        <w:t>f</w:t>
      </w:r>
      <w:r>
        <w:rPr>
          <w:rFonts w:ascii="Times New Roman"/>
          <w:color w:val="2E97D3"/>
          <w:spacing w:val="-12"/>
          <w:w w:val="99"/>
          <w:position w:val="15"/>
          <w:sz w:val="14"/>
        </w:rPr>
        <w:t>/</w:t>
      </w:r>
      <w:r>
        <w:rPr>
          <w:color w:val="2E97D3"/>
          <w:spacing w:val="-1"/>
          <w:w w:val="99"/>
          <w:sz w:val="24"/>
        </w:rPr>
        <w:t>i</w:t>
      </w:r>
      <w:r>
        <w:rPr>
          <w:color w:val="2E97D3"/>
          <w:sz w:val="24"/>
        </w:rPr>
        <w:t>c construction</w:t>
      </w:r>
      <w:r>
        <w:rPr>
          <w:color w:val="2E97D3"/>
          <w:spacing w:val="-8"/>
          <w:sz w:val="24"/>
        </w:rPr>
        <w:t> </w:t>
      </w:r>
      <w:r>
        <w:rPr>
          <w:color w:val="2E97D3"/>
          <w:sz w:val="24"/>
        </w:rPr>
        <w:t>project.</w:t>
      </w:r>
    </w:p>
    <w:p>
      <w:pPr>
        <w:pStyle w:val="ListParagraph"/>
        <w:numPr>
          <w:ilvl w:val="1"/>
          <w:numId w:val="53"/>
        </w:numPr>
        <w:tabs>
          <w:tab w:pos="1509" w:val="left" w:leader="none"/>
        </w:tabs>
        <w:spacing w:line="240" w:lineRule="auto" w:before="11" w:after="0"/>
        <w:ind w:left="1508" w:right="7006" w:hanging="360"/>
        <w:jc w:val="left"/>
        <w:rPr>
          <w:sz w:val="24"/>
        </w:rPr>
      </w:pPr>
      <w:r>
        <w:rPr>
          <w:color w:val="2E97D3"/>
          <w:sz w:val="24"/>
        </w:rPr>
        <w:t>Related to a specific construction</w:t>
      </w:r>
      <w:r>
        <w:rPr>
          <w:color w:val="2E97D3"/>
          <w:spacing w:val="-8"/>
          <w:sz w:val="24"/>
        </w:rPr>
        <w:t> </w:t>
      </w:r>
      <w:r>
        <w:rPr>
          <w:color w:val="2E97D3"/>
          <w:sz w:val="24"/>
        </w:rPr>
        <w:t>project.</w:t>
      </w:r>
    </w:p>
    <w:p>
      <w:pPr>
        <w:pStyle w:val="BodyText"/>
        <w:spacing w:before="8"/>
        <w:rPr>
          <w:sz w:val="16"/>
        </w:rPr>
      </w:pPr>
    </w:p>
    <w:p>
      <w:pPr>
        <w:spacing w:after="0"/>
        <w:rPr>
          <w:sz w:val="16"/>
        </w:rPr>
        <w:sectPr>
          <w:type w:val="continuous"/>
          <w:pgSz w:w="12240" w:h="15840"/>
          <w:pgMar w:top="560" w:bottom="280" w:left="620" w:right="940"/>
        </w:sectPr>
      </w:pPr>
    </w:p>
    <w:p>
      <w:pPr>
        <w:pStyle w:val="Heading2"/>
        <w:spacing w:line="259" w:lineRule="exact" w:before="94"/>
        <w:ind w:left="935"/>
      </w:pPr>
      <w:r>
        <w:rPr>
          <w:color w:val="2E97D3"/>
          <w:u w:val="thick" w:color="2E97D3"/>
        </w:rPr>
        <w:t>Technical</w:t>
      </w:r>
    </w:p>
    <w:p>
      <w:pPr>
        <w:spacing w:before="92"/>
        <w:ind w:left="757" w:right="0" w:firstLine="0"/>
        <w:jc w:val="left"/>
        <w:rPr>
          <w:rFonts w:ascii="Times New Roman"/>
          <w:sz w:val="22"/>
        </w:rPr>
      </w:pPr>
      <w:r>
        <w:rPr/>
        <w:br w:type="column"/>
      </w:r>
      <w:r>
        <w:rPr>
          <w:rFonts w:ascii="Times New Roman"/>
          <w:color w:val="2E97D3"/>
          <w:sz w:val="22"/>
          <w:u w:val="single" w:color="2E97D3"/>
        </w:rPr>
        <w:t>Depends</w:t>
      </w:r>
    </w:p>
    <w:p>
      <w:pPr>
        <w:spacing w:before="92"/>
        <w:ind w:left="935" w:right="0" w:firstLine="0"/>
        <w:jc w:val="left"/>
        <w:rPr>
          <w:rFonts w:ascii="Times New Roman"/>
          <w:sz w:val="22"/>
        </w:rPr>
      </w:pPr>
      <w:r>
        <w:rPr/>
        <w:br w:type="column"/>
      </w:r>
      <w:r>
        <w:rPr>
          <w:rFonts w:ascii="Times New Roman"/>
          <w:color w:val="2E97D3"/>
          <w:sz w:val="22"/>
          <w:u w:val="single" w:color="2E97D3"/>
        </w:rPr>
        <w:t>Budget packages are</w:t>
      </w:r>
    </w:p>
    <w:p>
      <w:pPr>
        <w:spacing w:after="0"/>
        <w:jc w:val="left"/>
        <w:rPr>
          <w:rFonts w:ascii="Times New Roman"/>
          <w:sz w:val="22"/>
        </w:rPr>
        <w:sectPr>
          <w:type w:val="continuous"/>
          <w:pgSz w:w="12240" w:h="15840"/>
          <w:pgMar w:top="560" w:bottom="280" w:left="620" w:right="940"/>
          <w:cols w:num="3" w:equalWidth="0">
            <w:col w:w="2044" w:space="40"/>
            <w:col w:w="1530" w:space="3735"/>
            <w:col w:w="3331"/>
          </w:cols>
        </w:sectPr>
      </w:pPr>
    </w:p>
    <w:p>
      <w:pPr>
        <w:spacing w:line="255" w:lineRule="exact" w:before="0"/>
        <w:ind w:left="935" w:right="0" w:firstLine="0"/>
        <w:jc w:val="left"/>
        <w:rPr>
          <w:rFonts w:ascii="Times New Roman"/>
          <w:sz w:val="22"/>
        </w:rPr>
      </w:pPr>
      <w:r>
        <w:rPr>
          <w:b/>
          <w:color w:val="2E97D3"/>
          <w:w w:val="99"/>
          <w:sz w:val="24"/>
        </w:rPr>
        <w:t>ass</w:t>
      </w:r>
      <w:r>
        <w:rPr>
          <w:b/>
          <w:color w:val="2E97D3"/>
          <w:spacing w:val="-2"/>
          <w:w w:val="99"/>
          <w:sz w:val="24"/>
        </w:rPr>
        <w:t>i</w:t>
      </w:r>
      <w:r>
        <w:rPr>
          <w:b/>
          <w:color w:val="2E97D3"/>
          <w:w w:val="99"/>
          <w:sz w:val="24"/>
        </w:rPr>
        <w:t>s</w:t>
      </w:r>
      <w:r>
        <w:rPr>
          <w:b/>
          <w:color w:val="2E97D3"/>
          <w:spacing w:val="-1"/>
          <w:w w:val="99"/>
          <w:sz w:val="24"/>
        </w:rPr>
        <w:t>t</w:t>
      </w:r>
      <w:r>
        <w:rPr>
          <w:b/>
          <w:color w:val="2E97D3"/>
          <w:sz w:val="24"/>
        </w:rPr>
        <w:t>a</w:t>
      </w:r>
      <w:r>
        <w:rPr>
          <w:b/>
          <w:color w:val="2E97D3"/>
          <w:spacing w:val="-1"/>
          <w:sz w:val="24"/>
        </w:rPr>
        <w:t>n</w:t>
      </w:r>
      <w:r>
        <w:rPr>
          <w:b/>
          <w:color w:val="2E97D3"/>
          <w:w w:val="99"/>
          <w:sz w:val="24"/>
        </w:rPr>
        <w:t>c</w:t>
      </w:r>
      <w:r>
        <w:rPr>
          <w:b/>
          <w:color w:val="2E97D3"/>
          <w:spacing w:val="-2"/>
          <w:w w:val="99"/>
          <w:sz w:val="24"/>
        </w:rPr>
        <w:t>e</w:t>
      </w:r>
      <w:r>
        <w:rPr>
          <w:b/>
          <w:color w:val="2E97D3"/>
          <w:w w:val="100"/>
          <w:sz w:val="24"/>
        </w:rPr>
        <w:t>/</w:t>
      </w:r>
      <w:r>
        <w:rPr>
          <w:b/>
          <w:color w:val="2E97D3"/>
          <w:sz w:val="24"/>
        </w:rPr>
        <w:t>c</w:t>
      </w:r>
      <w:r>
        <w:rPr>
          <w:b/>
          <w:color w:val="2E97D3"/>
          <w:spacing w:val="-1"/>
          <w:sz w:val="24"/>
        </w:rPr>
        <w:t>o</w:t>
      </w:r>
      <w:r>
        <w:rPr>
          <w:b/>
          <w:color w:val="2E97D3"/>
          <w:spacing w:val="-1"/>
          <w:w w:val="100"/>
          <w:sz w:val="24"/>
        </w:rPr>
        <w:t>n</w:t>
      </w:r>
      <w:r>
        <w:rPr>
          <w:b/>
          <w:color w:val="2E97D3"/>
          <w:w w:val="99"/>
          <w:sz w:val="24"/>
        </w:rPr>
        <w:t>s</w:t>
      </w:r>
      <w:r>
        <w:rPr>
          <w:b/>
          <w:color w:val="2E97D3"/>
          <w:spacing w:val="-99"/>
          <w:w w:val="100"/>
          <w:sz w:val="24"/>
        </w:rPr>
        <w:t>u</w:t>
      </w:r>
      <w:r>
        <w:rPr>
          <w:rFonts w:ascii="Times New Roman"/>
          <w:color w:val="2E97D3"/>
          <w:spacing w:val="-12"/>
          <w:w w:val="100"/>
          <w:position w:val="5"/>
          <w:sz w:val="22"/>
        </w:rPr>
        <w:t>o</w:t>
      </w:r>
      <w:r>
        <w:rPr>
          <w:b/>
          <w:color w:val="2E97D3"/>
          <w:spacing w:val="-55"/>
          <w:w w:val="100"/>
          <w:sz w:val="24"/>
        </w:rPr>
        <w:t>l</w:t>
      </w:r>
      <w:r>
        <w:rPr>
          <w:rFonts w:ascii="Times New Roman"/>
          <w:color w:val="2E97D3"/>
          <w:spacing w:val="-56"/>
          <w:w w:val="100"/>
          <w:position w:val="5"/>
          <w:sz w:val="22"/>
        </w:rPr>
        <w:t>n</w:t>
      </w:r>
      <w:r>
        <w:rPr>
          <w:b/>
          <w:color w:val="2E97D3"/>
          <w:spacing w:val="-1"/>
          <w:w w:val="99"/>
          <w:sz w:val="24"/>
        </w:rPr>
        <w:t>t</w:t>
      </w:r>
      <w:r>
        <w:rPr>
          <w:b/>
          <w:color w:val="2E97D3"/>
          <w:spacing w:val="-103"/>
          <w:w w:val="99"/>
          <w:sz w:val="24"/>
        </w:rPr>
        <w:t>a</w:t>
      </w:r>
      <w:r>
        <w:rPr>
          <w:rFonts w:ascii="Times New Roman"/>
          <w:color w:val="2E97D3"/>
          <w:spacing w:val="1"/>
          <w:w w:val="100"/>
          <w:position w:val="5"/>
          <w:sz w:val="22"/>
        </w:rPr>
        <w:t>t</w:t>
      </w:r>
      <w:r>
        <w:rPr>
          <w:rFonts w:ascii="Times New Roman"/>
          <w:color w:val="2E97D3"/>
          <w:spacing w:val="-21"/>
          <w:w w:val="100"/>
          <w:position w:val="5"/>
          <w:sz w:val="22"/>
        </w:rPr>
        <w:t>i</w:t>
      </w:r>
      <w:r>
        <w:rPr>
          <w:b/>
          <w:color w:val="2E97D3"/>
          <w:spacing w:val="-126"/>
          <w:w w:val="100"/>
          <w:sz w:val="24"/>
        </w:rPr>
        <w:t>n</w:t>
      </w:r>
      <w:r>
        <w:rPr>
          <w:rFonts w:ascii="Times New Roman"/>
          <w:color w:val="2E97D3"/>
          <w:spacing w:val="-50"/>
          <w:w w:val="100"/>
          <w:position w:val="5"/>
          <w:sz w:val="22"/>
        </w:rPr>
        <w:t>m</w:t>
      </w:r>
      <w:r>
        <w:rPr>
          <w:b/>
          <w:color w:val="2E97D3"/>
          <w:spacing w:val="-35"/>
          <w:w w:val="99"/>
          <w:sz w:val="24"/>
        </w:rPr>
        <w:t>t</w:t>
      </w:r>
      <w:r>
        <w:rPr>
          <w:rFonts w:ascii="Times New Roman"/>
          <w:color w:val="2E97D3"/>
          <w:spacing w:val="-28"/>
          <w:w w:val="100"/>
          <w:position w:val="5"/>
          <w:sz w:val="22"/>
        </w:rPr>
        <w:t>i</w:t>
      </w:r>
      <w:r>
        <w:rPr>
          <w:b/>
          <w:color w:val="2E97D3"/>
          <w:spacing w:val="-105"/>
          <w:w w:val="99"/>
          <w:sz w:val="24"/>
        </w:rPr>
        <w:t>s</w:t>
      </w:r>
      <w:r>
        <w:rPr>
          <w:rFonts w:ascii="Times New Roman"/>
          <w:color w:val="2E97D3"/>
          <w:w w:val="100"/>
          <w:position w:val="5"/>
          <w:sz w:val="22"/>
        </w:rPr>
        <w:t>ng</w:t>
      </w:r>
    </w:p>
    <w:p>
      <w:pPr>
        <w:spacing w:line="245" w:lineRule="exact" w:before="0"/>
        <w:ind w:left="935" w:right="0" w:firstLine="0"/>
        <w:jc w:val="left"/>
        <w:rPr>
          <w:rFonts w:ascii="Times New Roman"/>
          <w:sz w:val="22"/>
        </w:rPr>
      </w:pPr>
      <w:r>
        <w:rPr/>
        <w:br w:type="column"/>
      </w:r>
      <w:r>
        <w:rPr>
          <w:rFonts w:ascii="Times New Roman"/>
          <w:color w:val="2E97D3"/>
          <w:sz w:val="22"/>
          <w:u w:val="single" w:color="2E97D3"/>
        </w:rPr>
        <w:t>generally capital outlay;</w:t>
      </w:r>
    </w:p>
    <w:p>
      <w:pPr>
        <w:spacing w:after="0" w:line="245" w:lineRule="exact"/>
        <w:jc w:val="left"/>
        <w:rPr>
          <w:rFonts w:ascii="Times New Roman"/>
          <w:sz w:val="22"/>
        </w:rPr>
        <w:sectPr>
          <w:type w:val="continuous"/>
          <w:pgSz w:w="12240" w:h="15840"/>
          <w:pgMar w:top="560" w:bottom="280" w:left="620" w:right="940"/>
          <w:cols w:num="2" w:equalWidth="0">
            <w:col w:w="3693" w:space="3655"/>
            <w:col w:w="3332"/>
          </w:cols>
        </w:sectPr>
      </w:pPr>
    </w:p>
    <w:p>
      <w:pPr>
        <w:tabs>
          <w:tab w:pos="2840" w:val="left" w:leader="none"/>
        </w:tabs>
        <w:spacing w:line="252" w:lineRule="exact" w:before="0"/>
        <w:ind w:left="935" w:right="0" w:firstLine="0"/>
        <w:jc w:val="left"/>
        <w:rPr>
          <w:rFonts w:ascii="Times New Roman"/>
          <w:sz w:val="22"/>
        </w:rPr>
      </w:pPr>
      <w:r>
        <w:rPr>
          <w:b/>
          <w:color w:val="2E97D3"/>
          <w:position w:val="-6"/>
          <w:sz w:val="24"/>
          <w:u w:val="thick" w:color="2E97D3"/>
        </w:rPr>
        <w:t>:</w:t>
      </w:r>
      <w:r>
        <w:rPr>
          <w:b/>
          <w:color w:val="2E97D3"/>
          <w:position w:val="-6"/>
          <w:sz w:val="24"/>
        </w:rPr>
        <w:tab/>
      </w:r>
      <w:r>
        <w:rPr>
          <w:rFonts w:ascii="Times New Roman"/>
          <w:color w:val="2E97D3"/>
          <w:sz w:val="22"/>
          <w:u w:val="single" w:color="2E97D3"/>
        </w:rPr>
        <w:t>and</w:t>
      </w:r>
    </w:p>
    <w:p>
      <w:pPr>
        <w:spacing w:line="244" w:lineRule="exact" w:before="0"/>
        <w:ind w:left="935" w:right="0" w:firstLine="0"/>
        <w:jc w:val="left"/>
        <w:rPr>
          <w:rFonts w:ascii="Times New Roman"/>
          <w:sz w:val="22"/>
        </w:rPr>
      </w:pPr>
      <w:r>
        <w:rPr/>
        <w:br w:type="column"/>
      </w:r>
      <w:r>
        <w:rPr>
          <w:rFonts w:ascii="Times New Roman"/>
          <w:color w:val="2E97D3"/>
          <w:sz w:val="22"/>
          <w:u w:val="single" w:color="2E97D3"/>
        </w:rPr>
        <w:t>other studies and</w:t>
      </w:r>
    </w:p>
    <w:p>
      <w:pPr>
        <w:spacing w:after="0" w:line="244" w:lineRule="exact"/>
        <w:jc w:val="left"/>
        <w:rPr>
          <w:rFonts w:ascii="Times New Roman"/>
          <w:sz w:val="22"/>
        </w:rPr>
        <w:sectPr>
          <w:type w:val="continuous"/>
          <w:pgSz w:w="12240" w:h="15840"/>
          <w:pgMar w:top="560" w:bottom="280" w:left="620" w:right="940"/>
          <w:cols w:num="2" w:equalWidth="0">
            <w:col w:w="3160" w:space="4188"/>
            <w:col w:w="3332"/>
          </w:cols>
        </w:sectPr>
      </w:pPr>
    </w:p>
    <w:p>
      <w:pPr>
        <w:spacing w:line="254" w:lineRule="exact" w:before="0"/>
        <w:ind w:left="935" w:right="0" w:firstLine="0"/>
        <w:jc w:val="left"/>
        <w:rPr>
          <w:rFonts w:ascii="Times New Roman"/>
          <w:sz w:val="22"/>
        </w:rPr>
      </w:pPr>
      <w:r>
        <w:rPr/>
        <w:pict>
          <v:line style="position:absolute;mso-position-horizontal-relative:page;mso-position-vertical-relative:paragraph;z-index:-451888" from="173.039993pt,11.27789pt" to="218.278993pt,11.27789pt" stroked="true" strokeweight=".48pt" strokecolor="#2e97d3">
            <v:stroke dashstyle="solid"/>
            <w10:wrap type="none"/>
          </v:line>
        </w:pict>
      </w:r>
      <w:r>
        <w:rPr>
          <w:color w:val="2E97D3"/>
          <w:spacing w:val="2"/>
          <w:w w:val="100"/>
          <w:sz w:val="24"/>
        </w:rPr>
        <w:t>T</w:t>
      </w:r>
      <w:r>
        <w:rPr>
          <w:color w:val="2E97D3"/>
          <w:w w:val="99"/>
          <w:sz w:val="24"/>
        </w:rPr>
        <w:t>h</w:t>
      </w:r>
      <w:r>
        <w:rPr>
          <w:color w:val="2E97D3"/>
          <w:spacing w:val="-1"/>
          <w:w w:val="99"/>
          <w:sz w:val="24"/>
        </w:rPr>
        <w:t>i</w:t>
      </w:r>
      <w:r>
        <w:rPr>
          <w:color w:val="2E97D3"/>
          <w:sz w:val="24"/>
        </w:rPr>
        <w:t>s</w:t>
      </w:r>
      <w:r>
        <w:rPr>
          <w:color w:val="2E97D3"/>
          <w:spacing w:val="-2"/>
          <w:sz w:val="24"/>
        </w:rPr>
        <w:t> </w:t>
      </w:r>
      <w:r>
        <w:rPr>
          <w:color w:val="2E97D3"/>
          <w:spacing w:val="1"/>
          <w:sz w:val="24"/>
        </w:rPr>
        <w:t>m</w:t>
      </w:r>
      <w:r>
        <w:rPr>
          <w:color w:val="2E97D3"/>
          <w:w w:val="99"/>
          <w:sz w:val="24"/>
        </w:rPr>
        <w:t>ay</w:t>
      </w:r>
      <w:r>
        <w:rPr>
          <w:color w:val="2E97D3"/>
          <w:spacing w:val="-2"/>
          <w:sz w:val="24"/>
        </w:rPr>
        <w:t> </w:t>
      </w:r>
      <w:r>
        <w:rPr>
          <w:color w:val="2E97D3"/>
          <w:spacing w:val="-1"/>
          <w:w w:val="99"/>
          <w:sz w:val="24"/>
        </w:rPr>
        <w:t>i</w:t>
      </w:r>
      <w:r>
        <w:rPr>
          <w:color w:val="2E97D3"/>
          <w:w w:val="99"/>
          <w:sz w:val="24"/>
        </w:rPr>
        <w:t>nc</w:t>
      </w:r>
      <w:r>
        <w:rPr>
          <w:color w:val="2E97D3"/>
          <w:spacing w:val="-1"/>
          <w:w w:val="99"/>
          <w:sz w:val="24"/>
        </w:rPr>
        <w:t>l</w:t>
      </w:r>
      <w:r>
        <w:rPr>
          <w:color w:val="2E97D3"/>
          <w:w w:val="99"/>
          <w:sz w:val="24"/>
        </w:rPr>
        <w:t>u</w:t>
      </w:r>
      <w:r>
        <w:rPr>
          <w:color w:val="2E97D3"/>
          <w:spacing w:val="-2"/>
          <w:w w:val="99"/>
          <w:sz w:val="24"/>
        </w:rPr>
        <w:t>d</w:t>
      </w:r>
      <w:r>
        <w:rPr>
          <w:color w:val="2E97D3"/>
          <w:w w:val="99"/>
          <w:sz w:val="24"/>
        </w:rPr>
        <w:t>e</w:t>
      </w:r>
      <w:r>
        <w:rPr>
          <w:color w:val="2E97D3"/>
          <w:spacing w:val="1"/>
          <w:sz w:val="24"/>
        </w:rPr>
        <w:t> </w:t>
      </w:r>
      <w:r>
        <w:rPr>
          <w:color w:val="2E97D3"/>
          <w:spacing w:val="-84"/>
          <w:sz w:val="24"/>
        </w:rPr>
        <w:t>s</w:t>
      </w:r>
      <w:r>
        <w:rPr>
          <w:rFonts w:ascii="Times New Roman"/>
          <w:color w:val="2E97D3"/>
          <w:spacing w:val="-27"/>
          <w:w w:val="100"/>
          <w:position w:val="9"/>
          <w:sz w:val="22"/>
        </w:rPr>
        <w:t>n</w:t>
      </w:r>
      <w:r>
        <w:rPr>
          <w:color w:val="2E97D3"/>
          <w:spacing w:val="-41"/>
          <w:w w:val="100"/>
          <w:sz w:val="24"/>
        </w:rPr>
        <w:t>t</w:t>
      </w:r>
      <w:r>
        <w:rPr>
          <w:rFonts w:ascii="Times New Roman"/>
          <w:color w:val="2E97D3"/>
          <w:spacing w:val="-58"/>
          <w:w w:val="100"/>
          <w:position w:val="9"/>
          <w:sz w:val="22"/>
        </w:rPr>
        <w:t>a</w:t>
      </w:r>
      <w:r>
        <w:rPr>
          <w:color w:val="2E97D3"/>
          <w:spacing w:val="-76"/>
          <w:w w:val="99"/>
          <w:sz w:val="24"/>
        </w:rPr>
        <w:t>u</w:t>
      </w:r>
      <w:r>
        <w:rPr>
          <w:rFonts w:ascii="Times New Roman"/>
          <w:color w:val="2E97D3"/>
          <w:spacing w:val="1"/>
          <w:w w:val="100"/>
          <w:position w:val="9"/>
          <w:sz w:val="22"/>
        </w:rPr>
        <w:t>t</w:t>
      </w:r>
      <w:r>
        <w:rPr>
          <w:rFonts w:ascii="Times New Roman"/>
          <w:color w:val="2E97D3"/>
          <w:spacing w:val="-99"/>
          <w:w w:val="100"/>
          <w:position w:val="9"/>
          <w:sz w:val="22"/>
        </w:rPr>
        <w:t>u</w:t>
      </w:r>
      <w:r>
        <w:rPr>
          <w:color w:val="2E97D3"/>
          <w:spacing w:val="-38"/>
          <w:w w:val="99"/>
          <w:sz w:val="24"/>
        </w:rPr>
        <w:t>d</w:t>
      </w:r>
      <w:r>
        <w:rPr>
          <w:rFonts w:ascii="Times New Roman"/>
          <w:color w:val="2E97D3"/>
          <w:spacing w:val="-36"/>
          <w:w w:val="100"/>
          <w:position w:val="9"/>
          <w:sz w:val="22"/>
        </w:rPr>
        <w:t>r</w:t>
      </w:r>
      <w:r>
        <w:rPr>
          <w:color w:val="2E97D3"/>
          <w:spacing w:val="-18"/>
          <w:w w:val="99"/>
          <w:sz w:val="24"/>
        </w:rPr>
        <w:t>i</w:t>
      </w:r>
      <w:r>
        <w:rPr>
          <w:rFonts w:ascii="Times New Roman"/>
          <w:color w:val="2E97D3"/>
          <w:spacing w:val="-84"/>
          <w:w w:val="100"/>
          <w:position w:val="9"/>
          <w:sz w:val="22"/>
        </w:rPr>
        <w:t>e</w:t>
      </w:r>
      <w:r>
        <w:rPr>
          <w:color w:val="2E97D3"/>
          <w:spacing w:val="-50"/>
          <w:w w:val="99"/>
          <w:sz w:val="24"/>
        </w:rPr>
        <w:t>e</w:t>
      </w:r>
      <w:r>
        <w:rPr>
          <w:rFonts w:ascii="Times New Roman"/>
          <w:color w:val="2E97D3"/>
          <w:spacing w:val="-12"/>
          <w:w w:val="100"/>
          <w:position w:val="9"/>
          <w:sz w:val="22"/>
        </w:rPr>
        <w:t>/</w:t>
      </w:r>
      <w:r>
        <w:rPr>
          <w:color w:val="2E97D3"/>
          <w:spacing w:val="-111"/>
          <w:sz w:val="24"/>
        </w:rPr>
        <w:t>s</w:t>
      </w:r>
      <w:r>
        <w:rPr>
          <w:rFonts w:ascii="Times New Roman"/>
          <w:color w:val="2E97D3"/>
          <w:w w:val="100"/>
          <w:position w:val="9"/>
          <w:sz w:val="22"/>
        </w:rPr>
        <w:t>s</w:t>
      </w:r>
      <w:r>
        <w:rPr>
          <w:rFonts w:ascii="Times New Roman"/>
          <w:color w:val="2E97D3"/>
          <w:spacing w:val="-75"/>
          <w:w w:val="100"/>
          <w:position w:val="9"/>
          <w:sz w:val="22"/>
        </w:rPr>
        <w:t>c</w:t>
      </w:r>
      <w:r>
        <w:rPr>
          <w:color w:val="2E97D3"/>
          <w:spacing w:val="7"/>
          <w:w w:val="100"/>
          <w:sz w:val="24"/>
        </w:rPr>
        <w:t>,</w:t>
      </w:r>
      <w:r>
        <w:rPr>
          <w:rFonts w:ascii="Times New Roman"/>
          <w:color w:val="2E97D3"/>
          <w:w w:val="100"/>
          <w:position w:val="9"/>
          <w:sz w:val="22"/>
        </w:rPr>
        <w:t>o</w:t>
      </w:r>
    </w:p>
    <w:p>
      <w:pPr>
        <w:spacing w:line="244" w:lineRule="exact" w:before="0"/>
        <w:ind w:left="935" w:right="0" w:firstLine="0"/>
        <w:jc w:val="left"/>
        <w:rPr>
          <w:rFonts w:ascii="Times New Roman"/>
          <w:sz w:val="22"/>
        </w:rPr>
      </w:pPr>
      <w:r>
        <w:rPr/>
        <w:br w:type="column"/>
      </w:r>
      <w:r>
        <w:rPr>
          <w:rFonts w:ascii="Times New Roman"/>
          <w:color w:val="2E97D3"/>
          <w:sz w:val="22"/>
          <w:u w:val="single" w:color="2E97D3"/>
        </w:rPr>
        <w:t>assistance depend on</w:t>
      </w:r>
    </w:p>
    <w:p>
      <w:pPr>
        <w:spacing w:after="0" w:line="244" w:lineRule="exact"/>
        <w:jc w:val="left"/>
        <w:rPr>
          <w:rFonts w:ascii="Times New Roman"/>
          <w:sz w:val="22"/>
        </w:rPr>
        <w:sectPr>
          <w:type w:val="continuous"/>
          <w:pgSz w:w="12240" w:h="15840"/>
          <w:pgMar w:top="560" w:bottom="280" w:left="620" w:right="940"/>
          <w:cols w:num="2" w:equalWidth="0">
            <w:col w:w="3749" w:space="3600"/>
            <w:col w:w="3331"/>
          </w:cols>
        </w:sectPr>
      </w:pPr>
    </w:p>
    <w:p>
      <w:pPr>
        <w:pStyle w:val="BodyText"/>
        <w:spacing w:line="168" w:lineRule="exact" w:before="84"/>
        <w:ind w:left="935"/>
      </w:pPr>
      <w:r>
        <w:rPr>
          <w:color w:val="2E97D3"/>
          <w:u w:val="single" w:color="2E97D3"/>
        </w:rPr>
        <w:t>master planning,</w:t>
      </w:r>
    </w:p>
    <w:p>
      <w:pPr>
        <w:spacing w:line="244" w:lineRule="exact" w:before="0"/>
        <w:ind w:left="90" w:right="0" w:firstLine="0"/>
        <w:jc w:val="left"/>
        <w:rPr>
          <w:rFonts w:ascii="Times New Roman"/>
          <w:sz w:val="22"/>
        </w:rPr>
      </w:pPr>
      <w:r>
        <w:rPr/>
        <w:br w:type="column"/>
      </w:r>
      <w:r>
        <w:rPr>
          <w:rFonts w:ascii="Times New Roman"/>
          <w:color w:val="2E97D3"/>
          <w:sz w:val="22"/>
          <w:u w:val="single" w:color="2E97D3"/>
        </w:rPr>
        <w:t>pe of</w:t>
      </w:r>
    </w:p>
    <w:p>
      <w:pPr>
        <w:spacing w:line="244" w:lineRule="exact" w:before="0"/>
        <w:ind w:left="935" w:right="0" w:firstLine="0"/>
        <w:jc w:val="left"/>
        <w:rPr>
          <w:rFonts w:ascii="Times New Roman"/>
          <w:sz w:val="22"/>
        </w:rPr>
      </w:pPr>
      <w:r>
        <w:rPr/>
        <w:br w:type="column"/>
      </w:r>
      <w:r>
        <w:rPr>
          <w:rFonts w:ascii="Times New Roman"/>
          <w:color w:val="2E97D3"/>
          <w:sz w:val="22"/>
          <w:u w:val="single" w:color="2E97D3"/>
        </w:rPr>
        <w:t>timing and nature/scope</w:t>
      </w:r>
    </w:p>
    <w:p>
      <w:pPr>
        <w:spacing w:after="0" w:line="244" w:lineRule="exact"/>
        <w:jc w:val="left"/>
        <w:rPr>
          <w:rFonts w:ascii="Times New Roman"/>
          <w:sz w:val="22"/>
        </w:rPr>
        <w:sectPr>
          <w:type w:val="continuous"/>
          <w:pgSz w:w="12240" w:h="15840"/>
          <w:pgMar w:top="560" w:bottom="280" w:left="620" w:right="940"/>
          <w:cols w:num="3" w:equalWidth="0">
            <w:col w:w="2711" w:space="40"/>
            <w:col w:w="539" w:space="4060"/>
            <w:col w:w="3330"/>
          </w:cols>
        </w:sectPr>
      </w:pPr>
    </w:p>
    <w:p>
      <w:pPr>
        <w:pStyle w:val="BodyText"/>
        <w:ind w:left="935" w:right="-5"/>
      </w:pPr>
      <w:r>
        <w:rPr>
          <w:color w:val="2E97D3"/>
        </w:rPr>
        <w:t>feasibility studies,</w:t>
      </w:r>
      <w:r>
        <w:rPr>
          <w:color w:val="2E97D3"/>
          <w:spacing w:val="-53"/>
        </w:rPr>
        <w:t> </w:t>
      </w:r>
      <w:r>
        <w:rPr>
          <w:rFonts w:ascii="Times New Roman"/>
          <w:color w:val="2E97D3"/>
          <w:position w:val="14"/>
          <w:sz w:val="22"/>
          <w:u w:val="single" w:color="2E97D3"/>
        </w:rPr>
        <w:t>activities. </w:t>
      </w:r>
      <w:r>
        <w:rPr>
          <w:color w:val="2E97D3"/>
        </w:rPr>
        <w:t>program management, and budget packages.</w:t>
      </w:r>
    </w:p>
    <w:p>
      <w:pPr>
        <w:spacing w:line="244" w:lineRule="exact" w:before="0"/>
        <w:ind w:left="935" w:right="0" w:firstLine="0"/>
        <w:jc w:val="left"/>
        <w:rPr>
          <w:rFonts w:ascii="Times New Roman"/>
          <w:sz w:val="22"/>
        </w:rPr>
      </w:pPr>
      <w:r>
        <w:rPr/>
        <w:br w:type="column"/>
      </w:r>
      <w:r>
        <w:rPr>
          <w:rFonts w:ascii="Times New Roman"/>
          <w:color w:val="2E97D3"/>
          <w:sz w:val="22"/>
          <w:u w:val="single" w:color="2E97D3"/>
        </w:rPr>
        <w:t>of activities.</w:t>
      </w:r>
    </w:p>
    <w:p>
      <w:pPr>
        <w:spacing w:after="0" w:line="244" w:lineRule="exact"/>
        <w:jc w:val="left"/>
        <w:rPr>
          <w:rFonts w:ascii="Times New Roman"/>
          <w:sz w:val="22"/>
        </w:rPr>
        <w:sectPr>
          <w:type w:val="continuous"/>
          <w:pgSz w:w="12240" w:h="15840"/>
          <w:pgMar w:top="560" w:bottom="280" w:left="620" w:right="940"/>
          <w:cols w:num="2" w:equalWidth="0">
            <w:col w:w="3694" w:space="3655"/>
            <w:col w:w="3331"/>
          </w:cols>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0"/>
        </w:rPr>
      </w:pPr>
    </w:p>
    <w:p>
      <w:pPr>
        <w:spacing w:before="0"/>
        <w:ind w:left="820" w:right="0" w:firstLine="0"/>
        <w:jc w:val="left"/>
        <w:rPr>
          <w:rFonts w:ascii="Times New Roman"/>
          <w:b/>
          <w:sz w:val="16"/>
        </w:rPr>
      </w:pPr>
      <w:r>
        <w:rPr>
          <w:rFonts w:ascii="Times New Roman"/>
          <w:b/>
          <w:strike/>
          <w:color w:val="2C6234"/>
          <w:sz w:val="16"/>
        </w:rPr>
        <w:t>(Continued)</w:t>
      </w:r>
    </w:p>
    <w:p>
      <w:pPr>
        <w:spacing w:after="0"/>
        <w:jc w:val="left"/>
        <w:rPr>
          <w:rFonts w:ascii="Times New Roman"/>
          <w:sz w:val="16"/>
        </w:rPr>
        <w:sectPr>
          <w:type w:val="continuous"/>
          <w:pgSz w:w="12240" w:h="15840"/>
          <w:pgMar w:top="560" w:bottom="280" w:left="620" w:right="940"/>
        </w:sectPr>
      </w:pPr>
    </w:p>
    <w:p>
      <w:pPr>
        <w:pStyle w:val="BodyText"/>
        <w:rPr>
          <w:rFonts w:ascii="Times New Roman"/>
          <w:b/>
          <w:sz w:val="20"/>
        </w:rPr>
      </w:pPr>
    </w:p>
    <w:p>
      <w:pPr>
        <w:pStyle w:val="BodyText"/>
        <w:spacing w:before="214"/>
        <w:ind w:left="820"/>
      </w:pPr>
      <w:r>
        <w:rPr/>
        <w:pict>
          <v:line style="position:absolute;mso-position-horizontal-relative:page;mso-position-vertical-relative:paragraph;z-index:20968" from="36.360001pt,10.915881pt" to="36.360001pt,478.435881pt" stroked="true" strokeweight=".72pt" strokecolor="#000000">
            <v:stroke dashstyle="solid"/>
            <w10:wrap type="none"/>
          </v:line>
        </w:pict>
      </w:r>
      <w:r>
        <w:rPr>
          <w:strike/>
          <w:color w:val="2E97D3"/>
        </w:rPr>
        <w:t>(Continued)</w:t>
      </w:r>
    </w:p>
    <w:p>
      <w:pPr>
        <w:pStyle w:val="Heading2"/>
        <w:ind w:left="820"/>
      </w:pPr>
      <w:r>
        <w:rPr>
          <w:strike/>
          <w:color w:val="2E97D3"/>
        </w:rPr>
        <w:t>CAPITAL OUTLAY VERSUS STATE OPERATIONS AND</w:t>
      </w:r>
    </w:p>
    <w:p>
      <w:pPr>
        <w:tabs>
          <w:tab w:pos="8595" w:val="left" w:leader="none"/>
        </w:tabs>
        <w:spacing w:before="0"/>
        <w:ind w:left="820" w:right="0" w:firstLine="0"/>
        <w:jc w:val="left"/>
        <w:rPr>
          <w:sz w:val="24"/>
        </w:rPr>
      </w:pPr>
      <w:r>
        <w:rPr/>
        <w:pict>
          <v:line style="position:absolute;mso-position-horizontal-relative:page;mso-position-vertical-relative:paragraph;z-index:-451744" from="72pt,8.436345pt" to="537.36pt,8.436345pt" stroked="true" strokeweight=".599pt" strokecolor="#2e97d3">
            <v:stroke dashstyle="solid"/>
            <w10:wrap type="none"/>
          </v:line>
        </w:pict>
      </w:r>
      <w:r>
        <w:rPr>
          <w:b/>
          <w:color w:val="2E97D3"/>
          <w:sz w:val="24"/>
        </w:rPr>
        <w:t>LOCAL</w:t>
      </w:r>
      <w:r>
        <w:rPr>
          <w:b/>
          <w:color w:val="2E97D3"/>
          <w:spacing w:val="-1"/>
          <w:sz w:val="24"/>
        </w:rPr>
        <w:t> </w:t>
      </w:r>
      <w:r>
        <w:rPr>
          <w:b/>
          <w:color w:val="2E97D3"/>
          <w:sz w:val="24"/>
        </w:rPr>
        <w:t>ASSISTANCE</w:t>
        <w:tab/>
        <w:t>6806 </w:t>
      </w:r>
      <w:r>
        <w:rPr>
          <w:color w:val="2E97D3"/>
          <w:sz w:val="24"/>
        </w:rPr>
        <w:t>(Cont.</w:t>
      </w:r>
      <w:r>
        <w:rPr>
          <w:color w:val="2E97D3"/>
          <w:spacing w:val="-7"/>
          <w:sz w:val="24"/>
        </w:rPr>
        <w:t> </w:t>
      </w:r>
      <w:r>
        <w:rPr>
          <w:color w:val="2E97D3"/>
          <w:sz w:val="24"/>
        </w:rPr>
        <w:t>6)</w:t>
      </w:r>
    </w:p>
    <w:p>
      <w:pPr>
        <w:pStyle w:val="BodyText"/>
        <w:ind w:left="820"/>
      </w:pPr>
      <w:r>
        <w:rPr>
          <w:strike/>
          <w:color w:val="2E97D3"/>
        </w:rPr>
        <w:t>(Revised 09/2017)</w:t>
      </w:r>
    </w:p>
    <w:p>
      <w:pPr>
        <w:pStyle w:val="Heading2"/>
        <w:spacing w:before="120"/>
        <w:ind w:left="2106" w:right="1527"/>
        <w:jc w:val="center"/>
      </w:pPr>
      <w:r>
        <w:rPr/>
        <w:pict>
          <v:line style="position:absolute;mso-position-horizontal-relative:page;mso-position-vertical-relative:paragraph;z-index:-451720" from="105.480003pt,98.675873pt" to="207.480003pt,98.675873pt" stroked="true" strokeweight=".6pt" strokecolor="#2e97d3">
            <v:stroke dashstyle="solid"/>
            <w10:wrap type="none"/>
          </v:line>
        </w:pict>
      </w:r>
      <w:bookmarkStart w:name="ILLUSTRATION DISTINCTION BETWEEN CAPITAL" w:id="68"/>
      <w:bookmarkEnd w:id="68"/>
      <w:r>
        <w:rPr>
          <w:b w:val="0"/>
        </w:rPr>
      </w:r>
      <w:r>
        <w:rPr>
          <w:strike/>
          <w:color w:val="2E97D3"/>
        </w:rPr>
        <w:t>ILLUSTRATION DISTINCTION BETWEEN CAPITAL OUTLAY AND STATE OPERATIONS</w:t>
      </w:r>
    </w:p>
    <w:p>
      <w:pPr>
        <w:pStyle w:val="BodyText"/>
        <w:spacing w:before="4"/>
        <w:rPr>
          <w:b/>
        </w:rPr>
      </w:pPr>
    </w:p>
    <w:tbl>
      <w:tblPr>
        <w:tblW w:w="0" w:type="auto"/>
        <w:jc w:val="left"/>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48"/>
        <w:gridCol w:w="2071"/>
        <w:gridCol w:w="2069"/>
        <w:gridCol w:w="1980"/>
      </w:tblGrid>
      <w:tr>
        <w:trPr>
          <w:trHeight w:val="566" w:hRule="exact"/>
        </w:trPr>
        <w:tc>
          <w:tcPr>
            <w:tcW w:w="3348" w:type="dxa"/>
          </w:tcPr>
          <w:p>
            <w:pPr/>
          </w:p>
        </w:tc>
        <w:tc>
          <w:tcPr>
            <w:tcW w:w="2071" w:type="dxa"/>
          </w:tcPr>
          <w:p>
            <w:pPr>
              <w:pStyle w:val="TableParagraph"/>
              <w:ind w:left="242" w:right="207" w:firstLine="400"/>
              <w:rPr>
                <w:b/>
                <w:sz w:val="24"/>
              </w:rPr>
            </w:pPr>
            <w:r>
              <w:rPr>
                <w:b/>
                <w:strike/>
                <w:color w:val="2E97D3"/>
                <w:sz w:val="24"/>
              </w:rPr>
              <w:t>STATE OPERATIONS</w:t>
            </w:r>
          </w:p>
        </w:tc>
        <w:tc>
          <w:tcPr>
            <w:tcW w:w="2069" w:type="dxa"/>
          </w:tcPr>
          <w:p>
            <w:pPr>
              <w:pStyle w:val="TableParagraph"/>
              <w:ind w:left="542" w:hanging="24"/>
              <w:rPr>
                <w:b/>
                <w:sz w:val="24"/>
              </w:rPr>
            </w:pPr>
            <w:r>
              <w:rPr>
                <w:b/>
                <w:strike/>
                <w:color w:val="2E97D3"/>
                <w:sz w:val="24"/>
              </w:rPr>
              <w:t>CAPITAL OUTLAY</w:t>
            </w:r>
          </w:p>
        </w:tc>
        <w:tc>
          <w:tcPr>
            <w:tcW w:w="1980" w:type="dxa"/>
          </w:tcPr>
          <w:p>
            <w:pPr/>
          </w:p>
        </w:tc>
      </w:tr>
      <w:tr>
        <w:trPr>
          <w:trHeight w:val="1118" w:hRule="exact"/>
        </w:trPr>
        <w:tc>
          <w:tcPr>
            <w:tcW w:w="3348" w:type="dxa"/>
          </w:tcPr>
          <w:p>
            <w:pPr>
              <w:pStyle w:val="TableParagraph"/>
              <w:rPr>
                <w:b/>
                <w:sz w:val="24"/>
              </w:rPr>
            </w:pPr>
          </w:p>
          <w:p>
            <w:pPr>
              <w:pStyle w:val="TableParagraph"/>
              <w:spacing w:line="276" w:lineRule="exact"/>
              <w:ind w:left="1008" w:right="618" w:hanging="353"/>
              <w:rPr>
                <w:b/>
                <w:sz w:val="16"/>
              </w:rPr>
            </w:pPr>
            <w:r>
              <w:rPr>
                <w:b/>
                <w:color w:val="2E97D3"/>
                <w:sz w:val="24"/>
              </w:rPr>
              <w:t>DESCRIPTION OF </w:t>
            </w:r>
            <w:r>
              <w:rPr>
                <w:b/>
                <w:strike/>
                <w:color w:val="2E97D3"/>
                <w:sz w:val="24"/>
              </w:rPr>
              <w:t>PROJECT </w:t>
            </w:r>
            <w:r>
              <w:rPr>
                <w:b/>
                <w:strike/>
                <w:color w:val="2E97D3"/>
                <w:position w:val="8"/>
                <w:sz w:val="16"/>
              </w:rPr>
              <w:t>1/</w:t>
            </w:r>
          </w:p>
        </w:tc>
        <w:tc>
          <w:tcPr>
            <w:tcW w:w="2071" w:type="dxa"/>
          </w:tcPr>
          <w:p>
            <w:pPr>
              <w:pStyle w:val="TableParagraph"/>
              <w:ind w:left="321" w:right="304" w:firstLine="1"/>
              <w:jc w:val="center"/>
              <w:rPr>
                <w:b/>
                <w:sz w:val="24"/>
              </w:rPr>
            </w:pPr>
            <w:r>
              <w:rPr>
                <w:b/>
                <w:strike/>
                <w:color w:val="2E97D3"/>
                <w:sz w:val="24"/>
              </w:rPr>
              <w:t>OPERATING EXPENSES AND EQUIPMENT</w:t>
            </w:r>
          </w:p>
        </w:tc>
        <w:tc>
          <w:tcPr>
            <w:tcW w:w="2069" w:type="dxa"/>
          </w:tcPr>
          <w:p>
            <w:pPr>
              <w:pStyle w:val="TableParagraph"/>
              <w:spacing w:before="135"/>
              <w:ind w:left="216" w:right="194" w:hanging="4"/>
              <w:jc w:val="center"/>
              <w:rPr>
                <w:b/>
                <w:sz w:val="24"/>
              </w:rPr>
            </w:pPr>
            <w:r>
              <w:rPr>
                <w:b/>
                <w:strike/>
                <w:color w:val="2E97D3"/>
                <w:sz w:val="24"/>
              </w:rPr>
              <w:t>PROJECT LEVEL MINOR PROJECTS</w:t>
            </w:r>
          </w:p>
        </w:tc>
        <w:tc>
          <w:tcPr>
            <w:tcW w:w="1980" w:type="dxa"/>
          </w:tcPr>
          <w:p>
            <w:pPr>
              <w:pStyle w:val="TableParagraph"/>
              <w:spacing w:before="135"/>
              <w:ind w:left="139" w:right="119" w:hanging="4"/>
              <w:jc w:val="center"/>
              <w:rPr>
                <w:b/>
                <w:sz w:val="24"/>
              </w:rPr>
            </w:pPr>
            <w:r>
              <w:rPr>
                <w:b/>
                <w:strike/>
                <w:color w:val="2E97D3"/>
                <w:sz w:val="24"/>
              </w:rPr>
              <w:t>PROJECT LEVEL MAJOR PROJECTS</w:t>
            </w:r>
          </w:p>
        </w:tc>
      </w:tr>
      <w:tr>
        <w:trPr>
          <w:trHeight w:val="845" w:hRule="exact"/>
        </w:trPr>
        <w:tc>
          <w:tcPr>
            <w:tcW w:w="3348" w:type="dxa"/>
          </w:tcPr>
          <w:p>
            <w:pPr>
              <w:pStyle w:val="TableParagraph"/>
              <w:ind w:left="100" w:right="119"/>
              <w:rPr>
                <w:sz w:val="24"/>
              </w:rPr>
            </w:pPr>
            <w:r>
              <w:rPr>
                <w:b/>
                <w:strike/>
                <w:color w:val="2E97D3"/>
                <w:sz w:val="24"/>
              </w:rPr>
              <w:t>Exercise of purchase option </w:t>
            </w:r>
            <w:r>
              <w:rPr>
                <w:strike/>
                <w:color w:val="2E97D3"/>
                <w:sz w:val="24"/>
              </w:rPr>
              <w:t>for currently rented or leased space (Section 6820)</w:t>
            </w:r>
          </w:p>
        </w:tc>
        <w:tc>
          <w:tcPr>
            <w:tcW w:w="2071" w:type="dxa"/>
          </w:tcPr>
          <w:p>
            <w:pPr/>
          </w:p>
        </w:tc>
        <w:tc>
          <w:tcPr>
            <w:tcW w:w="2069" w:type="dxa"/>
          </w:tcPr>
          <w:p>
            <w:pPr/>
          </w:p>
        </w:tc>
        <w:tc>
          <w:tcPr>
            <w:tcW w:w="1980" w:type="dxa"/>
          </w:tcPr>
          <w:p>
            <w:pPr>
              <w:pStyle w:val="TableParagraph"/>
              <w:spacing w:before="9"/>
              <w:rPr>
                <w:b/>
                <w:sz w:val="23"/>
              </w:rPr>
            </w:pPr>
          </w:p>
          <w:p>
            <w:pPr>
              <w:pStyle w:val="TableParagraph"/>
              <w:ind w:left="100" w:right="338"/>
              <w:rPr>
                <w:sz w:val="24"/>
              </w:rPr>
            </w:pPr>
            <w:r>
              <w:rPr>
                <w:strike/>
                <w:color w:val="2E97D3"/>
                <w:sz w:val="24"/>
              </w:rPr>
              <w:t>Irrespective of amount</w:t>
            </w:r>
          </w:p>
        </w:tc>
      </w:tr>
      <w:tr>
        <w:trPr>
          <w:trHeight w:val="1702" w:hRule="exact"/>
        </w:trPr>
        <w:tc>
          <w:tcPr>
            <w:tcW w:w="3348" w:type="dxa"/>
          </w:tcPr>
          <w:p>
            <w:pPr>
              <w:pStyle w:val="TableParagraph"/>
              <w:ind w:left="100" w:right="573"/>
              <w:rPr>
                <w:b/>
                <w:sz w:val="24"/>
              </w:rPr>
            </w:pPr>
            <w:r>
              <w:rPr>
                <w:b/>
                <w:strike/>
                <w:color w:val="2E97D3"/>
                <w:sz w:val="24"/>
              </w:rPr>
              <w:t>Relocation and moving costs</w:t>
            </w:r>
          </w:p>
          <w:p>
            <w:pPr>
              <w:pStyle w:val="TableParagraph"/>
              <w:numPr>
                <w:ilvl w:val="0"/>
                <w:numId w:val="54"/>
              </w:numPr>
              <w:tabs>
                <w:tab w:pos="389" w:val="left" w:leader="none"/>
              </w:tabs>
              <w:spacing w:line="240" w:lineRule="auto" w:before="5" w:after="0"/>
              <w:ind w:left="388" w:right="566" w:hanging="288"/>
              <w:jc w:val="left"/>
              <w:rPr>
                <w:sz w:val="24"/>
              </w:rPr>
            </w:pPr>
            <w:r>
              <w:rPr>
                <w:strike/>
                <w:color w:val="2E97D3"/>
                <w:sz w:val="24"/>
              </w:rPr>
              <w:t>Unrelated to a specific construction</w:t>
            </w:r>
            <w:r>
              <w:rPr>
                <w:strike/>
                <w:color w:val="2E97D3"/>
                <w:spacing w:val="-8"/>
                <w:sz w:val="24"/>
              </w:rPr>
              <w:t> </w:t>
            </w:r>
            <w:r>
              <w:rPr>
                <w:strike/>
                <w:color w:val="2E97D3"/>
                <w:sz w:val="24"/>
              </w:rPr>
              <w:t>project.</w:t>
            </w:r>
          </w:p>
          <w:p>
            <w:pPr>
              <w:pStyle w:val="TableParagraph"/>
              <w:numPr>
                <w:ilvl w:val="0"/>
                <w:numId w:val="54"/>
              </w:numPr>
              <w:tabs>
                <w:tab w:pos="389" w:val="left" w:leader="none"/>
              </w:tabs>
              <w:spacing w:line="274" w:lineRule="exact" w:before="22" w:after="0"/>
              <w:ind w:left="388" w:right="780" w:hanging="288"/>
              <w:jc w:val="left"/>
              <w:rPr>
                <w:sz w:val="24"/>
              </w:rPr>
            </w:pPr>
            <w:r>
              <w:rPr>
                <w:strike/>
                <w:color w:val="2E97D3"/>
                <w:sz w:val="24"/>
              </w:rPr>
              <w:t>Related to a specific construction</w:t>
            </w:r>
            <w:r>
              <w:rPr>
                <w:strike/>
                <w:color w:val="2E97D3"/>
                <w:spacing w:val="-8"/>
                <w:sz w:val="24"/>
              </w:rPr>
              <w:t> </w:t>
            </w:r>
            <w:r>
              <w:rPr>
                <w:strike/>
                <w:color w:val="2E97D3"/>
                <w:sz w:val="24"/>
              </w:rPr>
              <w:t>project.</w:t>
            </w:r>
          </w:p>
        </w:tc>
        <w:tc>
          <w:tcPr>
            <w:tcW w:w="2071" w:type="dxa"/>
          </w:tcPr>
          <w:p>
            <w:pPr>
              <w:pStyle w:val="TableParagraph"/>
              <w:spacing w:before="7"/>
              <w:rPr>
                <w:b/>
                <w:sz w:val="23"/>
              </w:rPr>
            </w:pPr>
          </w:p>
          <w:p>
            <w:pPr>
              <w:pStyle w:val="TableParagraph"/>
              <w:ind w:left="100" w:right="429"/>
              <w:rPr>
                <w:sz w:val="24"/>
              </w:rPr>
            </w:pPr>
            <w:r>
              <w:rPr>
                <w:strike/>
                <w:color w:val="2E97D3"/>
                <w:sz w:val="24"/>
              </w:rPr>
              <w:t>Irrespective of amount Irrespective of amount 4/</w:t>
            </w:r>
          </w:p>
        </w:tc>
        <w:tc>
          <w:tcPr>
            <w:tcW w:w="2069" w:type="dxa"/>
          </w:tcPr>
          <w:p>
            <w:pPr/>
          </w:p>
        </w:tc>
        <w:tc>
          <w:tcPr>
            <w:tcW w:w="1980" w:type="dxa"/>
          </w:tcPr>
          <w:p>
            <w:pPr/>
          </w:p>
        </w:tc>
      </w:tr>
      <w:tr>
        <w:trPr>
          <w:trHeight w:val="2777" w:hRule="exact"/>
        </w:trPr>
        <w:tc>
          <w:tcPr>
            <w:tcW w:w="3348" w:type="dxa"/>
          </w:tcPr>
          <w:p>
            <w:pPr>
              <w:pStyle w:val="TableParagraph"/>
              <w:ind w:left="100" w:right="385"/>
              <w:rPr>
                <w:sz w:val="24"/>
              </w:rPr>
            </w:pPr>
            <w:r>
              <w:rPr>
                <w:b/>
                <w:strike/>
                <w:color w:val="2E97D3"/>
                <w:sz w:val="24"/>
              </w:rPr>
              <w:t>Technical assistance/consultants </w:t>
            </w:r>
            <w:r>
              <w:rPr>
                <w:strike/>
                <w:color w:val="2E97D3"/>
                <w:sz w:val="24"/>
              </w:rPr>
              <w:t>This may include studies, master planning, feasibility studies, program management, and budget packages.</w:t>
            </w:r>
          </w:p>
        </w:tc>
        <w:tc>
          <w:tcPr>
            <w:tcW w:w="2071" w:type="dxa"/>
          </w:tcPr>
          <w:p>
            <w:pPr>
              <w:pStyle w:val="TableParagraph"/>
              <w:ind w:left="100" w:right="282"/>
              <w:rPr>
                <w:sz w:val="24"/>
              </w:rPr>
            </w:pPr>
            <w:r>
              <w:rPr>
                <w:strike/>
                <w:color w:val="2E97D3"/>
                <w:sz w:val="24"/>
              </w:rPr>
              <w:t>Depends on timing and nature/scope of activities.</w:t>
            </w:r>
          </w:p>
        </w:tc>
        <w:tc>
          <w:tcPr>
            <w:tcW w:w="2069" w:type="dxa"/>
          </w:tcPr>
          <w:p>
            <w:pPr/>
          </w:p>
        </w:tc>
        <w:tc>
          <w:tcPr>
            <w:tcW w:w="1980" w:type="dxa"/>
          </w:tcPr>
          <w:p>
            <w:pPr>
              <w:pStyle w:val="TableParagraph"/>
              <w:ind w:left="100" w:right="111"/>
              <w:rPr>
                <w:sz w:val="24"/>
              </w:rPr>
            </w:pPr>
            <w:r>
              <w:rPr>
                <w:strike/>
                <w:color w:val="2E97D3"/>
                <w:sz w:val="24"/>
              </w:rPr>
              <w:t>Budget packages are generally capital outlay; other studies and assistance depend on timing and nature/scope of activities.</w:t>
            </w:r>
          </w:p>
        </w:tc>
      </w:tr>
    </w:tbl>
    <w:p>
      <w:pPr>
        <w:pStyle w:val="BodyText"/>
        <w:spacing w:before="10"/>
        <w:rPr>
          <w:b/>
          <w:sz w:val="23"/>
        </w:rPr>
      </w:pPr>
    </w:p>
    <w:p>
      <w:pPr>
        <w:spacing w:line="207" w:lineRule="exact" w:before="0"/>
        <w:ind w:left="820" w:right="0" w:firstLine="0"/>
        <w:jc w:val="left"/>
        <w:rPr>
          <w:sz w:val="18"/>
        </w:rPr>
      </w:pPr>
      <w:r>
        <w:rPr>
          <w:sz w:val="18"/>
        </w:rPr>
        <w:t>1/ State-funded but locally-owned infrastructure is classified as local assistance.</w:t>
      </w:r>
    </w:p>
    <w:p>
      <w:pPr>
        <w:spacing w:before="0"/>
        <w:ind w:left="820" w:right="675" w:firstLine="0"/>
        <w:jc w:val="left"/>
        <w:rPr>
          <w:sz w:val="18"/>
        </w:rPr>
      </w:pPr>
      <w:r>
        <w:rPr/>
        <w:pict>
          <v:line style="position:absolute;mso-position-horizontal-relative:page;mso-position-vertical-relative:paragraph;z-index:20992" from="36.360001pt,20.679899pt" to="36.360001pt,31.718899pt" stroked="true" strokeweight=".72pt" strokecolor="#000000">
            <v:stroke dashstyle="solid"/>
            <w10:wrap type="none"/>
          </v:line>
        </w:pict>
      </w:r>
      <w:r>
        <w:rPr>
          <w:sz w:val="18"/>
        </w:rPr>
        <w:t>2/ Control Section 6.00 allows the use of limited support appropriations for the alterations of state-owned facility. 3/ See Public Contract Code Section 10108.5 for exceptions.</w:t>
      </w:r>
    </w:p>
    <w:p>
      <w:pPr>
        <w:spacing w:line="213" w:lineRule="exact" w:before="1"/>
        <w:ind w:left="820" w:right="0" w:firstLine="0"/>
        <w:jc w:val="left"/>
        <w:rPr>
          <w:sz w:val="18"/>
        </w:rPr>
      </w:pPr>
      <w:r>
        <w:rPr>
          <w:sz w:val="18"/>
        </w:rPr>
        <w:t>4/ </w:t>
      </w:r>
      <w:r>
        <w:rPr>
          <w:strike/>
          <w:color w:val="2E97D3"/>
          <w:position w:val="8"/>
          <w:sz w:val="16"/>
        </w:rPr>
        <w:t>DOF</w:t>
      </w:r>
      <w:r>
        <w:rPr>
          <w:strike w:val="0"/>
          <w:color w:val="2E97D3"/>
          <w:sz w:val="18"/>
          <w:u w:val="single" w:color="2E97D3"/>
        </w:rPr>
        <w:t>Finance </w:t>
      </w:r>
      <w:r>
        <w:rPr>
          <w:strike w:val="0"/>
          <w:sz w:val="18"/>
        </w:rPr>
        <w:t>may authorize exceptions to this rule.</w:t>
      </w:r>
    </w:p>
    <w:p>
      <w:pPr>
        <w:pStyle w:val="BodyText"/>
        <w:rPr>
          <w:sz w:val="20"/>
        </w:rPr>
      </w:pPr>
    </w:p>
    <w:p>
      <w:pPr>
        <w:pStyle w:val="BodyText"/>
        <w:rPr>
          <w:sz w:val="20"/>
        </w:rPr>
      </w:pPr>
    </w:p>
    <w:p>
      <w:pPr>
        <w:pStyle w:val="BodyText"/>
        <w:rPr>
          <w:sz w:val="20"/>
        </w:rPr>
      </w:pPr>
    </w:p>
    <w:p>
      <w:pPr>
        <w:pStyle w:val="BodyText"/>
        <w:spacing w:before="2"/>
        <w:rPr>
          <w:sz w:val="22"/>
        </w:rPr>
      </w:pPr>
    </w:p>
    <w:p>
      <w:pPr>
        <w:pStyle w:val="Heading2"/>
        <w:tabs>
          <w:tab w:pos="9639" w:val="left" w:leader="none"/>
        </w:tabs>
        <w:spacing w:before="92"/>
        <w:ind w:left="820"/>
      </w:pPr>
      <w:r>
        <w:rPr/>
        <w:pict>
          <v:line style="position:absolute;mso-position-horizontal-relative:page;mso-position-vertical-relative:paragraph;z-index:21016" from="36.360001pt,4.815861pt" to="36.360001pt,87.615861pt" stroked="true" strokeweight=".72pt" strokecolor="#000000">
            <v:stroke dashstyle="solid"/>
            <w10:wrap type="none"/>
          </v:line>
        </w:pict>
      </w:r>
      <w:r>
        <w:rPr/>
        <w:t>MINOR</w:t>
      </w:r>
      <w:r>
        <w:rPr>
          <w:spacing w:val="-3"/>
        </w:rPr>
        <w:t> </w:t>
      </w:r>
      <w:r>
        <w:rPr/>
        <w:t>CAPITAL</w:t>
      </w:r>
      <w:r>
        <w:rPr>
          <w:spacing w:val="-3"/>
        </w:rPr>
        <w:t> </w:t>
      </w:r>
      <w:r>
        <w:rPr/>
        <w:t>OUTLAY</w:t>
        <w:tab/>
        <w:t>6807</w:t>
      </w:r>
    </w:p>
    <w:p>
      <w:pPr>
        <w:pStyle w:val="BodyText"/>
        <w:ind w:left="820"/>
      </w:pPr>
      <w:r>
        <w:rPr/>
        <w:t>(Revised </w:t>
      </w:r>
      <w:r>
        <w:rPr>
          <w:strike/>
          <w:color w:val="2E97D3"/>
        </w:rPr>
        <w:t>5/1998</w:t>
      </w:r>
      <w:r>
        <w:rPr>
          <w:strike w:val="0"/>
          <w:color w:val="2E97D3"/>
          <w:u w:val="single" w:color="2E97D3"/>
        </w:rPr>
        <w:t>11/2017</w:t>
      </w:r>
      <w:r>
        <w:rPr>
          <w:strike w:val="0"/>
        </w:rPr>
        <w:t>)</w:t>
      </w:r>
    </w:p>
    <w:p>
      <w:pPr>
        <w:pStyle w:val="BodyText"/>
        <w:rPr>
          <w:sz w:val="16"/>
        </w:rPr>
      </w:pPr>
    </w:p>
    <w:p>
      <w:pPr>
        <w:pStyle w:val="BodyText"/>
        <w:spacing w:before="92"/>
        <w:ind w:left="820" w:right="241"/>
      </w:pPr>
      <w:r>
        <w:rPr/>
        <w:t>Minor capital outlay is any project under $</w:t>
      </w:r>
      <w:r>
        <w:rPr>
          <w:strike/>
          <w:color w:val="2E97D3"/>
        </w:rPr>
        <w:t>250</w:t>
      </w:r>
      <w:r>
        <w:rPr>
          <w:strike w:val="0"/>
          <w:color w:val="2E97D3"/>
          <w:u w:val="single" w:color="2E97D3"/>
        </w:rPr>
        <w:t>656</w:t>
      </w:r>
      <w:r>
        <w:rPr>
          <w:strike w:val="0"/>
        </w:rPr>
        <w:t>,000 (except an acquisition project) which is scheduled in the Budget Act specifically </w:t>
      </w:r>
      <w:r>
        <w:rPr>
          <w:strike/>
          <w:color w:val="2E97D3"/>
        </w:rPr>
        <w:t>under the heading “minors.” </w:t>
      </w:r>
      <w:r>
        <w:rPr>
          <w:strike w:val="0"/>
          <w:color w:val="2E97D3"/>
          <w:u w:val="single" w:color="2E97D3"/>
        </w:rPr>
        <w:t>as minor capital outlay. </w:t>
      </w:r>
      <w:r>
        <w:rPr>
          <w:strike w:val="0"/>
        </w:rPr>
        <w:t>However, Resources Agency capital outlay projects of up to $</w:t>
      </w:r>
      <w:r>
        <w:rPr>
          <w:strike/>
          <w:color w:val="2E97D3"/>
        </w:rPr>
        <w:t>500</w:t>
      </w:r>
      <w:r>
        <w:rPr>
          <w:strike w:val="0"/>
          <w:color w:val="2E97D3"/>
          <w:u w:val="single" w:color="2E97D3"/>
        </w:rPr>
        <w:t>903</w:t>
      </w:r>
      <w:r>
        <w:rPr>
          <w:strike w:val="0"/>
        </w:rPr>
        <w:t>,000 may be proposed as minor projects with the concurrence of DOF (Public Contract Code</w:t>
      </w:r>
    </w:p>
    <w:p>
      <w:pPr>
        <w:spacing w:after="0"/>
        <w:sectPr>
          <w:pgSz w:w="12240" w:h="15840"/>
          <w:pgMar w:header="728" w:footer="803" w:top="980" w:bottom="1000" w:left="620" w:right="1200"/>
        </w:sectPr>
      </w:pPr>
    </w:p>
    <w:p>
      <w:pPr>
        <w:pStyle w:val="BodyText"/>
        <w:rPr>
          <w:sz w:val="20"/>
        </w:rPr>
      </w:pPr>
    </w:p>
    <w:p>
      <w:pPr>
        <w:pStyle w:val="BodyText"/>
        <w:spacing w:before="214"/>
        <w:ind w:left="820" w:right="1028"/>
      </w:pPr>
      <w:r>
        <w:rPr/>
        <w:pict>
          <v:line style="position:absolute;mso-position-horizontal-relative:page;mso-position-vertical-relative:paragraph;z-index:21160" from="36.360001pt,10.915881pt" to="36.360001pt,90.115881pt" stroked="true" strokeweight=".72pt" strokecolor="#000000">
            <v:stroke dashstyle="solid"/>
            <w10:wrap type="none"/>
          </v:line>
        </w:pict>
      </w:r>
      <w:r>
        <w:rPr>
          <w:strike/>
          <w:color w:val="2E97D3"/>
          <w:u w:val="single" w:color="2E97D3"/>
        </w:rPr>
        <w:t>10108.5</w:t>
      </w:r>
      <w:r>
        <w:rPr>
          <w:strike/>
          <w:color w:val="2E97D3"/>
        </w:rPr>
        <w:t>). </w:t>
      </w:r>
      <w:r>
        <w:rPr>
          <w:strike w:val="0"/>
          <w:color w:val="2E97D3"/>
          <w:u w:val="single" w:color="2E97D3"/>
        </w:rPr>
        <w:t>10108.5). </w:t>
      </w:r>
      <w:r>
        <w:rPr>
          <w:strike w:val="0"/>
        </w:rPr>
        <w:t>The $</w:t>
      </w:r>
      <w:r>
        <w:rPr>
          <w:strike/>
          <w:color w:val="2E97D3"/>
        </w:rPr>
        <w:t>250</w:t>
      </w:r>
      <w:r>
        <w:rPr>
          <w:strike w:val="0"/>
          <w:color w:val="2E97D3"/>
          <w:u w:val="single" w:color="2E97D3"/>
        </w:rPr>
        <w:t>903</w:t>
      </w:r>
      <w:r>
        <w:rPr>
          <w:strike w:val="0"/>
        </w:rPr>
        <w:t>,000 limit does not apply to district agricultural associations or the State Lands Commission.</w:t>
      </w:r>
    </w:p>
    <w:p>
      <w:pPr>
        <w:pStyle w:val="BodyText"/>
        <w:spacing w:before="10"/>
        <w:rPr>
          <w:sz w:val="20"/>
        </w:rPr>
      </w:pPr>
    </w:p>
    <w:p>
      <w:pPr>
        <w:pStyle w:val="Heading2"/>
        <w:ind w:left="820"/>
        <w:rPr>
          <w:b w:val="0"/>
        </w:rPr>
      </w:pPr>
      <w:r>
        <w:rPr/>
        <w:t>Important budgeting points include</w:t>
      </w:r>
      <w:r>
        <w:rPr>
          <w:b w:val="0"/>
        </w:rPr>
        <w:t>:</w:t>
      </w:r>
    </w:p>
    <w:p>
      <w:pPr>
        <w:pStyle w:val="BodyText"/>
        <w:spacing w:before="7"/>
        <w:rPr>
          <w:sz w:val="20"/>
        </w:rPr>
      </w:pPr>
    </w:p>
    <w:p>
      <w:pPr>
        <w:pStyle w:val="ListParagraph"/>
        <w:numPr>
          <w:ilvl w:val="0"/>
          <w:numId w:val="55"/>
        </w:numPr>
        <w:tabs>
          <w:tab w:pos="1539" w:val="left" w:leader="none"/>
          <w:tab w:pos="1540" w:val="left" w:leader="none"/>
        </w:tabs>
        <w:spacing w:line="240" w:lineRule="auto" w:before="0" w:after="0"/>
        <w:ind w:left="820" w:right="231" w:firstLine="0"/>
        <w:jc w:val="left"/>
        <w:rPr>
          <w:sz w:val="24"/>
        </w:rPr>
      </w:pPr>
      <w:r>
        <w:rPr/>
        <w:pict>
          <v:line style="position:absolute;mso-position-horizontal-relative:page;mso-position-vertical-relative:paragraph;z-index:-451624" from="246.240005pt,36.155853pt" to="249.480005pt,36.155853pt" stroked="true" strokeweight=".6pt" strokecolor="#2e97d3">
            <v:stroke dashstyle="solid"/>
            <w10:wrap type="none"/>
          </v:line>
        </w:pict>
      </w:r>
      <w:r>
        <w:rPr/>
        <w:pict>
          <v:line style="position:absolute;mso-position-horizontal-relative:page;mso-position-vertical-relative:paragraph;z-index:21184" from="36.360001pt,27.935852pt" to="36.360001pt,234.935852pt" stroked="true" strokeweight=".72pt" strokecolor="#000000">
            <v:stroke dashstyle="solid"/>
            <w10:wrap type="none"/>
          </v:line>
        </w:pict>
      </w:r>
      <w:r>
        <w:rPr>
          <w:strike w:val="0"/>
          <w:color w:val="2E97D3"/>
          <w:sz w:val="24"/>
          <w:u w:val="single" w:color="2E97D3"/>
        </w:rPr>
        <w:t>1. </w:t>
      </w:r>
      <w:r>
        <w:rPr>
          <w:strike w:val="0"/>
          <w:sz w:val="24"/>
        </w:rPr>
        <w:t>Per Section 3.00 of the Budget Act, the term </w:t>
      </w:r>
      <w:r>
        <w:rPr>
          <w:i/>
          <w:strike w:val="0"/>
          <w:sz w:val="24"/>
        </w:rPr>
        <w:t>minor projects </w:t>
      </w:r>
      <w:r>
        <w:rPr>
          <w:strike w:val="0"/>
          <w:sz w:val="24"/>
        </w:rPr>
        <w:t>includes planning, working drawings, construction, improvements, and equipment projects not specifically set forth in the budget schedule. It does not include any acquisition project, regardless of</w:t>
      </w:r>
      <w:r>
        <w:rPr>
          <w:strike w:val="0"/>
          <w:spacing w:val="-3"/>
          <w:sz w:val="24"/>
        </w:rPr>
        <w:t> </w:t>
      </w:r>
      <w:r>
        <w:rPr>
          <w:strike w:val="0"/>
          <w:sz w:val="24"/>
        </w:rPr>
        <w:t>amount.</w:t>
      </w:r>
    </w:p>
    <w:p>
      <w:pPr>
        <w:pStyle w:val="BodyText"/>
        <w:spacing w:before="10"/>
        <w:rPr>
          <w:sz w:val="23"/>
        </w:rPr>
      </w:pPr>
    </w:p>
    <w:p>
      <w:pPr>
        <w:pStyle w:val="ListParagraph"/>
        <w:numPr>
          <w:ilvl w:val="0"/>
          <w:numId w:val="55"/>
        </w:numPr>
        <w:tabs>
          <w:tab w:pos="1539" w:val="left" w:leader="none"/>
          <w:tab w:pos="1540" w:val="left" w:leader="none"/>
        </w:tabs>
        <w:spacing w:line="240" w:lineRule="auto" w:before="1" w:after="0"/>
        <w:ind w:left="820" w:right="362" w:firstLine="0"/>
        <w:jc w:val="left"/>
        <w:rPr>
          <w:sz w:val="24"/>
        </w:rPr>
      </w:pPr>
      <w:r>
        <w:rPr/>
        <w:pict>
          <v:line style="position:absolute;mso-position-horizontal-relative:page;mso-position-vertical-relative:paragraph;z-index:-451600" from="289.559998pt,49.885857pt" to="292.920998pt,49.885857pt" stroked="true" strokeweight=".6pt" strokecolor="#2e97d3">
            <v:stroke dashstyle="solid"/>
            <w10:wrap type="none"/>
          </v:line>
        </w:pict>
      </w:r>
      <w:r>
        <w:rPr>
          <w:strike w:val="0"/>
          <w:color w:val="2E97D3"/>
          <w:sz w:val="24"/>
          <w:u w:val="single" w:color="2E97D3"/>
        </w:rPr>
        <w:t>2. </w:t>
      </w:r>
      <w:r>
        <w:rPr>
          <w:strike w:val="0"/>
          <w:sz w:val="24"/>
        </w:rPr>
        <w:t>Minor projects are generally </w:t>
      </w:r>
      <w:r>
        <w:rPr>
          <w:strike/>
          <w:color w:val="2E97D3"/>
          <w:sz w:val="24"/>
        </w:rPr>
        <w:t>scheduled together as </w:t>
      </w:r>
      <w:r>
        <w:rPr>
          <w:strike w:val="0"/>
          <w:color w:val="2E97D3"/>
          <w:sz w:val="24"/>
          <w:u w:val="single" w:color="2E97D3"/>
        </w:rPr>
        <w:t>budgeted in </w:t>
      </w:r>
      <w:r>
        <w:rPr>
          <w:strike w:val="0"/>
          <w:sz w:val="24"/>
        </w:rPr>
        <w:t>a single </w:t>
      </w:r>
      <w:r>
        <w:rPr>
          <w:strike/>
          <w:color w:val="2E97D3"/>
          <w:sz w:val="24"/>
        </w:rPr>
        <w:t>“project” and must be labeled as “minors” in the client department’s capital outlay Budget Act item. </w:t>
      </w:r>
      <w:r>
        <w:rPr>
          <w:strike w:val="0"/>
          <w:color w:val="2E97D3"/>
          <w:sz w:val="24"/>
          <w:u w:val="single" w:color="2E97D3"/>
        </w:rPr>
        <w:t>schedule. </w:t>
      </w:r>
      <w:r>
        <w:rPr>
          <w:strike w:val="0"/>
          <w:sz w:val="24"/>
        </w:rPr>
        <w:t>Any project not scheduled specifically as a minor project, regardless of amount, is a major project. (The decision on how to propose scheduling the project </w:t>
      </w:r>
      <w:r>
        <w:rPr>
          <w:strike/>
          <w:color w:val="2E97D3"/>
          <w:sz w:val="24"/>
        </w:rPr>
        <w:t>rests with DOF.)</w:t>
      </w:r>
      <w:r>
        <w:rPr>
          <w:strike w:val="0"/>
          <w:color w:val="2E97D3"/>
          <w:sz w:val="24"/>
          <w:u w:val="single" w:color="2E97D3"/>
        </w:rPr>
        <w:t>is determined by</w:t>
      </w:r>
      <w:r>
        <w:rPr>
          <w:strike w:val="0"/>
          <w:color w:val="2E97D3"/>
          <w:spacing w:val="-25"/>
          <w:sz w:val="24"/>
          <w:u w:val="single" w:color="2E97D3"/>
        </w:rPr>
        <w:t> </w:t>
      </w:r>
      <w:r>
        <w:rPr>
          <w:strike w:val="0"/>
          <w:color w:val="2E97D3"/>
          <w:sz w:val="24"/>
          <w:u w:val="single" w:color="2E97D3"/>
        </w:rPr>
        <w:t>Finance.)</w:t>
      </w:r>
    </w:p>
    <w:p>
      <w:pPr>
        <w:pStyle w:val="BodyText"/>
        <w:spacing w:before="11"/>
        <w:rPr>
          <w:sz w:val="15"/>
        </w:rPr>
      </w:pPr>
    </w:p>
    <w:p>
      <w:pPr>
        <w:pStyle w:val="ListParagraph"/>
        <w:numPr>
          <w:ilvl w:val="0"/>
          <w:numId w:val="55"/>
        </w:numPr>
        <w:tabs>
          <w:tab w:pos="1539" w:val="left" w:leader="none"/>
          <w:tab w:pos="1540" w:val="left" w:leader="none"/>
        </w:tabs>
        <w:spacing w:line="240" w:lineRule="auto" w:before="92" w:after="0"/>
        <w:ind w:left="820" w:right="122" w:firstLine="0"/>
        <w:jc w:val="left"/>
        <w:rPr>
          <w:sz w:val="24"/>
        </w:rPr>
      </w:pPr>
      <w:r>
        <w:rPr>
          <w:strike w:val="0"/>
          <w:color w:val="2E97D3"/>
          <w:sz w:val="24"/>
          <w:u w:val="single" w:color="2E97D3"/>
        </w:rPr>
        <w:t>3. </w:t>
      </w:r>
      <w:r>
        <w:rPr>
          <w:strike w:val="0"/>
          <w:sz w:val="24"/>
        </w:rPr>
        <w:t>DGS may delegate the authority to </w:t>
      </w:r>
      <w:r>
        <w:rPr>
          <w:strike/>
          <w:color w:val="2E97D3"/>
          <w:sz w:val="24"/>
        </w:rPr>
        <w:t>client</w:t>
      </w:r>
      <w:r>
        <w:rPr>
          <w:strike w:val="0"/>
          <w:color w:val="2E97D3"/>
          <w:sz w:val="24"/>
          <w:u w:val="single" w:color="2E97D3"/>
        </w:rPr>
        <w:t>individual </w:t>
      </w:r>
      <w:r>
        <w:rPr>
          <w:strike w:val="0"/>
          <w:sz w:val="24"/>
        </w:rPr>
        <w:t>departments to carry out a minor project directly, pursuant to the Public Contract Code Section 10808 and</w:t>
      </w:r>
      <w:r>
        <w:rPr>
          <w:strike w:val="0"/>
          <w:spacing w:val="-42"/>
          <w:sz w:val="24"/>
        </w:rPr>
        <w:t> </w:t>
      </w:r>
      <w:r>
        <w:rPr>
          <w:strike w:val="0"/>
          <w:sz w:val="24"/>
        </w:rPr>
        <w:t>10808.5.</w:t>
      </w:r>
    </w:p>
    <w:p>
      <w:pPr>
        <w:pStyle w:val="BodyText"/>
        <w:spacing w:before="10"/>
        <w:rPr>
          <w:sz w:val="23"/>
        </w:rPr>
      </w:pPr>
    </w:p>
    <w:p>
      <w:pPr>
        <w:pStyle w:val="ListParagraph"/>
        <w:numPr>
          <w:ilvl w:val="0"/>
          <w:numId w:val="55"/>
        </w:numPr>
        <w:tabs>
          <w:tab w:pos="1539" w:val="left" w:leader="none"/>
          <w:tab w:pos="1540" w:val="left" w:leader="none"/>
        </w:tabs>
        <w:spacing w:line="240" w:lineRule="auto" w:before="1" w:after="0"/>
        <w:ind w:left="820" w:right="123" w:firstLine="0"/>
        <w:jc w:val="left"/>
        <w:rPr>
          <w:sz w:val="24"/>
        </w:rPr>
      </w:pPr>
      <w:r>
        <w:rPr/>
        <w:pict>
          <v:line style="position:absolute;mso-position-horizontal-relative:page;mso-position-vertical-relative:paragraph;z-index:-451576" from="453.720001pt,22.286345pt" to="457.081001pt,22.286345pt" stroked="true" strokeweight=".599pt" strokecolor="#2e97d3">
            <v:stroke dashstyle="solid"/>
            <w10:wrap type="none"/>
          </v:line>
        </w:pict>
      </w:r>
      <w:r>
        <w:rPr/>
        <w:pict>
          <v:line style="position:absolute;mso-position-horizontal-relative:page;mso-position-vertical-relative:paragraph;z-index:-451552" from="536.400024pt,22.286345pt" to="539.760024pt,22.286345pt" stroked="true" strokeweight=".599pt" strokecolor="#2e97d3">
            <v:stroke dashstyle="solid"/>
            <w10:wrap type="none"/>
          </v:line>
        </w:pict>
      </w:r>
      <w:r>
        <w:rPr/>
        <w:pict>
          <v:line style="position:absolute;mso-position-horizontal-relative:page;mso-position-vertical-relative:paragraph;z-index:21208" from="36.360001pt,55.465843pt" to="36.360001pt,138.265843pt" stroked="true" strokeweight=".72pt" strokecolor="#000000">
            <v:stroke dashstyle="solid"/>
            <w10:wrap type="none"/>
          </v:line>
        </w:pict>
      </w:r>
      <w:r>
        <w:rPr>
          <w:strike w:val="0"/>
          <w:color w:val="2E97D3"/>
          <w:sz w:val="24"/>
          <w:u w:val="single" w:color="2E97D3"/>
        </w:rPr>
        <w:t>4. </w:t>
      </w:r>
      <w:r>
        <w:rPr>
          <w:strike w:val="0"/>
          <w:sz w:val="24"/>
        </w:rPr>
        <w:t>Per Section </w:t>
      </w:r>
      <w:r>
        <w:rPr>
          <w:strike/>
          <w:color w:val="2E97D3"/>
          <w:sz w:val="24"/>
        </w:rPr>
        <w:t>2.00</w:t>
      </w:r>
      <w:r>
        <w:rPr>
          <w:strike w:val="0"/>
          <w:color w:val="2E97D3"/>
          <w:sz w:val="24"/>
          <w:u w:val="single" w:color="2E97D3"/>
        </w:rPr>
        <w:t>1.80 </w:t>
      </w:r>
      <w:r>
        <w:rPr>
          <w:strike w:val="0"/>
          <w:sz w:val="24"/>
        </w:rPr>
        <w:t>of the Budget Act, the period of appropriation availability for minor projects is one year, followed by a two-year liquidation period. (Major projects</w:t>
      </w:r>
      <w:r>
        <w:rPr>
          <w:strike w:val="0"/>
          <w:color w:val="2E97D3"/>
          <w:sz w:val="24"/>
        </w:rPr>
        <w:t>, </w:t>
      </w:r>
      <w:r>
        <w:rPr>
          <w:strike/>
          <w:color w:val="2E97D3"/>
          <w:sz w:val="24"/>
        </w:rPr>
        <w:t>on the other hand, </w:t>
      </w:r>
      <w:r>
        <w:rPr>
          <w:strike w:val="0"/>
          <w:sz w:val="24"/>
        </w:rPr>
        <w:t>have </w:t>
      </w:r>
      <w:r>
        <w:rPr>
          <w:strike/>
          <w:color w:val="2E97D3"/>
          <w:sz w:val="24"/>
        </w:rPr>
        <w:t>a</w:t>
      </w:r>
      <w:r>
        <w:rPr>
          <w:strike w:val="0"/>
          <w:color w:val="2E97D3"/>
          <w:sz w:val="24"/>
          <w:u w:val="single" w:color="2E97D3"/>
        </w:rPr>
        <w:t>up to </w:t>
      </w:r>
      <w:r>
        <w:rPr>
          <w:strike w:val="0"/>
          <w:sz w:val="24"/>
        </w:rPr>
        <w:t>three</w:t>
      </w:r>
      <w:r>
        <w:rPr>
          <w:strike/>
          <w:color w:val="2E97D3"/>
          <w:sz w:val="24"/>
        </w:rPr>
        <w:t>-year appropriation </w:t>
      </w:r>
      <w:r>
        <w:rPr>
          <w:strike w:val="0"/>
          <w:color w:val="2E97D3"/>
          <w:sz w:val="24"/>
          <w:u w:val="single" w:color="2E97D3"/>
        </w:rPr>
        <w:t>years of expenditure </w:t>
      </w:r>
      <w:r>
        <w:rPr>
          <w:strike w:val="0"/>
          <w:sz w:val="24"/>
        </w:rPr>
        <w:t>availability.)</w:t>
      </w:r>
    </w:p>
    <w:p>
      <w:pPr>
        <w:pStyle w:val="BodyText"/>
      </w:pPr>
    </w:p>
    <w:p>
      <w:pPr>
        <w:pStyle w:val="ListParagraph"/>
        <w:numPr>
          <w:ilvl w:val="0"/>
          <w:numId w:val="55"/>
        </w:numPr>
        <w:tabs>
          <w:tab w:pos="1539" w:val="left" w:leader="none"/>
          <w:tab w:pos="1540" w:val="left" w:leader="none"/>
        </w:tabs>
        <w:spacing w:line="240" w:lineRule="auto" w:before="0" w:after="0"/>
        <w:ind w:left="820" w:right="392" w:firstLine="0"/>
        <w:jc w:val="left"/>
        <w:rPr>
          <w:sz w:val="24"/>
        </w:rPr>
      </w:pPr>
      <w:r>
        <w:rPr/>
        <w:pict>
          <v:line style="position:absolute;mso-position-horizontal-relative:page;mso-position-vertical-relative:paragraph;z-index:-451528" from="114.120003pt,26.795845pt" to="117.480003pt,26.795845pt" stroked="true" strokeweight=".84pt" strokecolor="#2e97d3">
            <v:stroke dashstyle="solid"/>
            <w10:wrap type="none"/>
          </v:line>
        </w:pict>
      </w:r>
      <w:r>
        <w:rPr>
          <w:strike w:val="0"/>
          <w:color w:val="2E97D3"/>
          <w:sz w:val="24"/>
          <w:u w:val="single" w:color="2E97D3"/>
        </w:rPr>
        <w:t>5. </w:t>
      </w:r>
      <w:r>
        <w:rPr>
          <w:strike w:val="0"/>
          <w:sz w:val="24"/>
        </w:rPr>
        <w:t>A minor project is not subject to PWB oversight</w:t>
      </w:r>
      <w:r>
        <w:rPr>
          <w:strike/>
          <w:color w:val="2E97D3"/>
          <w:sz w:val="24"/>
        </w:rPr>
        <w:t>, and</w:t>
      </w:r>
      <w:r>
        <w:rPr>
          <w:strike w:val="0"/>
          <w:color w:val="2E97D3"/>
          <w:sz w:val="24"/>
          <w:u w:val="single" w:color="2E97D3"/>
        </w:rPr>
        <w:t>. Consequently, </w:t>
      </w:r>
      <w:r>
        <w:rPr>
          <w:strike w:val="0"/>
          <w:sz w:val="24"/>
        </w:rPr>
        <w:t>by practice</w:t>
      </w:r>
      <w:r>
        <w:rPr>
          <w:strike w:val="0"/>
          <w:color w:val="2E97D3"/>
          <w:sz w:val="24"/>
        </w:rPr>
        <w:t>, </w:t>
      </w:r>
      <w:r>
        <w:rPr>
          <w:strike w:val="0"/>
          <w:sz w:val="24"/>
        </w:rPr>
        <w:t>PWB </w:t>
      </w:r>
      <w:r>
        <w:rPr>
          <w:strike/>
          <w:color w:val="2E97D3"/>
          <w:sz w:val="24"/>
        </w:rPr>
        <w:t>does</w:t>
      </w:r>
      <w:r>
        <w:rPr>
          <w:strike w:val="0"/>
          <w:color w:val="2E97D3"/>
          <w:sz w:val="24"/>
          <w:u w:val="single" w:color="2E97D3"/>
        </w:rPr>
        <w:t>will </w:t>
      </w:r>
      <w:r>
        <w:rPr>
          <w:strike w:val="0"/>
          <w:sz w:val="24"/>
        </w:rPr>
        <w:t>not augment </w:t>
      </w:r>
      <w:r>
        <w:rPr>
          <w:strike w:val="0"/>
          <w:color w:val="2E97D3"/>
          <w:sz w:val="24"/>
          <w:u w:val="single" w:color="2E97D3"/>
        </w:rPr>
        <w:t>minor </w:t>
      </w:r>
      <w:r>
        <w:rPr>
          <w:strike w:val="0"/>
          <w:sz w:val="24"/>
        </w:rPr>
        <w:t>projects </w:t>
      </w:r>
      <w:r>
        <w:rPr>
          <w:strike/>
          <w:color w:val="2E97D3"/>
          <w:sz w:val="24"/>
        </w:rPr>
        <w:t>which</w:t>
      </w:r>
      <w:r>
        <w:rPr>
          <w:strike w:val="0"/>
          <w:color w:val="2E97D3"/>
          <w:sz w:val="24"/>
          <w:u w:val="single" w:color="2E97D3"/>
        </w:rPr>
        <w:t>since they </w:t>
      </w:r>
      <w:r>
        <w:rPr>
          <w:strike w:val="0"/>
          <w:sz w:val="24"/>
        </w:rPr>
        <w:t>are not subject to </w:t>
      </w:r>
      <w:r>
        <w:rPr>
          <w:strike/>
          <w:color w:val="2E97D3"/>
          <w:sz w:val="24"/>
        </w:rPr>
        <w:t>its</w:t>
      </w:r>
      <w:r>
        <w:rPr>
          <w:strike w:val="0"/>
          <w:color w:val="2E97D3"/>
          <w:sz w:val="24"/>
          <w:u w:val="single" w:color="2E97D3"/>
        </w:rPr>
        <w:t>the PWB </w:t>
      </w:r>
      <w:r>
        <w:rPr>
          <w:strike w:val="0"/>
          <w:sz w:val="24"/>
        </w:rPr>
        <w:t>approval</w:t>
      </w:r>
      <w:r>
        <w:rPr>
          <w:strike w:val="0"/>
          <w:spacing w:val="-11"/>
          <w:sz w:val="24"/>
        </w:rPr>
        <w:t> </w:t>
      </w:r>
      <w:r>
        <w:rPr>
          <w:strike w:val="0"/>
          <w:sz w:val="24"/>
        </w:rPr>
        <w:t>processes.</w:t>
      </w:r>
    </w:p>
    <w:p>
      <w:pPr>
        <w:pStyle w:val="BodyText"/>
        <w:ind w:left="820"/>
      </w:pPr>
      <w:r>
        <w:rPr>
          <w:strike/>
          <w:color w:val="2E97D3"/>
        </w:rPr>
        <w:t>DOF</w:t>
      </w:r>
    </w:p>
    <w:p>
      <w:pPr>
        <w:pStyle w:val="ListParagraph"/>
        <w:numPr>
          <w:ilvl w:val="0"/>
          <w:numId w:val="55"/>
        </w:numPr>
        <w:tabs>
          <w:tab w:pos="1539" w:val="left" w:leader="none"/>
          <w:tab w:pos="1540" w:val="left" w:leader="none"/>
        </w:tabs>
        <w:spacing w:line="240" w:lineRule="auto" w:before="0" w:after="0"/>
        <w:ind w:left="820" w:right="153" w:firstLine="0"/>
        <w:jc w:val="left"/>
        <w:rPr>
          <w:sz w:val="24"/>
        </w:rPr>
      </w:pPr>
      <w:r>
        <w:rPr/>
        <w:pict>
          <v:line style="position:absolute;mso-position-horizontal-relative:page;mso-position-vertical-relative:paragraph;z-index:21232" from="36.360001pt,27.815863pt" to="36.360001pt,234.815863pt" stroked="true" strokeweight=".72pt" strokecolor="#000000">
            <v:stroke dashstyle="solid"/>
            <w10:wrap type="none"/>
          </v:line>
        </w:pict>
      </w:r>
      <w:r>
        <w:rPr>
          <w:strike w:val="0"/>
          <w:color w:val="2E97D3"/>
          <w:sz w:val="24"/>
          <w:u w:val="single" w:color="2E97D3"/>
        </w:rPr>
        <w:t>6. Finance </w:t>
      </w:r>
      <w:r>
        <w:rPr>
          <w:strike w:val="0"/>
          <w:sz w:val="24"/>
        </w:rPr>
        <w:t>may increase the approved amount of a minor capital outlay project through a redirection within the minor program if the project is not scheduled individually and the amount of the increase does not result in a project of over $</w:t>
      </w:r>
      <w:r>
        <w:rPr>
          <w:strike/>
          <w:color w:val="2E97D3"/>
          <w:sz w:val="24"/>
        </w:rPr>
        <w:t>250</w:t>
      </w:r>
      <w:r>
        <w:rPr>
          <w:strike w:val="0"/>
          <w:color w:val="2E97D3"/>
          <w:sz w:val="24"/>
          <w:u w:val="single" w:color="2E97D3"/>
        </w:rPr>
        <w:t>656</w:t>
      </w:r>
      <w:r>
        <w:rPr>
          <w:strike w:val="0"/>
          <w:sz w:val="24"/>
        </w:rPr>
        <w:t>,000. Substitution of minor projects is permissible with </w:t>
      </w:r>
      <w:r>
        <w:rPr>
          <w:strike/>
          <w:color w:val="2E97D3"/>
          <w:sz w:val="24"/>
        </w:rPr>
        <w:t>DOF</w:t>
      </w:r>
      <w:r>
        <w:rPr>
          <w:strike w:val="0"/>
          <w:color w:val="2E97D3"/>
          <w:sz w:val="24"/>
          <w:u w:val="single" w:color="2E97D3"/>
        </w:rPr>
        <w:t>Finance </w:t>
      </w:r>
      <w:r>
        <w:rPr>
          <w:strike w:val="0"/>
          <w:sz w:val="24"/>
        </w:rPr>
        <w:t>concurrence</w:t>
      </w:r>
      <w:r>
        <w:rPr>
          <w:strike/>
          <w:color w:val="2E97D3"/>
          <w:sz w:val="24"/>
        </w:rPr>
        <w:t>, provided the project being replaced is not scheduled individually. Substitutions are </w:t>
      </w:r>
      <w:r>
        <w:rPr>
          <w:strike w:val="0"/>
          <w:color w:val="2E97D3"/>
          <w:sz w:val="24"/>
          <w:u w:val="single" w:color="2E97D3"/>
        </w:rPr>
        <w:t>and </w:t>
      </w:r>
      <w:r>
        <w:rPr>
          <w:strike w:val="0"/>
          <w:sz w:val="24"/>
        </w:rPr>
        <w:t>based on critical need</w:t>
      </w:r>
      <w:r>
        <w:rPr>
          <w:strike w:val="0"/>
          <w:color w:val="2E97D3"/>
          <w:sz w:val="24"/>
          <w:u w:val="single" w:color="2E97D3"/>
        </w:rPr>
        <w:t>. A complete COBCP (Section 6818) for the new project is required when requesting the substitution of a minor project along with all other</w:t>
      </w:r>
      <w:r>
        <w:rPr>
          <w:strike w:val="0"/>
          <w:color w:val="2E97D3"/>
          <w:spacing w:val="-41"/>
          <w:sz w:val="24"/>
          <w:u w:val="single" w:color="2E97D3"/>
        </w:rPr>
        <w:t> </w:t>
      </w:r>
      <w:r>
        <w:rPr>
          <w:strike w:val="0"/>
          <w:color w:val="2E97D3"/>
          <w:sz w:val="24"/>
          <w:u w:val="single" w:color="2E97D3"/>
        </w:rPr>
        <w:t>justification</w:t>
      </w:r>
      <w:r>
        <w:rPr>
          <w:strike w:val="0"/>
          <w:sz w:val="24"/>
        </w:rPr>
        <w:t>.</w:t>
      </w:r>
    </w:p>
    <w:p>
      <w:pPr>
        <w:pStyle w:val="BodyText"/>
        <w:spacing w:before="11"/>
        <w:rPr>
          <w:sz w:val="15"/>
        </w:rPr>
      </w:pPr>
    </w:p>
    <w:p>
      <w:pPr>
        <w:pStyle w:val="ListParagraph"/>
        <w:numPr>
          <w:ilvl w:val="0"/>
          <w:numId w:val="55"/>
        </w:numPr>
        <w:tabs>
          <w:tab w:pos="1539" w:val="left" w:leader="none"/>
          <w:tab w:pos="1540" w:val="left" w:leader="none"/>
        </w:tabs>
        <w:spacing w:line="240" w:lineRule="auto" w:before="92" w:after="0"/>
        <w:ind w:left="820" w:right="536" w:firstLine="0"/>
        <w:jc w:val="left"/>
        <w:rPr>
          <w:sz w:val="24"/>
        </w:rPr>
      </w:pPr>
      <w:r>
        <w:rPr>
          <w:strike w:val="0"/>
          <w:color w:val="2E97D3"/>
          <w:sz w:val="24"/>
          <w:u w:val="single" w:color="2E97D3"/>
        </w:rPr>
        <w:t>7. </w:t>
      </w:r>
      <w:r>
        <w:rPr>
          <w:strike w:val="0"/>
          <w:sz w:val="24"/>
        </w:rPr>
        <w:t>Minor projects may be subject to </w:t>
      </w:r>
      <w:r>
        <w:rPr>
          <w:strike w:val="0"/>
          <w:color w:val="2E97D3"/>
          <w:sz w:val="24"/>
          <w:u w:val="single" w:color="2E97D3"/>
        </w:rPr>
        <w:t>provisions of </w:t>
      </w:r>
      <w:r>
        <w:rPr>
          <w:strike w:val="0"/>
          <w:sz w:val="24"/>
        </w:rPr>
        <w:t>the California Environmental Quality Act (CEQA) as described in Section</w:t>
      </w:r>
      <w:r>
        <w:rPr>
          <w:strike w:val="0"/>
          <w:spacing w:val="-19"/>
          <w:sz w:val="24"/>
        </w:rPr>
        <w:t> </w:t>
      </w:r>
      <w:r>
        <w:rPr>
          <w:strike w:val="0"/>
          <w:sz w:val="24"/>
        </w:rPr>
        <w:t>6850.</w:t>
      </w:r>
    </w:p>
    <w:p>
      <w:pPr>
        <w:pStyle w:val="BodyText"/>
        <w:ind w:left="820"/>
      </w:pPr>
      <w:r>
        <w:rPr>
          <w:strike/>
          <w:color w:val="2E97D3"/>
        </w:rPr>
        <w:t>Minor capital outlay proposals are due to DOF by July 1 of each fiscal</w:t>
      </w:r>
    </w:p>
    <w:p>
      <w:pPr>
        <w:pStyle w:val="ListParagraph"/>
        <w:numPr>
          <w:ilvl w:val="0"/>
          <w:numId w:val="55"/>
        </w:numPr>
        <w:tabs>
          <w:tab w:pos="1539" w:val="left" w:leader="none"/>
          <w:tab w:pos="1540" w:val="left" w:leader="none"/>
        </w:tabs>
        <w:spacing w:line="240" w:lineRule="auto" w:before="0" w:after="0"/>
        <w:ind w:left="820" w:right="335" w:firstLine="0"/>
        <w:jc w:val="left"/>
        <w:rPr>
          <w:sz w:val="24"/>
        </w:rPr>
      </w:pPr>
      <w:r>
        <w:rPr>
          <w:strike w:val="0"/>
          <w:color w:val="2E97D3"/>
          <w:sz w:val="24"/>
          <w:u w:val="single" w:color="2E97D3"/>
        </w:rPr>
        <w:t>8. Each </w:t>
      </w:r>
      <w:r>
        <w:rPr>
          <w:strike w:val="0"/>
          <w:sz w:val="24"/>
        </w:rPr>
        <w:t>year</w:t>
      </w:r>
      <w:r>
        <w:rPr>
          <w:strike/>
          <w:color w:val="2E97D3"/>
          <w:sz w:val="24"/>
        </w:rPr>
        <w:t>. </w:t>
      </w:r>
      <w:r>
        <w:rPr>
          <w:strike w:val="0"/>
          <w:color w:val="2E97D3"/>
          <w:sz w:val="24"/>
          <w:u w:val="single" w:color="2E97D3"/>
        </w:rPr>
        <w:t>, Finance issues a budget letter requesting the submission of all minor project budget requests. </w:t>
      </w:r>
      <w:r>
        <w:rPr>
          <w:strike w:val="0"/>
          <w:sz w:val="24"/>
        </w:rPr>
        <w:t>Each proposed project must be submitted in the format for major projects outlined in Section</w:t>
      </w:r>
      <w:r>
        <w:rPr>
          <w:strike w:val="0"/>
          <w:spacing w:val="-21"/>
          <w:sz w:val="24"/>
        </w:rPr>
        <w:t> </w:t>
      </w:r>
      <w:r>
        <w:rPr>
          <w:strike w:val="0"/>
          <w:sz w:val="24"/>
        </w:rPr>
        <w:t>6818.</w:t>
      </w:r>
    </w:p>
    <w:p>
      <w:pPr>
        <w:pStyle w:val="BodyText"/>
        <w:rPr>
          <w:sz w:val="26"/>
        </w:rPr>
      </w:pPr>
    </w:p>
    <w:p>
      <w:pPr>
        <w:pStyle w:val="BodyText"/>
        <w:spacing w:before="11"/>
        <w:rPr>
          <w:sz w:val="21"/>
        </w:rPr>
      </w:pPr>
    </w:p>
    <w:p>
      <w:pPr>
        <w:pStyle w:val="BodyText"/>
        <w:ind w:left="820"/>
      </w:pPr>
      <w:r>
        <w:rPr/>
        <w:t>(Continued)</w:t>
      </w:r>
    </w:p>
    <w:p>
      <w:pPr>
        <w:spacing w:after="0"/>
        <w:sectPr>
          <w:footerReference w:type="default" r:id="rId163"/>
          <w:pgSz w:w="12240" w:h="15840"/>
          <w:pgMar w:footer="792" w:header="728" w:top="980" w:bottom="980" w:left="620" w:right="1320"/>
        </w:sectPr>
      </w:pPr>
    </w:p>
    <w:p>
      <w:pPr>
        <w:pStyle w:val="BodyText"/>
        <w:spacing w:before="4"/>
        <w:rPr>
          <w:rFonts w:ascii="Times New Roman"/>
          <w:sz w:val="17"/>
        </w:rPr>
      </w:pPr>
    </w:p>
    <w:p>
      <w:pPr>
        <w:spacing w:after="0"/>
        <w:rPr>
          <w:rFonts w:ascii="Times New Roman"/>
          <w:sz w:val="17"/>
        </w:rPr>
        <w:sectPr>
          <w:headerReference w:type="default" r:id="rId164"/>
          <w:pgSz w:w="12240" w:h="15840"/>
          <w:pgMar w:header="724" w:footer="792" w:top="2240" w:bottom="980" w:left="620" w:right="1720"/>
        </w:sectPr>
      </w:pPr>
    </w:p>
    <w:p>
      <w:pPr>
        <w:pStyle w:val="BodyText"/>
        <w:rPr>
          <w:rFonts w:ascii="Times New Roman"/>
          <w:sz w:val="20"/>
        </w:rPr>
      </w:pPr>
    </w:p>
    <w:p>
      <w:pPr>
        <w:pStyle w:val="BodyText"/>
        <w:spacing w:before="214"/>
        <w:ind w:left="820"/>
      </w:pPr>
      <w:r>
        <w:rPr/>
        <w:pict>
          <v:line style="position:absolute;mso-position-horizontal-relative:page;mso-position-vertical-relative:paragraph;z-index:21376" from="36.360001pt,10.915881pt" to="36.360001pt,52.315881pt" stroked="true" strokeweight=".72pt" strokecolor="#000000">
            <v:stroke dashstyle="solid"/>
            <w10:wrap type="none"/>
          </v:line>
        </w:pict>
      </w:r>
      <w:r>
        <w:rPr>
          <w:color w:val="2C6234"/>
          <w:u w:val="thick" w:color="2C6234"/>
        </w:rPr>
        <w:t>(Continued)</w:t>
      </w:r>
    </w:p>
    <w:p>
      <w:pPr>
        <w:tabs>
          <w:tab w:pos="8559" w:val="left" w:leader="none"/>
        </w:tabs>
        <w:spacing w:before="0"/>
        <w:ind w:left="820" w:right="0" w:firstLine="0"/>
        <w:jc w:val="left"/>
        <w:rPr>
          <w:sz w:val="24"/>
        </w:rPr>
      </w:pPr>
      <w:r>
        <w:rPr/>
        <w:pict>
          <v:line style="position:absolute;mso-position-horizontal-relative:page;mso-position-vertical-relative:paragraph;z-index:-451408" from="223.199997pt,13.175833pt" to="226.679997pt,13.175833pt" stroked="true" strokeweight="1.2pt" strokecolor="#2e97d3">
            <v:stroke dashstyle="solid"/>
            <w10:wrap type="none"/>
          </v:line>
        </w:pict>
      </w:r>
      <w:r>
        <w:rPr>
          <w:b/>
          <w:sz w:val="24"/>
        </w:rPr>
        <w:t>MINOR</w:t>
      </w:r>
      <w:r>
        <w:rPr>
          <w:b/>
          <w:spacing w:val="-3"/>
          <w:sz w:val="24"/>
        </w:rPr>
        <w:t> </w:t>
      </w:r>
      <w:r>
        <w:rPr>
          <w:b/>
          <w:sz w:val="24"/>
        </w:rPr>
        <w:t>CAPITAL</w:t>
      </w:r>
      <w:r>
        <w:rPr>
          <w:b/>
          <w:spacing w:val="-3"/>
          <w:sz w:val="24"/>
        </w:rPr>
        <w:t> </w:t>
      </w:r>
      <w:r>
        <w:rPr>
          <w:b/>
          <w:sz w:val="24"/>
        </w:rPr>
        <w:t>OUTLAY</w:t>
        <w:tab/>
        <w:t>6807 </w:t>
      </w:r>
      <w:r>
        <w:rPr>
          <w:sz w:val="24"/>
        </w:rPr>
        <w:t>(Cont.</w:t>
      </w:r>
      <w:r>
        <w:rPr>
          <w:spacing w:val="-6"/>
          <w:sz w:val="24"/>
        </w:rPr>
        <w:t> </w:t>
      </w:r>
      <w:r>
        <w:rPr>
          <w:sz w:val="24"/>
        </w:rPr>
        <w:t>1)</w:t>
      </w:r>
    </w:p>
    <w:p>
      <w:pPr>
        <w:pStyle w:val="BodyText"/>
        <w:ind w:left="820"/>
      </w:pPr>
      <w:r>
        <w:rPr/>
        <w:t>(Revised </w:t>
      </w:r>
      <w:r>
        <w:rPr>
          <w:strike/>
          <w:color w:val="2E97D3"/>
        </w:rPr>
        <w:t>5/1998)</w:t>
      </w:r>
      <w:r>
        <w:rPr>
          <w:strike w:val="0"/>
          <w:color w:val="2E97D3"/>
          <w:u w:val="single" w:color="2E97D3"/>
        </w:rPr>
        <w:t>11/2017)</w:t>
      </w:r>
    </w:p>
    <w:p>
      <w:pPr>
        <w:pStyle w:val="BodyText"/>
        <w:spacing w:before="11"/>
        <w:rPr>
          <w:sz w:val="15"/>
        </w:rPr>
      </w:pPr>
    </w:p>
    <w:p>
      <w:pPr>
        <w:pStyle w:val="ListParagraph"/>
        <w:numPr>
          <w:ilvl w:val="0"/>
          <w:numId w:val="55"/>
        </w:numPr>
        <w:tabs>
          <w:tab w:pos="1539" w:val="left" w:leader="none"/>
          <w:tab w:pos="1540" w:val="left" w:leader="none"/>
        </w:tabs>
        <w:spacing w:line="240" w:lineRule="auto" w:before="92" w:after="0"/>
        <w:ind w:left="820" w:right="445" w:firstLine="0"/>
        <w:jc w:val="left"/>
        <w:rPr>
          <w:sz w:val="24"/>
        </w:rPr>
      </w:pPr>
      <w:r>
        <w:rPr/>
        <w:pict>
          <v:line style="position:absolute;mso-position-horizontal-relative:page;mso-position-vertical-relative:paragraph;z-index:-451384" from="442.920013pt,13.03587pt" to="446.281013pt,13.03587pt" stroked="true" strokeweight=".6pt" strokecolor="#2e97d3">
            <v:stroke dashstyle="solid"/>
            <w10:wrap type="none"/>
          </v:line>
        </w:pict>
      </w:r>
      <w:r>
        <w:rPr/>
        <w:pict>
          <v:line style="position:absolute;mso-position-horizontal-relative:page;mso-position-vertical-relative:paragraph;z-index:21400" from="36.360001pt,4.815869pt" to="36.360001pt,72.015869pt" stroked="true" strokeweight=".72pt" strokecolor="#000000">
            <v:stroke dashstyle="solid"/>
            <w10:wrap type="none"/>
          </v:line>
        </w:pict>
      </w:r>
      <w:r>
        <w:rPr>
          <w:strike w:val="0"/>
          <w:color w:val="2E97D3"/>
          <w:sz w:val="24"/>
          <w:u w:val="single" w:color="2E97D3"/>
        </w:rPr>
        <w:t>9. </w:t>
      </w:r>
      <w:r>
        <w:rPr>
          <w:strike w:val="0"/>
          <w:sz w:val="24"/>
        </w:rPr>
        <w:t>Reappropriation of minor projects is not generally permitted. Minor projects should </w:t>
      </w:r>
      <w:r>
        <w:rPr>
          <w:strike/>
          <w:color w:val="2E97D3"/>
          <w:sz w:val="24"/>
        </w:rPr>
        <w:t>therefore </w:t>
      </w:r>
      <w:r>
        <w:rPr>
          <w:strike w:val="0"/>
          <w:sz w:val="24"/>
        </w:rPr>
        <w:t>be projects where all funds can be encumbered in one</w:t>
      </w:r>
      <w:r>
        <w:rPr>
          <w:strike w:val="0"/>
          <w:spacing w:val="-41"/>
          <w:sz w:val="24"/>
        </w:rPr>
        <w:t> </w:t>
      </w:r>
      <w:r>
        <w:rPr>
          <w:strike w:val="0"/>
          <w:sz w:val="24"/>
        </w:rPr>
        <w:t>year.</w:t>
      </w:r>
    </w:p>
    <w:p>
      <w:pPr>
        <w:pStyle w:val="BodyText"/>
        <w:spacing w:before="9"/>
        <w:rPr>
          <w:sz w:val="20"/>
        </w:rPr>
      </w:pPr>
    </w:p>
    <w:p>
      <w:pPr>
        <w:pStyle w:val="ListParagraph"/>
        <w:numPr>
          <w:ilvl w:val="0"/>
          <w:numId w:val="55"/>
        </w:numPr>
        <w:tabs>
          <w:tab w:pos="1539" w:val="left" w:leader="none"/>
          <w:tab w:pos="1540" w:val="left" w:leader="none"/>
        </w:tabs>
        <w:spacing w:line="240" w:lineRule="auto" w:before="0" w:after="0"/>
        <w:ind w:left="820" w:right="697" w:firstLine="0"/>
        <w:jc w:val="left"/>
        <w:rPr>
          <w:sz w:val="24"/>
        </w:rPr>
      </w:pPr>
      <w:r>
        <w:rPr/>
        <w:pict>
          <v:line style="position:absolute;mso-position-horizontal-relative:page;mso-position-vertical-relative:paragraph;z-index:21424" from="36.360001pt,41.614834pt" to="36.360001pt,75.215834pt" stroked="true" strokeweight=".72pt" strokecolor="#000000">
            <v:stroke dashstyle="solid"/>
            <w10:wrap type="none"/>
          </v:line>
        </w:pict>
      </w:r>
      <w:r>
        <w:rPr>
          <w:strike w:val="0"/>
          <w:color w:val="2E97D3"/>
          <w:sz w:val="24"/>
          <w:u w:val="single" w:color="2E97D3"/>
        </w:rPr>
        <w:t>10. </w:t>
      </w:r>
      <w:r>
        <w:rPr>
          <w:strike w:val="0"/>
          <w:sz w:val="24"/>
        </w:rPr>
        <w:t>It is not permissible to “piecemeal” larger projects through several minor projects.</w:t>
      </w:r>
    </w:p>
    <w:p>
      <w:pPr>
        <w:pStyle w:val="BodyText"/>
        <w:rPr>
          <w:sz w:val="26"/>
        </w:rPr>
      </w:pPr>
    </w:p>
    <w:p>
      <w:pPr>
        <w:pStyle w:val="BodyText"/>
        <w:spacing w:before="4"/>
        <w:rPr>
          <w:sz w:val="32"/>
        </w:rPr>
      </w:pPr>
    </w:p>
    <w:p>
      <w:pPr>
        <w:spacing w:line="240" w:lineRule="auto" w:before="0"/>
        <w:ind w:left="820" w:right="101" w:firstLine="0"/>
        <w:jc w:val="left"/>
        <w:rPr>
          <w:sz w:val="24"/>
        </w:rPr>
      </w:pPr>
      <w:r>
        <w:rPr/>
        <w:pict>
          <v:line style="position:absolute;mso-position-horizontal-relative:page;mso-position-vertical-relative:paragraph;z-index:-451360" from="429.359985pt,8.435882pt" to="432.719985pt,8.435882pt" stroked="true" strokeweight=".6pt" strokecolor="#2e97d3">
            <v:stroke dashstyle="solid"/>
            <w10:wrap type="none"/>
          </v:line>
        </w:pict>
      </w:r>
      <w:r>
        <w:rPr/>
        <w:pict>
          <v:line style="position:absolute;mso-position-horizontal-relative:page;mso-position-vertical-relative:paragraph;z-index:21448" from="36.360001pt,27.815882pt" to="36.360001pt,110.615882pt" stroked="true" strokeweight=".72pt" strokecolor="#000000">
            <v:stroke dashstyle="solid"/>
            <w10:wrap type="none"/>
          </v:line>
        </w:pict>
      </w:r>
      <w:r>
        <w:rPr>
          <w:b/>
          <w:sz w:val="24"/>
        </w:rPr>
        <w:t>Minor projects created through Section 6.00 of the Budget Act</w:t>
      </w:r>
      <w:r>
        <w:rPr>
          <w:sz w:val="24"/>
        </w:rPr>
        <w:t>: As described in Section 6806, a minor project may be created for </w:t>
      </w:r>
      <w:r>
        <w:rPr>
          <w:i/>
          <w:sz w:val="24"/>
        </w:rPr>
        <w:t>alteration of a state facility </w:t>
      </w:r>
      <w:r>
        <w:rPr>
          <w:sz w:val="24"/>
        </w:rPr>
        <w:t>using support funds</w:t>
      </w:r>
      <w:r>
        <w:rPr>
          <w:i/>
          <w:sz w:val="24"/>
        </w:rPr>
        <w:t>, </w:t>
      </w:r>
      <w:r>
        <w:rPr>
          <w:sz w:val="24"/>
        </w:rPr>
        <w:t>subject to </w:t>
      </w:r>
      <w:r>
        <w:rPr>
          <w:strike/>
          <w:color w:val="2E97D3"/>
          <w:sz w:val="24"/>
        </w:rPr>
        <w:t>DOF</w:t>
      </w:r>
      <w:r>
        <w:rPr>
          <w:strike w:val="0"/>
          <w:color w:val="2E97D3"/>
          <w:sz w:val="24"/>
          <w:u w:val="single" w:color="2E97D3"/>
        </w:rPr>
        <w:t>Finance </w:t>
      </w:r>
      <w:r>
        <w:rPr>
          <w:strike w:val="0"/>
          <w:sz w:val="24"/>
        </w:rPr>
        <w:t>approval when the total project amount is between $</w:t>
      </w:r>
      <w:r>
        <w:rPr>
          <w:strike/>
          <w:color w:val="2E97D3"/>
          <w:sz w:val="24"/>
        </w:rPr>
        <w:t>35</w:t>
      </w:r>
      <w:r>
        <w:rPr>
          <w:strike w:val="0"/>
          <w:color w:val="2E97D3"/>
          <w:sz w:val="24"/>
          <w:u w:val="single" w:color="2E97D3"/>
        </w:rPr>
        <w:t>100</w:t>
      </w:r>
      <w:r>
        <w:rPr>
          <w:strike w:val="0"/>
          <w:sz w:val="24"/>
        </w:rPr>
        <w:t>,000 and $</w:t>
      </w:r>
      <w:r>
        <w:rPr>
          <w:strike/>
          <w:color w:val="2E97D3"/>
          <w:sz w:val="24"/>
        </w:rPr>
        <w:t>250</w:t>
      </w:r>
      <w:r>
        <w:rPr>
          <w:strike w:val="0"/>
          <w:color w:val="2E97D3"/>
          <w:sz w:val="24"/>
          <w:u w:val="single" w:color="2E97D3"/>
        </w:rPr>
        <w:t>656</w:t>
      </w:r>
      <w:r>
        <w:rPr>
          <w:strike w:val="0"/>
          <w:sz w:val="24"/>
        </w:rPr>
        <w:t>,000.  </w:t>
      </w:r>
      <w:r>
        <w:rPr>
          <w:strike/>
          <w:color w:val="2E97D3"/>
          <w:sz w:val="24"/>
        </w:rPr>
        <w:t>When DOF approval is required, the</w:t>
      </w:r>
    </w:p>
    <w:p>
      <w:pPr>
        <w:pStyle w:val="BodyText"/>
        <w:spacing w:before="10"/>
        <w:rPr>
          <w:sz w:val="15"/>
        </w:rPr>
      </w:pPr>
    </w:p>
    <w:p>
      <w:pPr>
        <w:pStyle w:val="BodyText"/>
        <w:spacing w:before="93"/>
        <w:ind w:left="1180" w:right="128"/>
      </w:pPr>
      <w:r>
        <w:rPr/>
        <w:pict>
          <v:line style="position:absolute;mso-position-horizontal-relative:page;mso-position-vertical-relative:paragraph;z-index:-451336" from="217.440002pt,26.885851pt" to="220.800002pt,26.885851pt" stroked="true" strokeweight=".6pt" strokecolor="#2e97d3">
            <v:stroke dashstyle="solid"/>
            <w10:wrap type="none"/>
          </v:line>
        </w:pict>
      </w:r>
      <w:r>
        <w:rPr/>
        <w:pict>
          <v:line style="position:absolute;mso-position-horizontal-relative:page;mso-position-vertical-relative:paragraph;z-index:-451312" from="206.880005pt,68.165848pt" to="210.120005pt,68.165848pt" stroked="true" strokeweight=".6pt" strokecolor="#2e97d3">
            <v:stroke dashstyle="solid"/>
            <w10:wrap type="none"/>
          </v:line>
        </w:pict>
      </w:r>
      <w:r>
        <w:rPr/>
        <w:pict>
          <v:line style="position:absolute;mso-position-horizontal-relative:page;mso-position-vertical-relative:paragraph;z-index:21472" from="36.360001pt,60.06485pt" to="36.360001pt,73.865850pt" stroked="true" strokeweight=".72pt" strokecolor="#000000">
            <v:stroke dashstyle="solid"/>
            <w10:wrap type="none"/>
          </v:line>
        </w:pict>
      </w:r>
      <w:r>
        <w:rPr>
          <w:color w:val="2E97D3"/>
          <w:u w:val="single" w:color="2E97D3"/>
        </w:rPr>
        <w:t>The </w:t>
      </w:r>
      <w:r>
        <w:rPr/>
        <w:t>request must </w:t>
      </w:r>
      <w:r>
        <w:rPr>
          <w:strike/>
          <w:color w:val="2E97D3"/>
        </w:rPr>
        <w:t>be accompanied with</w:t>
      </w:r>
      <w:r>
        <w:rPr>
          <w:strike w:val="0"/>
          <w:color w:val="2E97D3"/>
          <w:u w:val="single" w:color="2E97D3"/>
        </w:rPr>
        <w:t>include </w:t>
      </w:r>
      <w:r>
        <w:rPr>
          <w:strike w:val="0"/>
        </w:rPr>
        <w:t>all the information required in a COBCP (Section 6818). The request must be submitted at least 60 days in advance of proposed project implementation (30 days for </w:t>
      </w:r>
      <w:r>
        <w:rPr>
          <w:strike/>
          <w:color w:val="2E97D3"/>
        </w:rPr>
        <w:t>DOF</w:t>
      </w:r>
      <w:r>
        <w:rPr>
          <w:strike w:val="0"/>
          <w:color w:val="2E97D3"/>
          <w:u w:val="single" w:color="2E97D3"/>
        </w:rPr>
        <w:t>Finance </w:t>
      </w:r>
      <w:r>
        <w:rPr>
          <w:strike w:val="0"/>
        </w:rPr>
        <w:t>to review the request and notify the Legislature; 30 days for the Legislature’s review), and no later than April 30 of each year.  (Submit copies of the request to </w:t>
      </w:r>
      <w:r>
        <w:rPr>
          <w:i/>
          <w:strike w:val="0"/>
        </w:rPr>
        <w:t>both </w:t>
      </w:r>
      <w:r>
        <w:rPr>
          <w:strike w:val="0"/>
        </w:rPr>
        <w:t>the </w:t>
      </w:r>
      <w:r>
        <w:rPr>
          <w:strike/>
          <w:color w:val="2E97D3"/>
        </w:rPr>
        <w:t>DOF</w:t>
      </w:r>
      <w:r>
        <w:rPr>
          <w:strike w:val="0"/>
          <w:color w:val="2E97D3"/>
          <w:u w:val="single" w:color="2E97D3"/>
        </w:rPr>
        <w:t>Finance </w:t>
      </w:r>
      <w:r>
        <w:rPr>
          <w:strike w:val="0"/>
        </w:rPr>
        <w:t>support analyst and the Capital Outlay Unit, along with any related Form 22 for transfer of funds to DGS’ Architecture Revolving</w:t>
      </w:r>
      <w:r>
        <w:rPr>
          <w:strike w:val="0"/>
          <w:spacing w:val="-24"/>
        </w:rPr>
        <w:t> </w:t>
      </w:r>
      <w:r>
        <w:rPr>
          <w:strike w:val="0"/>
        </w:rPr>
        <w:t>Fund.)</w:t>
      </w:r>
    </w:p>
    <w:p>
      <w:pPr>
        <w:spacing w:after="0"/>
        <w:sectPr>
          <w:headerReference w:type="default" r:id="rId165"/>
          <w:pgSz w:w="12240" w:h="15840"/>
          <w:pgMar w:header="724" w:footer="792" w:top="980" w:bottom="980" w:left="620" w:right="1360"/>
        </w:sectPr>
      </w:pPr>
    </w:p>
    <w:p>
      <w:pPr>
        <w:pStyle w:val="BodyText"/>
        <w:rPr>
          <w:sz w:val="20"/>
        </w:rPr>
      </w:pPr>
    </w:p>
    <w:p>
      <w:pPr>
        <w:tabs>
          <w:tab w:pos="9647" w:val="left" w:leader="none"/>
        </w:tabs>
        <w:spacing w:before="214"/>
        <w:ind w:left="820" w:right="0" w:firstLine="0"/>
        <w:jc w:val="left"/>
        <w:rPr>
          <w:b/>
          <w:sz w:val="24"/>
        </w:rPr>
      </w:pPr>
      <w:r>
        <w:rPr>
          <w:b/>
          <w:sz w:val="24"/>
        </w:rPr>
        <w:t>THE CAPITAL OUTLAY PROCESS</w:t>
      </w:r>
      <w:r>
        <w:rPr>
          <w:b/>
          <w:spacing w:val="-7"/>
          <w:sz w:val="24"/>
        </w:rPr>
        <w:t> </w:t>
      </w:r>
      <w:r>
        <w:rPr>
          <w:b/>
          <w:sz w:val="24"/>
        </w:rPr>
        <w:t>IN</w:t>
      </w:r>
      <w:r>
        <w:rPr>
          <w:b/>
          <w:spacing w:val="-3"/>
          <w:sz w:val="24"/>
        </w:rPr>
        <w:t> </w:t>
      </w:r>
      <w:r>
        <w:rPr>
          <w:b/>
          <w:sz w:val="24"/>
        </w:rPr>
        <w:t>BRIEF</w:t>
        <w:tab/>
        <w:t>6808</w:t>
      </w:r>
    </w:p>
    <w:p>
      <w:pPr>
        <w:pStyle w:val="BodyText"/>
        <w:ind w:left="820"/>
      </w:pPr>
      <w:bookmarkStart w:name="(Revised 5/1998)" w:id="69"/>
      <w:bookmarkEnd w:id="69"/>
      <w:r>
        <w:rPr/>
      </w:r>
      <w:r>
        <w:rPr/>
        <w:t>(Revised 5/1998)</w:t>
      </w:r>
    </w:p>
    <w:p>
      <w:pPr>
        <w:pStyle w:val="BodyText"/>
        <w:spacing w:before="120"/>
        <w:ind w:left="820" w:right="268"/>
      </w:pPr>
      <w:r>
        <w:rPr/>
        <w:t>The ten major phases of the capital outlay process, along with their supporting activities, are described in following text. For projects implemented through multiple or </w:t>
      </w:r>
      <w:r>
        <w:rPr>
          <w:i/>
        </w:rPr>
        <w:t>phase </w:t>
      </w:r>
      <w:r>
        <w:rPr/>
        <w:t>appropriations, parts of Phase 3 will need to be repeated for </w:t>
      </w:r>
      <w:r>
        <w:rPr>
          <w:i/>
        </w:rPr>
        <w:t>each </w:t>
      </w:r>
      <w:r>
        <w:rPr/>
        <w:t>appropriation.</w:t>
      </w:r>
    </w:p>
    <w:p>
      <w:pPr>
        <w:pStyle w:val="BodyText"/>
        <w:spacing w:before="10"/>
        <w:rPr>
          <w:sz w:val="20"/>
        </w:rPr>
      </w:pPr>
    </w:p>
    <w:p>
      <w:pPr>
        <w:pStyle w:val="BodyText"/>
        <w:ind w:left="819" w:right="402"/>
      </w:pPr>
      <w:r>
        <w:rPr/>
        <w:t>Note that this description of the capital outlay process is based on the standard </w:t>
      </w:r>
      <w:r>
        <w:rPr>
          <w:i/>
        </w:rPr>
        <w:t>design- </w:t>
      </w:r>
      <w:r>
        <w:rPr>
          <w:i/>
        </w:rPr>
        <w:t>bid-build </w:t>
      </w:r>
      <w:r>
        <w:rPr/>
        <w:t>approach to project delivery. Other project delivery methods, such as the </w:t>
      </w:r>
      <w:r>
        <w:rPr>
          <w:i/>
        </w:rPr>
        <w:t>design-build </w:t>
      </w:r>
      <w:r>
        <w:rPr/>
        <w:t>approach, have slightly different project phases. Section 6842 discusses project delivery systems.</w:t>
      </w:r>
    </w:p>
    <w:p>
      <w:pPr>
        <w:pStyle w:val="BodyText"/>
        <w:spacing w:before="10"/>
        <w:rPr>
          <w:sz w:val="20"/>
        </w:rPr>
      </w:pPr>
    </w:p>
    <w:p>
      <w:pPr>
        <w:pStyle w:val="BodyText"/>
        <w:ind w:left="820" w:right="561"/>
      </w:pPr>
      <w:r>
        <w:rPr/>
        <w:t>Reference to DGS in the following text applies to any department authorized to act as its own project manager.</w:t>
      </w:r>
    </w:p>
    <w:p>
      <w:pPr>
        <w:pStyle w:val="BodyText"/>
        <w:spacing w:before="10"/>
        <w:rPr>
          <w:sz w:val="20"/>
        </w:rPr>
      </w:pPr>
    </w:p>
    <w:p>
      <w:pPr>
        <w:pStyle w:val="BodyText"/>
        <w:ind w:left="1180"/>
        <w:rPr>
          <w:b/>
        </w:rPr>
      </w:pPr>
      <w:r>
        <w:rPr>
          <w:strike/>
          <w:color w:val="2E97D3"/>
        </w:rPr>
        <w:t>1.</w:t>
      </w:r>
      <w:r>
        <w:rPr>
          <w:strike w:val="0"/>
          <w:color w:val="2E97D3"/>
          <w:u w:val="single" w:color="2E97D3"/>
        </w:rPr>
        <w:t>d................................................................................................................................ </w:t>
      </w:r>
      <w:r>
        <w:rPr>
          <w:b/>
          <w:strike w:val="0"/>
        </w:rPr>
        <w:t>C</w:t>
      </w:r>
    </w:p>
    <w:p>
      <w:pPr>
        <w:spacing w:line="480" w:lineRule="auto" w:before="0"/>
        <w:ind w:left="1000" w:right="907" w:firstLine="540"/>
        <w:jc w:val="left"/>
        <w:rPr>
          <w:sz w:val="24"/>
        </w:rPr>
      </w:pPr>
      <w:r>
        <w:rPr>
          <w:b/>
          <w:sz w:val="24"/>
        </w:rPr>
        <w:t>oncept and documentation phase: </w:t>
      </w:r>
      <w:r>
        <w:rPr>
          <w:sz w:val="24"/>
        </w:rPr>
        <w:t>2 to 5 months (Sections 6816–6821) </w:t>
      </w:r>
      <w:r>
        <w:rPr>
          <w:strike/>
          <w:color w:val="2E97D3"/>
          <w:sz w:val="24"/>
        </w:rPr>
        <w:t>a.</w:t>
      </w:r>
      <w:r>
        <w:rPr>
          <w:rFonts w:ascii="Symbol" w:hAnsi="Symbol"/>
          <w:strike w:val="0"/>
          <w:color w:val="2E97D3"/>
          <w:sz w:val="24"/>
          <w:u w:val="single" w:color="2E97D3"/>
        </w:rPr>
        <w:t></w:t>
      </w:r>
      <w:r>
        <w:rPr>
          <w:rFonts w:ascii="Times New Roman" w:hAnsi="Times New Roman"/>
          <w:strike w:val="0"/>
          <w:color w:val="2E97D3"/>
          <w:sz w:val="24"/>
          <w:u w:val="single" w:color="2E97D3"/>
        </w:rPr>
        <w:t> </w:t>
      </w:r>
      <w:r>
        <w:rPr>
          <w:strike w:val="0"/>
          <w:sz w:val="24"/>
        </w:rPr>
        <w:t>Client department defines problem and develops conceptual solution.</w:t>
      </w:r>
    </w:p>
    <w:p>
      <w:pPr>
        <w:pStyle w:val="BodyText"/>
        <w:spacing w:line="274" w:lineRule="exact" w:before="3"/>
        <w:ind w:left="1360" w:right="402" w:hanging="360"/>
      </w:pPr>
      <w:r>
        <w:rPr>
          <w:strike/>
          <w:color w:val="2E97D3"/>
        </w:rPr>
        <w:t>b.</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Client department collects supporting data and documents how the project supports the department’s strategic plan.</w:t>
      </w:r>
    </w:p>
    <w:p>
      <w:pPr>
        <w:pStyle w:val="BodyText"/>
        <w:spacing w:before="7"/>
        <w:rPr>
          <w:sz w:val="23"/>
        </w:rPr>
      </w:pPr>
    </w:p>
    <w:p>
      <w:pPr>
        <w:pStyle w:val="BodyText"/>
        <w:ind w:left="1540" w:hanging="360"/>
      </w:pPr>
      <w:r>
        <w:rPr/>
        <w:t>c. Client department documents findings and conclusions in its five-year plan and COBCPs.</w:t>
      </w:r>
    </w:p>
    <w:p>
      <w:pPr>
        <w:pStyle w:val="BodyText"/>
        <w:spacing w:before="119"/>
        <w:ind w:left="1180"/>
        <w:rPr>
          <w:b/>
        </w:rPr>
      </w:pPr>
      <w:r>
        <w:rPr>
          <w:strike/>
          <w:color w:val="2E97D3"/>
        </w:rPr>
        <w:t>2.</w:t>
      </w:r>
      <w:r>
        <w:rPr>
          <w:strike w:val="0"/>
          <w:color w:val="2E97D3"/>
          <w:u w:val="single" w:color="2E97D3"/>
        </w:rPr>
        <w:t>e................................................................................................................................ </w:t>
      </w:r>
      <w:r>
        <w:rPr>
          <w:b/>
          <w:strike w:val="0"/>
        </w:rPr>
        <w:t>H</w:t>
      </w:r>
    </w:p>
    <w:p>
      <w:pPr>
        <w:spacing w:before="0"/>
        <w:ind w:left="1540" w:right="402" w:firstLine="0"/>
        <w:jc w:val="left"/>
        <w:rPr>
          <w:sz w:val="24"/>
        </w:rPr>
      </w:pPr>
      <w:r>
        <w:rPr>
          <w:b/>
          <w:sz w:val="24"/>
        </w:rPr>
        <w:t>istorical resources phase</w:t>
      </w:r>
      <w:r>
        <w:rPr>
          <w:sz w:val="24"/>
        </w:rPr>
        <w:t>: Usually coincides with phases 1 and 3 (Section 6822)</w:t>
      </w:r>
    </w:p>
    <w:p>
      <w:pPr>
        <w:pStyle w:val="BodyText"/>
      </w:pPr>
    </w:p>
    <w:p>
      <w:pPr>
        <w:pStyle w:val="BodyText"/>
        <w:spacing w:line="275" w:lineRule="exact"/>
        <w:ind w:left="1180"/>
      </w:pPr>
      <w:r>
        <w:rPr>
          <w:strike/>
          <w:color w:val="2E97D3"/>
        </w:rPr>
        <w:t>a.</w:t>
      </w:r>
      <w:r>
        <w:rPr>
          <w:strike w:val="0"/>
          <w:color w:val="2E97D3"/>
          <w:u w:val="single" w:color="2E97D3"/>
        </w:rPr>
        <w:t>1................................................................................................................................ </w:t>
      </w:r>
      <w:r>
        <w:rPr>
          <w:strike w:val="0"/>
        </w:rPr>
        <w:t>C</w:t>
      </w:r>
    </w:p>
    <w:p>
      <w:pPr>
        <w:pStyle w:val="BodyText"/>
        <w:ind w:left="1539" w:right="563"/>
      </w:pPr>
      <w:r>
        <w:rPr/>
        <w:t>lient department submits proposed project and </w:t>
      </w:r>
      <w:r>
        <w:rPr>
          <w:i/>
        </w:rPr>
        <w:t>Historic Resources Inventory </w:t>
      </w:r>
      <w:r>
        <w:rPr/>
        <w:t>to State Historic Preservation Officer for review </w:t>
      </w:r>
      <w:r>
        <w:rPr>
          <w:i/>
        </w:rPr>
        <w:t>if </w:t>
      </w:r>
      <w:r>
        <w:rPr/>
        <w:t>the project will impact a state- owned structure over 50 years of age.</w:t>
      </w:r>
    </w:p>
    <w:p>
      <w:pPr>
        <w:pStyle w:val="BodyText"/>
        <w:spacing w:before="1"/>
      </w:pPr>
    </w:p>
    <w:p>
      <w:pPr>
        <w:pStyle w:val="BodyText"/>
        <w:ind w:left="1540" w:right="734" w:hanging="360"/>
      </w:pPr>
      <w:r>
        <w:rPr/>
        <w:t>b. The State Historic Preservation Officer may propose mitigations which, if unacceptable to the department, must be mediated by Office of Planning and Research.</w:t>
      </w:r>
    </w:p>
    <w:p>
      <w:pPr>
        <w:pStyle w:val="BodyText"/>
        <w:spacing w:before="119"/>
        <w:ind w:left="1539" w:right="268" w:hanging="360"/>
      </w:pPr>
      <w:r>
        <w:rPr>
          <w:strike/>
          <w:color w:val="2E97D3"/>
        </w:rPr>
        <w:t>3.</w:t>
      </w:r>
      <w:r>
        <w:rPr>
          <w:strike w:val="0"/>
          <w:color w:val="2E97D3"/>
          <w:u w:val="single" w:color="2E97D3"/>
        </w:rPr>
        <w:t>f. </w:t>
      </w:r>
      <w:r>
        <w:rPr>
          <w:b/>
          <w:strike w:val="0"/>
        </w:rPr>
        <w:t>Budget approval phase: </w:t>
      </w:r>
      <w:r>
        <w:rPr>
          <w:strike w:val="0"/>
        </w:rPr>
        <w:t>17 months (Section 6814 describes the budget enactment timetable; Sections 6824–6832 gives detailed descriptions of processes).</w:t>
      </w:r>
    </w:p>
    <w:p>
      <w:pPr>
        <w:pStyle w:val="BodyText"/>
        <w:spacing w:before="11"/>
        <w:rPr>
          <w:sz w:val="23"/>
        </w:rPr>
      </w:pPr>
    </w:p>
    <w:p>
      <w:pPr>
        <w:pStyle w:val="ListParagraph"/>
        <w:numPr>
          <w:ilvl w:val="0"/>
          <w:numId w:val="56"/>
        </w:numPr>
        <w:tabs>
          <w:tab w:pos="1540" w:val="left" w:leader="none"/>
        </w:tabs>
        <w:spacing w:line="240" w:lineRule="auto" w:before="0" w:after="0"/>
        <w:ind w:left="1540" w:right="540" w:hanging="360"/>
        <w:jc w:val="left"/>
        <w:rPr>
          <w:sz w:val="24"/>
        </w:rPr>
      </w:pPr>
      <w:r>
        <w:rPr>
          <w:sz w:val="24"/>
        </w:rPr>
        <w:t>DOF reviews the five-year plan and COBCPs, including their relationship to the department’s strategic</w:t>
      </w:r>
      <w:r>
        <w:rPr>
          <w:spacing w:val="-13"/>
          <w:sz w:val="24"/>
        </w:rPr>
        <w:t> </w:t>
      </w:r>
      <w:r>
        <w:rPr>
          <w:sz w:val="24"/>
        </w:rPr>
        <w:t>plan.</w:t>
      </w:r>
    </w:p>
    <w:p>
      <w:pPr>
        <w:pStyle w:val="BodyText"/>
      </w:pPr>
    </w:p>
    <w:p>
      <w:pPr>
        <w:pStyle w:val="ListParagraph"/>
        <w:numPr>
          <w:ilvl w:val="0"/>
          <w:numId w:val="56"/>
        </w:numPr>
        <w:tabs>
          <w:tab w:pos="1540" w:val="left" w:leader="none"/>
        </w:tabs>
        <w:spacing w:line="240" w:lineRule="auto" w:before="0" w:after="0"/>
        <w:ind w:left="1540" w:right="0" w:hanging="360"/>
        <w:jc w:val="left"/>
        <w:rPr>
          <w:sz w:val="24"/>
        </w:rPr>
      </w:pPr>
      <w:r>
        <w:rPr>
          <w:sz w:val="24"/>
        </w:rPr>
        <w:t>DGS prepares a technical feasibility review for the project, if requested by</w:t>
      </w:r>
      <w:r>
        <w:rPr>
          <w:spacing w:val="-37"/>
          <w:sz w:val="24"/>
        </w:rPr>
        <w:t> </w:t>
      </w:r>
      <w:r>
        <w:rPr>
          <w:sz w:val="24"/>
        </w:rPr>
        <w:t>DOF.</w:t>
      </w:r>
    </w:p>
    <w:p>
      <w:pPr>
        <w:pStyle w:val="BodyText"/>
      </w:pPr>
    </w:p>
    <w:p>
      <w:pPr>
        <w:pStyle w:val="ListParagraph"/>
        <w:numPr>
          <w:ilvl w:val="0"/>
          <w:numId w:val="56"/>
        </w:numPr>
        <w:tabs>
          <w:tab w:pos="1540" w:val="left" w:leader="none"/>
        </w:tabs>
        <w:spacing w:line="240" w:lineRule="auto" w:before="0" w:after="0"/>
        <w:ind w:left="1540" w:right="0" w:hanging="360"/>
        <w:jc w:val="left"/>
        <w:rPr>
          <w:sz w:val="24"/>
        </w:rPr>
      </w:pPr>
      <w:r>
        <w:rPr>
          <w:sz w:val="24"/>
        </w:rPr>
        <w:t>DGS develops budget packages, as requested by</w:t>
      </w:r>
      <w:r>
        <w:rPr>
          <w:spacing w:val="-27"/>
          <w:sz w:val="24"/>
        </w:rPr>
        <w:t> </w:t>
      </w:r>
      <w:r>
        <w:rPr>
          <w:sz w:val="24"/>
        </w:rPr>
        <w:t>DOF.</w:t>
      </w:r>
    </w:p>
    <w:p>
      <w:pPr>
        <w:spacing w:after="0" w:line="240" w:lineRule="auto"/>
        <w:jc w:val="left"/>
        <w:rPr>
          <w:sz w:val="24"/>
        </w:rPr>
        <w:sectPr>
          <w:footerReference w:type="default" r:id="rId166"/>
          <w:pgSz w:w="12240" w:h="15840"/>
          <w:pgMar w:footer="1079" w:header="724" w:top="980" w:bottom="1260" w:left="620" w:right="1160"/>
        </w:sectPr>
      </w:pPr>
    </w:p>
    <w:p>
      <w:pPr>
        <w:pStyle w:val="BodyText"/>
        <w:rPr>
          <w:sz w:val="20"/>
        </w:rPr>
      </w:pPr>
    </w:p>
    <w:p>
      <w:pPr>
        <w:pStyle w:val="BodyText"/>
        <w:rPr>
          <w:sz w:val="20"/>
        </w:rPr>
      </w:pPr>
    </w:p>
    <w:p>
      <w:pPr>
        <w:pStyle w:val="ListParagraph"/>
        <w:numPr>
          <w:ilvl w:val="0"/>
          <w:numId w:val="56"/>
        </w:numPr>
        <w:tabs>
          <w:tab w:pos="1540" w:val="left" w:leader="none"/>
        </w:tabs>
        <w:spacing w:line="552" w:lineRule="exact" w:before="43" w:after="0"/>
        <w:ind w:left="820" w:right="4233" w:firstLine="360"/>
        <w:jc w:val="left"/>
        <w:rPr>
          <w:sz w:val="24"/>
        </w:rPr>
      </w:pPr>
      <w:r>
        <w:rPr>
          <w:sz w:val="24"/>
        </w:rPr>
        <w:t>DOF conducts scope meetings, as required. (Continued)</w:t>
      </w:r>
    </w:p>
    <w:p>
      <w:pPr>
        <w:pStyle w:val="BodyText"/>
        <w:spacing w:line="216" w:lineRule="exact"/>
        <w:ind w:left="819"/>
      </w:pPr>
      <w:r>
        <w:rPr/>
        <w:t>(Continued)</w:t>
      </w:r>
    </w:p>
    <w:p>
      <w:pPr>
        <w:pStyle w:val="Heading2"/>
        <w:tabs>
          <w:tab w:pos="8646" w:val="left" w:leader="none"/>
        </w:tabs>
        <w:ind w:left="819"/>
        <w:rPr>
          <w:b w:val="0"/>
        </w:rPr>
      </w:pPr>
      <w:r>
        <w:rPr/>
        <w:t>THE CAPITAL OUTLAY PROCESS</w:t>
      </w:r>
      <w:r>
        <w:rPr>
          <w:spacing w:val="-6"/>
        </w:rPr>
        <w:t> </w:t>
      </w:r>
      <w:r>
        <w:rPr/>
        <w:t>IN</w:t>
      </w:r>
      <w:r>
        <w:rPr>
          <w:spacing w:val="-3"/>
        </w:rPr>
        <w:t> </w:t>
      </w:r>
      <w:r>
        <w:rPr/>
        <w:t>BRIEF</w:t>
        <w:tab/>
        <w:t>6808 </w:t>
      </w:r>
      <w:r>
        <w:rPr>
          <w:b w:val="0"/>
        </w:rPr>
        <w:t>(Cont.</w:t>
      </w:r>
      <w:r>
        <w:rPr>
          <w:b w:val="0"/>
          <w:spacing w:val="-6"/>
        </w:rPr>
        <w:t> </w:t>
      </w:r>
      <w:r>
        <w:rPr>
          <w:b w:val="0"/>
        </w:rPr>
        <w:t>1)</w:t>
      </w:r>
    </w:p>
    <w:p>
      <w:pPr>
        <w:pStyle w:val="BodyText"/>
        <w:ind w:left="820"/>
      </w:pPr>
      <w:r>
        <w:rPr/>
        <w:t>(Revised 5/1998)</w:t>
      </w:r>
    </w:p>
    <w:p>
      <w:pPr>
        <w:pStyle w:val="BodyText"/>
        <w:spacing w:before="6"/>
      </w:pPr>
    </w:p>
    <w:p>
      <w:pPr>
        <w:pStyle w:val="ListParagraph"/>
        <w:numPr>
          <w:ilvl w:val="0"/>
          <w:numId w:val="56"/>
        </w:numPr>
        <w:tabs>
          <w:tab w:pos="1540" w:val="left" w:leader="none"/>
        </w:tabs>
        <w:spacing w:line="274" w:lineRule="exact" w:before="0" w:after="0"/>
        <w:ind w:left="1540" w:right="483" w:hanging="360"/>
        <w:jc w:val="left"/>
        <w:rPr>
          <w:sz w:val="24"/>
        </w:rPr>
      </w:pPr>
      <w:r>
        <w:rPr>
          <w:sz w:val="24"/>
        </w:rPr>
        <w:t>DOF conducts Administration budget hearings and includes approved COBCPs in the </w:t>
      </w:r>
      <w:r>
        <w:rPr>
          <w:i/>
          <w:sz w:val="24"/>
        </w:rPr>
        <w:t>Governor’s</w:t>
      </w:r>
      <w:r>
        <w:rPr>
          <w:i/>
          <w:spacing w:val="-13"/>
          <w:sz w:val="24"/>
        </w:rPr>
        <w:t> </w:t>
      </w:r>
      <w:r>
        <w:rPr>
          <w:i/>
          <w:sz w:val="24"/>
        </w:rPr>
        <w:t>Budget</w:t>
      </w:r>
      <w:r>
        <w:rPr>
          <w:sz w:val="24"/>
        </w:rPr>
        <w:t>.</w:t>
      </w:r>
    </w:p>
    <w:p>
      <w:pPr>
        <w:pStyle w:val="BodyText"/>
        <w:spacing w:before="7"/>
        <w:rPr>
          <w:sz w:val="23"/>
        </w:rPr>
      </w:pPr>
    </w:p>
    <w:p>
      <w:pPr>
        <w:pStyle w:val="ListParagraph"/>
        <w:numPr>
          <w:ilvl w:val="0"/>
          <w:numId w:val="56"/>
        </w:numPr>
        <w:tabs>
          <w:tab w:pos="1539" w:val="left" w:leader="none"/>
          <w:tab w:pos="1540" w:val="left" w:leader="none"/>
        </w:tabs>
        <w:spacing w:line="240" w:lineRule="auto" w:before="0" w:after="0"/>
        <w:ind w:left="1540" w:right="710" w:hanging="360"/>
        <w:jc w:val="left"/>
        <w:rPr>
          <w:sz w:val="24"/>
        </w:rPr>
      </w:pPr>
      <w:r>
        <w:rPr>
          <w:sz w:val="24"/>
        </w:rPr>
        <w:t>The Legislative Analyst comments on selected projects in </w:t>
      </w:r>
      <w:r>
        <w:rPr>
          <w:i/>
          <w:sz w:val="24"/>
        </w:rPr>
        <w:t>The Analysis of the </w:t>
      </w:r>
      <w:r>
        <w:rPr>
          <w:i/>
          <w:sz w:val="24"/>
        </w:rPr>
        <w:t>Budget</w:t>
      </w:r>
      <w:r>
        <w:rPr>
          <w:i/>
          <w:spacing w:val="-8"/>
          <w:sz w:val="24"/>
        </w:rPr>
        <w:t> </w:t>
      </w:r>
      <w:r>
        <w:rPr>
          <w:i/>
          <w:sz w:val="24"/>
        </w:rPr>
        <w:t>Bill</w:t>
      </w:r>
      <w:r>
        <w:rPr>
          <w:sz w:val="24"/>
        </w:rPr>
        <w:t>.</w:t>
      </w:r>
    </w:p>
    <w:p>
      <w:pPr>
        <w:pStyle w:val="BodyText"/>
        <w:spacing w:before="11"/>
        <w:rPr>
          <w:sz w:val="23"/>
        </w:rPr>
      </w:pPr>
    </w:p>
    <w:p>
      <w:pPr>
        <w:pStyle w:val="ListParagraph"/>
        <w:numPr>
          <w:ilvl w:val="0"/>
          <w:numId w:val="56"/>
        </w:numPr>
        <w:tabs>
          <w:tab w:pos="1540" w:val="left" w:leader="none"/>
        </w:tabs>
        <w:spacing w:line="240" w:lineRule="auto" w:before="0" w:after="0"/>
        <w:ind w:left="1540" w:right="407" w:hanging="360"/>
        <w:jc w:val="left"/>
        <w:rPr>
          <w:sz w:val="24"/>
        </w:rPr>
      </w:pPr>
      <w:r>
        <w:rPr>
          <w:sz w:val="24"/>
        </w:rPr>
        <w:t>Policy or technical changes to capital outlay projects proposed in the</w:t>
      </w:r>
      <w:r>
        <w:rPr>
          <w:spacing w:val="-41"/>
          <w:sz w:val="24"/>
        </w:rPr>
        <w:t> </w:t>
      </w:r>
      <w:r>
        <w:rPr>
          <w:i/>
          <w:sz w:val="24"/>
        </w:rPr>
        <w:t>Governor’s </w:t>
      </w:r>
      <w:r>
        <w:rPr>
          <w:i/>
          <w:sz w:val="24"/>
        </w:rPr>
        <w:t>Budget </w:t>
      </w:r>
      <w:r>
        <w:rPr>
          <w:sz w:val="24"/>
        </w:rPr>
        <w:t>are submitted by Finance Letter to the</w:t>
      </w:r>
      <w:r>
        <w:rPr>
          <w:spacing w:val="-30"/>
          <w:sz w:val="24"/>
        </w:rPr>
        <w:t> </w:t>
      </w:r>
      <w:r>
        <w:rPr>
          <w:sz w:val="24"/>
        </w:rPr>
        <w:t>Legislature.</w:t>
      </w:r>
    </w:p>
    <w:p>
      <w:pPr>
        <w:pStyle w:val="BodyText"/>
        <w:spacing w:before="1"/>
      </w:pPr>
    </w:p>
    <w:p>
      <w:pPr>
        <w:pStyle w:val="ListParagraph"/>
        <w:numPr>
          <w:ilvl w:val="0"/>
          <w:numId w:val="56"/>
        </w:numPr>
        <w:tabs>
          <w:tab w:pos="1540" w:val="left" w:leader="none"/>
        </w:tabs>
        <w:spacing w:line="240" w:lineRule="auto" w:before="1" w:after="0"/>
        <w:ind w:left="1540" w:right="312" w:hanging="360"/>
        <w:jc w:val="left"/>
        <w:rPr>
          <w:sz w:val="24"/>
        </w:rPr>
      </w:pPr>
      <w:r>
        <w:rPr>
          <w:sz w:val="24"/>
        </w:rPr>
        <w:t>The Legislature holds budget subcommittee and conference committee hearings, and approves the capital outlay budget, with any</w:t>
      </w:r>
      <w:r>
        <w:rPr>
          <w:spacing w:val="-30"/>
          <w:sz w:val="24"/>
        </w:rPr>
        <w:t> </w:t>
      </w:r>
      <w:r>
        <w:rPr>
          <w:sz w:val="24"/>
        </w:rPr>
        <w:t>revisions.</w:t>
      </w:r>
    </w:p>
    <w:p>
      <w:pPr>
        <w:pStyle w:val="BodyText"/>
      </w:pPr>
    </w:p>
    <w:p>
      <w:pPr>
        <w:pStyle w:val="ListParagraph"/>
        <w:numPr>
          <w:ilvl w:val="0"/>
          <w:numId w:val="56"/>
        </w:numPr>
        <w:tabs>
          <w:tab w:pos="1539" w:val="left" w:leader="none"/>
          <w:tab w:pos="1540" w:val="left" w:leader="none"/>
        </w:tabs>
        <w:spacing w:line="240" w:lineRule="auto" w:before="0" w:after="0"/>
        <w:ind w:left="1540" w:right="283" w:hanging="360"/>
        <w:jc w:val="left"/>
        <w:rPr>
          <w:sz w:val="24"/>
        </w:rPr>
      </w:pPr>
      <w:r>
        <w:rPr>
          <w:sz w:val="24"/>
        </w:rPr>
        <w:t>After reducing or vetoing selected appropriations in the enrolled bill, the Governor signs the</w:t>
      </w:r>
      <w:r>
        <w:rPr>
          <w:spacing w:val="-8"/>
          <w:sz w:val="24"/>
        </w:rPr>
        <w:t> </w:t>
      </w:r>
      <w:r>
        <w:rPr>
          <w:sz w:val="24"/>
        </w:rPr>
        <w:t>measure.</w:t>
      </w:r>
    </w:p>
    <w:p>
      <w:pPr>
        <w:pStyle w:val="BodyText"/>
        <w:spacing w:before="9"/>
        <w:rPr>
          <w:sz w:val="20"/>
        </w:rPr>
      </w:pPr>
    </w:p>
    <w:p>
      <w:pPr>
        <w:pStyle w:val="BodyText"/>
        <w:spacing w:before="1"/>
        <w:ind w:left="1180"/>
        <w:rPr>
          <w:b/>
        </w:rPr>
      </w:pPr>
      <w:r>
        <w:rPr>
          <w:strike/>
          <w:color w:val="2E97D3"/>
        </w:rPr>
        <w:t>4.</w:t>
      </w:r>
      <w:r>
        <w:rPr>
          <w:strike w:val="0"/>
          <w:color w:val="2E97D3"/>
          <w:u w:val="single" w:color="2E97D3"/>
        </w:rPr>
        <w:t>g................................................................................................................................ </w:t>
      </w:r>
      <w:r>
        <w:rPr>
          <w:b/>
          <w:strike w:val="0"/>
        </w:rPr>
        <w:t>S</w:t>
      </w:r>
    </w:p>
    <w:p>
      <w:pPr>
        <w:spacing w:before="0"/>
        <w:ind w:left="1540" w:right="0" w:firstLine="0"/>
        <w:jc w:val="left"/>
        <w:rPr>
          <w:sz w:val="24"/>
        </w:rPr>
      </w:pPr>
      <w:r>
        <w:rPr>
          <w:b/>
          <w:sz w:val="24"/>
        </w:rPr>
        <w:t>ite selection and acquisition phase:  </w:t>
      </w:r>
      <w:r>
        <w:rPr>
          <w:sz w:val="24"/>
        </w:rPr>
        <w:t>Up to 12 months (Section 6849)</w:t>
      </w:r>
    </w:p>
    <w:p>
      <w:pPr>
        <w:pStyle w:val="BodyText"/>
        <w:spacing w:before="11"/>
        <w:rPr>
          <w:sz w:val="23"/>
        </w:rPr>
      </w:pPr>
    </w:p>
    <w:p>
      <w:pPr>
        <w:pStyle w:val="ListParagraph"/>
        <w:numPr>
          <w:ilvl w:val="0"/>
          <w:numId w:val="57"/>
        </w:numPr>
        <w:tabs>
          <w:tab w:pos="1540" w:val="left" w:leader="none"/>
        </w:tabs>
        <w:spacing w:line="240" w:lineRule="auto" w:before="0" w:after="0"/>
        <w:ind w:left="1540" w:right="0" w:hanging="360"/>
        <w:jc w:val="left"/>
        <w:rPr>
          <w:sz w:val="24"/>
        </w:rPr>
      </w:pPr>
      <w:r>
        <w:rPr>
          <w:sz w:val="24"/>
        </w:rPr>
        <w:t>Client department and DGS make site</w:t>
      </w:r>
      <w:r>
        <w:rPr>
          <w:spacing w:val="-17"/>
          <w:sz w:val="24"/>
        </w:rPr>
        <w:t> </w:t>
      </w:r>
      <w:r>
        <w:rPr>
          <w:sz w:val="24"/>
        </w:rPr>
        <w:t>selection.</w:t>
      </w:r>
    </w:p>
    <w:p>
      <w:pPr>
        <w:pStyle w:val="BodyText"/>
        <w:spacing w:before="11"/>
        <w:rPr>
          <w:sz w:val="23"/>
        </w:rPr>
      </w:pPr>
    </w:p>
    <w:p>
      <w:pPr>
        <w:pStyle w:val="ListParagraph"/>
        <w:numPr>
          <w:ilvl w:val="0"/>
          <w:numId w:val="57"/>
        </w:numPr>
        <w:tabs>
          <w:tab w:pos="1540" w:val="left" w:leader="none"/>
        </w:tabs>
        <w:spacing w:line="240" w:lineRule="auto" w:before="0" w:after="0"/>
        <w:ind w:left="1540" w:right="0" w:hanging="360"/>
        <w:jc w:val="left"/>
        <w:rPr>
          <w:sz w:val="24"/>
        </w:rPr>
      </w:pPr>
      <w:r>
        <w:rPr>
          <w:sz w:val="24"/>
        </w:rPr>
        <w:t>PWB approves site</w:t>
      </w:r>
      <w:r>
        <w:rPr>
          <w:spacing w:val="-12"/>
          <w:sz w:val="24"/>
        </w:rPr>
        <w:t> </w:t>
      </w:r>
      <w:r>
        <w:rPr>
          <w:sz w:val="24"/>
        </w:rPr>
        <w:t>selection.</w:t>
      </w:r>
    </w:p>
    <w:p>
      <w:pPr>
        <w:pStyle w:val="BodyText"/>
        <w:spacing w:before="11"/>
        <w:rPr>
          <w:sz w:val="23"/>
        </w:rPr>
      </w:pPr>
    </w:p>
    <w:p>
      <w:pPr>
        <w:pStyle w:val="ListParagraph"/>
        <w:numPr>
          <w:ilvl w:val="0"/>
          <w:numId w:val="57"/>
        </w:numPr>
        <w:tabs>
          <w:tab w:pos="1540" w:val="left" w:leader="none"/>
        </w:tabs>
        <w:spacing w:line="240" w:lineRule="auto" w:before="0" w:after="0"/>
        <w:ind w:left="1540" w:right="1095" w:hanging="360"/>
        <w:jc w:val="left"/>
        <w:rPr>
          <w:sz w:val="24"/>
        </w:rPr>
      </w:pPr>
      <w:r>
        <w:rPr>
          <w:sz w:val="24"/>
        </w:rPr>
        <w:t>As PWB’s agent, DGS acquires property (through the exercise of eminent domain, if</w:t>
      </w:r>
      <w:r>
        <w:rPr>
          <w:spacing w:val="-9"/>
          <w:sz w:val="24"/>
        </w:rPr>
        <w:t> </w:t>
      </w:r>
      <w:r>
        <w:rPr>
          <w:sz w:val="24"/>
        </w:rPr>
        <w:t>needed).</w:t>
      </w:r>
    </w:p>
    <w:p>
      <w:pPr>
        <w:pStyle w:val="BodyText"/>
        <w:spacing w:before="11"/>
        <w:rPr>
          <w:sz w:val="23"/>
        </w:rPr>
      </w:pPr>
    </w:p>
    <w:p>
      <w:pPr>
        <w:pStyle w:val="ListParagraph"/>
        <w:numPr>
          <w:ilvl w:val="0"/>
          <w:numId w:val="57"/>
        </w:numPr>
        <w:tabs>
          <w:tab w:pos="1540" w:val="left" w:leader="none"/>
        </w:tabs>
        <w:spacing w:line="240" w:lineRule="auto" w:before="0" w:after="0"/>
        <w:ind w:left="1540" w:right="0" w:hanging="360"/>
        <w:jc w:val="left"/>
        <w:rPr>
          <w:sz w:val="24"/>
        </w:rPr>
      </w:pPr>
      <w:r>
        <w:rPr>
          <w:sz w:val="24"/>
        </w:rPr>
        <w:t>PWB approves settlement price, if</w:t>
      </w:r>
      <w:r>
        <w:rPr>
          <w:spacing w:val="-20"/>
          <w:sz w:val="24"/>
        </w:rPr>
        <w:t> </w:t>
      </w:r>
      <w:r>
        <w:rPr>
          <w:sz w:val="24"/>
        </w:rPr>
        <w:t>any.</w:t>
      </w:r>
    </w:p>
    <w:p>
      <w:pPr>
        <w:pStyle w:val="BodyText"/>
        <w:spacing w:before="120"/>
        <w:ind w:left="1180"/>
        <w:rPr>
          <w:b/>
        </w:rPr>
      </w:pPr>
      <w:r>
        <w:rPr>
          <w:strike/>
          <w:color w:val="2E97D3"/>
        </w:rPr>
        <w:t>5.</w:t>
      </w:r>
      <w:r>
        <w:rPr>
          <w:strike w:val="0"/>
          <w:color w:val="2E97D3"/>
          <w:u w:val="single" w:color="2E97D3"/>
        </w:rPr>
        <w:t>h................................................................................................................................ </w:t>
      </w:r>
      <w:r>
        <w:rPr>
          <w:b/>
          <w:strike w:val="0"/>
        </w:rPr>
        <w:t>E</w:t>
      </w:r>
    </w:p>
    <w:p>
      <w:pPr>
        <w:spacing w:before="0"/>
        <w:ind w:left="1540" w:right="268" w:firstLine="0"/>
        <w:jc w:val="left"/>
        <w:rPr>
          <w:sz w:val="24"/>
        </w:rPr>
      </w:pPr>
      <w:r>
        <w:rPr>
          <w:b/>
          <w:sz w:val="24"/>
        </w:rPr>
        <w:t>nvironmental review phase</w:t>
      </w:r>
      <w:r>
        <w:rPr>
          <w:sz w:val="24"/>
        </w:rPr>
        <w:t>: May coincide with phases 1 through 4 (Section 6850)</w:t>
      </w:r>
    </w:p>
    <w:p>
      <w:pPr>
        <w:pStyle w:val="BodyText"/>
        <w:spacing w:before="11"/>
        <w:rPr>
          <w:sz w:val="23"/>
        </w:rPr>
      </w:pPr>
    </w:p>
    <w:p>
      <w:pPr>
        <w:pStyle w:val="BodyText"/>
        <w:ind w:left="1540" w:right="561" w:hanging="360"/>
      </w:pPr>
      <w:r>
        <w:rPr/>
        <w:t>a. Department meets the CEQA requirements. By policy, if land is purchased as part of a project, CEQA requirements must be completed before acquisition. Otherwise, environmental review must be completed by the end of Phase 6.</w:t>
      </w:r>
    </w:p>
    <w:p>
      <w:pPr>
        <w:pStyle w:val="BodyText"/>
        <w:spacing w:before="119"/>
        <w:ind w:left="1180"/>
        <w:rPr>
          <w:b/>
        </w:rPr>
      </w:pPr>
      <w:r>
        <w:rPr>
          <w:strike/>
          <w:color w:val="2E97D3"/>
        </w:rPr>
        <w:t>6.</w:t>
      </w:r>
      <w:r>
        <w:rPr>
          <w:strike w:val="0"/>
          <w:color w:val="2E97D3"/>
          <w:u w:val="single" w:color="2E97D3"/>
        </w:rPr>
        <w:t>1................................................................................................................................ </w:t>
      </w:r>
      <w:r>
        <w:rPr>
          <w:b/>
          <w:strike w:val="0"/>
        </w:rPr>
        <w:t>P</w:t>
      </w:r>
    </w:p>
    <w:p>
      <w:pPr>
        <w:spacing w:before="0"/>
        <w:ind w:left="1540" w:right="0" w:firstLine="0"/>
        <w:jc w:val="left"/>
        <w:rPr>
          <w:sz w:val="24"/>
        </w:rPr>
      </w:pPr>
      <w:r>
        <w:rPr>
          <w:b/>
          <w:sz w:val="24"/>
        </w:rPr>
        <w:t>reliminary plan phase:  </w:t>
      </w:r>
      <w:r>
        <w:rPr>
          <w:sz w:val="24"/>
        </w:rPr>
        <w:t>3 to 12 months (Section 6851)</w:t>
      </w:r>
    </w:p>
    <w:p>
      <w:pPr>
        <w:pStyle w:val="BodyText"/>
      </w:pPr>
    </w:p>
    <w:p>
      <w:pPr>
        <w:pStyle w:val="ListParagraph"/>
        <w:numPr>
          <w:ilvl w:val="0"/>
          <w:numId w:val="58"/>
        </w:numPr>
        <w:tabs>
          <w:tab w:pos="1540" w:val="left" w:leader="none"/>
        </w:tabs>
        <w:spacing w:line="240" w:lineRule="auto" w:before="0" w:after="0"/>
        <w:ind w:left="1540" w:right="0" w:hanging="360"/>
        <w:jc w:val="left"/>
        <w:rPr>
          <w:sz w:val="24"/>
        </w:rPr>
      </w:pPr>
      <w:r>
        <w:rPr>
          <w:sz w:val="24"/>
        </w:rPr>
        <w:t>Design architect/engineer prepares schematic</w:t>
      </w:r>
      <w:r>
        <w:rPr>
          <w:spacing w:val="-26"/>
          <w:sz w:val="24"/>
        </w:rPr>
        <w:t> </w:t>
      </w:r>
      <w:r>
        <w:rPr>
          <w:sz w:val="24"/>
        </w:rPr>
        <w:t>documents.</w:t>
      </w:r>
    </w:p>
    <w:p>
      <w:pPr>
        <w:spacing w:after="0" w:line="240" w:lineRule="auto"/>
        <w:jc w:val="left"/>
        <w:rPr>
          <w:sz w:val="24"/>
        </w:rPr>
        <w:sectPr>
          <w:pgSz w:w="12240" w:h="15840"/>
          <w:pgMar w:header="724" w:footer="1079" w:top="980" w:bottom="1260" w:left="620" w:right="1160"/>
        </w:sectPr>
      </w:pPr>
    </w:p>
    <w:p>
      <w:pPr>
        <w:pStyle w:val="BodyText"/>
        <w:rPr>
          <w:sz w:val="20"/>
        </w:rPr>
      </w:pPr>
    </w:p>
    <w:p>
      <w:pPr>
        <w:pStyle w:val="ListParagraph"/>
        <w:numPr>
          <w:ilvl w:val="0"/>
          <w:numId w:val="58"/>
        </w:numPr>
        <w:tabs>
          <w:tab w:pos="1540" w:val="left" w:leader="none"/>
        </w:tabs>
        <w:spacing w:line="240" w:lineRule="auto" w:before="214" w:after="0"/>
        <w:ind w:left="1540" w:right="110" w:hanging="360"/>
        <w:jc w:val="left"/>
        <w:rPr>
          <w:sz w:val="24"/>
        </w:rPr>
      </w:pPr>
      <w:r>
        <w:rPr>
          <w:sz w:val="24"/>
        </w:rPr>
        <w:t>Design architect/engineer prepares design development and estimate of project costs</w:t>
      </w:r>
    </w:p>
    <w:p>
      <w:pPr>
        <w:spacing w:line="274" w:lineRule="exact" w:before="0"/>
        <w:ind w:left="1180" w:right="0" w:firstLine="0"/>
        <w:jc w:val="left"/>
        <w:rPr>
          <w:i/>
          <w:sz w:val="24"/>
        </w:rPr>
      </w:pPr>
      <w:r>
        <w:rPr>
          <w:i/>
          <w:w w:val="100"/>
          <w:sz w:val="24"/>
        </w:rPr>
        <w:t>.</w:t>
      </w:r>
    </w:p>
    <w:p>
      <w:pPr>
        <w:pStyle w:val="ListParagraph"/>
        <w:numPr>
          <w:ilvl w:val="0"/>
          <w:numId w:val="58"/>
        </w:numPr>
        <w:tabs>
          <w:tab w:pos="1540" w:val="left" w:leader="none"/>
        </w:tabs>
        <w:spacing w:line="240" w:lineRule="auto" w:before="2" w:after="0"/>
        <w:ind w:left="1540" w:right="0" w:hanging="360"/>
        <w:jc w:val="left"/>
        <w:rPr>
          <w:sz w:val="24"/>
        </w:rPr>
      </w:pPr>
      <w:r>
        <w:rPr>
          <w:sz w:val="24"/>
        </w:rPr>
        <w:t>Environmental process certified by</w:t>
      </w:r>
      <w:r>
        <w:rPr>
          <w:spacing w:val="-26"/>
          <w:sz w:val="24"/>
        </w:rPr>
        <w:t> </w:t>
      </w:r>
      <w:r>
        <w:rPr>
          <w:sz w:val="24"/>
        </w:rPr>
        <w:t>department.</w:t>
      </w:r>
    </w:p>
    <w:p>
      <w:pPr>
        <w:pStyle w:val="BodyText"/>
        <w:spacing w:before="8"/>
        <w:rPr>
          <w:sz w:val="23"/>
        </w:rPr>
      </w:pPr>
    </w:p>
    <w:p>
      <w:pPr>
        <w:pStyle w:val="ListParagraph"/>
        <w:numPr>
          <w:ilvl w:val="0"/>
          <w:numId w:val="58"/>
        </w:numPr>
        <w:tabs>
          <w:tab w:pos="1540" w:val="left" w:leader="none"/>
        </w:tabs>
        <w:spacing w:line="345" w:lineRule="auto" w:before="0" w:after="0"/>
        <w:ind w:left="820" w:right="4356" w:firstLine="360"/>
        <w:jc w:val="left"/>
        <w:rPr>
          <w:sz w:val="24"/>
        </w:rPr>
      </w:pPr>
      <w:r>
        <w:rPr>
          <w:sz w:val="24"/>
        </w:rPr>
        <w:t>PWB approves preliminary plan design</w:t>
      </w:r>
      <w:r>
        <w:rPr>
          <w:i/>
          <w:sz w:val="24"/>
        </w:rPr>
        <w:t>. </w:t>
      </w:r>
      <w:r>
        <w:rPr>
          <w:sz w:val="24"/>
        </w:rPr>
        <w:t>(Continued)</w:t>
      </w:r>
    </w:p>
    <w:p>
      <w:pPr>
        <w:spacing w:after="0" w:line="345" w:lineRule="auto"/>
        <w:jc w:val="left"/>
        <w:rPr>
          <w:sz w:val="24"/>
        </w:rPr>
        <w:sectPr>
          <w:pgSz w:w="12240" w:h="15840"/>
          <w:pgMar w:header="724" w:footer="1079" w:top="980" w:bottom="1260" w:left="620" w:right="1520"/>
        </w:sectPr>
      </w:pPr>
    </w:p>
    <w:p>
      <w:pPr>
        <w:pStyle w:val="BodyText"/>
        <w:rPr>
          <w:sz w:val="20"/>
        </w:rPr>
      </w:pPr>
    </w:p>
    <w:p>
      <w:pPr>
        <w:pStyle w:val="BodyText"/>
        <w:spacing w:before="214"/>
        <w:ind w:left="820"/>
      </w:pPr>
      <w:r>
        <w:rPr/>
        <w:t>(Continued)</w:t>
      </w:r>
    </w:p>
    <w:p>
      <w:pPr>
        <w:pStyle w:val="Heading2"/>
        <w:tabs>
          <w:tab w:pos="8646" w:val="left" w:leader="none"/>
        </w:tabs>
        <w:ind w:left="819"/>
        <w:rPr>
          <w:b w:val="0"/>
        </w:rPr>
      </w:pPr>
      <w:r>
        <w:rPr/>
        <w:t>THE CAPITAL OUTLAY PROCESS</w:t>
      </w:r>
      <w:r>
        <w:rPr>
          <w:spacing w:val="-6"/>
        </w:rPr>
        <w:t> </w:t>
      </w:r>
      <w:r>
        <w:rPr/>
        <w:t>IN</w:t>
      </w:r>
      <w:r>
        <w:rPr>
          <w:spacing w:val="-3"/>
        </w:rPr>
        <w:t> </w:t>
      </w:r>
      <w:r>
        <w:rPr/>
        <w:t>BRIEF</w:t>
        <w:tab/>
        <w:t>6808 </w:t>
      </w:r>
      <w:r>
        <w:rPr>
          <w:b w:val="0"/>
        </w:rPr>
        <w:t>(Cont.</w:t>
      </w:r>
      <w:r>
        <w:rPr>
          <w:b w:val="0"/>
          <w:spacing w:val="-6"/>
        </w:rPr>
        <w:t> </w:t>
      </w:r>
      <w:r>
        <w:rPr>
          <w:b w:val="0"/>
        </w:rPr>
        <w:t>2)</w:t>
      </w:r>
    </w:p>
    <w:p>
      <w:pPr>
        <w:pStyle w:val="BodyText"/>
        <w:ind w:left="820"/>
      </w:pPr>
      <w:r>
        <w:rPr/>
        <w:t>(Revised 5/1998)</w:t>
      </w:r>
    </w:p>
    <w:p>
      <w:pPr>
        <w:pStyle w:val="BodyText"/>
        <w:spacing w:before="5"/>
        <w:rPr>
          <w:sz w:val="34"/>
        </w:rPr>
      </w:pPr>
    </w:p>
    <w:p>
      <w:pPr>
        <w:pStyle w:val="ListParagraph"/>
        <w:numPr>
          <w:ilvl w:val="0"/>
          <w:numId w:val="59"/>
        </w:numPr>
        <w:tabs>
          <w:tab w:pos="1180" w:val="left" w:leader="none"/>
        </w:tabs>
        <w:spacing w:line="240" w:lineRule="auto" w:before="0" w:after="0"/>
        <w:ind w:left="1180" w:right="0" w:hanging="360"/>
        <w:jc w:val="left"/>
        <w:rPr>
          <w:sz w:val="24"/>
        </w:rPr>
      </w:pPr>
      <w:r>
        <w:rPr>
          <w:b/>
          <w:sz w:val="24"/>
        </w:rPr>
        <w:t>Working drawing phase:  </w:t>
      </w:r>
      <w:r>
        <w:rPr>
          <w:sz w:val="24"/>
        </w:rPr>
        <w:t>3 to 11 months (Section</w:t>
      </w:r>
      <w:r>
        <w:rPr>
          <w:spacing w:val="-24"/>
          <w:sz w:val="24"/>
        </w:rPr>
        <w:t> </w:t>
      </w:r>
      <w:r>
        <w:rPr>
          <w:sz w:val="24"/>
        </w:rPr>
        <w:t>6852)</w:t>
      </w:r>
    </w:p>
    <w:p>
      <w:pPr>
        <w:pStyle w:val="ListParagraph"/>
        <w:numPr>
          <w:ilvl w:val="1"/>
          <w:numId w:val="59"/>
        </w:numPr>
        <w:tabs>
          <w:tab w:pos="1540" w:val="left" w:leader="none"/>
        </w:tabs>
        <w:spacing w:line="274" w:lineRule="exact" w:before="126" w:after="0"/>
        <w:ind w:left="1540" w:right="909" w:hanging="360"/>
        <w:jc w:val="left"/>
        <w:rPr>
          <w:i/>
          <w:sz w:val="24"/>
        </w:rPr>
      </w:pPr>
      <w:r>
        <w:rPr>
          <w:sz w:val="24"/>
        </w:rPr>
        <w:t>Design architect/engineer prepares plans and specifications for bidding and construction work and refines the cost</w:t>
      </w:r>
      <w:r>
        <w:rPr>
          <w:spacing w:val="-19"/>
          <w:sz w:val="24"/>
        </w:rPr>
        <w:t> </w:t>
      </w:r>
      <w:r>
        <w:rPr>
          <w:sz w:val="24"/>
        </w:rPr>
        <w:t>estimate</w:t>
      </w:r>
      <w:r>
        <w:rPr>
          <w:i/>
          <w:sz w:val="24"/>
        </w:rPr>
        <w:t>.</w:t>
      </w:r>
    </w:p>
    <w:p>
      <w:pPr>
        <w:pStyle w:val="BodyText"/>
        <w:spacing w:before="10"/>
        <w:rPr>
          <w:i/>
          <w:sz w:val="23"/>
        </w:rPr>
      </w:pPr>
    </w:p>
    <w:p>
      <w:pPr>
        <w:pStyle w:val="ListParagraph"/>
        <w:numPr>
          <w:ilvl w:val="1"/>
          <w:numId w:val="59"/>
        </w:numPr>
        <w:tabs>
          <w:tab w:pos="1540" w:val="left" w:leader="none"/>
        </w:tabs>
        <w:spacing w:line="240" w:lineRule="auto" w:before="0" w:after="0"/>
        <w:ind w:left="1540" w:right="475" w:hanging="360"/>
        <w:jc w:val="left"/>
        <w:rPr>
          <w:sz w:val="24"/>
        </w:rPr>
      </w:pPr>
      <w:r>
        <w:rPr>
          <w:sz w:val="24"/>
        </w:rPr>
        <w:t>Responsible lead design agency obtains mandatory review and approvals</w:t>
      </w:r>
      <w:r>
        <w:rPr>
          <w:spacing w:val="-40"/>
          <w:sz w:val="24"/>
        </w:rPr>
        <w:t> </w:t>
      </w:r>
      <w:r>
        <w:rPr>
          <w:sz w:val="24"/>
        </w:rPr>
        <w:t>(e.g., State Fire</w:t>
      </w:r>
      <w:r>
        <w:rPr>
          <w:spacing w:val="-8"/>
          <w:sz w:val="24"/>
        </w:rPr>
        <w:t> </w:t>
      </w:r>
      <w:r>
        <w:rPr>
          <w:sz w:val="24"/>
        </w:rPr>
        <w:t>Marshal).</w:t>
      </w:r>
    </w:p>
    <w:p>
      <w:pPr>
        <w:pStyle w:val="BodyText"/>
        <w:spacing w:before="9"/>
        <w:rPr>
          <w:sz w:val="23"/>
        </w:rPr>
      </w:pPr>
    </w:p>
    <w:p>
      <w:pPr>
        <w:pStyle w:val="ListParagraph"/>
        <w:numPr>
          <w:ilvl w:val="1"/>
          <w:numId w:val="59"/>
        </w:numPr>
        <w:tabs>
          <w:tab w:pos="1540" w:val="left" w:leader="none"/>
        </w:tabs>
        <w:spacing w:line="240" w:lineRule="auto" w:before="0" w:after="0"/>
        <w:ind w:left="1540" w:right="0" w:hanging="360"/>
        <w:jc w:val="left"/>
        <w:rPr>
          <w:i/>
          <w:sz w:val="24"/>
        </w:rPr>
      </w:pPr>
      <w:r>
        <w:rPr>
          <w:sz w:val="24"/>
        </w:rPr>
        <w:t>DGS submits the design certification to</w:t>
      </w:r>
      <w:r>
        <w:rPr>
          <w:spacing w:val="-16"/>
          <w:sz w:val="24"/>
        </w:rPr>
        <w:t> </w:t>
      </w:r>
      <w:r>
        <w:rPr>
          <w:sz w:val="24"/>
        </w:rPr>
        <w:t>DOF</w:t>
      </w:r>
      <w:r>
        <w:rPr>
          <w:i/>
          <w:sz w:val="24"/>
        </w:rPr>
        <w:t>.</w:t>
      </w:r>
    </w:p>
    <w:p>
      <w:pPr>
        <w:pStyle w:val="BodyText"/>
        <w:spacing w:before="11"/>
        <w:rPr>
          <w:i/>
          <w:sz w:val="23"/>
        </w:rPr>
      </w:pPr>
    </w:p>
    <w:p>
      <w:pPr>
        <w:pStyle w:val="ListParagraph"/>
        <w:numPr>
          <w:ilvl w:val="1"/>
          <w:numId w:val="59"/>
        </w:numPr>
        <w:tabs>
          <w:tab w:pos="1540" w:val="left" w:leader="none"/>
        </w:tabs>
        <w:spacing w:line="240" w:lineRule="auto" w:before="0" w:after="0"/>
        <w:ind w:left="1540" w:right="0" w:hanging="360"/>
        <w:jc w:val="left"/>
        <w:rPr>
          <w:i/>
          <w:sz w:val="24"/>
        </w:rPr>
      </w:pPr>
      <w:r>
        <w:rPr>
          <w:sz w:val="24"/>
        </w:rPr>
        <w:t>DOF approves working drawings and proceeding to</w:t>
      </w:r>
      <w:r>
        <w:rPr>
          <w:spacing w:val="-23"/>
          <w:sz w:val="24"/>
        </w:rPr>
        <w:t> </w:t>
      </w:r>
      <w:r>
        <w:rPr>
          <w:sz w:val="24"/>
        </w:rPr>
        <w:t>bid</w:t>
      </w:r>
      <w:r>
        <w:rPr>
          <w:i/>
          <w:sz w:val="24"/>
        </w:rPr>
        <w:t>.</w:t>
      </w:r>
    </w:p>
    <w:p>
      <w:pPr>
        <w:pStyle w:val="ListParagraph"/>
        <w:numPr>
          <w:ilvl w:val="0"/>
          <w:numId w:val="59"/>
        </w:numPr>
        <w:tabs>
          <w:tab w:pos="1180" w:val="left" w:leader="none"/>
        </w:tabs>
        <w:spacing w:line="240" w:lineRule="auto" w:before="122" w:after="0"/>
        <w:ind w:left="1180" w:right="0" w:hanging="360"/>
        <w:jc w:val="left"/>
        <w:rPr>
          <w:sz w:val="24"/>
        </w:rPr>
      </w:pPr>
      <w:r>
        <w:rPr>
          <w:b/>
          <w:sz w:val="24"/>
        </w:rPr>
        <w:t>Bidding phase:  </w:t>
      </w:r>
      <w:r>
        <w:rPr>
          <w:sz w:val="24"/>
        </w:rPr>
        <w:t>3 to 6 months (Sections 6852 and</w:t>
      </w:r>
      <w:r>
        <w:rPr>
          <w:spacing w:val="-26"/>
          <w:sz w:val="24"/>
        </w:rPr>
        <w:t> </w:t>
      </w:r>
      <w:r>
        <w:rPr>
          <w:sz w:val="24"/>
        </w:rPr>
        <w:t>6853)</w:t>
      </w:r>
    </w:p>
    <w:p>
      <w:pPr>
        <w:pStyle w:val="BodyText"/>
      </w:pPr>
    </w:p>
    <w:p>
      <w:pPr>
        <w:pStyle w:val="ListParagraph"/>
        <w:numPr>
          <w:ilvl w:val="1"/>
          <w:numId w:val="59"/>
        </w:numPr>
        <w:tabs>
          <w:tab w:pos="1540" w:val="left" w:leader="none"/>
        </w:tabs>
        <w:spacing w:line="240" w:lineRule="auto" w:before="0" w:after="0"/>
        <w:ind w:left="1540" w:right="0" w:hanging="360"/>
        <w:jc w:val="left"/>
        <w:rPr>
          <w:sz w:val="24"/>
        </w:rPr>
      </w:pPr>
      <w:r>
        <w:rPr>
          <w:sz w:val="24"/>
        </w:rPr>
        <w:t>DGS advertises the project for construction</w:t>
      </w:r>
      <w:r>
        <w:rPr>
          <w:spacing w:val="-24"/>
          <w:sz w:val="24"/>
        </w:rPr>
        <w:t> </w:t>
      </w:r>
      <w:r>
        <w:rPr>
          <w:sz w:val="24"/>
        </w:rPr>
        <w:t>bids.</w:t>
      </w:r>
    </w:p>
    <w:p>
      <w:pPr>
        <w:pStyle w:val="BodyText"/>
        <w:spacing w:before="11"/>
        <w:rPr>
          <w:sz w:val="23"/>
        </w:rPr>
      </w:pPr>
    </w:p>
    <w:p>
      <w:pPr>
        <w:pStyle w:val="ListParagraph"/>
        <w:numPr>
          <w:ilvl w:val="1"/>
          <w:numId w:val="59"/>
        </w:numPr>
        <w:tabs>
          <w:tab w:pos="1540" w:val="left" w:leader="none"/>
        </w:tabs>
        <w:spacing w:line="240" w:lineRule="auto" w:before="0" w:after="0"/>
        <w:ind w:left="1540" w:right="0" w:hanging="360"/>
        <w:jc w:val="left"/>
        <w:rPr>
          <w:sz w:val="24"/>
        </w:rPr>
      </w:pPr>
      <w:r>
        <w:rPr>
          <w:sz w:val="24"/>
        </w:rPr>
        <w:t>Interested bidders prepare and submit construction bids to</w:t>
      </w:r>
      <w:r>
        <w:rPr>
          <w:spacing w:val="-28"/>
          <w:sz w:val="24"/>
        </w:rPr>
        <w:t> </w:t>
      </w:r>
      <w:r>
        <w:rPr>
          <w:sz w:val="24"/>
        </w:rPr>
        <w:t>DGS.</w:t>
      </w:r>
    </w:p>
    <w:p>
      <w:pPr>
        <w:pStyle w:val="BodyText"/>
        <w:spacing w:before="5"/>
      </w:pPr>
    </w:p>
    <w:p>
      <w:pPr>
        <w:pStyle w:val="ListParagraph"/>
        <w:numPr>
          <w:ilvl w:val="1"/>
          <w:numId w:val="59"/>
        </w:numPr>
        <w:tabs>
          <w:tab w:pos="1540" w:val="left" w:leader="none"/>
        </w:tabs>
        <w:spacing w:line="274" w:lineRule="exact" w:before="0" w:after="0"/>
        <w:ind w:left="1540" w:right="485" w:hanging="360"/>
        <w:jc w:val="left"/>
        <w:rPr>
          <w:i/>
          <w:sz w:val="24"/>
        </w:rPr>
      </w:pPr>
      <w:r>
        <w:rPr>
          <w:sz w:val="24"/>
        </w:rPr>
        <w:t>DOF authorizes award (if within approved funding levels) and approves transfer of construction</w:t>
      </w:r>
      <w:r>
        <w:rPr>
          <w:spacing w:val="-7"/>
          <w:sz w:val="24"/>
        </w:rPr>
        <w:t> </w:t>
      </w:r>
      <w:r>
        <w:rPr>
          <w:sz w:val="24"/>
        </w:rPr>
        <w:t>funds</w:t>
      </w:r>
      <w:r>
        <w:rPr>
          <w:i/>
          <w:sz w:val="24"/>
        </w:rPr>
        <w:t>.</w:t>
      </w:r>
    </w:p>
    <w:p>
      <w:pPr>
        <w:pStyle w:val="BodyText"/>
        <w:spacing w:before="9"/>
        <w:rPr>
          <w:i/>
          <w:sz w:val="23"/>
        </w:rPr>
      </w:pPr>
    </w:p>
    <w:p>
      <w:pPr>
        <w:pStyle w:val="ListParagraph"/>
        <w:numPr>
          <w:ilvl w:val="1"/>
          <w:numId w:val="59"/>
        </w:numPr>
        <w:tabs>
          <w:tab w:pos="1540" w:val="left" w:leader="none"/>
        </w:tabs>
        <w:spacing w:line="240" w:lineRule="auto" w:before="0" w:after="0"/>
        <w:ind w:left="1540" w:right="0" w:hanging="360"/>
        <w:jc w:val="left"/>
        <w:rPr>
          <w:sz w:val="24"/>
        </w:rPr>
      </w:pPr>
      <w:r>
        <w:rPr>
          <w:sz w:val="24"/>
        </w:rPr>
        <w:t>DGS awards construction contract to</w:t>
      </w:r>
      <w:r>
        <w:rPr>
          <w:spacing w:val="-23"/>
          <w:sz w:val="24"/>
        </w:rPr>
        <w:t> </w:t>
      </w:r>
      <w:r>
        <w:rPr>
          <w:sz w:val="24"/>
        </w:rPr>
        <w:t>contractor.</w:t>
      </w:r>
    </w:p>
    <w:p>
      <w:pPr>
        <w:pStyle w:val="BodyText"/>
        <w:spacing w:before="119"/>
        <w:ind w:left="1180"/>
        <w:rPr>
          <w:b/>
        </w:rPr>
      </w:pPr>
      <w:r>
        <w:rPr>
          <w:strike/>
          <w:color w:val="2E97D3"/>
        </w:rPr>
        <w:t>9.</w:t>
      </w:r>
      <w:r>
        <w:rPr>
          <w:strike w:val="0"/>
          <w:color w:val="2E97D3"/>
          <w:u w:val="single" w:color="2E97D3"/>
        </w:rPr>
        <w:t>1................................................................................................................................ </w:t>
      </w:r>
      <w:r>
        <w:rPr>
          <w:b/>
          <w:strike w:val="0"/>
        </w:rPr>
        <w:t>C</w:t>
      </w:r>
    </w:p>
    <w:p>
      <w:pPr>
        <w:spacing w:before="0"/>
        <w:ind w:left="1540" w:right="0" w:firstLine="0"/>
        <w:jc w:val="left"/>
        <w:rPr>
          <w:sz w:val="24"/>
        </w:rPr>
      </w:pPr>
      <w:r>
        <w:rPr>
          <w:b/>
          <w:sz w:val="24"/>
        </w:rPr>
        <w:t>onstruction phase:  </w:t>
      </w:r>
      <w:r>
        <w:rPr>
          <w:sz w:val="24"/>
        </w:rPr>
        <w:t>3 to 36 months (Section 6854)</w:t>
      </w:r>
    </w:p>
    <w:p>
      <w:pPr>
        <w:pStyle w:val="BodyText"/>
      </w:pPr>
    </w:p>
    <w:p>
      <w:pPr>
        <w:pStyle w:val="ListParagraph"/>
        <w:numPr>
          <w:ilvl w:val="0"/>
          <w:numId w:val="60"/>
        </w:numPr>
        <w:tabs>
          <w:tab w:pos="1540" w:val="left" w:leader="none"/>
        </w:tabs>
        <w:spacing w:line="240" w:lineRule="auto" w:before="0" w:after="0"/>
        <w:ind w:left="1540" w:right="0" w:hanging="360"/>
        <w:jc w:val="left"/>
        <w:rPr>
          <w:sz w:val="24"/>
        </w:rPr>
      </w:pPr>
      <w:r>
        <w:rPr>
          <w:sz w:val="24"/>
        </w:rPr>
        <w:t>Contractor constructs</w:t>
      </w:r>
      <w:r>
        <w:rPr>
          <w:spacing w:val="-15"/>
          <w:sz w:val="24"/>
        </w:rPr>
        <w:t> </w:t>
      </w:r>
      <w:r>
        <w:rPr>
          <w:sz w:val="24"/>
        </w:rPr>
        <w:t>project.</w:t>
      </w:r>
    </w:p>
    <w:p>
      <w:pPr>
        <w:pStyle w:val="BodyText"/>
        <w:spacing w:before="5"/>
      </w:pPr>
    </w:p>
    <w:p>
      <w:pPr>
        <w:pStyle w:val="ListParagraph"/>
        <w:numPr>
          <w:ilvl w:val="0"/>
          <w:numId w:val="60"/>
        </w:numPr>
        <w:tabs>
          <w:tab w:pos="1540" w:val="left" w:leader="none"/>
        </w:tabs>
        <w:spacing w:line="274" w:lineRule="exact" w:before="0" w:after="0"/>
        <w:ind w:left="1540" w:right="1022" w:hanging="360"/>
        <w:jc w:val="left"/>
        <w:rPr>
          <w:i/>
          <w:sz w:val="24"/>
        </w:rPr>
      </w:pPr>
      <w:r>
        <w:rPr>
          <w:sz w:val="24"/>
        </w:rPr>
        <w:t>DGS processes construction progress payments and change orders</w:t>
      </w:r>
      <w:r>
        <w:rPr>
          <w:spacing w:val="-35"/>
          <w:sz w:val="24"/>
        </w:rPr>
        <w:t> </w:t>
      </w:r>
      <w:r>
        <w:rPr>
          <w:sz w:val="24"/>
        </w:rPr>
        <w:t>within approved contingency</w:t>
      </w:r>
      <w:r>
        <w:rPr>
          <w:spacing w:val="-18"/>
          <w:sz w:val="24"/>
        </w:rPr>
        <w:t> </w:t>
      </w:r>
      <w:r>
        <w:rPr>
          <w:sz w:val="24"/>
        </w:rPr>
        <w:t>amount</w:t>
      </w:r>
      <w:r>
        <w:rPr>
          <w:i/>
          <w:sz w:val="24"/>
        </w:rPr>
        <w:t>.</w:t>
      </w:r>
    </w:p>
    <w:p>
      <w:pPr>
        <w:pStyle w:val="BodyText"/>
        <w:spacing w:before="7"/>
        <w:rPr>
          <w:i/>
          <w:sz w:val="23"/>
        </w:rPr>
      </w:pPr>
    </w:p>
    <w:p>
      <w:pPr>
        <w:pStyle w:val="ListParagraph"/>
        <w:numPr>
          <w:ilvl w:val="0"/>
          <w:numId w:val="60"/>
        </w:numPr>
        <w:tabs>
          <w:tab w:pos="1540" w:val="left" w:leader="none"/>
        </w:tabs>
        <w:spacing w:line="240" w:lineRule="auto" w:before="0" w:after="0"/>
        <w:ind w:left="1540" w:right="0" w:hanging="360"/>
        <w:jc w:val="left"/>
        <w:rPr>
          <w:i/>
          <w:sz w:val="24"/>
        </w:rPr>
      </w:pPr>
      <w:r>
        <w:rPr>
          <w:sz w:val="24"/>
        </w:rPr>
        <w:t>DGS files contract completion notice with</w:t>
      </w:r>
      <w:r>
        <w:rPr>
          <w:spacing w:val="-21"/>
          <w:sz w:val="24"/>
        </w:rPr>
        <w:t> </w:t>
      </w:r>
      <w:r>
        <w:rPr>
          <w:sz w:val="24"/>
        </w:rPr>
        <w:t>DOF</w:t>
      </w:r>
      <w:r>
        <w:rPr>
          <w:i/>
          <w:sz w:val="24"/>
        </w:rPr>
        <w:t>.</w:t>
      </w:r>
    </w:p>
    <w:p>
      <w:pPr>
        <w:pStyle w:val="BodyText"/>
        <w:rPr>
          <w:i/>
          <w:sz w:val="21"/>
        </w:rPr>
      </w:pPr>
    </w:p>
    <w:p>
      <w:pPr>
        <w:pStyle w:val="ListParagraph"/>
        <w:numPr>
          <w:ilvl w:val="0"/>
          <w:numId w:val="61"/>
        </w:numPr>
        <w:tabs>
          <w:tab w:pos="1180" w:val="left" w:leader="none"/>
        </w:tabs>
        <w:spacing w:line="240" w:lineRule="auto" w:before="0" w:after="0"/>
        <w:ind w:left="1180" w:right="0" w:hanging="360"/>
        <w:jc w:val="left"/>
        <w:rPr>
          <w:sz w:val="24"/>
        </w:rPr>
      </w:pPr>
      <w:r>
        <w:rPr>
          <w:b/>
          <w:sz w:val="24"/>
        </w:rPr>
        <w:t>Claims and close-out phase:  </w:t>
      </w:r>
      <w:r>
        <w:rPr>
          <w:sz w:val="24"/>
        </w:rPr>
        <w:t>(Section</w:t>
      </w:r>
      <w:r>
        <w:rPr>
          <w:spacing w:val="-22"/>
          <w:sz w:val="24"/>
        </w:rPr>
        <w:t> </w:t>
      </w:r>
      <w:r>
        <w:rPr>
          <w:sz w:val="24"/>
        </w:rPr>
        <w:t>6856)</w:t>
      </w:r>
    </w:p>
    <w:p>
      <w:pPr>
        <w:pStyle w:val="BodyText"/>
        <w:spacing w:before="10"/>
        <w:rPr>
          <w:sz w:val="23"/>
        </w:rPr>
      </w:pPr>
    </w:p>
    <w:p>
      <w:pPr>
        <w:pStyle w:val="ListParagraph"/>
        <w:numPr>
          <w:ilvl w:val="1"/>
          <w:numId w:val="61"/>
        </w:numPr>
        <w:tabs>
          <w:tab w:pos="1540" w:val="left" w:leader="none"/>
        </w:tabs>
        <w:spacing w:line="240" w:lineRule="auto" w:before="1" w:after="0"/>
        <w:ind w:left="1540" w:right="0" w:hanging="360"/>
        <w:jc w:val="left"/>
        <w:rPr>
          <w:sz w:val="24"/>
        </w:rPr>
      </w:pPr>
      <w:r>
        <w:rPr>
          <w:sz w:val="24"/>
        </w:rPr>
        <w:t>Contractor files notice of</w:t>
      </w:r>
      <w:r>
        <w:rPr>
          <w:spacing w:val="-15"/>
          <w:sz w:val="24"/>
        </w:rPr>
        <w:t> </w:t>
      </w:r>
      <w:r>
        <w:rPr>
          <w:sz w:val="24"/>
        </w:rPr>
        <w:t>claims.</w:t>
      </w:r>
    </w:p>
    <w:p>
      <w:pPr>
        <w:pStyle w:val="BodyText"/>
      </w:pPr>
    </w:p>
    <w:p>
      <w:pPr>
        <w:pStyle w:val="ListParagraph"/>
        <w:numPr>
          <w:ilvl w:val="1"/>
          <w:numId w:val="61"/>
        </w:numPr>
        <w:tabs>
          <w:tab w:pos="1540" w:val="left" w:leader="none"/>
        </w:tabs>
        <w:spacing w:line="240" w:lineRule="auto" w:before="0" w:after="0"/>
        <w:ind w:left="1540" w:right="0" w:hanging="360"/>
        <w:jc w:val="left"/>
        <w:rPr>
          <w:sz w:val="24"/>
        </w:rPr>
      </w:pPr>
      <w:r>
        <w:rPr>
          <w:sz w:val="24"/>
        </w:rPr>
        <w:t>DGS and contractor resolve claims through arbitration, mediation, and/or</w:t>
      </w:r>
      <w:r>
        <w:rPr>
          <w:spacing w:val="-39"/>
          <w:sz w:val="24"/>
        </w:rPr>
        <w:t> </w:t>
      </w:r>
      <w:r>
        <w:rPr>
          <w:sz w:val="24"/>
        </w:rPr>
        <w:t>court.</w:t>
      </w:r>
    </w:p>
    <w:p>
      <w:pPr>
        <w:pStyle w:val="BodyText"/>
        <w:spacing w:before="11"/>
        <w:rPr>
          <w:sz w:val="23"/>
        </w:rPr>
      </w:pPr>
    </w:p>
    <w:p>
      <w:pPr>
        <w:pStyle w:val="ListParagraph"/>
        <w:numPr>
          <w:ilvl w:val="1"/>
          <w:numId w:val="61"/>
        </w:numPr>
        <w:tabs>
          <w:tab w:pos="1540" w:val="left" w:leader="none"/>
        </w:tabs>
        <w:spacing w:line="240" w:lineRule="auto" w:before="0" w:after="0"/>
        <w:ind w:left="1540" w:right="0" w:hanging="360"/>
        <w:jc w:val="left"/>
        <w:rPr>
          <w:sz w:val="24"/>
        </w:rPr>
      </w:pPr>
      <w:r>
        <w:rPr>
          <w:sz w:val="24"/>
        </w:rPr>
        <w:t>DGS closes-out project per Government Code</w:t>
      </w:r>
      <w:r>
        <w:rPr>
          <w:spacing w:val="-26"/>
          <w:sz w:val="24"/>
        </w:rPr>
        <w:t> </w:t>
      </w:r>
      <w:r>
        <w:rPr>
          <w:sz w:val="24"/>
        </w:rPr>
        <w:t>14959.</w:t>
      </w:r>
    </w:p>
    <w:p>
      <w:pPr>
        <w:pStyle w:val="BodyText"/>
        <w:spacing w:before="119"/>
        <w:ind w:left="820" w:right="402"/>
      </w:pPr>
      <w:r>
        <w:rPr/>
        <w:t>Projects funded through bonds and financing leases have additional administrative steps addressed in Sections 6870–6888. Project changes for cost and scope are addressed in Sections 6861 and 6863, respectively.</w:t>
      </w:r>
    </w:p>
    <w:p>
      <w:pPr>
        <w:spacing w:after="0"/>
        <w:sectPr>
          <w:pgSz w:w="12240" w:h="15840"/>
          <w:pgMar w:header="724" w:footer="1079" w:top="980" w:bottom="1260" w:left="620" w:right="1160"/>
        </w:sectPr>
      </w:pPr>
    </w:p>
    <w:p>
      <w:pPr>
        <w:pStyle w:val="BodyText"/>
        <w:rPr>
          <w:sz w:val="20"/>
        </w:rPr>
      </w:pPr>
    </w:p>
    <w:p>
      <w:pPr>
        <w:pStyle w:val="Heading2"/>
        <w:tabs>
          <w:tab w:pos="9647" w:val="left" w:leader="none"/>
        </w:tabs>
        <w:spacing w:before="214"/>
        <w:ind w:left="820"/>
      </w:pPr>
      <w:r>
        <w:rPr/>
        <w:t>LEGAL CITATIONS FOR CAPITALIZED ASSETS</w:t>
      </w:r>
      <w:r>
        <w:rPr>
          <w:spacing w:val="-9"/>
        </w:rPr>
        <w:t> </w:t>
      </w:r>
      <w:r>
        <w:rPr>
          <w:spacing w:val="-3"/>
        </w:rPr>
        <w:t>AND</w:t>
      </w:r>
      <w:r>
        <w:rPr>
          <w:spacing w:val="-4"/>
        </w:rPr>
        <w:t> </w:t>
      </w:r>
      <w:r>
        <w:rPr/>
        <w:t>FINANCING</w:t>
        <w:tab/>
        <w:t>6809</w:t>
      </w:r>
    </w:p>
    <w:p>
      <w:pPr>
        <w:pStyle w:val="BodyText"/>
        <w:ind w:left="820"/>
      </w:pPr>
      <w:r>
        <w:rPr/>
        <w:t>(New 5/1998)</w:t>
      </w:r>
    </w:p>
    <w:p>
      <w:pPr>
        <w:pStyle w:val="BodyText"/>
        <w:spacing w:before="120"/>
        <w:ind w:left="819" w:right="189"/>
      </w:pPr>
      <w:r>
        <w:rPr/>
        <w:t>Most citations for capital outlay planning, budgeting, and fiscal administration are contained in the Government Code and annual Budget Act. Citations for capitalized asset financing are also provided in the Government Code. However, the Public Contract Code, the Public Resources Code, and the California Code of Regulations provide significant instruction and constraints on project implementation. Statutory authorization for individual general obligation bond measures is placed programmatically in the code (e.g., prison authorizations are placed in the Penal Code), and are not cited in the following 6809 Illustration. In addition, individual project descriptions (called </w:t>
      </w:r>
      <w:r>
        <w:rPr>
          <w:i/>
        </w:rPr>
        <w:t>project scope</w:t>
      </w:r>
      <w:r>
        <w:rPr/>
        <w:t>), which are provided in supplemental language to the Budget Act, are not cited in the following table.</w:t>
      </w:r>
    </w:p>
    <w:p>
      <w:pPr>
        <w:pStyle w:val="BodyText"/>
        <w:spacing w:before="10"/>
        <w:rPr>
          <w:sz w:val="20"/>
        </w:rPr>
      </w:pPr>
    </w:p>
    <w:p>
      <w:pPr>
        <w:pStyle w:val="BodyText"/>
        <w:ind w:left="819" w:right="108"/>
      </w:pPr>
      <w:r>
        <w:rPr/>
        <w:t>Because legal citations change periodically, this table is a only a guide.  The citations are not comprehensive, and information should be checked against current publications.</w:t>
      </w:r>
    </w:p>
    <w:p>
      <w:pPr>
        <w:spacing w:after="0"/>
        <w:sectPr>
          <w:pgSz w:w="12240" w:h="15840"/>
          <w:pgMar w:header="724" w:footer="1079" w:top="980" w:bottom="1260" w:left="620" w:right="1320"/>
        </w:sectPr>
      </w:pPr>
    </w:p>
    <w:p>
      <w:pPr>
        <w:pStyle w:val="BodyText"/>
        <w:rPr>
          <w:sz w:val="20"/>
        </w:rPr>
      </w:pPr>
    </w:p>
    <w:p>
      <w:pPr>
        <w:spacing w:before="214"/>
        <w:ind w:left="2231" w:right="0" w:firstLine="0"/>
        <w:jc w:val="left"/>
        <w:rPr>
          <w:b/>
          <w:sz w:val="24"/>
        </w:rPr>
      </w:pPr>
      <w:r>
        <w:rPr>
          <w:b/>
          <w:sz w:val="24"/>
        </w:rPr>
        <w:t>CITATIONS FOR CAPITALIZED ASSETS AND FINANCING</w:t>
      </w:r>
    </w:p>
    <w:p>
      <w:pPr>
        <w:pStyle w:val="BodyText"/>
        <w:spacing w:before="4"/>
        <w:rPr>
          <w:b/>
        </w:rPr>
      </w:pPr>
    </w:p>
    <w:tbl>
      <w:tblPr>
        <w:tblW w:w="0" w:type="auto"/>
        <w:jc w:val="left"/>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88"/>
        <w:gridCol w:w="1260"/>
        <w:gridCol w:w="1711"/>
        <w:gridCol w:w="1440"/>
        <w:gridCol w:w="1529"/>
        <w:gridCol w:w="989"/>
      </w:tblGrid>
      <w:tr>
        <w:trPr>
          <w:trHeight w:val="835" w:hRule="exact"/>
        </w:trPr>
        <w:tc>
          <w:tcPr>
            <w:tcW w:w="2988" w:type="dxa"/>
            <w:tcBorders>
              <w:top w:val="nil"/>
              <w:left w:val="nil"/>
              <w:right w:val="nil"/>
            </w:tcBorders>
            <w:shd w:val="clear" w:color="auto" w:fill="DADADA"/>
          </w:tcPr>
          <w:p>
            <w:pPr/>
          </w:p>
        </w:tc>
        <w:tc>
          <w:tcPr>
            <w:tcW w:w="1260" w:type="dxa"/>
            <w:tcBorders>
              <w:top w:val="nil"/>
              <w:left w:val="nil"/>
              <w:right w:val="nil"/>
            </w:tcBorders>
            <w:shd w:val="clear" w:color="auto" w:fill="DADADA"/>
          </w:tcPr>
          <w:p>
            <w:pPr>
              <w:pStyle w:val="TableParagraph"/>
              <w:ind w:left="216" w:right="215" w:hanging="2"/>
              <w:jc w:val="center"/>
              <w:rPr>
                <w:b/>
                <w:sz w:val="24"/>
              </w:rPr>
            </w:pPr>
            <w:r>
              <w:rPr>
                <w:b/>
                <w:sz w:val="24"/>
              </w:rPr>
              <w:t>Annual Budget Act</w:t>
            </w:r>
          </w:p>
        </w:tc>
        <w:tc>
          <w:tcPr>
            <w:tcW w:w="1711" w:type="dxa"/>
            <w:tcBorders>
              <w:top w:val="nil"/>
              <w:left w:val="nil"/>
              <w:right w:val="nil"/>
            </w:tcBorders>
            <w:shd w:val="clear" w:color="auto" w:fill="DADADA"/>
          </w:tcPr>
          <w:p>
            <w:pPr>
              <w:pStyle w:val="TableParagraph"/>
              <w:spacing w:before="132"/>
              <w:ind w:left="554" w:right="129" w:hanging="406"/>
              <w:rPr>
                <w:b/>
                <w:sz w:val="24"/>
              </w:rPr>
            </w:pPr>
            <w:r>
              <w:rPr>
                <w:b/>
                <w:sz w:val="24"/>
              </w:rPr>
              <w:t>Government Code</w:t>
            </w:r>
          </w:p>
        </w:tc>
        <w:tc>
          <w:tcPr>
            <w:tcW w:w="1440" w:type="dxa"/>
            <w:tcBorders>
              <w:top w:val="nil"/>
              <w:left w:val="nil"/>
              <w:right w:val="nil"/>
            </w:tcBorders>
            <w:shd w:val="clear" w:color="auto" w:fill="DADADA"/>
          </w:tcPr>
          <w:p>
            <w:pPr>
              <w:pStyle w:val="TableParagraph"/>
              <w:ind w:left="223" w:right="227" w:hanging="2"/>
              <w:jc w:val="center"/>
              <w:rPr>
                <w:b/>
                <w:sz w:val="24"/>
              </w:rPr>
            </w:pPr>
            <w:r>
              <w:rPr>
                <w:b/>
                <w:sz w:val="24"/>
              </w:rPr>
              <w:t>Public Contract Code</w:t>
            </w:r>
          </w:p>
        </w:tc>
        <w:tc>
          <w:tcPr>
            <w:tcW w:w="1529" w:type="dxa"/>
            <w:tcBorders>
              <w:top w:val="nil"/>
              <w:left w:val="nil"/>
              <w:right w:val="nil"/>
            </w:tcBorders>
            <w:shd w:val="clear" w:color="auto" w:fill="DADADA"/>
          </w:tcPr>
          <w:p>
            <w:pPr>
              <w:pStyle w:val="TableParagraph"/>
              <w:ind w:left="146" w:right="152" w:firstLine="2"/>
              <w:jc w:val="center"/>
              <w:rPr>
                <w:b/>
                <w:sz w:val="24"/>
              </w:rPr>
            </w:pPr>
            <w:r>
              <w:rPr>
                <w:b/>
                <w:sz w:val="24"/>
              </w:rPr>
              <w:t>Public Resources Code</w:t>
            </w:r>
          </w:p>
        </w:tc>
        <w:tc>
          <w:tcPr>
            <w:tcW w:w="989" w:type="dxa"/>
            <w:tcBorders>
              <w:top w:val="nil"/>
              <w:left w:val="nil"/>
              <w:right w:val="nil"/>
            </w:tcBorders>
            <w:shd w:val="clear" w:color="auto" w:fill="DADADA"/>
          </w:tcPr>
          <w:p>
            <w:pPr>
              <w:pStyle w:val="TableParagraph"/>
              <w:spacing w:before="7"/>
              <w:rPr>
                <w:b/>
                <w:sz w:val="23"/>
              </w:rPr>
            </w:pPr>
          </w:p>
          <w:p>
            <w:pPr>
              <w:pStyle w:val="TableParagraph"/>
              <w:ind w:left="172"/>
              <w:rPr>
                <w:b/>
                <w:sz w:val="24"/>
              </w:rPr>
            </w:pPr>
            <w:r>
              <w:rPr>
                <w:b/>
                <w:sz w:val="24"/>
              </w:rPr>
              <w:t>Other</w:t>
            </w:r>
          </w:p>
        </w:tc>
      </w:tr>
      <w:tr>
        <w:trPr>
          <w:trHeight w:val="842" w:hRule="exact"/>
        </w:trPr>
        <w:tc>
          <w:tcPr>
            <w:tcW w:w="2988" w:type="dxa"/>
            <w:tcBorders>
              <w:left w:val="nil"/>
            </w:tcBorders>
          </w:tcPr>
          <w:p>
            <w:pPr>
              <w:pStyle w:val="TableParagraph"/>
              <w:spacing w:before="7"/>
              <w:rPr>
                <w:b/>
                <w:sz w:val="23"/>
              </w:rPr>
            </w:pPr>
          </w:p>
          <w:p>
            <w:pPr>
              <w:pStyle w:val="TableParagraph"/>
              <w:ind w:left="108"/>
              <w:rPr>
                <w:b/>
                <w:sz w:val="24"/>
              </w:rPr>
            </w:pPr>
            <w:r>
              <w:rPr>
                <w:b/>
                <w:sz w:val="24"/>
              </w:rPr>
              <w:t>Public Works Board</w:t>
            </w:r>
          </w:p>
        </w:tc>
        <w:tc>
          <w:tcPr>
            <w:tcW w:w="1260" w:type="dxa"/>
          </w:tcPr>
          <w:p>
            <w:pPr/>
          </w:p>
        </w:tc>
        <w:tc>
          <w:tcPr>
            <w:tcW w:w="1711" w:type="dxa"/>
          </w:tcPr>
          <w:p>
            <w:pPr>
              <w:pStyle w:val="TableParagraph"/>
              <w:spacing w:line="272" w:lineRule="exact"/>
              <w:ind w:left="100"/>
              <w:rPr>
                <w:sz w:val="24"/>
              </w:rPr>
            </w:pPr>
            <w:r>
              <w:rPr>
                <w:sz w:val="24"/>
              </w:rPr>
              <w:t>Title 2, Div 3,</w:t>
            </w:r>
          </w:p>
          <w:p>
            <w:pPr>
              <w:pStyle w:val="TableParagraph"/>
              <w:ind w:left="100"/>
              <w:rPr>
                <w:sz w:val="24"/>
              </w:rPr>
            </w:pPr>
            <w:r>
              <w:rPr>
                <w:sz w:val="24"/>
              </w:rPr>
              <w:t>Part 10.5,</w:t>
            </w:r>
          </w:p>
          <w:p>
            <w:pPr>
              <w:pStyle w:val="TableParagraph"/>
              <w:ind w:left="100"/>
              <w:rPr>
                <w:sz w:val="24"/>
              </w:rPr>
            </w:pPr>
            <w:r>
              <w:rPr>
                <w:sz w:val="24"/>
              </w:rPr>
              <w:t>10b &amp; 11</w:t>
            </w:r>
          </w:p>
        </w:tc>
        <w:tc>
          <w:tcPr>
            <w:tcW w:w="1440" w:type="dxa"/>
          </w:tcPr>
          <w:p>
            <w:pPr/>
          </w:p>
        </w:tc>
        <w:tc>
          <w:tcPr>
            <w:tcW w:w="1529" w:type="dxa"/>
          </w:tcPr>
          <w:p>
            <w:pPr/>
          </w:p>
        </w:tc>
        <w:tc>
          <w:tcPr>
            <w:tcW w:w="989" w:type="dxa"/>
            <w:tcBorders>
              <w:right w:val="nil"/>
            </w:tcBorders>
          </w:tcPr>
          <w:p>
            <w:pPr/>
          </w:p>
        </w:tc>
      </w:tr>
      <w:tr>
        <w:trPr>
          <w:trHeight w:val="734" w:hRule="exact"/>
        </w:trPr>
        <w:tc>
          <w:tcPr>
            <w:tcW w:w="2988" w:type="dxa"/>
            <w:tcBorders>
              <w:left w:val="nil"/>
            </w:tcBorders>
          </w:tcPr>
          <w:p>
            <w:pPr>
              <w:pStyle w:val="TableParagraph"/>
              <w:spacing w:before="219"/>
              <w:ind w:left="108"/>
              <w:rPr>
                <w:sz w:val="24"/>
              </w:rPr>
            </w:pPr>
            <w:r>
              <w:rPr>
                <w:sz w:val="24"/>
              </w:rPr>
              <w:t>Creation, membership</w:t>
            </w:r>
          </w:p>
        </w:tc>
        <w:tc>
          <w:tcPr>
            <w:tcW w:w="1260" w:type="dxa"/>
          </w:tcPr>
          <w:p>
            <w:pPr/>
          </w:p>
        </w:tc>
        <w:tc>
          <w:tcPr>
            <w:tcW w:w="1711" w:type="dxa"/>
          </w:tcPr>
          <w:p>
            <w:pPr>
              <w:pStyle w:val="TableParagraph"/>
              <w:spacing w:before="219"/>
              <w:ind w:left="94" w:right="94"/>
              <w:jc w:val="center"/>
              <w:rPr>
                <w:sz w:val="24"/>
              </w:rPr>
            </w:pPr>
            <w:hyperlink r:id="rId168">
              <w:r>
                <w:rPr>
                  <w:color w:val="0000FF"/>
                  <w:sz w:val="24"/>
                  <w:u w:val="single" w:color="0000FF"/>
                </w:rPr>
                <w:t>15770</w:t>
              </w:r>
            </w:hyperlink>
          </w:p>
        </w:tc>
        <w:tc>
          <w:tcPr>
            <w:tcW w:w="1440" w:type="dxa"/>
          </w:tcPr>
          <w:p>
            <w:pPr/>
          </w:p>
        </w:tc>
        <w:tc>
          <w:tcPr>
            <w:tcW w:w="1529" w:type="dxa"/>
          </w:tcPr>
          <w:p>
            <w:pPr/>
          </w:p>
        </w:tc>
        <w:tc>
          <w:tcPr>
            <w:tcW w:w="989" w:type="dxa"/>
            <w:tcBorders>
              <w:right w:val="nil"/>
            </w:tcBorders>
          </w:tcPr>
          <w:p>
            <w:pPr/>
          </w:p>
        </w:tc>
      </w:tr>
      <w:tr>
        <w:trPr>
          <w:trHeight w:val="737" w:hRule="exact"/>
        </w:trPr>
        <w:tc>
          <w:tcPr>
            <w:tcW w:w="2988" w:type="dxa"/>
            <w:tcBorders>
              <w:left w:val="nil"/>
            </w:tcBorders>
          </w:tcPr>
          <w:p>
            <w:pPr>
              <w:pStyle w:val="TableParagraph"/>
              <w:spacing w:before="82"/>
              <w:ind w:left="108" w:right="331"/>
              <w:rPr>
                <w:sz w:val="24"/>
              </w:rPr>
            </w:pPr>
            <w:r>
              <w:rPr>
                <w:sz w:val="24"/>
              </w:rPr>
              <w:t>Authority to purchase in lieu of construct</w:t>
            </w:r>
          </w:p>
        </w:tc>
        <w:tc>
          <w:tcPr>
            <w:tcW w:w="1260" w:type="dxa"/>
          </w:tcPr>
          <w:p>
            <w:pPr/>
          </w:p>
        </w:tc>
        <w:tc>
          <w:tcPr>
            <w:tcW w:w="1711" w:type="dxa"/>
          </w:tcPr>
          <w:p>
            <w:pPr>
              <w:pStyle w:val="TableParagraph"/>
              <w:spacing w:before="219"/>
              <w:ind w:left="94" w:right="94"/>
              <w:jc w:val="center"/>
              <w:rPr>
                <w:sz w:val="24"/>
              </w:rPr>
            </w:pPr>
            <w:hyperlink r:id="rId169">
              <w:r>
                <w:rPr>
                  <w:color w:val="0000FF"/>
                  <w:sz w:val="24"/>
                  <w:u w:val="single" w:color="0000FF"/>
                </w:rPr>
                <w:t>15791</w:t>
              </w:r>
            </w:hyperlink>
          </w:p>
        </w:tc>
        <w:tc>
          <w:tcPr>
            <w:tcW w:w="1440" w:type="dxa"/>
          </w:tcPr>
          <w:p>
            <w:pPr/>
          </w:p>
        </w:tc>
        <w:tc>
          <w:tcPr>
            <w:tcW w:w="1529" w:type="dxa"/>
          </w:tcPr>
          <w:p>
            <w:pPr/>
          </w:p>
        </w:tc>
        <w:tc>
          <w:tcPr>
            <w:tcW w:w="989" w:type="dxa"/>
            <w:tcBorders>
              <w:right w:val="nil"/>
            </w:tcBorders>
          </w:tcPr>
          <w:p>
            <w:pPr/>
          </w:p>
        </w:tc>
      </w:tr>
      <w:tr>
        <w:trPr>
          <w:trHeight w:val="734" w:hRule="exact"/>
        </w:trPr>
        <w:tc>
          <w:tcPr>
            <w:tcW w:w="2988" w:type="dxa"/>
            <w:tcBorders>
              <w:left w:val="nil"/>
            </w:tcBorders>
          </w:tcPr>
          <w:p>
            <w:pPr>
              <w:pStyle w:val="TableParagraph"/>
              <w:spacing w:before="79"/>
              <w:ind w:left="108" w:right="504"/>
              <w:rPr>
                <w:sz w:val="24"/>
              </w:rPr>
            </w:pPr>
            <w:r>
              <w:rPr>
                <w:sz w:val="24"/>
              </w:rPr>
              <w:t>Authority for long-lead equipment</w:t>
            </w:r>
          </w:p>
        </w:tc>
        <w:tc>
          <w:tcPr>
            <w:tcW w:w="1260" w:type="dxa"/>
          </w:tcPr>
          <w:p>
            <w:pPr/>
          </w:p>
        </w:tc>
        <w:tc>
          <w:tcPr>
            <w:tcW w:w="1711" w:type="dxa"/>
          </w:tcPr>
          <w:p>
            <w:pPr>
              <w:pStyle w:val="TableParagraph"/>
              <w:spacing w:before="216"/>
              <w:ind w:left="94" w:right="94"/>
              <w:jc w:val="center"/>
              <w:rPr>
                <w:sz w:val="24"/>
              </w:rPr>
            </w:pPr>
            <w:hyperlink r:id="rId170">
              <w:r>
                <w:rPr>
                  <w:color w:val="0000FF"/>
                  <w:sz w:val="24"/>
                  <w:u w:val="single" w:color="0000FF"/>
                </w:rPr>
                <w:t>15792</w:t>
              </w:r>
            </w:hyperlink>
          </w:p>
        </w:tc>
        <w:tc>
          <w:tcPr>
            <w:tcW w:w="1440" w:type="dxa"/>
          </w:tcPr>
          <w:p>
            <w:pPr/>
          </w:p>
        </w:tc>
        <w:tc>
          <w:tcPr>
            <w:tcW w:w="1529" w:type="dxa"/>
          </w:tcPr>
          <w:p>
            <w:pPr/>
          </w:p>
        </w:tc>
        <w:tc>
          <w:tcPr>
            <w:tcW w:w="989" w:type="dxa"/>
            <w:tcBorders>
              <w:right w:val="nil"/>
            </w:tcBorders>
          </w:tcPr>
          <w:p>
            <w:pPr/>
          </w:p>
        </w:tc>
      </w:tr>
      <w:tr>
        <w:trPr>
          <w:trHeight w:val="1118" w:hRule="exact"/>
        </w:trPr>
        <w:tc>
          <w:tcPr>
            <w:tcW w:w="2988" w:type="dxa"/>
            <w:tcBorders>
              <w:left w:val="nil"/>
            </w:tcBorders>
          </w:tcPr>
          <w:p>
            <w:pPr>
              <w:pStyle w:val="TableParagraph"/>
              <w:ind w:left="108" w:right="371"/>
              <w:rPr>
                <w:sz w:val="24"/>
              </w:rPr>
            </w:pPr>
            <w:r>
              <w:rPr>
                <w:sz w:val="24"/>
              </w:rPr>
              <w:t>Authority to augment, restrictions, approval of prelim plans, notify Legislature</w:t>
            </w:r>
          </w:p>
        </w:tc>
        <w:tc>
          <w:tcPr>
            <w:tcW w:w="1260" w:type="dxa"/>
          </w:tcPr>
          <w:p>
            <w:pPr/>
          </w:p>
        </w:tc>
        <w:tc>
          <w:tcPr>
            <w:tcW w:w="1711" w:type="dxa"/>
          </w:tcPr>
          <w:p>
            <w:pPr>
              <w:pStyle w:val="TableParagraph"/>
              <w:spacing w:before="8"/>
              <w:rPr>
                <w:b/>
                <w:sz w:val="35"/>
              </w:rPr>
            </w:pPr>
          </w:p>
          <w:p>
            <w:pPr>
              <w:pStyle w:val="TableParagraph"/>
              <w:ind w:left="93" w:right="94"/>
              <w:jc w:val="center"/>
              <w:rPr>
                <w:sz w:val="24"/>
              </w:rPr>
            </w:pPr>
            <w:hyperlink r:id="rId171">
              <w:r>
                <w:rPr>
                  <w:color w:val="0000FF"/>
                  <w:sz w:val="24"/>
                  <w:u w:val="single" w:color="0000FF"/>
                </w:rPr>
                <w:t>13332.11</w:t>
              </w:r>
            </w:hyperlink>
          </w:p>
        </w:tc>
        <w:tc>
          <w:tcPr>
            <w:tcW w:w="1440" w:type="dxa"/>
          </w:tcPr>
          <w:p>
            <w:pPr/>
          </w:p>
        </w:tc>
        <w:tc>
          <w:tcPr>
            <w:tcW w:w="1529" w:type="dxa"/>
          </w:tcPr>
          <w:p>
            <w:pPr/>
          </w:p>
        </w:tc>
        <w:tc>
          <w:tcPr>
            <w:tcW w:w="989" w:type="dxa"/>
            <w:tcBorders>
              <w:right w:val="nil"/>
            </w:tcBorders>
          </w:tcPr>
          <w:p>
            <w:pPr/>
          </w:p>
        </w:tc>
      </w:tr>
      <w:tr>
        <w:trPr>
          <w:trHeight w:val="1670" w:hRule="exact"/>
        </w:trPr>
        <w:tc>
          <w:tcPr>
            <w:tcW w:w="2988" w:type="dxa"/>
            <w:tcBorders>
              <w:left w:val="nil"/>
            </w:tcBorders>
          </w:tcPr>
          <w:p>
            <w:pPr>
              <w:pStyle w:val="TableParagraph"/>
              <w:spacing w:before="8"/>
              <w:rPr>
                <w:b/>
                <w:sz w:val="35"/>
              </w:rPr>
            </w:pPr>
          </w:p>
          <w:p>
            <w:pPr>
              <w:pStyle w:val="TableParagraph"/>
              <w:ind w:left="108" w:right="164"/>
              <w:rPr>
                <w:i/>
                <w:sz w:val="24"/>
              </w:rPr>
            </w:pPr>
            <w:r>
              <w:rPr>
                <w:sz w:val="24"/>
              </w:rPr>
              <w:t>Source of augmentation &amp; transfer of unexpended (</w:t>
            </w:r>
            <w:r>
              <w:rPr>
                <w:i/>
                <w:sz w:val="24"/>
              </w:rPr>
              <w:t>see also DOF below)</w:t>
            </w:r>
          </w:p>
        </w:tc>
        <w:tc>
          <w:tcPr>
            <w:tcW w:w="1260" w:type="dxa"/>
          </w:tcPr>
          <w:p>
            <w:pPr/>
          </w:p>
        </w:tc>
        <w:tc>
          <w:tcPr>
            <w:tcW w:w="1711" w:type="dxa"/>
          </w:tcPr>
          <w:p>
            <w:pPr>
              <w:pStyle w:val="TableParagraph"/>
              <w:spacing w:line="272" w:lineRule="exact"/>
              <w:ind w:left="91" w:right="94"/>
              <w:jc w:val="center"/>
              <w:rPr>
                <w:sz w:val="24"/>
              </w:rPr>
            </w:pPr>
            <w:hyperlink r:id="rId172">
              <w:r>
                <w:rPr>
                  <w:color w:val="0000FF"/>
                  <w:sz w:val="24"/>
                  <w:u w:val="single" w:color="0000FF"/>
                </w:rPr>
                <w:t>16352</w:t>
              </w:r>
            </w:hyperlink>
            <w:r>
              <w:rPr>
                <w:sz w:val="24"/>
              </w:rPr>
              <w:t>,</w:t>
            </w:r>
          </w:p>
          <w:p>
            <w:pPr>
              <w:pStyle w:val="TableParagraph"/>
              <w:ind w:left="94" w:right="94"/>
              <w:jc w:val="center"/>
              <w:rPr>
                <w:sz w:val="24"/>
              </w:rPr>
            </w:pPr>
            <w:hyperlink r:id="rId173">
              <w:r>
                <w:rPr>
                  <w:color w:val="0000FF"/>
                  <w:sz w:val="24"/>
                  <w:u w:val="single" w:color="0000FF"/>
                </w:rPr>
                <w:t>16352.5</w:t>
              </w:r>
            </w:hyperlink>
            <w:r>
              <w:rPr>
                <w:sz w:val="24"/>
              </w:rPr>
              <w:t>,</w:t>
            </w:r>
          </w:p>
          <w:p>
            <w:pPr>
              <w:pStyle w:val="TableParagraph"/>
              <w:ind w:left="94" w:right="94"/>
              <w:jc w:val="center"/>
              <w:rPr>
                <w:sz w:val="24"/>
              </w:rPr>
            </w:pPr>
            <w:hyperlink r:id="rId174">
              <w:r>
                <w:rPr>
                  <w:color w:val="0000FF"/>
                  <w:sz w:val="24"/>
                  <w:u w:val="single" w:color="0000FF"/>
                </w:rPr>
                <w:t>16354</w:t>
              </w:r>
            </w:hyperlink>
            <w:r>
              <w:rPr>
                <w:sz w:val="24"/>
              </w:rPr>
              <w:t>, </w:t>
            </w:r>
            <w:hyperlink r:id="rId175">
              <w:r>
                <w:rPr>
                  <w:color w:val="0000FF"/>
                  <w:sz w:val="24"/>
                  <w:u w:val="single" w:color="0000FF"/>
                </w:rPr>
                <w:t>16409</w:t>
              </w:r>
            </w:hyperlink>
          </w:p>
          <w:p>
            <w:pPr>
              <w:pStyle w:val="TableParagraph"/>
              <w:ind w:left="94" w:right="94"/>
              <w:jc w:val="center"/>
              <w:rPr>
                <w:sz w:val="24"/>
              </w:rPr>
            </w:pPr>
            <w:hyperlink r:id="rId176">
              <w:r>
                <w:rPr>
                  <w:color w:val="0000FF"/>
                  <w:sz w:val="24"/>
                  <w:u w:val="single" w:color="0000FF"/>
                </w:rPr>
                <w:t>16351.5 </w:t>
              </w:r>
            </w:hyperlink>
            <w:r>
              <w:rPr>
                <w:sz w:val="24"/>
              </w:rPr>
              <w:t>et</w:t>
            </w:r>
          </w:p>
          <w:p>
            <w:pPr>
              <w:pStyle w:val="TableParagraph"/>
              <w:ind w:left="513" w:right="511" w:hanging="7"/>
              <w:jc w:val="center"/>
              <w:rPr>
                <w:sz w:val="24"/>
              </w:rPr>
            </w:pPr>
            <w:r>
              <w:rPr>
                <w:sz w:val="24"/>
              </w:rPr>
              <w:t>seq. </w:t>
            </w:r>
            <w:hyperlink r:id="rId177">
              <w:r>
                <w:rPr>
                  <w:color w:val="0000FF"/>
                  <w:sz w:val="24"/>
                  <w:u w:val="single" w:color="0000FF"/>
                </w:rPr>
                <w:t>15812</w:t>
              </w:r>
            </w:hyperlink>
          </w:p>
        </w:tc>
        <w:tc>
          <w:tcPr>
            <w:tcW w:w="1440" w:type="dxa"/>
          </w:tcPr>
          <w:p>
            <w:pPr/>
          </w:p>
        </w:tc>
        <w:tc>
          <w:tcPr>
            <w:tcW w:w="1529" w:type="dxa"/>
          </w:tcPr>
          <w:p>
            <w:pPr/>
          </w:p>
        </w:tc>
        <w:tc>
          <w:tcPr>
            <w:tcW w:w="989" w:type="dxa"/>
            <w:tcBorders>
              <w:right w:val="nil"/>
            </w:tcBorders>
          </w:tcPr>
          <w:p>
            <w:pPr/>
          </w:p>
        </w:tc>
      </w:tr>
      <w:tr>
        <w:trPr>
          <w:trHeight w:val="737" w:hRule="exact"/>
        </w:trPr>
        <w:tc>
          <w:tcPr>
            <w:tcW w:w="2988" w:type="dxa"/>
            <w:tcBorders>
              <w:left w:val="nil"/>
            </w:tcBorders>
          </w:tcPr>
          <w:p>
            <w:pPr>
              <w:pStyle w:val="TableParagraph"/>
              <w:spacing w:before="219"/>
              <w:ind w:left="108"/>
              <w:rPr>
                <w:sz w:val="24"/>
              </w:rPr>
            </w:pPr>
            <w:r>
              <w:rPr>
                <w:sz w:val="24"/>
              </w:rPr>
              <w:t>Inmate labor</w:t>
            </w:r>
          </w:p>
        </w:tc>
        <w:tc>
          <w:tcPr>
            <w:tcW w:w="1260" w:type="dxa"/>
          </w:tcPr>
          <w:p>
            <w:pPr/>
          </w:p>
        </w:tc>
        <w:tc>
          <w:tcPr>
            <w:tcW w:w="1711" w:type="dxa"/>
          </w:tcPr>
          <w:p>
            <w:pPr/>
          </w:p>
        </w:tc>
        <w:tc>
          <w:tcPr>
            <w:tcW w:w="1440" w:type="dxa"/>
          </w:tcPr>
          <w:p>
            <w:pPr>
              <w:pStyle w:val="TableParagraph"/>
              <w:spacing w:before="219"/>
              <w:ind w:left="278"/>
              <w:rPr>
                <w:sz w:val="24"/>
              </w:rPr>
            </w:pPr>
            <w:hyperlink r:id="rId178">
              <w:r>
                <w:rPr>
                  <w:color w:val="0000FF"/>
                  <w:sz w:val="24"/>
                  <w:u w:val="single" w:color="0000FF"/>
                </w:rPr>
                <w:t>10103.5</w:t>
              </w:r>
            </w:hyperlink>
          </w:p>
        </w:tc>
        <w:tc>
          <w:tcPr>
            <w:tcW w:w="1529" w:type="dxa"/>
          </w:tcPr>
          <w:p>
            <w:pPr/>
          </w:p>
        </w:tc>
        <w:tc>
          <w:tcPr>
            <w:tcW w:w="989" w:type="dxa"/>
            <w:tcBorders>
              <w:right w:val="nil"/>
            </w:tcBorders>
          </w:tcPr>
          <w:p>
            <w:pPr/>
          </w:p>
        </w:tc>
      </w:tr>
      <w:tr>
        <w:trPr>
          <w:trHeight w:val="842" w:hRule="exact"/>
        </w:trPr>
        <w:tc>
          <w:tcPr>
            <w:tcW w:w="2988" w:type="dxa"/>
            <w:tcBorders>
              <w:left w:val="nil"/>
            </w:tcBorders>
          </w:tcPr>
          <w:p>
            <w:pPr>
              <w:pStyle w:val="TableParagraph"/>
              <w:spacing w:before="132"/>
              <w:ind w:left="108" w:right="945"/>
              <w:rPr>
                <w:sz w:val="24"/>
              </w:rPr>
            </w:pPr>
            <w:r>
              <w:rPr>
                <w:sz w:val="24"/>
              </w:rPr>
              <w:t>Emergency public works</w:t>
            </w:r>
          </w:p>
        </w:tc>
        <w:tc>
          <w:tcPr>
            <w:tcW w:w="1260" w:type="dxa"/>
          </w:tcPr>
          <w:p>
            <w:pPr/>
          </w:p>
        </w:tc>
        <w:tc>
          <w:tcPr>
            <w:tcW w:w="1711" w:type="dxa"/>
          </w:tcPr>
          <w:p>
            <w:pPr>
              <w:pStyle w:val="TableParagraph"/>
              <w:spacing w:line="272" w:lineRule="exact"/>
              <w:ind w:left="93" w:right="94"/>
              <w:jc w:val="center"/>
              <w:rPr>
                <w:sz w:val="24"/>
              </w:rPr>
            </w:pPr>
            <w:hyperlink r:id="rId179">
              <w:r>
                <w:rPr>
                  <w:color w:val="0000FF"/>
                  <w:sz w:val="24"/>
                  <w:u w:val="single" w:color="0000FF"/>
                </w:rPr>
                <w:t>15799 </w:t>
              </w:r>
            </w:hyperlink>
            <w:r>
              <w:rPr>
                <w:sz w:val="24"/>
              </w:rPr>
              <w:t>et seq.</w:t>
            </w:r>
          </w:p>
          <w:p>
            <w:pPr>
              <w:pStyle w:val="TableParagraph"/>
              <w:ind w:left="94" w:right="94"/>
              <w:jc w:val="center"/>
              <w:rPr>
                <w:sz w:val="24"/>
              </w:rPr>
            </w:pPr>
            <w:r>
              <w:rPr>
                <w:sz w:val="24"/>
              </w:rPr>
              <w:t>(Chap 5,</w:t>
            </w:r>
          </w:p>
          <w:p>
            <w:pPr>
              <w:pStyle w:val="TableParagraph"/>
              <w:ind w:left="94" w:right="93"/>
              <w:jc w:val="center"/>
              <w:rPr>
                <w:sz w:val="24"/>
              </w:rPr>
            </w:pPr>
            <w:r>
              <w:rPr>
                <w:sz w:val="24"/>
              </w:rPr>
              <w:t>10.5)</w:t>
            </w:r>
          </w:p>
        </w:tc>
        <w:tc>
          <w:tcPr>
            <w:tcW w:w="1440" w:type="dxa"/>
          </w:tcPr>
          <w:p>
            <w:pPr/>
          </w:p>
        </w:tc>
        <w:tc>
          <w:tcPr>
            <w:tcW w:w="1529" w:type="dxa"/>
          </w:tcPr>
          <w:p>
            <w:pPr/>
          </w:p>
        </w:tc>
        <w:tc>
          <w:tcPr>
            <w:tcW w:w="989" w:type="dxa"/>
            <w:tcBorders>
              <w:right w:val="nil"/>
            </w:tcBorders>
          </w:tcPr>
          <w:p>
            <w:pPr/>
          </w:p>
        </w:tc>
      </w:tr>
      <w:tr>
        <w:trPr>
          <w:trHeight w:val="842" w:hRule="exact"/>
        </w:trPr>
        <w:tc>
          <w:tcPr>
            <w:tcW w:w="2988" w:type="dxa"/>
            <w:tcBorders>
              <w:left w:val="nil"/>
            </w:tcBorders>
          </w:tcPr>
          <w:p>
            <w:pPr>
              <w:pStyle w:val="TableParagraph"/>
              <w:ind w:left="108" w:right="1216"/>
              <w:jc w:val="both"/>
              <w:rPr>
                <w:i/>
                <w:sz w:val="24"/>
              </w:rPr>
            </w:pPr>
            <w:r>
              <w:rPr>
                <w:b/>
                <w:i/>
                <w:sz w:val="24"/>
              </w:rPr>
              <w:t>State Building </w:t>
            </w:r>
            <w:r>
              <w:rPr>
                <w:b/>
                <w:i/>
                <w:sz w:val="24"/>
              </w:rPr>
              <w:t>Construct. Act </w:t>
            </w:r>
            <w:r>
              <w:rPr>
                <w:i/>
                <w:sz w:val="24"/>
              </w:rPr>
              <w:t>(general)</w:t>
            </w:r>
          </w:p>
        </w:tc>
        <w:tc>
          <w:tcPr>
            <w:tcW w:w="1260" w:type="dxa"/>
          </w:tcPr>
          <w:p>
            <w:pPr/>
          </w:p>
        </w:tc>
        <w:tc>
          <w:tcPr>
            <w:tcW w:w="1711" w:type="dxa"/>
          </w:tcPr>
          <w:p>
            <w:pPr>
              <w:pStyle w:val="TableParagraph"/>
              <w:spacing w:before="135"/>
              <w:ind w:left="393" w:right="131" w:hanging="248"/>
              <w:rPr>
                <w:sz w:val="24"/>
              </w:rPr>
            </w:pPr>
            <w:r>
              <w:rPr>
                <w:sz w:val="24"/>
              </w:rPr>
              <w:t>Title 2, Div 3, Part 10b</w:t>
            </w:r>
          </w:p>
        </w:tc>
        <w:tc>
          <w:tcPr>
            <w:tcW w:w="1440" w:type="dxa"/>
          </w:tcPr>
          <w:p>
            <w:pPr/>
          </w:p>
        </w:tc>
        <w:tc>
          <w:tcPr>
            <w:tcW w:w="1529" w:type="dxa"/>
          </w:tcPr>
          <w:p>
            <w:pPr/>
          </w:p>
        </w:tc>
        <w:tc>
          <w:tcPr>
            <w:tcW w:w="989" w:type="dxa"/>
            <w:tcBorders>
              <w:right w:val="nil"/>
            </w:tcBorders>
          </w:tcPr>
          <w:p>
            <w:pPr/>
          </w:p>
        </w:tc>
      </w:tr>
      <w:tr>
        <w:trPr>
          <w:trHeight w:val="734" w:hRule="exact"/>
        </w:trPr>
        <w:tc>
          <w:tcPr>
            <w:tcW w:w="2988" w:type="dxa"/>
            <w:tcBorders>
              <w:left w:val="nil"/>
            </w:tcBorders>
          </w:tcPr>
          <w:p>
            <w:pPr>
              <w:pStyle w:val="TableParagraph"/>
              <w:spacing w:before="79"/>
              <w:ind w:left="108" w:right="838"/>
              <w:rPr>
                <w:sz w:val="24"/>
              </w:rPr>
            </w:pPr>
            <w:r>
              <w:rPr>
                <w:sz w:val="24"/>
              </w:rPr>
              <w:t>PWB capital outlay definitions</w:t>
            </w:r>
          </w:p>
        </w:tc>
        <w:tc>
          <w:tcPr>
            <w:tcW w:w="1260" w:type="dxa"/>
          </w:tcPr>
          <w:p>
            <w:pPr/>
          </w:p>
        </w:tc>
        <w:tc>
          <w:tcPr>
            <w:tcW w:w="1711" w:type="dxa"/>
          </w:tcPr>
          <w:p>
            <w:pPr>
              <w:pStyle w:val="TableParagraph"/>
              <w:spacing w:before="219"/>
              <w:ind w:left="94" w:right="94"/>
              <w:jc w:val="center"/>
              <w:rPr>
                <w:sz w:val="24"/>
              </w:rPr>
            </w:pPr>
            <w:hyperlink r:id="rId180">
              <w:r>
                <w:rPr>
                  <w:color w:val="0000FF"/>
                  <w:sz w:val="24"/>
                  <w:u w:val="single" w:color="0000FF"/>
                </w:rPr>
                <w:t>15802</w:t>
              </w:r>
            </w:hyperlink>
          </w:p>
        </w:tc>
        <w:tc>
          <w:tcPr>
            <w:tcW w:w="1440" w:type="dxa"/>
          </w:tcPr>
          <w:p>
            <w:pPr/>
          </w:p>
        </w:tc>
        <w:tc>
          <w:tcPr>
            <w:tcW w:w="1529" w:type="dxa"/>
          </w:tcPr>
          <w:p>
            <w:pPr/>
          </w:p>
        </w:tc>
        <w:tc>
          <w:tcPr>
            <w:tcW w:w="989" w:type="dxa"/>
            <w:tcBorders>
              <w:right w:val="nil"/>
            </w:tcBorders>
          </w:tcPr>
          <w:p>
            <w:pPr/>
          </w:p>
        </w:tc>
      </w:tr>
      <w:tr>
        <w:trPr>
          <w:trHeight w:val="737" w:hRule="exact"/>
        </w:trPr>
        <w:tc>
          <w:tcPr>
            <w:tcW w:w="2988" w:type="dxa"/>
            <w:tcBorders>
              <w:left w:val="nil"/>
            </w:tcBorders>
          </w:tcPr>
          <w:p>
            <w:pPr>
              <w:pStyle w:val="TableParagraph"/>
              <w:spacing w:before="219"/>
              <w:ind w:left="108"/>
              <w:rPr>
                <w:sz w:val="24"/>
              </w:rPr>
            </w:pPr>
            <w:r>
              <w:rPr>
                <w:sz w:val="24"/>
              </w:rPr>
              <w:t>Right of eminent domain</w:t>
            </w:r>
          </w:p>
        </w:tc>
        <w:tc>
          <w:tcPr>
            <w:tcW w:w="1260" w:type="dxa"/>
          </w:tcPr>
          <w:p>
            <w:pPr/>
          </w:p>
        </w:tc>
        <w:tc>
          <w:tcPr>
            <w:tcW w:w="1711" w:type="dxa"/>
          </w:tcPr>
          <w:p>
            <w:pPr>
              <w:pStyle w:val="TableParagraph"/>
              <w:spacing w:before="219"/>
              <w:ind w:left="94" w:right="94"/>
              <w:jc w:val="center"/>
              <w:rPr>
                <w:sz w:val="24"/>
              </w:rPr>
            </w:pPr>
            <w:hyperlink r:id="rId181">
              <w:r>
                <w:rPr>
                  <w:color w:val="0000FF"/>
                  <w:sz w:val="24"/>
                  <w:u w:val="single" w:color="0000FF"/>
                </w:rPr>
                <w:t>15855</w:t>
              </w:r>
            </w:hyperlink>
          </w:p>
        </w:tc>
        <w:tc>
          <w:tcPr>
            <w:tcW w:w="1440" w:type="dxa"/>
          </w:tcPr>
          <w:p>
            <w:pPr/>
          </w:p>
        </w:tc>
        <w:tc>
          <w:tcPr>
            <w:tcW w:w="1529" w:type="dxa"/>
          </w:tcPr>
          <w:p>
            <w:pPr/>
          </w:p>
        </w:tc>
        <w:tc>
          <w:tcPr>
            <w:tcW w:w="989" w:type="dxa"/>
            <w:tcBorders>
              <w:right w:val="nil"/>
            </w:tcBorders>
          </w:tcPr>
          <w:p>
            <w:pPr/>
          </w:p>
        </w:tc>
      </w:tr>
      <w:tr>
        <w:trPr>
          <w:trHeight w:val="727" w:hRule="exact"/>
        </w:trPr>
        <w:tc>
          <w:tcPr>
            <w:tcW w:w="2988" w:type="dxa"/>
            <w:tcBorders>
              <w:left w:val="nil"/>
              <w:bottom w:val="nil"/>
            </w:tcBorders>
          </w:tcPr>
          <w:p>
            <w:pPr>
              <w:pStyle w:val="TableParagraph"/>
              <w:spacing w:before="79"/>
              <w:ind w:left="108" w:right="385"/>
              <w:rPr>
                <w:sz w:val="24"/>
              </w:rPr>
            </w:pPr>
            <w:r>
              <w:rPr>
                <w:sz w:val="24"/>
              </w:rPr>
              <w:t>PWB powers, including debt financing</w:t>
            </w:r>
          </w:p>
        </w:tc>
        <w:tc>
          <w:tcPr>
            <w:tcW w:w="1260" w:type="dxa"/>
            <w:tcBorders>
              <w:bottom w:val="nil"/>
            </w:tcBorders>
          </w:tcPr>
          <w:p>
            <w:pPr/>
          </w:p>
        </w:tc>
        <w:tc>
          <w:tcPr>
            <w:tcW w:w="1711" w:type="dxa"/>
            <w:tcBorders>
              <w:bottom w:val="nil"/>
            </w:tcBorders>
          </w:tcPr>
          <w:p>
            <w:pPr>
              <w:pStyle w:val="TableParagraph"/>
              <w:spacing w:before="216"/>
              <w:ind w:left="94" w:right="94"/>
              <w:jc w:val="center"/>
              <w:rPr>
                <w:sz w:val="24"/>
              </w:rPr>
            </w:pPr>
            <w:hyperlink r:id="rId182">
              <w:r>
                <w:rPr>
                  <w:color w:val="0000FF"/>
                  <w:sz w:val="24"/>
                  <w:u w:val="single" w:color="0000FF"/>
                </w:rPr>
                <w:t>15809</w:t>
              </w:r>
            </w:hyperlink>
          </w:p>
        </w:tc>
        <w:tc>
          <w:tcPr>
            <w:tcW w:w="1440" w:type="dxa"/>
            <w:tcBorders>
              <w:bottom w:val="nil"/>
            </w:tcBorders>
          </w:tcPr>
          <w:p>
            <w:pPr/>
          </w:p>
        </w:tc>
        <w:tc>
          <w:tcPr>
            <w:tcW w:w="1529" w:type="dxa"/>
            <w:tcBorders>
              <w:bottom w:val="nil"/>
            </w:tcBorders>
          </w:tcPr>
          <w:p>
            <w:pPr/>
          </w:p>
        </w:tc>
        <w:tc>
          <w:tcPr>
            <w:tcW w:w="989" w:type="dxa"/>
            <w:tcBorders>
              <w:bottom w:val="nil"/>
              <w:right w:val="nil"/>
            </w:tcBorders>
          </w:tcPr>
          <w:p>
            <w:pPr/>
          </w:p>
        </w:tc>
      </w:tr>
    </w:tbl>
    <w:p>
      <w:pPr>
        <w:pStyle w:val="BodyText"/>
        <w:spacing w:before="7"/>
        <w:rPr>
          <w:b/>
          <w:sz w:val="23"/>
        </w:rPr>
      </w:pPr>
    </w:p>
    <w:p>
      <w:pPr>
        <w:pStyle w:val="BodyText"/>
        <w:ind w:left="820"/>
      </w:pPr>
      <w:r>
        <w:rPr/>
        <w:t>(Continued)</w:t>
      </w:r>
    </w:p>
    <w:p>
      <w:pPr>
        <w:spacing w:after="0"/>
        <w:sectPr>
          <w:footerReference w:type="default" r:id="rId167"/>
          <w:pgSz w:w="12240" w:h="15840"/>
          <w:pgMar w:footer="1068" w:header="724" w:top="980" w:bottom="1260" w:left="620" w:right="780"/>
        </w:sectPr>
      </w:pPr>
    </w:p>
    <w:p>
      <w:pPr>
        <w:pStyle w:val="BodyText"/>
        <w:rPr>
          <w:sz w:val="20"/>
        </w:rPr>
      </w:pPr>
    </w:p>
    <w:p>
      <w:pPr>
        <w:pStyle w:val="BodyText"/>
        <w:spacing w:before="214"/>
        <w:ind w:left="820"/>
      </w:pPr>
      <w:r>
        <w:rPr/>
        <w:t>(Continued)</w:t>
      </w:r>
    </w:p>
    <w:p>
      <w:pPr>
        <w:pStyle w:val="BodyText"/>
        <w:spacing w:before="4"/>
      </w:pPr>
    </w:p>
    <w:tbl>
      <w:tblPr>
        <w:tblW w:w="0" w:type="auto"/>
        <w:jc w:val="left"/>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28"/>
        <w:gridCol w:w="1260"/>
        <w:gridCol w:w="1711"/>
        <w:gridCol w:w="1349"/>
        <w:gridCol w:w="1620"/>
        <w:gridCol w:w="888"/>
      </w:tblGrid>
      <w:tr>
        <w:trPr>
          <w:trHeight w:val="1159" w:hRule="exact"/>
        </w:trPr>
        <w:tc>
          <w:tcPr>
            <w:tcW w:w="2628" w:type="dxa"/>
            <w:tcBorders>
              <w:top w:val="nil"/>
              <w:left w:val="nil"/>
              <w:right w:val="nil"/>
            </w:tcBorders>
            <w:shd w:val="clear" w:color="auto" w:fill="DADADA"/>
          </w:tcPr>
          <w:p>
            <w:pPr/>
          </w:p>
        </w:tc>
        <w:tc>
          <w:tcPr>
            <w:tcW w:w="1260" w:type="dxa"/>
            <w:tcBorders>
              <w:top w:val="nil"/>
              <w:left w:val="nil"/>
              <w:right w:val="nil"/>
            </w:tcBorders>
            <w:shd w:val="clear" w:color="auto" w:fill="DADADA"/>
          </w:tcPr>
          <w:p>
            <w:pPr>
              <w:pStyle w:val="TableParagraph"/>
              <w:spacing w:before="156"/>
              <w:ind w:left="216" w:right="215" w:hanging="2"/>
              <w:jc w:val="center"/>
              <w:rPr>
                <w:b/>
                <w:sz w:val="24"/>
              </w:rPr>
            </w:pPr>
            <w:r>
              <w:rPr>
                <w:b/>
                <w:sz w:val="24"/>
              </w:rPr>
              <w:t>Annual Budget Act</w:t>
            </w:r>
          </w:p>
        </w:tc>
        <w:tc>
          <w:tcPr>
            <w:tcW w:w="1711" w:type="dxa"/>
            <w:tcBorders>
              <w:top w:val="nil"/>
              <w:left w:val="nil"/>
              <w:right w:val="nil"/>
            </w:tcBorders>
            <w:shd w:val="clear" w:color="auto" w:fill="DADADA"/>
          </w:tcPr>
          <w:p>
            <w:pPr>
              <w:pStyle w:val="TableParagraph"/>
              <w:spacing w:before="8"/>
              <w:rPr>
                <w:sz w:val="25"/>
              </w:rPr>
            </w:pPr>
          </w:p>
          <w:p>
            <w:pPr>
              <w:pStyle w:val="TableParagraph"/>
              <w:ind w:left="554" w:right="129" w:hanging="406"/>
              <w:rPr>
                <w:b/>
                <w:sz w:val="24"/>
              </w:rPr>
            </w:pPr>
            <w:r>
              <w:rPr>
                <w:b/>
                <w:sz w:val="24"/>
              </w:rPr>
              <w:t>Government Code</w:t>
            </w:r>
          </w:p>
        </w:tc>
        <w:tc>
          <w:tcPr>
            <w:tcW w:w="1349" w:type="dxa"/>
            <w:tcBorders>
              <w:top w:val="nil"/>
              <w:left w:val="nil"/>
              <w:right w:val="nil"/>
            </w:tcBorders>
            <w:shd w:val="clear" w:color="auto" w:fill="DADADA"/>
          </w:tcPr>
          <w:p>
            <w:pPr>
              <w:pStyle w:val="TableParagraph"/>
              <w:spacing w:before="156"/>
              <w:ind w:left="177" w:right="182" w:hanging="2"/>
              <w:jc w:val="center"/>
              <w:rPr>
                <w:b/>
                <w:sz w:val="24"/>
              </w:rPr>
            </w:pPr>
            <w:r>
              <w:rPr>
                <w:b/>
                <w:sz w:val="24"/>
              </w:rPr>
              <w:t>Public Contract Code</w:t>
            </w:r>
          </w:p>
        </w:tc>
        <w:tc>
          <w:tcPr>
            <w:tcW w:w="1620" w:type="dxa"/>
            <w:tcBorders>
              <w:top w:val="nil"/>
              <w:left w:val="nil"/>
              <w:right w:val="nil"/>
            </w:tcBorders>
            <w:shd w:val="clear" w:color="auto" w:fill="DADADA"/>
          </w:tcPr>
          <w:p>
            <w:pPr>
              <w:pStyle w:val="TableParagraph"/>
              <w:spacing w:before="156"/>
              <w:ind w:left="194" w:right="195" w:firstLine="2"/>
              <w:jc w:val="center"/>
              <w:rPr>
                <w:b/>
                <w:sz w:val="24"/>
              </w:rPr>
            </w:pPr>
            <w:r>
              <w:rPr>
                <w:b/>
                <w:sz w:val="24"/>
              </w:rPr>
              <w:t>Public Resources Code</w:t>
            </w:r>
          </w:p>
        </w:tc>
        <w:tc>
          <w:tcPr>
            <w:tcW w:w="888" w:type="dxa"/>
            <w:tcBorders>
              <w:top w:val="nil"/>
              <w:left w:val="nil"/>
              <w:right w:val="nil"/>
            </w:tcBorders>
            <w:shd w:val="clear" w:color="auto" w:fill="DADADA"/>
          </w:tcPr>
          <w:p>
            <w:pPr>
              <w:pStyle w:val="TableParagraph"/>
              <w:spacing w:before="7"/>
              <w:rPr>
                <w:sz w:val="37"/>
              </w:rPr>
            </w:pPr>
          </w:p>
          <w:p>
            <w:pPr>
              <w:pStyle w:val="TableParagraph"/>
              <w:ind w:left="122"/>
              <w:rPr>
                <w:b/>
                <w:sz w:val="24"/>
              </w:rPr>
            </w:pPr>
            <w:r>
              <w:rPr>
                <w:b/>
                <w:sz w:val="24"/>
              </w:rPr>
              <w:t>Other</w:t>
            </w:r>
          </w:p>
        </w:tc>
      </w:tr>
      <w:tr>
        <w:trPr>
          <w:trHeight w:val="1166" w:hRule="exact"/>
        </w:trPr>
        <w:tc>
          <w:tcPr>
            <w:tcW w:w="2628" w:type="dxa"/>
            <w:tcBorders>
              <w:left w:val="nil"/>
            </w:tcBorders>
          </w:tcPr>
          <w:p>
            <w:pPr>
              <w:pStyle w:val="TableParagraph"/>
              <w:spacing w:before="9"/>
              <w:rPr>
                <w:sz w:val="37"/>
              </w:rPr>
            </w:pPr>
          </w:p>
          <w:p>
            <w:pPr>
              <w:pStyle w:val="TableParagraph"/>
              <w:ind w:left="108"/>
              <w:rPr>
                <w:sz w:val="24"/>
              </w:rPr>
            </w:pPr>
            <w:r>
              <w:rPr>
                <w:sz w:val="24"/>
              </w:rPr>
              <w:t>Art in public buildings</w:t>
            </w:r>
          </w:p>
        </w:tc>
        <w:tc>
          <w:tcPr>
            <w:tcW w:w="1260" w:type="dxa"/>
          </w:tcPr>
          <w:p>
            <w:pPr/>
          </w:p>
        </w:tc>
        <w:tc>
          <w:tcPr>
            <w:tcW w:w="1711" w:type="dxa"/>
          </w:tcPr>
          <w:p>
            <w:pPr>
              <w:pStyle w:val="TableParagraph"/>
              <w:spacing w:before="8"/>
              <w:rPr>
                <w:sz w:val="25"/>
              </w:rPr>
            </w:pPr>
          </w:p>
          <w:p>
            <w:pPr>
              <w:pStyle w:val="TableParagraph"/>
              <w:ind w:left="119"/>
              <w:rPr>
                <w:sz w:val="24"/>
              </w:rPr>
            </w:pPr>
            <w:hyperlink r:id="rId184">
              <w:r>
                <w:rPr>
                  <w:color w:val="0000FF"/>
                  <w:sz w:val="24"/>
                  <w:u w:val="single" w:color="0000FF"/>
                </w:rPr>
                <w:t>15813 </w:t>
              </w:r>
            </w:hyperlink>
            <w:r>
              <w:rPr>
                <w:sz w:val="24"/>
              </w:rPr>
              <w:t>et seq.</w:t>
            </w:r>
          </w:p>
          <w:p>
            <w:pPr>
              <w:pStyle w:val="TableParagraph"/>
              <w:ind w:left="112"/>
              <w:rPr>
                <w:sz w:val="24"/>
              </w:rPr>
            </w:pPr>
            <w:r>
              <w:rPr>
                <w:sz w:val="24"/>
              </w:rPr>
              <w:t>(Chap 2, 10b)</w:t>
            </w:r>
          </w:p>
        </w:tc>
        <w:tc>
          <w:tcPr>
            <w:tcW w:w="1349" w:type="dxa"/>
          </w:tcPr>
          <w:p>
            <w:pPr/>
          </w:p>
        </w:tc>
        <w:tc>
          <w:tcPr>
            <w:tcW w:w="1620" w:type="dxa"/>
          </w:tcPr>
          <w:p>
            <w:pPr/>
          </w:p>
        </w:tc>
        <w:tc>
          <w:tcPr>
            <w:tcW w:w="888" w:type="dxa"/>
            <w:tcBorders>
              <w:right w:val="nil"/>
            </w:tcBorders>
          </w:tcPr>
          <w:p>
            <w:pPr/>
          </w:p>
        </w:tc>
      </w:tr>
      <w:tr>
        <w:trPr>
          <w:trHeight w:val="1166" w:hRule="exact"/>
        </w:trPr>
        <w:tc>
          <w:tcPr>
            <w:tcW w:w="2628" w:type="dxa"/>
            <w:tcBorders>
              <w:left w:val="nil"/>
            </w:tcBorders>
          </w:tcPr>
          <w:p>
            <w:pPr>
              <w:pStyle w:val="TableParagraph"/>
              <w:spacing w:before="159"/>
              <w:ind w:left="108" w:right="304"/>
              <w:rPr>
                <w:sz w:val="24"/>
              </w:rPr>
            </w:pPr>
            <w:r>
              <w:rPr>
                <w:sz w:val="24"/>
              </w:rPr>
              <w:t>Energy conservation In public buildings, including financing</w:t>
            </w:r>
          </w:p>
        </w:tc>
        <w:tc>
          <w:tcPr>
            <w:tcW w:w="1260" w:type="dxa"/>
          </w:tcPr>
          <w:p>
            <w:pPr/>
          </w:p>
        </w:tc>
        <w:tc>
          <w:tcPr>
            <w:tcW w:w="1711" w:type="dxa"/>
          </w:tcPr>
          <w:p>
            <w:pPr>
              <w:pStyle w:val="TableParagraph"/>
              <w:spacing w:before="159"/>
              <w:ind w:left="345"/>
              <w:rPr>
                <w:sz w:val="24"/>
              </w:rPr>
            </w:pPr>
            <w:hyperlink r:id="rId185">
              <w:r>
                <w:rPr>
                  <w:color w:val="0000FF"/>
                  <w:sz w:val="24"/>
                  <w:u w:val="single" w:color="0000FF"/>
                </w:rPr>
                <w:t>15814.10</w:t>
              </w:r>
            </w:hyperlink>
          </w:p>
          <w:p>
            <w:pPr>
              <w:pStyle w:val="TableParagraph"/>
              <w:ind w:left="607" w:right="271" w:hanging="322"/>
              <w:rPr>
                <w:sz w:val="24"/>
              </w:rPr>
            </w:pPr>
            <w:r>
              <w:rPr>
                <w:sz w:val="24"/>
              </w:rPr>
              <w:t>(Chap 2.7, 10b)</w:t>
            </w:r>
          </w:p>
        </w:tc>
        <w:tc>
          <w:tcPr>
            <w:tcW w:w="1349" w:type="dxa"/>
          </w:tcPr>
          <w:p>
            <w:pPr/>
          </w:p>
        </w:tc>
        <w:tc>
          <w:tcPr>
            <w:tcW w:w="1620" w:type="dxa"/>
          </w:tcPr>
          <w:p>
            <w:pPr/>
          </w:p>
        </w:tc>
        <w:tc>
          <w:tcPr>
            <w:tcW w:w="888" w:type="dxa"/>
            <w:tcBorders>
              <w:right w:val="nil"/>
            </w:tcBorders>
          </w:tcPr>
          <w:p>
            <w:pPr/>
          </w:p>
        </w:tc>
      </w:tr>
      <w:tr>
        <w:trPr>
          <w:trHeight w:val="1169" w:hRule="exact"/>
        </w:trPr>
        <w:tc>
          <w:tcPr>
            <w:tcW w:w="2628" w:type="dxa"/>
            <w:tcBorders>
              <w:left w:val="nil"/>
            </w:tcBorders>
          </w:tcPr>
          <w:p>
            <w:pPr>
              <w:pStyle w:val="TableParagraph"/>
              <w:spacing w:before="159"/>
              <w:ind w:left="108" w:right="411"/>
              <w:rPr>
                <w:sz w:val="24"/>
              </w:rPr>
            </w:pPr>
            <w:r>
              <w:rPr>
                <w:sz w:val="24"/>
              </w:rPr>
              <w:t>Energy efficiency in public buildings, including financing</w:t>
            </w:r>
          </w:p>
        </w:tc>
        <w:tc>
          <w:tcPr>
            <w:tcW w:w="1260" w:type="dxa"/>
          </w:tcPr>
          <w:p>
            <w:pPr/>
          </w:p>
        </w:tc>
        <w:tc>
          <w:tcPr>
            <w:tcW w:w="1711" w:type="dxa"/>
          </w:tcPr>
          <w:p>
            <w:pPr>
              <w:pStyle w:val="TableParagraph"/>
              <w:spacing w:before="159"/>
              <w:ind w:left="211"/>
              <w:rPr>
                <w:sz w:val="24"/>
              </w:rPr>
            </w:pPr>
            <w:hyperlink r:id="rId186">
              <w:r>
                <w:rPr>
                  <w:color w:val="0000FF"/>
                  <w:sz w:val="24"/>
                  <w:u w:val="single" w:color="0000FF"/>
                </w:rPr>
                <w:t>15814.30 </w:t>
              </w:r>
            </w:hyperlink>
            <w:r>
              <w:rPr>
                <w:sz w:val="24"/>
              </w:rPr>
              <w:t>et</w:t>
            </w:r>
          </w:p>
          <w:p>
            <w:pPr>
              <w:pStyle w:val="TableParagraph"/>
              <w:ind w:left="371" w:right="244" w:hanging="113"/>
              <w:rPr>
                <w:sz w:val="24"/>
              </w:rPr>
            </w:pPr>
            <w:r>
              <w:rPr>
                <w:sz w:val="24"/>
              </w:rPr>
              <w:t>seq. (Chap 2.8, 10b)</w:t>
            </w:r>
          </w:p>
        </w:tc>
        <w:tc>
          <w:tcPr>
            <w:tcW w:w="1349" w:type="dxa"/>
          </w:tcPr>
          <w:p>
            <w:pPr/>
          </w:p>
        </w:tc>
        <w:tc>
          <w:tcPr>
            <w:tcW w:w="1620" w:type="dxa"/>
          </w:tcPr>
          <w:p>
            <w:pPr/>
          </w:p>
        </w:tc>
        <w:tc>
          <w:tcPr>
            <w:tcW w:w="888" w:type="dxa"/>
            <w:tcBorders>
              <w:right w:val="nil"/>
            </w:tcBorders>
          </w:tcPr>
          <w:p>
            <w:pPr/>
          </w:p>
        </w:tc>
      </w:tr>
      <w:tr>
        <w:trPr>
          <w:trHeight w:val="1166" w:hRule="exact"/>
        </w:trPr>
        <w:tc>
          <w:tcPr>
            <w:tcW w:w="2628" w:type="dxa"/>
            <w:tcBorders>
              <w:left w:val="nil"/>
            </w:tcBorders>
          </w:tcPr>
          <w:p>
            <w:pPr>
              <w:pStyle w:val="TableParagraph"/>
              <w:spacing w:before="8"/>
              <w:rPr>
                <w:sz w:val="25"/>
              </w:rPr>
            </w:pPr>
          </w:p>
          <w:p>
            <w:pPr>
              <w:pStyle w:val="TableParagraph"/>
              <w:ind w:left="107" w:right="239"/>
              <w:rPr>
                <w:sz w:val="24"/>
              </w:rPr>
            </w:pPr>
            <w:r>
              <w:rPr>
                <w:sz w:val="24"/>
              </w:rPr>
              <w:t>PWB lease-purchase of public buildings</w:t>
            </w:r>
          </w:p>
        </w:tc>
        <w:tc>
          <w:tcPr>
            <w:tcW w:w="1260" w:type="dxa"/>
          </w:tcPr>
          <w:p>
            <w:pPr/>
          </w:p>
        </w:tc>
        <w:tc>
          <w:tcPr>
            <w:tcW w:w="1711" w:type="dxa"/>
          </w:tcPr>
          <w:p>
            <w:pPr>
              <w:pStyle w:val="TableParagraph"/>
              <w:spacing w:before="8"/>
              <w:rPr>
                <w:sz w:val="25"/>
              </w:rPr>
            </w:pPr>
          </w:p>
          <w:p>
            <w:pPr>
              <w:pStyle w:val="TableParagraph"/>
              <w:ind w:left="119"/>
              <w:rPr>
                <w:sz w:val="24"/>
              </w:rPr>
            </w:pPr>
            <w:r>
              <w:rPr>
                <w:sz w:val="24"/>
              </w:rPr>
              <w:t>15815 et seq.</w:t>
            </w:r>
          </w:p>
          <w:p>
            <w:pPr>
              <w:pStyle w:val="TableParagraph"/>
              <w:ind w:left="112"/>
              <w:rPr>
                <w:sz w:val="24"/>
              </w:rPr>
            </w:pPr>
            <w:r>
              <w:rPr>
                <w:sz w:val="24"/>
              </w:rPr>
              <w:t>(Chap 3, 10b)</w:t>
            </w:r>
          </w:p>
        </w:tc>
        <w:tc>
          <w:tcPr>
            <w:tcW w:w="1349" w:type="dxa"/>
          </w:tcPr>
          <w:p>
            <w:pPr/>
          </w:p>
        </w:tc>
        <w:tc>
          <w:tcPr>
            <w:tcW w:w="1620" w:type="dxa"/>
          </w:tcPr>
          <w:p>
            <w:pPr/>
          </w:p>
        </w:tc>
        <w:tc>
          <w:tcPr>
            <w:tcW w:w="888" w:type="dxa"/>
            <w:tcBorders>
              <w:right w:val="nil"/>
            </w:tcBorders>
          </w:tcPr>
          <w:p>
            <w:pPr/>
          </w:p>
        </w:tc>
      </w:tr>
      <w:tr>
        <w:trPr>
          <w:trHeight w:val="1166" w:hRule="exact"/>
        </w:trPr>
        <w:tc>
          <w:tcPr>
            <w:tcW w:w="2628" w:type="dxa"/>
            <w:tcBorders>
              <w:left w:val="nil"/>
            </w:tcBorders>
          </w:tcPr>
          <w:p>
            <w:pPr>
              <w:pStyle w:val="TableParagraph"/>
              <w:spacing w:before="159"/>
              <w:ind w:left="107" w:right="239"/>
              <w:rPr>
                <w:sz w:val="24"/>
              </w:rPr>
            </w:pPr>
            <w:r>
              <w:rPr>
                <w:sz w:val="24"/>
              </w:rPr>
              <w:t>PWB lease-purchase of prison construction/fund</w:t>
            </w:r>
          </w:p>
        </w:tc>
        <w:tc>
          <w:tcPr>
            <w:tcW w:w="1260" w:type="dxa"/>
          </w:tcPr>
          <w:p>
            <w:pPr/>
          </w:p>
        </w:tc>
        <w:tc>
          <w:tcPr>
            <w:tcW w:w="1711" w:type="dxa"/>
          </w:tcPr>
          <w:p>
            <w:pPr>
              <w:pStyle w:val="TableParagraph"/>
              <w:spacing w:before="19"/>
              <w:ind w:left="94" w:right="94"/>
              <w:jc w:val="center"/>
              <w:rPr>
                <w:sz w:val="24"/>
              </w:rPr>
            </w:pPr>
            <w:hyperlink r:id="rId187">
              <w:r>
                <w:rPr>
                  <w:color w:val="0000FF"/>
                  <w:sz w:val="24"/>
                  <w:u w:val="single" w:color="0000FF"/>
                </w:rPr>
                <w:t>15819</w:t>
              </w:r>
            </w:hyperlink>
            <w:r>
              <w:rPr>
                <w:sz w:val="24"/>
              </w:rPr>
              <w:t>.1 et</w:t>
            </w:r>
          </w:p>
          <w:p>
            <w:pPr>
              <w:pStyle w:val="TableParagraph"/>
              <w:ind w:left="285" w:right="285" w:hanging="5"/>
              <w:jc w:val="center"/>
              <w:rPr>
                <w:sz w:val="24"/>
              </w:rPr>
            </w:pPr>
            <w:r>
              <w:rPr>
                <w:sz w:val="24"/>
              </w:rPr>
              <w:t>seq. (Chap</w:t>
            </w:r>
            <w:r>
              <w:rPr>
                <w:spacing w:val="-3"/>
                <w:sz w:val="24"/>
              </w:rPr>
              <w:t> </w:t>
            </w:r>
            <w:r>
              <w:rPr>
                <w:sz w:val="24"/>
              </w:rPr>
              <w:t>3.1, 10b)</w:t>
            </w:r>
          </w:p>
        </w:tc>
        <w:tc>
          <w:tcPr>
            <w:tcW w:w="1349" w:type="dxa"/>
          </w:tcPr>
          <w:p>
            <w:pPr/>
          </w:p>
        </w:tc>
        <w:tc>
          <w:tcPr>
            <w:tcW w:w="1620" w:type="dxa"/>
          </w:tcPr>
          <w:p>
            <w:pPr/>
          </w:p>
        </w:tc>
        <w:tc>
          <w:tcPr>
            <w:tcW w:w="888" w:type="dxa"/>
            <w:tcBorders>
              <w:right w:val="nil"/>
            </w:tcBorders>
          </w:tcPr>
          <w:p>
            <w:pPr/>
          </w:p>
        </w:tc>
      </w:tr>
      <w:tr>
        <w:trPr>
          <w:trHeight w:val="1166" w:hRule="exact"/>
        </w:trPr>
        <w:tc>
          <w:tcPr>
            <w:tcW w:w="2628" w:type="dxa"/>
            <w:tcBorders>
              <w:left w:val="nil"/>
            </w:tcBorders>
          </w:tcPr>
          <w:p>
            <w:pPr>
              <w:pStyle w:val="TableParagraph"/>
              <w:spacing w:before="8"/>
              <w:rPr>
                <w:sz w:val="25"/>
              </w:rPr>
            </w:pPr>
          </w:p>
          <w:p>
            <w:pPr>
              <w:pStyle w:val="TableParagraph"/>
              <w:ind w:left="108" w:right="345"/>
              <w:rPr>
                <w:sz w:val="24"/>
              </w:rPr>
            </w:pPr>
            <w:r>
              <w:rPr>
                <w:sz w:val="24"/>
              </w:rPr>
              <w:t>Financing of various specific programs</w:t>
            </w:r>
          </w:p>
        </w:tc>
        <w:tc>
          <w:tcPr>
            <w:tcW w:w="1260" w:type="dxa"/>
          </w:tcPr>
          <w:p>
            <w:pPr/>
          </w:p>
        </w:tc>
        <w:tc>
          <w:tcPr>
            <w:tcW w:w="1711" w:type="dxa"/>
          </w:tcPr>
          <w:p>
            <w:pPr>
              <w:pStyle w:val="TableParagraph"/>
              <w:spacing w:line="275" w:lineRule="exact" w:before="22"/>
              <w:ind w:left="91" w:right="94"/>
              <w:jc w:val="center"/>
              <w:rPr>
                <w:sz w:val="24"/>
              </w:rPr>
            </w:pPr>
            <w:hyperlink r:id="rId188">
              <w:r>
                <w:rPr>
                  <w:color w:val="0000FF"/>
                  <w:sz w:val="24"/>
                  <w:u w:val="single" w:color="0000FF"/>
                </w:rPr>
                <w:t>15819.30 to</w:t>
              </w:r>
            </w:hyperlink>
          </w:p>
          <w:p>
            <w:pPr>
              <w:pStyle w:val="TableParagraph"/>
              <w:spacing w:line="275" w:lineRule="exact"/>
              <w:ind w:left="93" w:right="94"/>
              <w:jc w:val="center"/>
              <w:rPr>
                <w:sz w:val="24"/>
              </w:rPr>
            </w:pPr>
            <w:hyperlink r:id="rId188">
              <w:r>
                <w:rPr>
                  <w:color w:val="0000FF"/>
                  <w:sz w:val="24"/>
                  <w:u w:val="single" w:color="0000FF"/>
                </w:rPr>
                <w:t>15820.90</w:t>
              </w:r>
            </w:hyperlink>
          </w:p>
          <w:p>
            <w:pPr>
              <w:pStyle w:val="TableParagraph"/>
              <w:ind w:left="94" w:right="94"/>
              <w:jc w:val="center"/>
              <w:rPr>
                <w:sz w:val="24"/>
              </w:rPr>
            </w:pPr>
            <w:r>
              <w:rPr>
                <w:sz w:val="24"/>
              </w:rPr>
              <w:t>(Chap 3.2 &amp;</w:t>
            </w:r>
          </w:p>
          <w:p>
            <w:pPr>
              <w:pStyle w:val="TableParagraph"/>
              <w:ind w:left="93" w:right="94"/>
              <w:jc w:val="center"/>
              <w:rPr>
                <w:sz w:val="24"/>
              </w:rPr>
            </w:pPr>
            <w:r>
              <w:rPr>
                <w:sz w:val="24"/>
              </w:rPr>
              <w:t>3.1, 10b))</w:t>
            </w:r>
          </w:p>
        </w:tc>
        <w:tc>
          <w:tcPr>
            <w:tcW w:w="1349" w:type="dxa"/>
          </w:tcPr>
          <w:p>
            <w:pPr/>
          </w:p>
        </w:tc>
        <w:tc>
          <w:tcPr>
            <w:tcW w:w="1620" w:type="dxa"/>
          </w:tcPr>
          <w:p>
            <w:pPr/>
          </w:p>
        </w:tc>
        <w:tc>
          <w:tcPr>
            <w:tcW w:w="888" w:type="dxa"/>
            <w:tcBorders>
              <w:right w:val="nil"/>
            </w:tcBorders>
          </w:tcPr>
          <w:p>
            <w:pPr/>
          </w:p>
        </w:tc>
      </w:tr>
      <w:tr>
        <w:trPr>
          <w:trHeight w:val="1169" w:hRule="exact"/>
        </w:trPr>
        <w:tc>
          <w:tcPr>
            <w:tcW w:w="2628" w:type="dxa"/>
            <w:tcBorders>
              <w:left w:val="nil"/>
            </w:tcBorders>
          </w:tcPr>
          <w:p>
            <w:pPr>
              <w:pStyle w:val="TableParagraph"/>
              <w:spacing w:before="10"/>
              <w:rPr>
                <w:sz w:val="25"/>
              </w:rPr>
            </w:pPr>
          </w:p>
          <w:p>
            <w:pPr>
              <w:pStyle w:val="TableParagraph"/>
              <w:ind w:left="108" w:right="771"/>
              <w:rPr>
                <w:sz w:val="24"/>
              </w:rPr>
            </w:pPr>
            <w:r>
              <w:rPr>
                <w:sz w:val="24"/>
              </w:rPr>
              <w:t>High technology facilities/fund</w:t>
            </w:r>
          </w:p>
        </w:tc>
        <w:tc>
          <w:tcPr>
            <w:tcW w:w="1260" w:type="dxa"/>
          </w:tcPr>
          <w:p>
            <w:pPr/>
          </w:p>
        </w:tc>
        <w:tc>
          <w:tcPr>
            <w:tcW w:w="1711" w:type="dxa"/>
          </w:tcPr>
          <w:p>
            <w:pPr>
              <w:pStyle w:val="TableParagraph"/>
              <w:spacing w:before="159"/>
              <w:ind w:left="90" w:right="94"/>
              <w:jc w:val="center"/>
              <w:rPr>
                <w:sz w:val="24"/>
              </w:rPr>
            </w:pPr>
            <w:hyperlink r:id="rId189">
              <w:r>
                <w:rPr>
                  <w:color w:val="0000FF"/>
                  <w:sz w:val="24"/>
                  <w:u w:val="single" w:color="0000FF"/>
                </w:rPr>
                <w:t>15820 </w:t>
              </w:r>
            </w:hyperlink>
            <w:r>
              <w:rPr>
                <w:sz w:val="24"/>
              </w:rPr>
              <w:t>et seq.</w:t>
            </w:r>
          </w:p>
          <w:p>
            <w:pPr>
              <w:pStyle w:val="TableParagraph"/>
              <w:ind w:left="94" w:right="94"/>
              <w:jc w:val="center"/>
              <w:rPr>
                <w:sz w:val="24"/>
              </w:rPr>
            </w:pPr>
            <w:r>
              <w:rPr>
                <w:sz w:val="24"/>
              </w:rPr>
              <w:t>(Chap 3.5, 10b)</w:t>
            </w:r>
          </w:p>
        </w:tc>
        <w:tc>
          <w:tcPr>
            <w:tcW w:w="1349" w:type="dxa"/>
          </w:tcPr>
          <w:p>
            <w:pPr/>
          </w:p>
        </w:tc>
        <w:tc>
          <w:tcPr>
            <w:tcW w:w="1620" w:type="dxa"/>
          </w:tcPr>
          <w:p>
            <w:pPr/>
          </w:p>
        </w:tc>
        <w:tc>
          <w:tcPr>
            <w:tcW w:w="888" w:type="dxa"/>
            <w:tcBorders>
              <w:right w:val="nil"/>
            </w:tcBorders>
          </w:tcPr>
          <w:p>
            <w:pPr/>
          </w:p>
        </w:tc>
      </w:tr>
      <w:tr>
        <w:trPr>
          <w:trHeight w:val="1159" w:hRule="exact"/>
        </w:trPr>
        <w:tc>
          <w:tcPr>
            <w:tcW w:w="2628" w:type="dxa"/>
            <w:tcBorders>
              <w:left w:val="nil"/>
              <w:bottom w:val="nil"/>
            </w:tcBorders>
          </w:tcPr>
          <w:p>
            <w:pPr>
              <w:pStyle w:val="TableParagraph"/>
              <w:spacing w:line="274" w:lineRule="exact" w:before="165"/>
              <w:ind w:left="108" w:right="345"/>
              <w:rPr>
                <w:sz w:val="24"/>
              </w:rPr>
            </w:pPr>
            <w:r>
              <w:rPr>
                <w:sz w:val="24"/>
              </w:rPr>
              <w:t>Financing of various higher ed. facilities</w:t>
            </w:r>
          </w:p>
        </w:tc>
        <w:tc>
          <w:tcPr>
            <w:tcW w:w="1260" w:type="dxa"/>
            <w:tcBorders>
              <w:bottom w:val="nil"/>
            </w:tcBorders>
          </w:tcPr>
          <w:p>
            <w:pPr/>
          </w:p>
        </w:tc>
        <w:tc>
          <w:tcPr>
            <w:tcW w:w="1711" w:type="dxa"/>
            <w:tcBorders>
              <w:bottom w:val="nil"/>
            </w:tcBorders>
          </w:tcPr>
          <w:p>
            <w:pPr>
              <w:pStyle w:val="TableParagraph"/>
              <w:spacing w:before="19"/>
              <w:ind w:left="91" w:right="94"/>
              <w:jc w:val="center"/>
              <w:rPr>
                <w:sz w:val="24"/>
              </w:rPr>
            </w:pPr>
            <w:hyperlink r:id="rId188">
              <w:r>
                <w:rPr>
                  <w:color w:val="0000FF"/>
                  <w:sz w:val="24"/>
                  <w:u w:val="single" w:color="0000FF"/>
                </w:rPr>
                <w:t>15820.15 to</w:t>
              </w:r>
            </w:hyperlink>
          </w:p>
          <w:p>
            <w:pPr>
              <w:pStyle w:val="TableParagraph"/>
              <w:ind w:left="93" w:right="94"/>
              <w:jc w:val="center"/>
              <w:rPr>
                <w:sz w:val="24"/>
              </w:rPr>
            </w:pPr>
            <w:hyperlink r:id="rId188">
              <w:r>
                <w:rPr>
                  <w:color w:val="0000FF"/>
                  <w:sz w:val="24"/>
                  <w:u w:val="single" w:color="0000FF"/>
                </w:rPr>
                <w:t>15820.74</w:t>
              </w:r>
            </w:hyperlink>
          </w:p>
          <w:p>
            <w:pPr>
              <w:pStyle w:val="TableParagraph"/>
              <w:ind w:left="91" w:right="94"/>
              <w:jc w:val="center"/>
              <w:rPr>
                <w:sz w:val="24"/>
              </w:rPr>
            </w:pPr>
            <w:r>
              <w:rPr>
                <w:sz w:val="24"/>
              </w:rPr>
              <w:t>(Chap 3.6 to</w:t>
            </w:r>
          </w:p>
          <w:p>
            <w:pPr>
              <w:pStyle w:val="TableParagraph"/>
              <w:ind w:left="94" w:right="93"/>
              <w:jc w:val="center"/>
              <w:rPr>
                <w:sz w:val="24"/>
              </w:rPr>
            </w:pPr>
            <w:r>
              <w:rPr>
                <w:sz w:val="24"/>
              </w:rPr>
              <w:t>3.9)</w:t>
            </w:r>
          </w:p>
        </w:tc>
        <w:tc>
          <w:tcPr>
            <w:tcW w:w="1349" w:type="dxa"/>
            <w:tcBorders>
              <w:bottom w:val="nil"/>
            </w:tcBorders>
          </w:tcPr>
          <w:p>
            <w:pPr/>
          </w:p>
        </w:tc>
        <w:tc>
          <w:tcPr>
            <w:tcW w:w="1620" w:type="dxa"/>
            <w:tcBorders>
              <w:bottom w:val="nil"/>
            </w:tcBorders>
          </w:tcPr>
          <w:p>
            <w:pPr/>
          </w:p>
        </w:tc>
        <w:tc>
          <w:tcPr>
            <w:tcW w:w="888" w:type="dxa"/>
            <w:tcBorders>
              <w:bottom w:val="nil"/>
              <w:right w:val="nil"/>
            </w:tcBorders>
          </w:tcPr>
          <w:p>
            <w:pPr/>
          </w:p>
        </w:tc>
      </w:tr>
    </w:tbl>
    <w:p>
      <w:pPr>
        <w:pStyle w:val="BodyText"/>
        <w:spacing w:before="7"/>
        <w:rPr>
          <w:sz w:val="23"/>
        </w:rPr>
      </w:pPr>
    </w:p>
    <w:p>
      <w:pPr>
        <w:pStyle w:val="BodyText"/>
        <w:ind w:left="820"/>
      </w:pPr>
      <w:r>
        <w:rPr/>
        <w:t>(Continued)</w:t>
      </w:r>
    </w:p>
    <w:p>
      <w:pPr>
        <w:spacing w:after="0"/>
        <w:sectPr>
          <w:footerReference w:type="default" r:id="rId183"/>
          <w:pgSz w:w="12240" w:h="15840"/>
          <w:pgMar w:footer="1068" w:header="724" w:top="980" w:bottom="1260" w:left="620" w:right="1240"/>
        </w:sectPr>
      </w:pPr>
    </w:p>
    <w:p>
      <w:pPr>
        <w:pStyle w:val="BodyText"/>
        <w:rPr>
          <w:sz w:val="20"/>
        </w:rPr>
      </w:pPr>
    </w:p>
    <w:p>
      <w:pPr>
        <w:pStyle w:val="BodyText"/>
        <w:spacing w:before="214"/>
        <w:ind w:left="820"/>
      </w:pPr>
      <w:r>
        <w:rPr/>
        <w:t>(Continued)</w:t>
      </w:r>
    </w:p>
    <w:p>
      <w:pPr>
        <w:pStyle w:val="BodyText"/>
        <w:spacing w:before="4"/>
      </w:pPr>
    </w:p>
    <w:tbl>
      <w:tblPr>
        <w:tblW w:w="0" w:type="auto"/>
        <w:jc w:val="left"/>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28"/>
        <w:gridCol w:w="1260"/>
        <w:gridCol w:w="1800"/>
        <w:gridCol w:w="1351"/>
        <w:gridCol w:w="1529"/>
        <w:gridCol w:w="888"/>
      </w:tblGrid>
      <w:tr>
        <w:trPr>
          <w:trHeight w:val="835" w:hRule="exact"/>
        </w:trPr>
        <w:tc>
          <w:tcPr>
            <w:tcW w:w="2628" w:type="dxa"/>
            <w:tcBorders>
              <w:top w:val="nil"/>
              <w:left w:val="nil"/>
              <w:right w:val="nil"/>
            </w:tcBorders>
            <w:shd w:val="clear" w:color="auto" w:fill="DADADA"/>
          </w:tcPr>
          <w:p>
            <w:pPr/>
          </w:p>
        </w:tc>
        <w:tc>
          <w:tcPr>
            <w:tcW w:w="1260" w:type="dxa"/>
            <w:tcBorders>
              <w:top w:val="nil"/>
              <w:left w:val="nil"/>
              <w:right w:val="nil"/>
            </w:tcBorders>
            <w:shd w:val="clear" w:color="auto" w:fill="DADADA"/>
          </w:tcPr>
          <w:p>
            <w:pPr>
              <w:pStyle w:val="TableParagraph"/>
              <w:ind w:left="216" w:right="215" w:hanging="2"/>
              <w:jc w:val="center"/>
              <w:rPr>
                <w:b/>
                <w:sz w:val="24"/>
              </w:rPr>
            </w:pPr>
            <w:r>
              <w:rPr>
                <w:b/>
                <w:sz w:val="24"/>
              </w:rPr>
              <w:t>Annual Budget Act</w:t>
            </w:r>
          </w:p>
        </w:tc>
        <w:tc>
          <w:tcPr>
            <w:tcW w:w="1800" w:type="dxa"/>
            <w:tcBorders>
              <w:top w:val="nil"/>
              <w:left w:val="nil"/>
              <w:right w:val="nil"/>
            </w:tcBorders>
            <w:shd w:val="clear" w:color="auto" w:fill="DADADA"/>
          </w:tcPr>
          <w:p>
            <w:pPr>
              <w:pStyle w:val="TableParagraph"/>
              <w:spacing w:before="132"/>
              <w:ind w:left="599" w:right="173" w:hanging="406"/>
              <w:rPr>
                <w:b/>
                <w:sz w:val="24"/>
              </w:rPr>
            </w:pPr>
            <w:r>
              <w:rPr>
                <w:b/>
                <w:sz w:val="24"/>
              </w:rPr>
              <w:t>Government Code</w:t>
            </w:r>
          </w:p>
        </w:tc>
        <w:tc>
          <w:tcPr>
            <w:tcW w:w="1351" w:type="dxa"/>
            <w:tcBorders>
              <w:top w:val="nil"/>
              <w:left w:val="nil"/>
              <w:right w:val="nil"/>
            </w:tcBorders>
            <w:shd w:val="clear" w:color="auto" w:fill="DADADA"/>
          </w:tcPr>
          <w:p>
            <w:pPr>
              <w:pStyle w:val="TableParagraph"/>
              <w:ind w:left="179" w:right="182" w:hanging="2"/>
              <w:jc w:val="center"/>
              <w:rPr>
                <w:b/>
                <w:sz w:val="24"/>
              </w:rPr>
            </w:pPr>
            <w:r>
              <w:rPr>
                <w:b/>
                <w:sz w:val="24"/>
              </w:rPr>
              <w:t>Public Contract Code</w:t>
            </w:r>
          </w:p>
        </w:tc>
        <w:tc>
          <w:tcPr>
            <w:tcW w:w="1529" w:type="dxa"/>
            <w:tcBorders>
              <w:top w:val="nil"/>
              <w:left w:val="nil"/>
              <w:right w:val="nil"/>
            </w:tcBorders>
            <w:shd w:val="clear" w:color="auto" w:fill="DADADA"/>
          </w:tcPr>
          <w:p>
            <w:pPr>
              <w:pStyle w:val="TableParagraph"/>
              <w:ind w:left="146" w:right="152" w:firstLine="2"/>
              <w:jc w:val="center"/>
              <w:rPr>
                <w:b/>
                <w:sz w:val="24"/>
              </w:rPr>
            </w:pPr>
            <w:r>
              <w:rPr>
                <w:b/>
                <w:sz w:val="24"/>
              </w:rPr>
              <w:t>Public Resources Code</w:t>
            </w:r>
          </w:p>
        </w:tc>
        <w:tc>
          <w:tcPr>
            <w:tcW w:w="888" w:type="dxa"/>
            <w:tcBorders>
              <w:top w:val="nil"/>
              <w:left w:val="nil"/>
              <w:right w:val="nil"/>
            </w:tcBorders>
            <w:shd w:val="clear" w:color="auto" w:fill="DADADA"/>
          </w:tcPr>
          <w:p>
            <w:pPr>
              <w:pStyle w:val="TableParagraph"/>
              <w:spacing w:before="7"/>
              <w:rPr>
                <w:sz w:val="23"/>
              </w:rPr>
            </w:pPr>
          </w:p>
          <w:p>
            <w:pPr>
              <w:pStyle w:val="TableParagraph"/>
              <w:ind w:left="122"/>
              <w:rPr>
                <w:b/>
                <w:sz w:val="24"/>
              </w:rPr>
            </w:pPr>
            <w:r>
              <w:rPr>
                <w:b/>
                <w:sz w:val="24"/>
              </w:rPr>
              <w:t>Other</w:t>
            </w:r>
          </w:p>
        </w:tc>
      </w:tr>
      <w:tr>
        <w:trPr>
          <w:trHeight w:val="590" w:hRule="exact"/>
        </w:trPr>
        <w:tc>
          <w:tcPr>
            <w:tcW w:w="2628" w:type="dxa"/>
            <w:tcBorders>
              <w:left w:val="nil"/>
            </w:tcBorders>
          </w:tcPr>
          <w:p>
            <w:pPr>
              <w:pStyle w:val="TableParagraph"/>
              <w:spacing w:before="147"/>
              <w:ind w:left="108"/>
              <w:rPr>
                <w:b/>
                <w:sz w:val="24"/>
              </w:rPr>
            </w:pPr>
            <w:r>
              <w:rPr>
                <w:b/>
                <w:sz w:val="24"/>
              </w:rPr>
              <w:t>PWB (continued)</w:t>
            </w:r>
          </w:p>
        </w:tc>
        <w:tc>
          <w:tcPr>
            <w:tcW w:w="1260" w:type="dxa"/>
          </w:tcPr>
          <w:p>
            <w:pPr/>
          </w:p>
        </w:tc>
        <w:tc>
          <w:tcPr>
            <w:tcW w:w="1800" w:type="dxa"/>
          </w:tcPr>
          <w:p>
            <w:pPr/>
          </w:p>
        </w:tc>
        <w:tc>
          <w:tcPr>
            <w:tcW w:w="1351" w:type="dxa"/>
          </w:tcPr>
          <w:p>
            <w:pPr/>
          </w:p>
        </w:tc>
        <w:tc>
          <w:tcPr>
            <w:tcW w:w="1529" w:type="dxa"/>
          </w:tcPr>
          <w:p>
            <w:pPr/>
          </w:p>
        </w:tc>
        <w:tc>
          <w:tcPr>
            <w:tcW w:w="888" w:type="dxa"/>
            <w:tcBorders>
              <w:right w:val="nil"/>
            </w:tcBorders>
          </w:tcPr>
          <w:p>
            <w:pPr/>
          </w:p>
        </w:tc>
      </w:tr>
      <w:tr>
        <w:trPr>
          <w:trHeight w:val="590" w:hRule="exact"/>
        </w:trPr>
        <w:tc>
          <w:tcPr>
            <w:tcW w:w="2628" w:type="dxa"/>
            <w:tcBorders>
              <w:left w:val="nil"/>
            </w:tcBorders>
          </w:tcPr>
          <w:p>
            <w:pPr>
              <w:pStyle w:val="TableParagraph"/>
              <w:spacing w:before="7"/>
              <w:ind w:left="108" w:right="291"/>
              <w:rPr>
                <w:sz w:val="24"/>
              </w:rPr>
            </w:pPr>
            <w:r>
              <w:rPr>
                <w:sz w:val="24"/>
              </w:rPr>
              <w:t>Lease-revenue bond requirements</w:t>
            </w:r>
          </w:p>
        </w:tc>
        <w:tc>
          <w:tcPr>
            <w:tcW w:w="1260" w:type="dxa"/>
          </w:tcPr>
          <w:p>
            <w:pPr/>
          </w:p>
        </w:tc>
        <w:tc>
          <w:tcPr>
            <w:tcW w:w="1800" w:type="dxa"/>
          </w:tcPr>
          <w:p>
            <w:pPr>
              <w:pStyle w:val="TableParagraph"/>
              <w:spacing w:before="7"/>
              <w:ind w:left="163"/>
              <w:rPr>
                <w:sz w:val="24"/>
              </w:rPr>
            </w:pPr>
            <w:hyperlink r:id="rId191">
              <w:r>
                <w:rPr>
                  <w:color w:val="0000FF"/>
                  <w:sz w:val="24"/>
                  <w:u w:val="single" w:color="0000FF"/>
                </w:rPr>
                <w:t>15830 </w:t>
              </w:r>
            </w:hyperlink>
            <w:r>
              <w:rPr>
                <w:sz w:val="24"/>
              </w:rPr>
              <w:t>et seq.</w:t>
            </w:r>
          </w:p>
          <w:p>
            <w:pPr>
              <w:pStyle w:val="TableParagraph"/>
              <w:ind w:left="158"/>
              <w:rPr>
                <w:sz w:val="24"/>
              </w:rPr>
            </w:pPr>
            <w:r>
              <w:rPr>
                <w:sz w:val="24"/>
              </w:rPr>
              <w:t>(Chap 5, 10b)</w:t>
            </w:r>
          </w:p>
        </w:tc>
        <w:tc>
          <w:tcPr>
            <w:tcW w:w="1351" w:type="dxa"/>
          </w:tcPr>
          <w:p>
            <w:pPr/>
          </w:p>
        </w:tc>
        <w:tc>
          <w:tcPr>
            <w:tcW w:w="1529" w:type="dxa"/>
          </w:tcPr>
          <w:p>
            <w:pPr/>
          </w:p>
        </w:tc>
        <w:tc>
          <w:tcPr>
            <w:tcW w:w="888" w:type="dxa"/>
            <w:tcBorders>
              <w:right w:val="nil"/>
            </w:tcBorders>
          </w:tcPr>
          <w:p>
            <w:pPr/>
          </w:p>
        </w:tc>
      </w:tr>
      <w:tr>
        <w:trPr>
          <w:trHeight w:val="593" w:hRule="exact"/>
        </w:trPr>
        <w:tc>
          <w:tcPr>
            <w:tcW w:w="2628" w:type="dxa"/>
            <w:tcBorders>
              <w:left w:val="nil"/>
            </w:tcBorders>
          </w:tcPr>
          <w:p>
            <w:pPr>
              <w:pStyle w:val="TableParagraph"/>
              <w:spacing w:before="10"/>
              <w:ind w:left="108" w:right="331"/>
              <w:rPr>
                <w:sz w:val="24"/>
              </w:rPr>
            </w:pPr>
            <w:r>
              <w:rPr>
                <w:sz w:val="24"/>
              </w:rPr>
              <w:t>Authority to employ financial consultants</w:t>
            </w:r>
          </w:p>
        </w:tc>
        <w:tc>
          <w:tcPr>
            <w:tcW w:w="1260" w:type="dxa"/>
          </w:tcPr>
          <w:p>
            <w:pPr/>
          </w:p>
        </w:tc>
        <w:tc>
          <w:tcPr>
            <w:tcW w:w="1800" w:type="dxa"/>
          </w:tcPr>
          <w:p>
            <w:pPr>
              <w:pStyle w:val="TableParagraph"/>
              <w:spacing w:before="147"/>
              <w:ind w:left="85" w:right="84"/>
              <w:jc w:val="center"/>
              <w:rPr>
                <w:sz w:val="24"/>
              </w:rPr>
            </w:pPr>
            <w:hyperlink r:id="rId192">
              <w:r>
                <w:rPr>
                  <w:color w:val="0000FF"/>
                  <w:sz w:val="24"/>
                  <w:u w:val="single" w:color="0000FF"/>
                </w:rPr>
                <w:t>15837.5</w:t>
              </w:r>
            </w:hyperlink>
          </w:p>
        </w:tc>
        <w:tc>
          <w:tcPr>
            <w:tcW w:w="1351" w:type="dxa"/>
          </w:tcPr>
          <w:p>
            <w:pPr/>
          </w:p>
        </w:tc>
        <w:tc>
          <w:tcPr>
            <w:tcW w:w="1529" w:type="dxa"/>
          </w:tcPr>
          <w:p>
            <w:pPr/>
          </w:p>
        </w:tc>
        <w:tc>
          <w:tcPr>
            <w:tcW w:w="888" w:type="dxa"/>
            <w:tcBorders>
              <w:right w:val="nil"/>
            </w:tcBorders>
          </w:tcPr>
          <w:p>
            <w:pPr/>
          </w:p>
        </w:tc>
      </w:tr>
      <w:tr>
        <w:trPr>
          <w:trHeight w:val="842" w:hRule="exact"/>
        </w:trPr>
        <w:tc>
          <w:tcPr>
            <w:tcW w:w="2628" w:type="dxa"/>
            <w:tcBorders>
              <w:left w:val="nil"/>
            </w:tcBorders>
          </w:tcPr>
          <w:p>
            <w:pPr>
              <w:pStyle w:val="TableParagraph"/>
              <w:ind w:left="108" w:right="785"/>
              <w:rPr>
                <w:sz w:val="24"/>
              </w:rPr>
            </w:pPr>
            <w:r>
              <w:rPr>
                <w:sz w:val="24"/>
              </w:rPr>
              <w:t>Inapplicability of specified</w:t>
            </w:r>
          </w:p>
          <w:p>
            <w:pPr>
              <w:pStyle w:val="TableParagraph"/>
              <w:spacing w:before="4"/>
              <w:ind w:left="108"/>
              <w:rPr>
                <w:sz w:val="24"/>
              </w:rPr>
            </w:pPr>
            <w:r>
              <w:rPr>
                <w:sz w:val="24"/>
              </w:rPr>
              <w:t>Public Contract Codes</w:t>
            </w:r>
          </w:p>
        </w:tc>
        <w:tc>
          <w:tcPr>
            <w:tcW w:w="1260" w:type="dxa"/>
          </w:tcPr>
          <w:p>
            <w:pPr/>
          </w:p>
        </w:tc>
        <w:tc>
          <w:tcPr>
            <w:tcW w:w="1800" w:type="dxa"/>
          </w:tcPr>
          <w:p>
            <w:pPr>
              <w:pStyle w:val="TableParagraph"/>
              <w:spacing w:before="7"/>
              <w:rPr>
                <w:sz w:val="23"/>
              </w:rPr>
            </w:pPr>
          </w:p>
          <w:p>
            <w:pPr>
              <w:pStyle w:val="TableParagraph"/>
              <w:ind w:left="85" w:right="84"/>
              <w:jc w:val="center"/>
              <w:rPr>
                <w:sz w:val="24"/>
              </w:rPr>
            </w:pPr>
            <w:hyperlink r:id="rId193">
              <w:r>
                <w:rPr>
                  <w:color w:val="0000FF"/>
                  <w:sz w:val="24"/>
                  <w:u w:val="single" w:color="0000FF"/>
                </w:rPr>
                <w:t>15837.6</w:t>
              </w:r>
            </w:hyperlink>
          </w:p>
        </w:tc>
        <w:tc>
          <w:tcPr>
            <w:tcW w:w="1351" w:type="dxa"/>
          </w:tcPr>
          <w:p>
            <w:pPr/>
          </w:p>
        </w:tc>
        <w:tc>
          <w:tcPr>
            <w:tcW w:w="1529" w:type="dxa"/>
          </w:tcPr>
          <w:p>
            <w:pPr/>
          </w:p>
        </w:tc>
        <w:tc>
          <w:tcPr>
            <w:tcW w:w="888" w:type="dxa"/>
            <w:tcBorders>
              <w:right w:val="nil"/>
            </w:tcBorders>
          </w:tcPr>
          <w:p>
            <w:pPr/>
          </w:p>
        </w:tc>
      </w:tr>
      <w:tr>
        <w:trPr>
          <w:trHeight w:val="590" w:hRule="exact"/>
        </w:trPr>
        <w:tc>
          <w:tcPr>
            <w:tcW w:w="2628" w:type="dxa"/>
            <w:tcBorders>
              <w:left w:val="nil"/>
            </w:tcBorders>
          </w:tcPr>
          <w:p>
            <w:pPr>
              <w:pStyle w:val="TableParagraph"/>
              <w:spacing w:before="7"/>
              <w:ind w:left="108" w:right="531"/>
              <w:rPr>
                <w:sz w:val="24"/>
              </w:rPr>
            </w:pPr>
            <w:r>
              <w:rPr>
                <w:sz w:val="24"/>
              </w:rPr>
              <w:t>Public Building Construction Fund</w:t>
            </w:r>
          </w:p>
        </w:tc>
        <w:tc>
          <w:tcPr>
            <w:tcW w:w="1260" w:type="dxa"/>
          </w:tcPr>
          <w:p>
            <w:pPr/>
          </w:p>
        </w:tc>
        <w:tc>
          <w:tcPr>
            <w:tcW w:w="1800" w:type="dxa"/>
          </w:tcPr>
          <w:p>
            <w:pPr>
              <w:pStyle w:val="TableParagraph"/>
              <w:spacing w:before="7"/>
              <w:ind w:left="163"/>
              <w:rPr>
                <w:sz w:val="24"/>
              </w:rPr>
            </w:pPr>
            <w:hyperlink r:id="rId194">
              <w:r>
                <w:rPr>
                  <w:color w:val="0000FF"/>
                  <w:sz w:val="24"/>
                  <w:u w:val="single" w:color="0000FF"/>
                </w:rPr>
                <w:t>15845 </w:t>
              </w:r>
            </w:hyperlink>
            <w:r>
              <w:rPr>
                <w:sz w:val="24"/>
              </w:rPr>
              <w:t>et seq.</w:t>
            </w:r>
          </w:p>
          <w:p>
            <w:pPr>
              <w:pStyle w:val="TableParagraph"/>
              <w:ind w:left="158"/>
              <w:rPr>
                <w:sz w:val="24"/>
              </w:rPr>
            </w:pPr>
            <w:r>
              <w:rPr>
                <w:sz w:val="24"/>
              </w:rPr>
              <w:t>(Chap 6, 10b)</w:t>
            </w:r>
          </w:p>
        </w:tc>
        <w:tc>
          <w:tcPr>
            <w:tcW w:w="1351" w:type="dxa"/>
          </w:tcPr>
          <w:p>
            <w:pPr/>
          </w:p>
        </w:tc>
        <w:tc>
          <w:tcPr>
            <w:tcW w:w="1529" w:type="dxa"/>
          </w:tcPr>
          <w:p>
            <w:pPr/>
          </w:p>
        </w:tc>
        <w:tc>
          <w:tcPr>
            <w:tcW w:w="888" w:type="dxa"/>
            <w:tcBorders>
              <w:right w:val="nil"/>
            </w:tcBorders>
          </w:tcPr>
          <w:p>
            <w:pPr/>
          </w:p>
        </w:tc>
      </w:tr>
      <w:tr>
        <w:trPr>
          <w:trHeight w:val="842" w:hRule="exact"/>
        </w:trPr>
        <w:tc>
          <w:tcPr>
            <w:tcW w:w="2628" w:type="dxa"/>
            <w:tcBorders>
              <w:left w:val="nil"/>
            </w:tcBorders>
          </w:tcPr>
          <w:p>
            <w:pPr>
              <w:pStyle w:val="TableParagraph"/>
              <w:spacing w:before="135"/>
              <w:ind w:left="108" w:right="132"/>
              <w:rPr>
                <w:b/>
                <w:i/>
                <w:sz w:val="24"/>
              </w:rPr>
            </w:pPr>
            <w:r>
              <w:rPr>
                <w:b/>
                <w:i/>
                <w:sz w:val="24"/>
              </w:rPr>
              <w:t>Property Acquisition </w:t>
            </w:r>
            <w:r>
              <w:rPr>
                <w:b/>
                <w:i/>
                <w:sz w:val="24"/>
              </w:rPr>
              <w:t>Law</w:t>
            </w:r>
          </w:p>
        </w:tc>
        <w:tc>
          <w:tcPr>
            <w:tcW w:w="1260" w:type="dxa"/>
          </w:tcPr>
          <w:p>
            <w:pPr/>
          </w:p>
        </w:tc>
        <w:tc>
          <w:tcPr>
            <w:tcW w:w="1800" w:type="dxa"/>
          </w:tcPr>
          <w:p>
            <w:pPr>
              <w:pStyle w:val="TableParagraph"/>
              <w:spacing w:line="272" w:lineRule="exact"/>
              <w:ind w:left="85" w:right="85"/>
              <w:jc w:val="center"/>
              <w:rPr>
                <w:sz w:val="24"/>
              </w:rPr>
            </w:pPr>
            <w:r>
              <w:rPr>
                <w:sz w:val="24"/>
              </w:rPr>
              <w:t>Title 2, Div. 3,</w:t>
            </w:r>
          </w:p>
          <w:p>
            <w:pPr>
              <w:pStyle w:val="TableParagraph"/>
              <w:ind w:left="85" w:right="86"/>
              <w:jc w:val="center"/>
              <w:rPr>
                <w:sz w:val="24"/>
              </w:rPr>
            </w:pPr>
            <w:r>
              <w:rPr>
                <w:sz w:val="24"/>
              </w:rPr>
              <w:t>Part 11, </w:t>
            </w:r>
            <w:hyperlink r:id="rId195">
              <w:r>
                <w:rPr>
                  <w:color w:val="0000FF"/>
                  <w:sz w:val="24"/>
                  <w:u w:val="single" w:color="0000FF"/>
                </w:rPr>
                <w:t>15850</w:t>
              </w:r>
            </w:hyperlink>
          </w:p>
          <w:p>
            <w:pPr>
              <w:pStyle w:val="TableParagraph"/>
              <w:ind w:left="85" w:right="84"/>
              <w:jc w:val="center"/>
              <w:rPr>
                <w:sz w:val="24"/>
              </w:rPr>
            </w:pPr>
            <w:r>
              <w:rPr>
                <w:sz w:val="24"/>
              </w:rPr>
              <w:t>et seq.</w:t>
            </w:r>
          </w:p>
        </w:tc>
        <w:tc>
          <w:tcPr>
            <w:tcW w:w="1351" w:type="dxa"/>
          </w:tcPr>
          <w:p>
            <w:pPr/>
          </w:p>
        </w:tc>
        <w:tc>
          <w:tcPr>
            <w:tcW w:w="1529" w:type="dxa"/>
          </w:tcPr>
          <w:p>
            <w:pPr/>
          </w:p>
        </w:tc>
        <w:tc>
          <w:tcPr>
            <w:tcW w:w="888" w:type="dxa"/>
            <w:tcBorders>
              <w:right w:val="nil"/>
            </w:tcBorders>
          </w:tcPr>
          <w:p>
            <w:pPr/>
          </w:p>
        </w:tc>
      </w:tr>
      <w:tr>
        <w:trPr>
          <w:trHeight w:val="593" w:hRule="exact"/>
        </w:trPr>
        <w:tc>
          <w:tcPr>
            <w:tcW w:w="2628" w:type="dxa"/>
            <w:tcBorders>
              <w:left w:val="nil"/>
            </w:tcBorders>
          </w:tcPr>
          <w:p>
            <w:pPr>
              <w:pStyle w:val="TableParagraph"/>
              <w:spacing w:before="10"/>
              <w:ind w:left="108" w:right="184"/>
              <w:rPr>
                <w:sz w:val="24"/>
              </w:rPr>
            </w:pPr>
            <w:r>
              <w:rPr>
                <w:sz w:val="24"/>
              </w:rPr>
              <w:t>Parks and Recreation sites</w:t>
            </w:r>
          </w:p>
        </w:tc>
        <w:tc>
          <w:tcPr>
            <w:tcW w:w="1260" w:type="dxa"/>
          </w:tcPr>
          <w:p>
            <w:pPr/>
          </w:p>
        </w:tc>
        <w:tc>
          <w:tcPr>
            <w:tcW w:w="1800" w:type="dxa"/>
          </w:tcPr>
          <w:p>
            <w:pPr/>
          </w:p>
        </w:tc>
        <w:tc>
          <w:tcPr>
            <w:tcW w:w="1351" w:type="dxa"/>
          </w:tcPr>
          <w:p>
            <w:pPr/>
          </w:p>
        </w:tc>
        <w:tc>
          <w:tcPr>
            <w:tcW w:w="1529" w:type="dxa"/>
          </w:tcPr>
          <w:p>
            <w:pPr>
              <w:pStyle w:val="TableParagraph"/>
              <w:spacing w:before="147"/>
              <w:ind w:left="303" w:right="303"/>
              <w:jc w:val="center"/>
              <w:rPr>
                <w:sz w:val="24"/>
              </w:rPr>
            </w:pPr>
            <w:hyperlink r:id="rId196">
              <w:r>
                <w:rPr>
                  <w:color w:val="0000FF"/>
                  <w:sz w:val="24"/>
                  <w:u w:val="single" w:color="0000FF"/>
                </w:rPr>
                <w:t>5006</w:t>
              </w:r>
            </w:hyperlink>
          </w:p>
        </w:tc>
        <w:tc>
          <w:tcPr>
            <w:tcW w:w="888" w:type="dxa"/>
            <w:tcBorders>
              <w:right w:val="nil"/>
            </w:tcBorders>
          </w:tcPr>
          <w:p>
            <w:pPr/>
          </w:p>
        </w:tc>
      </w:tr>
      <w:tr>
        <w:trPr>
          <w:trHeight w:val="842" w:hRule="exact"/>
        </w:trPr>
        <w:tc>
          <w:tcPr>
            <w:tcW w:w="2628" w:type="dxa"/>
            <w:tcBorders>
              <w:left w:val="nil"/>
            </w:tcBorders>
          </w:tcPr>
          <w:p>
            <w:pPr>
              <w:pStyle w:val="TableParagraph"/>
              <w:ind w:left="108" w:right="318"/>
              <w:rPr>
                <w:sz w:val="24"/>
              </w:rPr>
            </w:pPr>
            <w:r>
              <w:rPr>
                <w:sz w:val="24"/>
              </w:rPr>
              <w:t>Property acquisition: additional requirements</w:t>
            </w:r>
          </w:p>
        </w:tc>
        <w:tc>
          <w:tcPr>
            <w:tcW w:w="1260" w:type="dxa"/>
          </w:tcPr>
          <w:p>
            <w:pPr/>
          </w:p>
        </w:tc>
        <w:tc>
          <w:tcPr>
            <w:tcW w:w="1800" w:type="dxa"/>
          </w:tcPr>
          <w:p>
            <w:pPr>
              <w:pStyle w:val="TableParagraph"/>
              <w:spacing w:before="132"/>
              <w:ind w:left="85" w:right="84"/>
              <w:jc w:val="center"/>
              <w:rPr>
                <w:sz w:val="24"/>
              </w:rPr>
            </w:pPr>
            <w:hyperlink r:id="rId197">
              <w:r>
                <w:rPr>
                  <w:color w:val="0000FF"/>
                  <w:sz w:val="24"/>
                  <w:u w:val="single" w:color="0000FF"/>
                </w:rPr>
                <w:t>13332.12 </w:t>
              </w:r>
            </w:hyperlink>
            <w:r>
              <w:rPr>
                <w:sz w:val="24"/>
              </w:rPr>
              <w:t>&amp;</w:t>
            </w:r>
          </w:p>
          <w:p>
            <w:pPr>
              <w:pStyle w:val="TableParagraph"/>
              <w:ind w:left="85" w:right="85"/>
              <w:jc w:val="center"/>
              <w:rPr>
                <w:sz w:val="24"/>
              </w:rPr>
            </w:pPr>
            <w:hyperlink r:id="rId198">
              <w:r>
                <w:rPr>
                  <w:color w:val="0000FF"/>
                  <w:sz w:val="24"/>
                  <w:u w:val="single" w:color="0000FF"/>
                </w:rPr>
                <w:t>13332.13</w:t>
              </w:r>
            </w:hyperlink>
          </w:p>
        </w:tc>
        <w:tc>
          <w:tcPr>
            <w:tcW w:w="1351" w:type="dxa"/>
          </w:tcPr>
          <w:p>
            <w:pPr/>
          </w:p>
        </w:tc>
        <w:tc>
          <w:tcPr>
            <w:tcW w:w="1529" w:type="dxa"/>
          </w:tcPr>
          <w:p>
            <w:pPr/>
          </w:p>
        </w:tc>
        <w:tc>
          <w:tcPr>
            <w:tcW w:w="888" w:type="dxa"/>
            <w:tcBorders>
              <w:right w:val="nil"/>
            </w:tcBorders>
          </w:tcPr>
          <w:p>
            <w:pPr/>
          </w:p>
        </w:tc>
      </w:tr>
      <w:tr>
        <w:trPr>
          <w:trHeight w:val="590" w:hRule="exact"/>
        </w:trPr>
        <w:tc>
          <w:tcPr>
            <w:tcW w:w="2628" w:type="dxa"/>
            <w:tcBorders>
              <w:left w:val="nil"/>
            </w:tcBorders>
          </w:tcPr>
          <w:p>
            <w:pPr>
              <w:pStyle w:val="TableParagraph"/>
              <w:spacing w:before="147"/>
              <w:ind w:left="108"/>
              <w:rPr>
                <w:sz w:val="24"/>
              </w:rPr>
            </w:pPr>
            <w:r>
              <w:rPr>
                <w:sz w:val="24"/>
              </w:rPr>
              <w:t>Public land trusts</w:t>
            </w:r>
          </w:p>
        </w:tc>
        <w:tc>
          <w:tcPr>
            <w:tcW w:w="1260" w:type="dxa"/>
          </w:tcPr>
          <w:p>
            <w:pPr/>
          </w:p>
        </w:tc>
        <w:tc>
          <w:tcPr>
            <w:tcW w:w="1800" w:type="dxa"/>
          </w:tcPr>
          <w:p>
            <w:pPr>
              <w:pStyle w:val="TableParagraph"/>
              <w:spacing w:before="147"/>
              <w:ind w:left="85" w:right="84"/>
              <w:jc w:val="center"/>
              <w:rPr>
                <w:sz w:val="24"/>
              </w:rPr>
            </w:pPr>
            <w:hyperlink r:id="rId199">
              <w:r>
                <w:rPr>
                  <w:color w:val="0000FF"/>
                  <w:sz w:val="24"/>
                  <w:u w:val="single" w:color="0000FF"/>
                </w:rPr>
                <w:t>831.5</w:t>
              </w:r>
            </w:hyperlink>
          </w:p>
        </w:tc>
        <w:tc>
          <w:tcPr>
            <w:tcW w:w="1351" w:type="dxa"/>
          </w:tcPr>
          <w:p>
            <w:pPr/>
          </w:p>
        </w:tc>
        <w:tc>
          <w:tcPr>
            <w:tcW w:w="1529" w:type="dxa"/>
          </w:tcPr>
          <w:p>
            <w:pPr/>
          </w:p>
        </w:tc>
        <w:tc>
          <w:tcPr>
            <w:tcW w:w="888" w:type="dxa"/>
            <w:tcBorders>
              <w:right w:val="nil"/>
            </w:tcBorders>
          </w:tcPr>
          <w:p>
            <w:pPr/>
          </w:p>
        </w:tc>
      </w:tr>
      <w:tr>
        <w:trPr>
          <w:trHeight w:val="590" w:hRule="exact"/>
        </w:trPr>
        <w:tc>
          <w:tcPr>
            <w:tcW w:w="2628" w:type="dxa"/>
            <w:tcBorders>
              <w:left w:val="nil"/>
            </w:tcBorders>
          </w:tcPr>
          <w:p>
            <w:pPr>
              <w:pStyle w:val="TableParagraph"/>
              <w:spacing w:before="7"/>
              <w:ind w:left="108" w:right="611"/>
              <w:rPr>
                <w:sz w:val="24"/>
              </w:rPr>
            </w:pPr>
            <w:r>
              <w:rPr>
                <w:sz w:val="24"/>
              </w:rPr>
              <w:t>Parks concession agreements</w:t>
            </w:r>
          </w:p>
        </w:tc>
        <w:tc>
          <w:tcPr>
            <w:tcW w:w="1260" w:type="dxa"/>
          </w:tcPr>
          <w:p>
            <w:pPr/>
          </w:p>
        </w:tc>
        <w:tc>
          <w:tcPr>
            <w:tcW w:w="1800" w:type="dxa"/>
          </w:tcPr>
          <w:p>
            <w:pPr/>
          </w:p>
        </w:tc>
        <w:tc>
          <w:tcPr>
            <w:tcW w:w="1351" w:type="dxa"/>
          </w:tcPr>
          <w:p>
            <w:pPr/>
          </w:p>
        </w:tc>
        <w:tc>
          <w:tcPr>
            <w:tcW w:w="1529" w:type="dxa"/>
          </w:tcPr>
          <w:p>
            <w:pPr>
              <w:pStyle w:val="TableParagraph"/>
              <w:spacing w:before="147"/>
              <w:ind w:left="303" w:right="303"/>
              <w:jc w:val="center"/>
              <w:rPr>
                <w:sz w:val="24"/>
              </w:rPr>
            </w:pPr>
            <w:hyperlink r:id="rId200">
              <w:r>
                <w:rPr>
                  <w:color w:val="0000FF"/>
                  <w:sz w:val="24"/>
                  <w:u w:val="single" w:color="0000FF"/>
                </w:rPr>
                <w:t>5080.20</w:t>
              </w:r>
            </w:hyperlink>
          </w:p>
        </w:tc>
        <w:tc>
          <w:tcPr>
            <w:tcW w:w="888" w:type="dxa"/>
            <w:tcBorders>
              <w:right w:val="nil"/>
            </w:tcBorders>
          </w:tcPr>
          <w:p>
            <w:pPr/>
          </w:p>
        </w:tc>
      </w:tr>
      <w:tr>
        <w:trPr>
          <w:trHeight w:val="593" w:hRule="exact"/>
        </w:trPr>
        <w:tc>
          <w:tcPr>
            <w:tcW w:w="2628" w:type="dxa"/>
            <w:tcBorders>
              <w:left w:val="nil"/>
            </w:tcBorders>
          </w:tcPr>
          <w:p>
            <w:pPr>
              <w:pStyle w:val="TableParagraph"/>
              <w:spacing w:before="10"/>
              <w:ind w:left="108" w:right="651"/>
              <w:rPr>
                <w:sz w:val="24"/>
              </w:rPr>
            </w:pPr>
            <w:r>
              <w:rPr>
                <w:sz w:val="24"/>
              </w:rPr>
              <w:t>Combined bids— approval</w:t>
            </w:r>
          </w:p>
        </w:tc>
        <w:tc>
          <w:tcPr>
            <w:tcW w:w="1260" w:type="dxa"/>
          </w:tcPr>
          <w:p>
            <w:pPr/>
          </w:p>
        </w:tc>
        <w:tc>
          <w:tcPr>
            <w:tcW w:w="1800" w:type="dxa"/>
          </w:tcPr>
          <w:p>
            <w:pPr/>
          </w:p>
        </w:tc>
        <w:tc>
          <w:tcPr>
            <w:tcW w:w="1351" w:type="dxa"/>
          </w:tcPr>
          <w:p>
            <w:pPr>
              <w:pStyle w:val="TableParagraph"/>
              <w:spacing w:before="147"/>
              <w:ind w:left="333"/>
              <w:rPr>
                <w:sz w:val="24"/>
              </w:rPr>
            </w:pPr>
            <w:hyperlink r:id="rId201">
              <w:r>
                <w:rPr>
                  <w:color w:val="0000FF"/>
                  <w:sz w:val="24"/>
                  <w:u w:val="single" w:color="0000FF"/>
                </w:rPr>
                <w:t>10127</w:t>
              </w:r>
            </w:hyperlink>
          </w:p>
        </w:tc>
        <w:tc>
          <w:tcPr>
            <w:tcW w:w="1529" w:type="dxa"/>
          </w:tcPr>
          <w:p>
            <w:pPr/>
          </w:p>
        </w:tc>
        <w:tc>
          <w:tcPr>
            <w:tcW w:w="888" w:type="dxa"/>
            <w:tcBorders>
              <w:right w:val="nil"/>
            </w:tcBorders>
          </w:tcPr>
          <w:p>
            <w:pPr/>
          </w:p>
        </w:tc>
      </w:tr>
      <w:tr>
        <w:trPr>
          <w:trHeight w:val="590" w:hRule="exact"/>
        </w:trPr>
        <w:tc>
          <w:tcPr>
            <w:tcW w:w="2628" w:type="dxa"/>
            <w:tcBorders>
              <w:left w:val="nil"/>
            </w:tcBorders>
          </w:tcPr>
          <w:p>
            <w:pPr>
              <w:pStyle w:val="TableParagraph"/>
              <w:spacing w:before="7"/>
              <w:ind w:left="108" w:right="999"/>
              <w:rPr>
                <w:b/>
                <w:sz w:val="24"/>
              </w:rPr>
            </w:pPr>
            <w:r>
              <w:rPr>
                <w:b/>
                <w:sz w:val="24"/>
              </w:rPr>
              <w:t>Joint Powers Authorities</w:t>
            </w:r>
          </w:p>
        </w:tc>
        <w:tc>
          <w:tcPr>
            <w:tcW w:w="1260" w:type="dxa"/>
          </w:tcPr>
          <w:p>
            <w:pPr/>
          </w:p>
        </w:tc>
        <w:tc>
          <w:tcPr>
            <w:tcW w:w="1800" w:type="dxa"/>
          </w:tcPr>
          <w:p>
            <w:pPr/>
          </w:p>
        </w:tc>
        <w:tc>
          <w:tcPr>
            <w:tcW w:w="1351" w:type="dxa"/>
          </w:tcPr>
          <w:p>
            <w:pPr/>
          </w:p>
        </w:tc>
        <w:tc>
          <w:tcPr>
            <w:tcW w:w="1529" w:type="dxa"/>
          </w:tcPr>
          <w:p>
            <w:pPr/>
          </w:p>
        </w:tc>
        <w:tc>
          <w:tcPr>
            <w:tcW w:w="888" w:type="dxa"/>
            <w:tcBorders>
              <w:right w:val="nil"/>
            </w:tcBorders>
          </w:tcPr>
          <w:p>
            <w:pPr/>
          </w:p>
        </w:tc>
      </w:tr>
      <w:tr>
        <w:trPr>
          <w:trHeight w:val="842" w:hRule="exact"/>
        </w:trPr>
        <w:tc>
          <w:tcPr>
            <w:tcW w:w="2628" w:type="dxa"/>
            <w:tcBorders>
              <w:left w:val="nil"/>
            </w:tcBorders>
          </w:tcPr>
          <w:p>
            <w:pPr>
              <w:pStyle w:val="TableParagraph"/>
              <w:spacing w:before="135"/>
              <w:ind w:left="108" w:right="571"/>
              <w:rPr>
                <w:sz w:val="24"/>
              </w:rPr>
            </w:pPr>
            <w:r>
              <w:rPr>
                <w:sz w:val="24"/>
              </w:rPr>
              <w:t>Rules, authorities, powers</w:t>
            </w:r>
          </w:p>
        </w:tc>
        <w:tc>
          <w:tcPr>
            <w:tcW w:w="1260" w:type="dxa"/>
          </w:tcPr>
          <w:p>
            <w:pPr/>
          </w:p>
        </w:tc>
        <w:tc>
          <w:tcPr>
            <w:tcW w:w="1800" w:type="dxa"/>
          </w:tcPr>
          <w:p>
            <w:pPr>
              <w:pStyle w:val="TableParagraph"/>
              <w:spacing w:line="272" w:lineRule="exact"/>
              <w:ind w:left="85" w:right="85"/>
              <w:jc w:val="center"/>
              <w:rPr>
                <w:sz w:val="24"/>
              </w:rPr>
            </w:pPr>
            <w:hyperlink r:id="rId202">
              <w:r>
                <w:rPr>
                  <w:color w:val="0000FF"/>
                  <w:sz w:val="24"/>
                  <w:u w:val="single" w:color="0000FF"/>
                </w:rPr>
                <w:t>6500 </w:t>
              </w:r>
            </w:hyperlink>
            <w:r>
              <w:rPr>
                <w:sz w:val="24"/>
              </w:rPr>
              <w:t>et seq.</w:t>
            </w:r>
          </w:p>
          <w:p>
            <w:pPr>
              <w:pStyle w:val="TableParagraph"/>
              <w:ind w:left="85" w:right="85"/>
              <w:jc w:val="center"/>
              <w:rPr>
                <w:sz w:val="24"/>
              </w:rPr>
            </w:pPr>
            <w:r>
              <w:rPr>
                <w:sz w:val="24"/>
              </w:rPr>
              <w:t>(Title 1, Div. 4,</w:t>
            </w:r>
          </w:p>
          <w:p>
            <w:pPr>
              <w:pStyle w:val="TableParagraph"/>
              <w:ind w:left="85" w:right="84"/>
              <w:jc w:val="center"/>
              <w:rPr>
                <w:sz w:val="24"/>
              </w:rPr>
            </w:pPr>
            <w:r>
              <w:rPr>
                <w:sz w:val="24"/>
              </w:rPr>
              <w:t>Chap 5)</w:t>
            </w:r>
          </w:p>
        </w:tc>
        <w:tc>
          <w:tcPr>
            <w:tcW w:w="1351" w:type="dxa"/>
          </w:tcPr>
          <w:p>
            <w:pPr/>
          </w:p>
        </w:tc>
        <w:tc>
          <w:tcPr>
            <w:tcW w:w="1529" w:type="dxa"/>
          </w:tcPr>
          <w:p>
            <w:pPr/>
          </w:p>
        </w:tc>
        <w:tc>
          <w:tcPr>
            <w:tcW w:w="888" w:type="dxa"/>
            <w:tcBorders>
              <w:right w:val="nil"/>
            </w:tcBorders>
          </w:tcPr>
          <w:p>
            <w:pPr/>
          </w:p>
        </w:tc>
      </w:tr>
      <w:tr>
        <w:trPr>
          <w:trHeight w:val="590" w:hRule="exact"/>
        </w:trPr>
        <w:tc>
          <w:tcPr>
            <w:tcW w:w="2628" w:type="dxa"/>
            <w:tcBorders>
              <w:left w:val="nil"/>
            </w:tcBorders>
          </w:tcPr>
          <w:p>
            <w:pPr>
              <w:pStyle w:val="TableParagraph"/>
              <w:spacing w:before="7"/>
              <w:ind w:left="108" w:right="518"/>
              <w:rPr>
                <w:sz w:val="24"/>
              </w:rPr>
            </w:pPr>
            <w:r>
              <w:rPr>
                <w:sz w:val="24"/>
              </w:rPr>
              <w:t>DGS &amp; state office buildings</w:t>
            </w:r>
          </w:p>
        </w:tc>
        <w:tc>
          <w:tcPr>
            <w:tcW w:w="1260" w:type="dxa"/>
          </w:tcPr>
          <w:p>
            <w:pPr/>
          </w:p>
        </w:tc>
        <w:tc>
          <w:tcPr>
            <w:tcW w:w="1800" w:type="dxa"/>
          </w:tcPr>
          <w:p>
            <w:pPr>
              <w:pStyle w:val="TableParagraph"/>
              <w:spacing w:before="147"/>
              <w:ind w:left="85" w:right="84"/>
              <w:jc w:val="center"/>
              <w:rPr>
                <w:sz w:val="24"/>
              </w:rPr>
            </w:pPr>
            <w:hyperlink r:id="rId203">
              <w:r>
                <w:rPr>
                  <w:color w:val="0000FF"/>
                  <w:sz w:val="24"/>
                  <w:u w:val="single" w:color="0000FF"/>
                </w:rPr>
                <w:t>6517</w:t>
              </w:r>
            </w:hyperlink>
          </w:p>
        </w:tc>
        <w:tc>
          <w:tcPr>
            <w:tcW w:w="1351" w:type="dxa"/>
          </w:tcPr>
          <w:p>
            <w:pPr/>
          </w:p>
        </w:tc>
        <w:tc>
          <w:tcPr>
            <w:tcW w:w="1529" w:type="dxa"/>
          </w:tcPr>
          <w:p>
            <w:pPr/>
          </w:p>
        </w:tc>
        <w:tc>
          <w:tcPr>
            <w:tcW w:w="888" w:type="dxa"/>
            <w:tcBorders>
              <w:right w:val="nil"/>
            </w:tcBorders>
          </w:tcPr>
          <w:p>
            <w:pPr/>
          </w:p>
        </w:tc>
      </w:tr>
      <w:tr>
        <w:trPr>
          <w:trHeight w:val="586" w:hRule="exact"/>
        </w:trPr>
        <w:tc>
          <w:tcPr>
            <w:tcW w:w="2628" w:type="dxa"/>
            <w:tcBorders>
              <w:left w:val="nil"/>
              <w:bottom w:val="nil"/>
            </w:tcBorders>
          </w:tcPr>
          <w:p>
            <w:pPr>
              <w:pStyle w:val="TableParagraph"/>
              <w:spacing w:before="10"/>
              <w:ind w:left="108" w:right="904"/>
              <w:rPr>
                <w:sz w:val="24"/>
              </w:rPr>
            </w:pPr>
            <w:r>
              <w:rPr>
                <w:sz w:val="24"/>
              </w:rPr>
              <w:t>Power to issue revenue bonds</w:t>
            </w:r>
          </w:p>
        </w:tc>
        <w:tc>
          <w:tcPr>
            <w:tcW w:w="1260" w:type="dxa"/>
            <w:tcBorders>
              <w:bottom w:val="nil"/>
            </w:tcBorders>
          </w:tcPr>
          <w:p>
            <w:pPr/>
          </w:p>
        </w:tc>
        <w:tc>
          <w:tcPr>
            <w:tcW w:w="1800" w:type="dxa"/>
            <w:tcBorders>
              <w:bottom w:val="nil"/>
            </w:tcBorders>
          </w:tcPr>
          <w:p>
            <w:pPr>
              <w:pStyle w:val="TableParagraph"/>
              <w:spacing w:before="147"/>
              <w:ind w:left="85" w:right="84"/>
              <w:jc w:val="center"/>
              <w:rPr>
                <w:sz w:val="24"/>
              </w:rPr>
            </w:pPr>
            <w:hyperlink r:id="rId204">
              <w:r>
                <w:rPr>
                  <w:color w:val="0000FF"/>
                  <w:sz w:val="24"/>
                  <w:u w:val="single" w:color="0000FF"/>
                </w:rPr>
                <w:t>6540 </w:t>
              </w:r>
            </w:hyperlink>
            <w:r>
              <w:rPr>
                <w:sz w:val="24"/>
              </w:rPr>
              <w:t>et seq.</w:t>
            </w:r>
          </w:p>
        </w:tc>
        <w:tc>
          <w:tcPr>
            <w:tcW w:w="1351" w:type="dxa"/>
            <w:tcBorders>
              <w:bottom w:val="nil"/>
            </w:tcBorders>
          </w:tcPr>
          <w:p>
            <w:pPr/>
          </w:p>
        </w:tc>
        <w:tc>
          <w:tcPr>
            <w:tcW w:w="1529" w:type="dxa"/>
            <w:tcBorders>
              <w:bottom w:val="nil"/>
            </w:tcBorders>
          </w:tcPr>
          <w:p>
            <w:pPr/>
          </w:p>
        </w:tc>
        <w:tc>
          <w:tcPr>
            <w:tcW w:w="888" w:type="dxa"/>
            <w:tcBorders>
              <w:bottom w:val="nil"/>
              <w:right w:val="nil"/>
            </w:tcBorders>
          </w:tcPr>
          <w:p>
            <w:pPr/>
          </w:p>
        </w:tc>
      </w:tr>
    </w:tbl>
    <w:p>
      <w:pPr>
        <w:pStyle w:val="BodyText"/>
        <w:spacing w:before="7"/>
        <w:rPr>
          <w:sz w:val="23"/>
        </w:rPr>
      </w:pPr>
    </w:p>
    <w:p>
      <w:pPr>
        <w:pStyle w:val="BodyText"/>
        <w:ind w:left="820"/>
      </w:pPr>
      <w:r>
        <w:rPr/>
        <w:t>(Continued)</w:t>
      </w:r>
    </w:p>
    <w:p>
      <w:pPr>
        <w:spacing w:after="0"/>
        <w:sectPr>
          <w:footerReference w:type="default" r:id="rId190"/>
          <w:pgSz w:w="12240" w:h="15840"/>
          <w:pgMar w:footer="1068" w:header="724" w:top="980" w:bottom="1260" w:left="620" w:right="1240"/>
        </w:sectPr>
      </w:pPr>
    </w:p>
    <w:p>
      <w:pPr>
        <w:pStyle w:val="BodyText"/>
        <w:rPr>
          <w:sz w:val="20"/>
        </w:rPr>
      </w:pPr>
    </w:p>
    <w:p>
      <w:pPr>
        <w:pStyle w:val="BodyText"/>
        <w:spacing w:before="214"/>
        <w:ind w:left="820"/>
      </w:pPr>
      <w:r>
        <w:rPr/>
        <w:t>(Continued)</w:t>
      </w:r>
    </w:p>
    <w:p>
      <w:pPr>
        <w:pStyle w:val="BodyText"/>
        <w:spacing w:before="4"/>
      </w:pPr>
    </w:p>
    <w:tbl>
      <w:tblPr>
        <w:tblW w:w="0" w:type="auto"/>
        <w:jc w:val="left"/>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28"/>
        <w:gridCol w:w="1260"/>
        <w:gridCol w:w="1711"/>
        <w:gridCol w:w="1440"/>
        <w:gridCol w:w="1529"/>
        <w:gridCol w:w="1529"/>
      </w:tblGrid>
      <w:tr>
        <w:trPr>
          <w:trHeight w:val="835" w:hRule="exact"/>
        </w:trPr>
        <w:tc>
          <w:tcPr>
            <w:tcW w:w="2628" w:type="dxa"/>
            <w:tcBorders>
              <w:top w:val="nil"/>
              <w:left w:val="nil"/>
            </w:tcBorders>
            <w:shd w:val="clear" w:color="auto" w:fill="DADADA"/>
          </w:tcPr>
          <w:p>
            <w:pPr/>
          </w:p>
        </w:tc>
        <w:tc>
          <w:tcPr>
            <w:tcW w:w="1260" w:type="dxa"/>
            <w:tcBorders>
              <w:top w:val="nil"/>
            </w:tcBorders>
            <w:shd w:val="clear" w:color="auto" w:fill="DADADA"/>
          </w:tcPr>
          <w:p>
            <w:pPr>
              <w:pStyle w:val="TableParagraph"/>
              <w:ind w:left="208" w:right="208" w:hanging="2"/>
              <w:jc w:val="center"/>
              <w:rPr>
                <w:b/>
                <w:sz w:val="24"/>
              </w:rPr>
            </w:pPr>
            <w:r>
              <w:rPr>
                <w:b/>
                <w:sz w:val="24"/>
              </w:rPr>
              <w:t>Annual Budget Act</w:t>
            </w:r>
          </w:p>
        </w:tc>
        <w:tc>
          <w:tcPr>
            <w:tcW w:w="1711" w:type="dxa"/>
            <w:tcBorders>
              <w:top w:val="nil"/>
            </w:tcBorders>
            <w:shd w:val="clear" w:color="auto" w:fill="DADADA"/>
          </w:tcPr>
          <w:p>
            <w:pPr>
              <w:pStyle w:val="TableParagraph"/>
              <w:spacing w:before="132"/>
              <w:ind w:left="547" w:right="122" w:hanging="406"/>
              <w:rPr>
                <w:b/>
                <w:sz w:val="24"/>
              </w:rPr>
            </w:pPr>
            <w:r>
              <w:rPr>
                <w:b/>
                <w:sz w:val="24"/>
              </w:rPr>
              <w:t>Government Code</w:t>
            </w:r>
          </w:p>
        </w:tc>
        <w:tc>
          <w:tcPr>
            <w:tcW w:w="1440" w:type="dxa"/>
            <w:tcBorders>
              <w:top w:val="nil"/>
            </w:tcBorders>
            <w:shd w:val="clear" w:color="auto" w:fill="DADADA"/>
          </w:tcPr>
          <w:p>
            <w:pPr>
              <w:pStyle w:val="TableParagraph"/>
              <w:ind w:left="218" w:right="218" w:hanging="2"/>
              <w:jc w:val="center"/>
              <w:rPr>
                <w:b/>
                <w:sz w:val="24"/>
              </w:rPr>
            </w:pPr>
            <w:r>
              <w:rPr>
                <w:b/>
                <w:sz w:val="24"/>
              </w:rPr>
              <w:t>Public Contract Code</w:t>
            </w:r>
          </w:p>
        </w:tc>
        <w:tc>
          <w:tcPr>
            <w:tcW w:w="1529" w:type="dxa"/>
            <w:tcBorders>
              <w:top w:val="nil"/>
            </w:tcBorders>
            <w:shd w:val="clear" w:color="auto" w:fill="DADADA"/>
          </w:tcPr>
          <w:p>
            <w:pPr>
              <w:pStyle w:val="TableParagraph"/>
              <w:ind w:left="141" w:right="142" w:firstLine="2"/>
              <w:jc w:val="center"/>
              <w:rPr>
                <w:b/>
                <w:sz w:val="24"/>
              </w:rPr>
            </w:pPr>
            <w:r>
              <w:rPr>
                <w:b/>
                <w:sz w:val="24"/>
              </w:rPr>
              <w:t>Public Resources Code</w:t>
            </w:r>
          </w:p>
        </w:tc>
        <w:tc>
          <w:tcPr>
            <w:tcW w:w="1529" w:type="dxa"/>
            <w:tcBorders>
              <w:top w:val="nil"/>
              <w:right w:val="nil"/>
            </w:tcBorders>
            <w:shd w:val="clear" w:color="auto" w:fill="DADADA"/>
          </w:tcPr>
          <w:p>
            <w:pPr>
              <w:pStyle w:val="TableParagraph"/>
              <w:spacing w:before="7"/>
              <w:rPr>
                <w:sz w:val="23"/>
              </w:rPr>
            </w:pPr>
          </w:p>
          <w:p>
            <w:pPr>
              <w:pStyle w:val="TableParagraph"/>
              <w:ind w:left="436"/>
              <w:rPr>
                <w:b/>
                <w:sz w:val="24"/>
              </w:rPr>
            </w:pPr>
            <w:r>
              <w:rPr>
                <w:b/>
                <w:sz w:val="24"/>
              </w:rPr>
              <w:t>Other</w:t>
            </w:r>
          </w:p>
        </w:tc>
      </w:tr>
      <w:tr>
        <w:trPr>
          <w:trHeight w:val="734" w:hRule="exact"/>
        </w:trPr>
        <w:tc>
          <w:tcPr>
            <w:tcW w:w="2628" w:type="dxa"/>
            <w:tcBorders>
              <w:left w:val="nil"/>
            </w:tcBorders>
          </w:tcPr>
          <w:p>
            <w:pPr>
              <w:pStyle w:val="TableParagraph"/>
              <w:spacing w:before="219"/>
              <w:ind w:left="108"/>
              <w:rPr>
                <w:b/>
                <w:sz w:val="24"/>
              </w:rPr>
            </w:pPr>
            <w:r>
              <w:rPr>
                <w:b/>
                <w:sz w:val="24"/>
              </w:rPr>
              <w:t>Minor Capital Outlay</w:t>
            </w:r>
          </w:p>
        </w:tc>
        <w:tc>
          <w:tcPr>
            <w:tcW w:w="1260" w:type="dxa"/>
          </w:tcPr>
          <w:p>
            <w:pPr>
              <w:pStyle w:val="TableParagraph"/>
              <w:spacing w:before="79"/>
              <w:ind w:left="276" w:right="255" w:firstLine="139"/>
              <w:rPr>
                <w:sz w:val="24"/>
              </w:rPr>
            </w:pPr>
            <w:r>
              <w:rPr>
                <w:sz w:val="24"/>
              </w:rPr>
              <w:t>Sec 3.00(f)</w:t>
            </w:r>
          </w:p>
        </w:tc>
        <w:tc>
          <w:tcPr>
            <w:tcW w:w="1711" w:type="dxa"/>
          </w:tcPr>
          <w:p>
            <w:pPr/>
          </w:p>
        </w:tc>
        <w:tc>
          <w:tcPr>
            <w:tcW w:w="1440" w:type="dxa"/>
          </w:tcPr>
          <w:p>
            <w:pPr>
              <w:pStyle w:val="TableParagraph"/>
              <w:spacing w:before="219"/>
              <w:ind w:left="259" w:right="257"/>
              <w:jc w:val="center"/>
              <w:rPr>
                <w:sz w:val="24"/>
              </w:rPr>
            </w:pPr>
            <w:r>
              <w:rPr>
                <w:sz w:val="24"/>
              </w:rPr>
              <w:t>10808</w:t>
            </w:r>
          </w:p>
        </w:tc>
        <w:tc>
          <w:tcPr>
            <w:tcW w:w="1529" w:type="dxa"/>
          </w:tcPr>
          <w:p>
            <w:pPr/>
          </w:p>
        </w:tc>
        <w:tc>
          <w:tcPr>
            <w:tcW w:w="1529" w:type="dxa"/>
            <w:tcBorders>
              <w:right w:val="nil"/>
            </w:tcBorders>
          </w:tcPr>
          <w:p>
            <w:pPr/>
          </w:p>
        </w:tc>
      </w:tr>
      <w:tr>
        <w:trPr>
          <w:trHeight w:val="734" w:hRule="exact"/>
        </w:trPr>
        <w:tc>
          <w:tcPr>
            <w:tcW w:w="2628" w:type="dxa"/>
            <w:tcBorders>
              <w:left w:val="nil"/>
            </w:tcBorders>
          </w:tcPr>
          <w:p>
            <w:pPr>
              <w:pStyle w:val="TableParagraph"/>
              <w:spacing w:before="79"/>
              <w:ind w:left="108" w:right="478"/>
              <w:rPr>
                <w:sz w:val="24"/>
              </w:rPr>
            </w:pPr>
            <w:r>
              <w:rPr>
                <w:sz w:val="24"/>
              </w:rPr>
              <w:t>Higher thresholds, Resources Agency</w:t>
            </w:r>
          </w:p>
        </w:tc>
        <w:tc>
          <w:tcPr>
            <w:tcW w:w="1260" w:type="dxa"/>
          </w:tcPr>
          <w:p>
            <w:pPr/>
          </w:p>
        </w:tc>
        <w:tc>
          <w:tcPr>
            <w:tcW w:w="1711" w:type="dxa"/>
          </w:tcPr>
          <w:p>
            <w:pPr/>
          </w:p>
        </w:tc>
        <w:tc>
          <w:tcPr>
            <w:tcW w:w="1440" w:type="dxa"/>
          </w:tcPr>
          <w:p>
            <w:pPr>
              <w:pStyle w:val="TableParagraph"/>
              <w:spacing w:before="219"/>
              <w:ind w:left="259" w:right="258"/>
              <w:jc w:val="center"/>
              <w:rPr>
                <w:sz w:val="24"/>
              </w:rPr>
            </w:pPr>
            <w:r>
              <w:rPr>
                <w:sz w:val="24"/>
              </w:rPr>
              <w:t>10808.5</w:t>
            </w:r>
          </w:p>
        </w:tc>
        <w:tc>
          <w:tcPr>
            <w:tcW w:w="1529" w:type="dxa"/>
          </w:tcPr>
          <w:p>
            <w:pPr/>
          </w:p>
        </w:tc>
        <w:tc>
          <w:tcPr>
            <w:tcW w:w="1529" w:type="dxa"/>
            <w:tcBorders>
              <w:right w:val="nil"/>
            </w:tcBorders>
          </w:tcPr>
          <w:p>
            <w:pPr/>
          </w:p>
        </w:tc>
      </w:tr>
      <w:tr>
        <w:trPr>
          <w:trHeight w:val="845" w:hRule="exact"/>
        </w:trPr>
        <w:tc>
          <w:tcPr>
            <w:tcW w:w="2628" w:type="dxa"/>
            <w:tcBorders>
              <w:left w:val="nil"/>
            </w:tcBorders>
          </w:tcPr>
          <w:p>
            <w:pPr>
              <w:pStyle w:val="TableParagraph"/>
              <w:ind w:left="108" w:right="879"/>
              <w:rPr>
                <w:b/>
                <w:sz w:val="24"/>
              </w:rPr>
            </w:pPr>
            <w:r>
              <w:rPr>
                <w:b/>
                <w:sz w:val="24"/>
              </w:rPr>
              <w:t>Capital Outlay Budgeting Requirements</w:t>
            </w:r>
          </w:p>
        </w:tc>
        <w:tc>
          <w:tcPr>
            <w:tcW w:w="1260" w:type="dxa"/>
          </w:tcPr>
          <w:p>
            <w:pPr/>
          </w:p>
        </w:tc>
        <w:tc>
          <w:tcPr>
            <w:tcW w:w="1711" w:type="dxa"/>
          </w:tcPr>
          <w:p>
            <w:pPr/>
          </w:p>
        </w:tc>
        <w:tc>
          <w:tcPr>
            <w:tcW w:w="1440" w:type="dxa"/>
          </w:tcPr>
          <w:p>
            <w:pPr/>
          </w:p>
        </w:tc>
        <w:tc>
          <w:tcPr>
            <w:tcW w:w="1529" w:type="dxa"/>
          </w:tcPr>
          <w:p>
            <w:pPr/>
          </w:p>
        </w:tc>
        <w:tc>
          <w:tcPr>
            <w:tcW w:w="1529" w:type="dxa"/>
            <w:tcBorders>
              <w:right w:val="nil"/>
            </w:tcBorders>
          </w:tcPr>
          <w:p>
            <w:pPr/>
          </w:p>
        </w:tc>
      </w:tr>
      <w:tr>
        <w:trPr>
          <w:trHeight w:val="734" w:hRule="exact"/>
        </w:trPr>
        <w:tc>
          <w:tcPr>
            <w:tcW w:w="2628" w:type="dxa"/>
            <w:tcBorders>
              <w:left w:val="nil"/>
            </w:tcBorders>
          </w:tcPr>
          <w:p>
            <w:pPr>
              <w:pStyle w:val="TableParagraph"/>
              <w:spacing w:before="79"/>
              <w:ind w:left="108" w:right="1065"/>
              <w:rPr>
                <w:sz w:val="24"/>
              </w:rPr>
            </w:pPr>
            <w:r>
              <w:rPr>
                <w:sz w:val="24"/>
              </w:rPr>
              <w:t>Appropriation availability</w:t>
            </w:r>
          </w:p>
        </w:tc>
        <w:tc>
          <w:tcPr>
            <w:tcW w:w="1260" w:type="dxa"/>
          </w:tcPr>
          <w:p>
            <w:pPr>
              <w:pStyle w:val="TableParagraph"/>
              <w:spacing w:before="216"/>
              <w:ind w:left="130" w:right="128"/>
              <w:jc w:val="center"/>
              <w:rPr>
                <w:sz w:val="24"/>
              </w:rPr>
            </w:pPr>
            <w:r>
              <w:rPr>
                <w:sz w:val="24"/>
              </w:rPr>
              <w:t>Sec 2.00</w:t>
            </w:r>
          </w:p>
        </w:tc>
        <w:tc>
          <w:tcPr>
            <w:tcW w:w="1711" w:type="dxa"/>
          </w:tcPr>
          <w:p>
            <w:pPr/>
          </w:p>
        </w:tc>
        <w:tc>
          <w:tcPr>
            <w:tcW w:w="1440" w:type="dxa"/>
          </w:tcPr>
          <w:p>
            <w:pPr>
              <w:pStyle w:val="TableParagraph"/>
              <w:spacing w:before="216"/>
              <w:jc w:val="center"/>
              <w:rPr>
                <w:sz w:val="24"/>
              </w:rPr>
            </w:pPr>
            <w:r>
              <w:rPr>
                <w:w w:val="100"/>
                <w:sz w:val="24"/>
              </w:rPr>
              <w:t>.</w:t>
            </w:r>
          </w:p>
        </w:tc>
        <w:tc>
          <w:tcPr>
            <w:tcW w:w="1529" w:type="dxa"/>
          </w:tcPr>
          <w:p>
            <w:pPr/>
          </w:p>
        </w:tc>
        <w:tc>
          <w:tcPr>
            <w:tcW w:w="1529" w:type="dxa"/>
            <w:tcBorders>
              <w:right w:val="nil"/>
            </w:tcBorders>
          </w:tcPr>
          <w:p>
            <w:pPr/>
          </w:p>
        </w:tc>
      </w:tr>
      <w:tr>
        <w:trPr>
          <w:trHeight w:val="734" w:hRule="exact"/>
        </w:trPr>
        <w:tc>
          <w:tcPr>
            <w:tcW w:w="2628" w:type="dxa"/>
            <w:tcBorders>
              <w:left w:val="nil"/>
            </w:tcBorders>
          </w:tcPr>
          <w:p>
            <w:pPr>
              <w:pStyle w:val="TableParagraph"/>
              <w:spacing w:before="219"/>
              <w:ind w:left="108"/>
              <w:rPr>
                <w:sz w:val="24"/>
              </w:rPr>
            </w:pPr>
            <w:r>
              <w:rPr>
                <w:sz w:val="24"/>
              </w:rPr>
              <w:t>Defined, phases</w:t>
            </w:r>
          </w:p>
        </w:tc>
        <w:tc>
          <w:tcPr>
            <w:tcW w:w="1260" w:type="dxa"/>
          </w:tcPr>
          <w:p>
            <w:pPr>
              <w:pStyle w:val="TableParagraph"/>
              <w:spacing w:before="219"/>
              <w:ind w:left="130" w:right="128"/>
              <w:jc w:val="center"/>
              <w:rPr>
                <w:sz w:val="24"/>
              </w:rPr>
            </w:pPr>
            <w:r>
              <w:rPr>
                <w:sz w:val="24"/>
              </w:rPr>
              <w:t>Sec 3.00</w:t>
            </w:r>
          </w:p>
        </w:tc>
        <w:tc>
          <w:tcPr>
            <w:tcW w:w="1711" w:type="dxa"/>
          </w:tcPr>
          <w:p>
            <w:pPr/>
          </w:p>
        </w:tc>
        <w:tc>
          <w:tcPr>
            <w:tcW w:w="1440" w:type="dxa"/>
          </w:tcPr>
          <w:p>
            <w:pPr/>
          </w:p>
        </w:tc>
        <w:tc>
          <w:tcPr>
            <w:tcW w:w="1529" w:type="dxa"/>
          </w:tcPr>
          <w:p>
            <w:pPr/>
          </w:p>
        </w:tc>
        <w:tc>
          <w:tcPr>
            <w:tcW w:w="1529" w:type="dxa"/>
            <w:tcBorders>
              <w:right w:val="nil"/>
            </w:tcBorders>
          </w:tcPr>
          <w:p>
            <w:pPr/>
          </w:p>
        </w:tc>
      </w:tr>
      <w:tr>
        <w:trPr>
          <w:trHeight w:val="734" w:hRule="exact"/>
        </w:trPr>
        <w:tc>
          <w:tcPr>
            <w:tcW w:w="2628" w:type="dxa"/>
            <w:tcBorders>
              <w:left w:val="nil"/>
            </w:tcBorders>
          </w:tcPr>
          <w:p>
            <w:pPr>
              <w:pStyle w:val="TableParagraph"/>
              <w:spacing w:before="79"/>
              <w:ind w:left="108" w:right="91"/>
              <w:rPr>
                <w:sz w:val="24"/>
              </w:rPr>
            </w:pPr>
            <w:r>
              <w:rPr>
                <w:sz w:val="24"/>
              </w:rPr>
              <w:t>Restrict use of support funds for CO</w:t>
            </w:r>
          </w:p>
        </w:tc>
        <w:tc>
          <w:tcPr>
            <w:tcW w:w="1260" w:type="dxa"/>
          </w:tcPr>
          <w:p>
            <w:pPr>
              <w:pStyle w:val="TableParagraph"/>
              <w:spacing w:before="219"/>
              <w:ind w:left="130" w:right="128"/>
              <w:jc w:val="center"/>
              <w:rPr>
                <w:sz w:val="24"/>
              </w:rPr>
            </w:pPr>
            <w:r>
              <w:rPr>
                <w:sz w:val="24"/>
              </w:rPr>
              <w:t>Sec 6.00</w:t>
            </w:r>
          </w:p>
        </w:tc>
        <w:tc>
          <w:tcPr>
            <w:tcW w:w="1711" w:type="dxa"/>
          </w:tcPr>
          <w:p>
            <w:pPr/>
          </w:p>
        </w:tc>
        <w:tc>
          <w:tcPr>
            <w:tcW w:w="1440" w:type="dxa"/>
          </w:tcPr>
          <w:p>
            <w:pPr/>
          </w:p>
        </w:tc>
        <w:tc>
          <w:tcPr>
            <w:tcW w:w="1529" w:type="dxa"/>
          </w:tcPr>
          <w:p>
            <w:pPr/>
          </w:p>
        </w:tc>
        <w:tc>
          <w:tcPr>
            <w:tcW w:w="1529" w:type="dxa"/>
            <w:tcBorders>
              <w:right w:val="nil"/>
            </w:tcBorders>
          </w:tcPr>
          <w:p>
            <w:pPr/>
          </w:p>
        </w:tc>
      </w:tr>
      <w:tr>
        <w:trPr>
          <w:trHeight w:val="737" w:hRule="exact"/>
        </w:trPr>
        <w:tc>
          <w:tcPr>
            <w:tcW w:w="2628" w:type="dxa"/>
            <w:tcBorders>
              <w:left w:val="nil"/>
            </w:tcBorders>
          </w:tcPr>
          <w:p>
            <w:pPr>
              <w:pStyle w:val="TableParagraph"/>
              <w:spacing w:before="219"/>
              <w:ind w:left="108"/>
              <w:rPr>
                <w:sz w:val="24"/>
              </w:rPr>
            </w:pPr>
            <w:r>
              <w:rPr>
                <w:sz w:val="24"/>
              </w:rPr>
              <w:t>No deficiency for CO</w:t>
            </w:r>
          </w:p>
        </w:tc>
        <w:tc>
          <w:tcPr>
            <w:tcW w:w="1260" w:type="dxa"/>
          </w:tcPr>
          <w:p>
            <w:pPr>
              <w:pStyle w:val="TableParagraph"/>
              <w:spacing w:before="82"/>
              <w:ind w:left="175" w:right="156" w:firstLine="240"/>
              <w:rPr>
                <w:sz w:val="24"/>
              </w:rPr>
            </w:pPr>
            <w:r>
              <w:rPr>
                <w:sz w:val="24"/>
              </w:rPr>
              <w:t>Sec 27.00(a)</w:t>
            </w:r>
          </w:p>
        </w:tc>
        <w:tc>
          <w:tcPr>
            <w:tcW w:w="1711" w:type="dxa"/>
          </w:tcPr>
          <w:p>
            <w:pPr/>
          </w:p>
        </w:tc>
        <w:tc>
          <w:tcPr>
            <w:tcW w:w="1440" w:type="dxa"/>
          </w:tcPr>
          <w:p>
            <w:pPr/>
          </w:p>
        </w:tc>
        <w:tc>
          <w:tcPr>
            <w:tcW w:w="1529" w:type="dxa"/>
          </w:tcPr>
          <w:p>
            <w:pPr/>
          </w:p>
        </w:tc>
        <w:tc>
          <w:tcPr>
            <w:tcW w:w="1529" w:type="dxa"/>
            <w:tcBorders>
              <w:right w:val="nil"/>
            </w:tcBorders>
          </w:tcPr>
          <w:p>
            <w:pPr/>
          </w:p>
        </w:tc>
      </w:tr>
      <w:tr>
        <w:trPr>
          <w:trHeight w:val="734" w:hRule="exact"/>
        </w:trPr>
        <w:tc>
          <w:tcPr>
            <w:tcW w:w="2628" w:type="dxa"/>
            <w:tcBorders>
              <w:left w:val="nil"/>
            </w:tcBorders>
          </w:tcPr>
          <w:p>
            <w:pPr>
              <w:pStyle w:val="TableParagraph"/>
              <w:spacing w:before="216"/>
              <w:ind w:left="108"/>
              <w:rPr>
                <w:sz w:val="24"/>
              </w:rPr>
            </w:pPr>
            <w:r>
              <w:rPr>
                <w:sz w:val="24"/>
              </w:rPr>
              <w:t>Augmentations</w:t>
            </w:r>
          </w:p>
        </w:tc>
        <w:tc>
          <w:tcPr>
            <w:tcW w:w="1260" w:type="dxa"/>
          </w:tcPr>
          <w:p>
            <w:pPr/>
          </w:p>
        </w:tc>
        <w:tc>
          <w:tcPr>
            <w:tcW w:w="1711" w:type="dxa"/>
          </w:tcPr>
          <w:p>
            <w:pPr>
              <w:pStyle w:val="TableParagraph"/>
              <w:spacing w:before="216"/>
              <w:ind w:left="94" w:right="94"/>
              <w:jc w:val="center"/>
              <w:rPr>
                <w:sz w:val="24"/>
              </w:rPr>
            </w:pPr>
            <w:r>
              <w:rPr>
                <w:sz w:val="24"/>
              </w:rPr>
              <w:t>see PWB</w:t>
            </w:r>
          </w:p>
        </w:tc>
        <w:tc>
          <w:tcPr>
            <w:tcW w:w="1440" w:type="dxa"/>
          </w:tcPr>
          <w:p>
            <w:pPr/>
          </w:p>
        </w:tc>
        <w:tc>
          <w:tcPr>
            <w:tcW w:w="1529" w:type="dxa"/>
          </w:tcPr>
          <w:p>
            <w:pPr/>
          </w:p>
        </w:tc>
        <w:tc>
          <w:tcPr>
            <w:tcW w:w="1529" w:type="dxa"/>
            <w:tcBorders>
              <w:right w:val="nil"/>
            </w:tcBorders>
          </w:tcPr>
          <w:p>
            <w:pPr/>
          </w:p>
        </w:tc>
      </w:tr>
      <w:tr>
        <w:trPr>
          <w:trHeight w:val="734" w:hRule="exact"/>
        </w:trPr>
        <w:tc>
          <w:tcPr>
            <w:tcW w:w="2628" w:type="dxa"/>
            <w:tcBorders>
              <w:left w:val="nil"/>
            </w:tcBorders>
          </w:tcPr>
          <w:p>
            <w:pPr>
              <w:pStyle w:val="TableParagraph"/>
              <w:spacing w:before="79"/>
              <w:ind w:left="108" w:right="879"/>
              <w:rPr>
                <w:b/>
                <w:sz w:val="24"/>
              </w:rPr>
            </w:pPr>
            <w:r>
              <w:rPr>
                <w:b/>
                <w:sz w:val="24"/>
              </w:rPr>
              <w:t>Capital Outlay Planning</w:t>
            </w:r>
          </w:p>
        </w:tc>
        <w:tc>
          <w:tcPr>
            <w:tcW w:w="1260" w:type="dxa"/>
          </w:tcPr>
          <w:p>
            <w:pPr/>
          </w:p>
        </w:tc>
        <w:tc>
          <w:tcPr>
            <w:tcW w:w="1711" w:type="dxa"/>
          </w:tcPr>
          <w:p>
            <w:pPr>
              <w:pStyle w:val="TableParagraph"/>
              <w:spacing w:before="219"/>
              <w:ind w:left="94" w:right="94"/>
              <w:jc w:val="center"/>
              <w:rPr>
                <w:sz w:val="24"/>
              </w:rPr>
            </w:pPr>
            <w:hyperlink r:id="rId206">
              <w:r>
                <w:rPr>
                  <w:color w:val="0000FF"/>
                  <w:sz w:val="24"/>
                  <w:u w:val="single" w:color="0000FF"/>
                </w:rPr>
                <w:t>13100</w:t>
              </w:r>
            </w:hyperlink>
          </w:p>
        </w:tc>
        <w:tc>
          <w:tcPr>
            <w:tcW w:w="1440" w:type="dxa"/>
          </w:tcPr>
          <w:p>
            <w:pPr/>
          </w:p>
        </w:tc>
        <w:tc>
          <w:tcPr>
            <w:tcW w:w="1529" w:type="dxa"/>
          </w:tcPr>
          <w:p>
            <w:pPr/>
          </w:p>
        </w:tc>
        <w:tc>
          <w:tcPr>
            <w:tcW w:w="1529" w:type="dxa"/>
            <w:tcBorders>
              <w:right w:val="nil"/>
            </w:tcBorders>
          </w:tcPr>
          <w:p>
            <w:pPr/>
          </w:p>
        </w:tc>
      </w:tr>
      <w:tr>
        <w:trPr>
          <w:trHeight w:val="734" w:hRule="exact"/>
        </w:trPr>
        <w:tc>
          <w:tcPr>
            <w:tcW w:w="2628" w:type="dxa"/>
            <w:tcBorders>
              <w:left w:val="nil"/>
            </w:tcBorders>
          </w:tcPr>
          <w:p>
            <w:pPr>
              <w:pStyle w:val="TableParagraph"/>
              <w:spacing w:before="219"/>
              <w:ind w:left="108"/>
              <w:rPr>
                <w:b/>
                <w:sz w:val="24"/>
              </w:rPr>
            </w:pPr>
            <w:r>
              <w:rPr>
                <w:b/>
                <w:sz w:val="24"/>
              </w:rPr>
              <w:t>Financing</w:t>
            </w:r>
          </w:p>
        </w:tc>
        <w:tc>
          <w:tcPr>
            <w:tcW w:w="1260" w:type="dxa"/>
          </w:tcPr>
          <w:p>
            <w:pPr/>
          </w:p>
        </w:tc>
        <w:tc>
          <w:tcPr>
            <w:tcW w:w="1711" w:type="dxa"/>
          </w:tcPr>
          <w:p>
            <w:pPr/>
          </w:p>
        </w:tc>
        <w:tc>
          <w:tcPr>
            <w:tcW w:w="1440" w:type="dxa"/>
          </w:tcPr>
          <w:p>
            <w:pPr/>
          </w:p>
        </w:tc>
        <w:tc>
          <w:tcPr>
            <w:tcW w:w="1529" w:type="dxa"/>
          </w:tcPr>
          <w:p>
            <w:pPr/>
          </w:p>
        </w:tc>
        <w:tc>
          <w:tcPr>
            <w:tcW w:w="1529" w:type="dxa"/>
            <w:tcBorders>
              <w:right w:val="nil"/>
            </w:tcBorders>
          </w:tcPr>
          <w:p>
            <w:pPr/>
          </w:p>
        </w:tc>
      </w:tr>
      <w:tr>
        <w:trPr>
          <w:trHeight w:val="845" w:hRule="exact"/>
        </w:trPr>
        <w:tc>
          <w:tcPr>
            <w:tcW w:w="2628" w:type="dxa"/>
            <w:tcBorders>
              <w:left w:val="nil"/>
            </w:tcBorders>
          </w:tcPr>
          <w:p>
            <w:pPr>
              <w:pStyle w:val="TableParagraph"/>
              <w:ind w:left="108" w:right="544"/>
              <w:rPr>
                <w:sz w:val="24"/>
              </w:rPr>
            </w:pPr>
            <w:r>
              <w:rPr>
                <w:sz w:val="24"/>
              </w:rPr>
              <w:t>General obligation bonds</w:t>
            </w:r>
          </w:p>
          <w:p>
            <w:pPr>
              <w:pStyle w:val="TableParagraph"/>
              <w:spacing w:before="2"/>
              <w:ind w:left="108"/>
              <w:rPr>
                <w:sz w:val="24"/>
              </w:rPr>
            </w:pPr>
            <w:r>
              <w:rPr>
                <w:sz w:val="24"/>
              </w:rPr>
              <w:t>authority</w:t>
            </w:r>
          </w:p>
        </w:tc>
        <w:tc>
          <w:tcPr>
            <w:tcW w:w="1260" w:type="dxa"/>
          </w:tcPr>
          <w:p>
            <w:pPr/>
          </w:p>
        </w:tc>
        <w:tc>
          <w:tcPr>
            <w:tcW w:w="1711" w:type="dxa"/>
          </w:tcPr>
          <w:p>
            <w:pPr>
              <w:pStyle w:val="TableParagraph"/>
              <w:spacing w:line="274" w:lineRule="exact"/>
              <w:ind w:left="199" w:firstLine="67"/>
              <w:rPr>
                <w:sz w:val="24"/>
              </w:rPr>
            </w:pPr>
            <w:r>
              <w:rPr>
                <w:sz w:val="24"/>
              </w:rPr>
              <w:t>T. 2, Div 4,</w:t>
            </w:r>
          </w:p>
          <w:p>
            <w:pPr>
              <w:pStyle w:val="TableParagraph"/>
              <w:ind w:left="199"/>
              <w:rPr>
                <w:sz w:val="24"/>
              </w:rPr>
            </w:pPr>
            <w:r>
              <w:rPr>
                <w:sz w:val="24"/>
              </w:rPr>
              <w:t>Pt. 3; </w:t>
            </w:r>
            <w:hyperlink r:id="rId207">
              <w:r>
                <w:rPr>
                  <w:color w:val="0000FF"/>
                  <w:sz w:val="24"/>
                  <w:u w:val="single" w:color="0000FF"/>
                </w:rPr>
                <w:t>16550</w:t>
              </w:r>
            </w:hyperlink>
          </w:p>
          <w:p>
            <w:pPr>
              <w:pStyle w:val="TableParagraph"/>
              <w:ind w:left="94" w:right="94"/>
              <w:jc w:val="center"/>
              <w:rPr>
                <w:sz w:val="24"/>
              </w:rPr>
            </w:pPr>
            <w:r>
              <w:rPr>
                <w:sz w:val="24"/>
              </w:rPr>
              <w:t>et seq.</w:t>
            </w:r>
          </w:p>
        </w:tc>
        <w:tc>
          <w:tcPr>
            <w:tcW w:w="1440" w:type="dxa"/>
          </w:tcPr>
          <w:p>
            <w:pPr/>
          </w:p>
        </w:tc>
        <w:tc>
          <w:tcPr>
            <w:tcW w:w="1529" w:type="dxa"/>
          </w:tcPr>
          <w:p>
            <w:pPr/>
          </w:p>
        </w:tc>
        <w:tc>
          <w:tcPr>
            <w:tcW w:w="1529" w:type="dxa"/>
            <w:tcBorders>
              <w:right w:val="nil"/>
            </w:tcBorders>
          </w:tcPr>
          <w:p>
            <w:pPr>
              <w:pStyle w:val="TableParagraph"/>
              <w:spacing w:line="274" w:lineRule="exact"/>
              <w:ind w:left="85" w:right="88"/>
              <w:jc w:val="center"/>
              <w:rPr>
                <w:sz w:val="24"/>
              </w:rPr>
            </w:pPr>
            <w:hyperlink r:id="rId208">
              <w:r>
                <w:rPr>
                  <w:color w:val="0000FF"/>
                  <w:sz w:val="24"/>
                  <w:u w:val="single" w:color="0000FF"/>
                </w:rPr>
                <w:t>Calif. Const.</w:t>
              </w:r>
            </w:hyperlink>
          </w:p>
          <w:p>
            <w:pPr>
              <w:pStyle w:val="TableParagraph"/>
              <w:ind w:left="83" w:right="88"/>
              <w:jc w:val="center"/>
              <w:rPr>
                <w:sz w:val="24"/>
              </w:rPr>
            </w:pPr>
            <w:hyperlink r:id="rId208">
              <w:r>
                <w:rPr>
                  <w:color w:val="0000FF"/>
                  <w:sz w:val="24"/>
                  <w:u w:val="single" w:color="0000FF"/>
                </w:rPr>
                <w:t>Art. XVI,</w:t>
              </w:r>
            </w:hyperlink>
          </w:p>
          <w:p>
            <w:pPr>
              <w:pStyle w:val="TableParagraph"/>
              <w:ind w:left="85" w:right="87"/>
              <w:jc w:val="center"/>
              <w:rPr>
                <w:sz w:val="24"/>
              </w:rPr>
            </w:pPr>
            <w:hyperlink r:id="rId208">
              <w:r>
                <w:rPr>
                  <w:color w:val="0000FF"/>
                  <w:sz w:val="24"/>
                  <w:u w:val="single" w:color="0000FF"/>
                </w:rPr>
                <w:t>Section 18</w:t>
              </w:r>
            </w:hyperlink>
          </w:p>
        </w:tc>
      </w:tr>
      <w:tr>
        <w:trPr>
          <w:trHeight w:val="1118" w:hRule="exact"/>
        </w:trPr>
        <w:tc>
          <w:tcPr>
            <w:tcW w:w="2628" w:type="dxa"/>
            <w:tcBorders>
              <w:left w:val="nil"/>
            </w:tcBorders>
          </w:tcPr>
          <w:p>
            <w:pPr>
              <w:pStyle w:val="TableParagraph"/>
              <w:ind w:left="108" w:right="745"/>
              <w:rPr>
                <w:sz w:val="24"/>
              </w:rPr>
            </w:pPr>
            <w:r>
              <w:rPr>
                <w:sz w:val="24"/>
              </w:rPr>
              <w:t>Use of proceeds restricted</w:t>
            </w:r>
          </w:p>
          <w:p>
            <w:pPr>
              <w:pStyle w:val="TableParagraph"/>
              <w:spacing w:before="4"/>
              <w:ind w:left="108" w:right="705"/>
              <w:rPr>
                <w:sz w:val="24"/>
              </w:rPr>
            </w:pPr>
            <w:r>
              <w:rPr>
                <w:sz w:val="24"/>
              </w:rPr>
              <w:t>to capital assets, defined</w:t>
            </w:r>
          </w:p>
        </w:tc>
        <w:tc>
          <w:tcPr>
            <w:tcW w:w="1260" w:type="dxa"/>
          </w:tcPr>
          <w:p>
            <w:pPr/>
          </w:p>
        </w:tc>
        <w:tc>
          <w:tcPr>
            <w:tcW w:w="1711" w:type="dxa"/>
          </w:tcPr>
          <w:p>
            <w:pPr>
              <w:pStyle w:val="TableParagraph"/>
              <w:spacing w:before="6"/>
              <w:rPr>
                <w:sz w:val="35"/>
              </w:rPr>
            </w:pPr>
          </w:p>
          <w:p>
            <w:pPr>
              <w:pStyle w:val="TableParagraph"/>
              <w:ind w:left="94" w:right="94"/>
              <w:jc w:val="center"/>
              <w:rPr>
                <w:sz w:val="24"/>
              </w:rPr>
            </w:pPr>
            <w:hyperlink r:id="rId209">
              <w:r>
                <w:rPr>
                  <w:color w:val="0000FF"/>
                  <w:sz w:val="24"/>
                  <w:u w:val="single" w:color="0000FF"/>
                </w:rPr>
                <w:t>16727</w:t>
              </w:r>
            </w:hyperlink>
          </w:p>
        </w:tc>
        <w:tc>
          <w:tcPr>
            <w:tcW w:w="1440" w:type="dxa"/>
          </w:tcPr>
          <w:p>
            <w:pPr/>
          </w:p>
        </w:tc>
        <w:tc>
          <w:tcPr>
            <w:tcW w:w="1529" w:type="dxa"/>
          </w:tcPr>
          <w:p>
            <w:pPr/>
          </w:p>
        </w:tc>
        <w:tc>
          <w:tcPr>
            <w:tcW w:w="1529" w:type="dxa"/>
            <w:tcBorders>
              <w:right w:val="nil"/>
            </w:tcBorders>
          </w:tcPr>
          <w:p>
            <w:pPr/>
          </w:p>
        </w:tc>
      </w:tr>
      <w:tr>
        <w:trPr>
          <w:trHeight w:val="727" w:hRule="exact"/>
        </w:trPr>
        <w:tc>
          <w:tcPr>
            <w:tcW w:w="2628" w:type="dxa"/>
            <w:tcBorders>
              <w:left w:val="nil"/>
              <w:bottom w:val="nil"/>
            </w:tcBorders>
          </w:tcPr>
          <w:p>
            <w:pPr>
              <w:pStyle w:val="TableParagraph"/>
              <w:spacing w:before="219"/>
              <w:ind w:left="108"/>
              <w:rPr>
                <w:sz w:val="24"/>
              </w:rPr>
            </w:pPr>
            <w:r>
              <w:rPr>
                <w:sz w:val="24"/>
              </w:rPr>
              <w:t>GO commercial paper</w:t>
            </w:r>
          </w:p>
        </w:tc>
        <w:tc>
          <w:tcPr>
            <w:tcW w:w="1260" w:type="dxa"/>
            <w:tcBorders>
              <w:bottom w:val="nil"/>
            </w:tcBorders>
          </w:tcPr>
          <w:p>
            <w:pPr/>
          </w:p>
        </w:tc>
        <w:tc>
          <w:tcPr>
            <w:tcW w:w="1711" w:type="dxa"/>
            <w:tcBorders>
              <w:bottom w:val="nil"/>
            </w:tcBorders>
          </w:tcPr>
          <w:p>
            <w:pPr>
              <w:pStyle w:val="TableParagraph"/>
              <w:spacing w:before="219"/>
              <w:ind w:left="94" w:right="94"/>
              <w:jc w:val="center"/>
              <w:rPr>
                <w:sz w:val="24"/>
              </w:rPr>
            </w:pPr>
            <w:hyperlink r:id="rId210">
              <w:r>
                <w:rPr>
                  <w:color w:val="0000FF"/>
                  <w:sz w:val="24"/>
                  <w:u w:val="single" w:color="0000FF"/>
                </w:rPr>
                <w:t>16731.6</w:t>
              </w:r>
            </w:hyperlink>
          </w:p>
        </w:tc>
        <w:tc>
          <w:tcPr>
            <w:tcW w:w="1440" w:type="dxa"/>
            <w:tcBorders>
              <w:bottom w:val="nil"/>
            </w:tcBorders>
          </w:tcPr>
          <w:p>
            <w:pPr/>
          </w:p>
        </w:tc>
        <w:tc>
          <w:tcPr>
            <w:tcW w:w="1529" w:type="dxa"/>
            <w:tcBorders>
              <w:bottom w:val="nil"/>
            </w:tcBorders>
          </w:tcPr>
          <w:p>
            <w:pPr/>
          </w:p>
        </w:tc>
        <w:tc>
          <w:tcPr>
            <w:tcW w:w="1529" w:type="dxa"/>
            <w:tcBorders>
              <w:bottom w:val="nil"/>
              <w:right w:val="nil"/>
            </w:tcBorders>
          </w:tcPr>
          <w:p>
            <w:pPr/>
          </w:p>
        </w:tc>
      </w:tr>
    </w:tbl>
    <w:p>
      <w:pPr>
        <w:pStyle w:val="BodyText"/>
        <w:spacing w:before="7"/>
        <w:rPr>
          <w:sz w:val="23"/>
        </w:rPr>
      </w:pPr>
    </w:p>
    <w:p>
      <w:pPr>
        <w:pStyle w:val="BodyText"/>
        <w:ind w:left="820"/>
      </w:pPr>
      <w:r>
        <w:rPr/>
        <w:t>(Continued)</w:t>
      </w:r>
    </w:p>
    <w:p>
      <w:pPr>
        <w:spacing w:after="0"/>
        <w:sectPr>
          <w:footerReference w:type="default" r:id="rId205"/>
          <w:pgSz w:w="12240" w:h="15840"/>
          <w:pgMar w:footer="1068" w:header="724" w:top="980" w:bottom="1260" w:left="620" w:right="600"/>
        </w:sectPr>
      </w:pPr>
    </w:p>
    <w:p>
      <w:pPr>
        <w:pStyle w:val="BodyText"/>
        <w:rPr>
          <w:sz w:val="20"/>
        </w:rPr>
      </w:pPr>
    </w:p>
    <w:p>
      <w:pPr>
        <w:pStyle w:val="BodyText"/>
        <w:spacing w:before="214"/>
        <w:ind w:left="820"/>
      </w:pPr>
      <w:r>
        <w:rPr/>
        <w:t>(Continued)</w:t>
      </w:r>
    </w:p>
    <w:p>
      <w:pPr>
        <w:pStyle w:val="BodyText"/>
        <w:spacing w:before="4"/>
      </w:pPr>
    </w:p>
    <w:tbl>
      <w:tblPr>
        <w:tblW w:w="0" w:type="auto"/>
        <w:jc w:val="left"/>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99"/>
        <w:gridCol w:w="1260"/>
        <w:gridCol w:w="1800"/>
        <w:gridCol w:w="1349"/>
        <w:gridCol w:w="1531"/>
        <w:gridCol w:w="1438"/>
      </w:tblGrid>
      <w:tr>
        <w:trPr>
          <w:trHeight w:val="835" w:hRule="exact"/>
        </w:trPr>
        <w:tc>
          <w:tcPr>
            <w:tcW w:w="2899" w:type="dxa"/>
            <w:tcBorders>
              <w:top w:val="nil"/>
              <w:left w:val="nil"/>
              <w:right w:val="nil"/>
            </w:tcBorders>
            <w:shd w:val="clear" w:color="auto" w:fill="DADADA"/>
          </w:tcPr>
          <w:p>
            <w:pPr/>
          </w:p>
        </w:tc>
        <w:tc>
          <w:tcPr>
            <w:tcW w:w="1260" w:type="dxa"/>
            <w:tcBorders>
              <w:top w:val="nil"/>
              <w:left w:val="nil"/>
              <w:right w:val="nil"/>
            </w:tcBorders>
            <w:shd w:val="clear" w:color="auto" w:fill="DADADA"/>
          </w:tcPr>
          <w:p>
            <w:pPr>
              <w:pStyle w:val="TableParagraph"/>
              <w:ind w:left="213" w:right="218" w:hanging="2"/>
              <w:jc w:val="center"/>
              <w:rPr>
                <w:b/>
                <w:sz w:val="24"/>
              </w:rPr>
            </w:pPr>
            <w:r>
              <w:rPr>
                <w:b/>
                <w:sz w:val="24"/>
              </w:rPr>
              <w:t>Annual Budget Act</w:t>
            </w:r>
          </w:p>
        </w:tc>
        <w:tc>
          <w:tcPr>
            <w:tcW w:w="1800" w:type="dxa"/>
            <w:tcBorders>
              <w:top w:val="nil"/>
              <w:left w:val="nil"/>
              <w:right w:val="nil"/>
            </w:tcBorders>
            <w:shd w:val="clear" w:color="auto" w:fill="DADADA"/>
          </w:tcPr>
          <w:p>
            <w:pPr>
              <w:pStyle w:val="TableParagraph"/>
              <w:spacing w:before="132"/>
              <w:ind w:left="597" w:right="175" w:hanging="406"/>
              <w:rPr>
                <w:b/>
                <w:sz w:val="24"/>
              </w:rPr>
            </w:pPr>
            <w:r>
              <w:rPr>
                <w:b/>
                <w:sz w:val="24"/>
              </w:rPr>
              <w:t>Government Code</w:t>
            </w:r>
          </w:p>
        </w:tc>
        <w:tc>
          <w:tcPr>
            <w:tcW w:w="1349" w:type="dxa"/>
            <w:tcBorders>
              <w:top w:val="nil"/>
              <w:left w:val="nil"/>
              <w:right w:val="nil"/>
            </w:tcBorders>
            <w:shd w:val="clear" w:color="auto" w:fill="DADADA"/>
          </w:tcPr>
          <w:p>
            <w:pPr>
              <w:pStyle w:val="TableParagraph"/>
              <w:ind w:left="177" w:right="182" w:hanging="2"/>
              <w:jc w:val="center"/>
              <w:rPr>
                <w:b/>
                <w:sz w:val="24"/>
              </w:rPr>
            </w:pPr>
            <w:r>
              <w:rPr>
                <w:b/>
                <w:sz w:val="24"/>
              </w:rPr>
              <w:t>Public Contract Code</w:t>
            </w:r>
          </w:p>
        </w:tc>
        <w:tc>
          <w:tcPr>
            <w:tcW w:w="1531" w:type="dxa"/>
            <w:tcBorders>
              <w:top w:val="nil"/>
              <w:left w:val="nil"/>
              <w:right w:val="nil"/>
            </w:tcBorders>
            <w:shd w:val="clear" w:color="auto" w:fill="DADADA"/>
          </w:tcPr>
          <w:p>
            <w:pPr>
              <w:pStyle w:val="TableParagraph"/>
              <w:ind w:left="148" w:right="152" w:firstLine="2"/>
              <w:jc w:val="center"/>
              <w:rPr>
                <w:b/>
                <w:sz w:val="24"/>
              </w:rPr>
            </w:pPr>
            <w:r>
              <w:rPr>
                <w:b/>
                <w:sz w:val="24"/>
              </w:rPr>
              <w:t>Public Resources Code</w:t>
            </w:r>
          </w:p>
        </w:tc>
        <w:tc>
          <w:tcPr>
            <w:tcW w:w="1438" w:type="dxa"/>
            <w:tcBorders>
              <w:top w:val="nil"/>
              <w:left w:val="nil"/>
              <w:right w:val="nil"/>
            </w:tcBorders>
            <w:shd w:val="clear" w:color="auto" w:fill="DADADA"/>
          </w:tcPr>
          <w:p>
            <w:pPr>
              <w:pStyle w:val="TableParagraph"/>
              <w:spacing w:before="7"/>
              <w:rPr>
                <w:sz w:val="23"/>
              </w:rPr>
            </w:pPr>
          </w:p>
          <w:p>
            <w:pPr>
              <w:pStyle w:val="TableParagraph"/>
              <w:ind w:left="395"/>
              <w:rPr>
                <w:b/>
                <w:sz w:val="24"/>
              </w:rPr>
            </w:pPr>
            <w:r>
              <w:rPr>
                <w:b/>
                <w:sz w:val="24"/>
              </w:rPr>
              <w:t>Other</w:t>
            </w:r>
          </w:p>
        </w:tc>
      </w:tr>
      <w:tr>
        <w:trPr>
          <w:trHeight w:val="290" w:hRule="exact"/>
        </w:trPr>
        <w:tc>
          <w:tcPr>
            <w:tcW w:w="2899" w:type="dxa"/>
            <w:tcBorders>
              <w:left w:val="nil"/>
            </w:tcBorders>
          </w:tcPr>
          <w:p>
            <w:pPr>
              <w:pStyle w:val="TableParagraph"/>
              <w:spacing w:line="272" w:lineRule="exact"/>
              <w:ind w:left="108"/>
              <w:rPr>
                <w:b/>
                <w:sz w:val="24"/>
              </w:rPr>
            </w:pPr>
            <w:r>
              <w:rPr>
                <w:b/>
                <w:sz w:val="24"/>
              </w:rPr>
              <w:t>Financing, continued</w:t>
            </w:r>
          </w:p>
        </w:tc>
        <w:tc>
          <w:tcPr>
            <w:tcW w:w="1260" w:type="dxa"/>
          </w:tcPr>
          <w:p>
            <w:pPr/>
          </w:p>
        </w:tc>
        <w:tc>
          <w:tcPr>
            <w:tcW w:w="1800" w:type="dxa"/>
          </w:tcPr>
          <w:p>
            <w:pPr/>
          </w:p>
        </w:tc>
        <w:tc>
          <w:tcPr>
            <w:tcW w:w="1349" w:type="dxa"/>
          </w:tcPr>
          <w:p>
            <w:pPr/>
          </w:p>
        </w:tc>
        <w:tc>
          <w:tcPr>
            <w:tcW w:w="1531" w:type="dxa"/>
          </w:tcPr>
          <w:p>
            <w:pPr/>
          </w:p>
        </w:tc>
        <w:tc>
          <w:tcPr>
            <w:tcW w:w="1438" w:type="dxa"/>
            <w:tcBorders>
              <w:right w:val="nil"/>
            </w:tcBorders>
          </w:tcPr>
          <w:p>
            <w:pPr/>
          </w:p>
        </w:tc>
      </w:tr>
      <w:tr>
        <w:trPr>
          <w:trHeight w:val="290" w:hRule="exact"/>
        </w:trPr>
        <w:tc>
          <w:tcPr>
            <w:tcW w:w="2899" w:type="dxa"/>
            <w:tcBorders>
              <w:left w:val="nil"/>
            </w:tcBorders>
          </w:tcPr>
          <w:p>
            <w:pPr>
              <w:pStyle w:val="TableParagraph"/>
              <w:spacing w:line="272" w:lineRule="exact"/>
              <w:ind w:left="108"/>
              <w:rPr>
                <w:sz w:val="24"/>
              </w:rPr>
            </w:pPr>
            <w:r>
              <w:rPr>
                <w:sz w:val="24"/>
              </w:rPr>
              <w:t>GO refundings</w:t>
            </w:r>
          </w:p>
        </w:tc>
        <w:tc>
          <w:tcPr>
            <w:tcW w:w="1260" w:type="dxa"/>
          </w:tcPr>
          <w:p>
            <w:pPr/>
          </w:p>
        </w:tc>
        <w:tc>
          <w:tcPr>
            <w:tcW w:w="1800" w:type="dxa"/>
          </w:tcPr>
          <w:p>
            <w:pPr>
              <w:pStyle w:val="TableParagraph"/>
              <w:spacing w:line="272" w:lineRule="exact"/>
              <w:ind w:left="85" w:right="85"/>
              <w:jc w:val="center"/>
              <w:rPr>
                <w:sz w:val="24"/>
              </w:rPr>
            </w:pPr>
            <w:hyperlink r:id="rId212">
              <w:r>
                <w:rPr>
                  <w:color w:val="0000FF"/>
                  <w:sz w:val="24"/>
                  <w:u w:val="single" w:color="0000FF"/>
                </w:rPr>
                <w:t>16780 </w:t>
              </w:r>
            </w:hyperlink>
            <w:r>
              <w:rPr>
                <w:sz w:val="24"/>
              </w:rPr>
              <w:t>et seq.</w:t>
            </w:r>
          </w:p>
        </w:tc>
        <w:tc>
          <w:tcPr>
            <w:tcW w:w="1349" w:type="dxa"/>
          </w:tcPr>
          <w:p>
            <w:pPr/>
          </w:p>
        </w:tc>
        <w:tc>
          <w:tcPr>
            <w:tcW w:w="1531" w:type="dxa"/>
          </w:tcPr>
          <w:p>
            <w:pPr/>
          </w:p>
        </w:tc>
        <w:tc>
          <w:tcPr>
            <w:tcW w:w="1438" w:type="dxa"/>
            <w:tcBorders>
              <w:right w:val="nil"/>
            </w:tcBorders>
          </w:tcPr>
          <w:p>
            <w:pPr/>
          </w:p>
        </w:tc>
      </w:tr>
      <w:tr>
        <w:trPr>
          <w:trHeight w:val="845" w:hRule="exact"/>
        </w:trPr>
        <w:tc>
          <w:tcPr>
            <w:tcW w:w="2899" w:type="dxa"/>
            <w:tcBorders>
              <w:left w:val="nil"/>
            </w:tcBorders>
          </w:tcPr>
          <w:p>
            <w:pPr>
              <w:pStyle w:val="TableParagraph"/>
              <w:ind w:left="108" w:right="242"/>
              <w:rPr>
                <w:i/>
                <w:sz w:val="24"/>
              </w:rPr>
            </w:pPr>
            <w:r>
              <w:rPr>
                <w:sz w:val="24"/>
              </w:rPr>
              <w:t>Lease-revenue bonds: authority: </w:t>
            </w:r>
            <w:r>
              <w:rPr>
                <w:i/>
                <w:sz w:val="24"/>
              </w:rPr>
              <w:t>see PWB and </w:t>
            </w:r>
            <w:r>
              <w:rPr>
                <w:i/>
                <w:sz w:val="24"/>
              </w:rPr>
              <w:t>JPA above</w:t>
            </w:r>
          </w:p>
        </w:tc>
        <w:tc>
          <w:tcPr>
            <w:tcW w:w="1260" w:type="dxa"/>
          </w:tcPr>
          <w:p>
            <w:pPr/>
          </w:p>
        </w:tc>
        <w:tc>
          <w:tcPr>
            <w:tcW w:w="1800" w:type="dxa"/>
          </w:tcPr>
          <w:p>
            <w:pPr/>
          </w:p>
        </w:tc>
        <w:tc>
          <w:tcPr>
            <w:tcW w:w="1349" w:type="dxa"/>
          </w:tcPr>
          <w:p>
            <w:pPr/>
          </w:p>
        </w:tc>
        <w:tc>
          <w:tcPr>
            <w:tcW w:w="1531" w:type="dxa"/>
          </w:tcPr>
          <w:p>
            <w:pPr/>
          </w:p>
        </w:tc>
        <w:tc>
          <w:tcPr>
            <w:tcW w:w="1438" w:type="dxa"/>
            <w:tcBorders>
              <w:right w:val="nil"/>
            </w:tcBorders>
          </w:tcPr>
          <w:p>
            <w:pPr/>
          </w:p>
        </w:tc>
      </w:tr>
      <w:tr>
        <w:trPr>
          <w:trHeight w:val="1394" w:hRule="exact"/>
        </w:trPr>
        <w:tc>
          <w:tcPr>
            <w:tcW w:w="2899" w:type="dxa"/>
            <w:tcBorders>
              <w:left w:val="nil"/>
            </w:tcBorders>
          </w:tcPr>
          <w:p>
            <w:pPr>
              <w:pStyle w:val="TableParagraph"/>
              <w:spacing w:before="6"/>
              <w:rPr>
                <w:sz w:val="35"/>
              </w:rPr>
            </w:pPr>
          </w:p>
          <w:p>
            <w:pPr>
              <w:pStyle w:val="TableParagraph"/>
              <w:spacing w:line="275" w:lineRule="exact"/>
              <w:ind w:left="108"/>
              <w:rPr>
                <w:sz w:val="24"/>
              </w:rPr>
            </w:pPr>
            <w:r>
              <w:rPr>
                <w:sz w:val="24"/>
              </w:rPr>
              <w:t>Not constitutional debt</w:t>
            </w:r>
          </w:p>
          <w:p>
            <w:pPr>
              <w:pStyle w:val="TableParagraph"/>
              <w:spacing w:line="275" w:lineRule="exact"/>
              <w:ind w:left="108"/>
              <w:rPr>
                <w:i/>
                <w:sz w:val="24"/>
              </w:rPr>
            </w:pPr>
            <w:r>
              <w:rPr>
                <w:i/>
                <w:sz w:val="24"/>
              </w:rPr>
              <w:t>(aka Offner-Dean rule)</w:t>
            </w:r>
          </w:p>
        </w:tc>
        <w:tc>
          <w:tcPr>
            <w:tcW w:w="1260" w:type="dxa"/>
          </w:tcPr>
          <w:p>
            <w:pPr/>
          </w:p>
        </w:tc>
        <w:tc>
          <w:tcPr>
            <w:tcW w:w="1800" w:type="dxa"/>
          </w:tcPr>
          <w:p>
            <w:pPr/>
          </w:p>
        </w:tc>
        <w:tc>
          <w:tcPr>
            <w:tcW w:w="1349" w:type="dxa"/>
          </w:tcPr>
          <w:p>
            <w:pPr/>
          </w:p>
        </w:tc>
        <w:tc>
          <w:tcPr>
            <w:tcW w:w="1531" w:type="dxa"/>
          </w:tcPr>
          <w:p>
            <w:pPr/>
          </w:p>
        </w:tc>
        <w:tc>
          <w:tcPr>
            <w:tcW w:w="1438" w:type="dxa"/>
            <w:tcBorders>
              <w:right w:val="nil"/>
            </w:tcBorders>
          </w:tcPr>
          <w:p>
            <w:pPr>
              <w:pStyle w:val="TableParagraph"/>
              <w:spacing w:line="272" w:lineRule="exact"/>
              <w:ind w:left="191"/>
              <w:rPr>
                <w:sz w:val="24"/>
              </w:rPr>
            </w:pPr>
            <w:r>
              <w:rPr>
                <w:sz w:val="24"/>
              </w:rPr>
              <w:t>City of LA</w:t>
            </w:r>
          </w:p>
          <w:p>
            <w:pPr>
              <w:pStyle w:val="TableParagraph"/>
              <w:ind w:left="196" w:right="187" w:firstLine="55"/>
              <w:rPr>
                <w:sz w:val="24"/>
              </w:rPr>
            </w:pPr>
            <w:r>
              <w:rPr>
                <w:sz w:val="24"/>
              </w:rPr>
              <w:t>v. Offner (1942) 19</w:t>
            </w:r>
          </w:p>
          <w:p>
            <w:pPr>
              <w:pStyle w:val="TableParagraph"/>
              <w:ind w:left="244" w:right="232" w:firstLine="98"/>
              <w:rPr>
                <w:sz w:val="24"/>
              </w:rPr>
            </w:pPr>
            <w:r>
              <w:rPr>
                <w:sz w:val="24"/>
              </w:rPr>
              <w:t>Cal.2</w:t>
            </w:r>
            <w:r>
              <w:rPr>
                <w:position w:val="8"/>
                <w:sz w:val="16"/>
              </w:rPr>
              <w:t>nd </w:t>
            </w:r>
            <w:r>
              <w:rPr>
                <w:sz w:val="24"/>
              </w:rPr>
              <w:t>483, 486</w:t>
            </w:r>
          </w:p>
        </w:tc>
      </w:tr>
      <w:tr>
        <w:trPr>
          <w:trHeight w:val="566" w:hRule="exact"/>
        </w:trPr>
        <w:tc>
          <w:tcPr>
            <w:tcW w:w="2899" w:type="dxa"/>
            <w:tcBorders>
              <w:left w:val="nil"/>
            </w:tcBorders>
          </w:tcPr>
          <w:p>
            <w:pPr>
              <w:pStyle w:val="TableParagraph"/>
              <w:ind w:left="108" w:right="896"/>
              <w:rPr>
                <w:sz w:val="24"/>
              </w:rPr>
            </w:pPr>
            <w:r>
              <w:rPr>
                <w:sz w:val="24"/>
              </w:rPr>
              <w:t>Continuous appropriations for</w:t>
            </w:r>
          </w:p>
        </w:tc>
        <w:tc>
          <w:tcPr>
            <w:tcW w:w="1260" w:type="dxa"/>
          </w:tcPr>
          <w:p>
            <w:pPr/>
          </w:p>
        </w:tc>
        <w:tc>
          <w:tcPr>
            <w:tcW w:w="1800" w:type="dxa"/>
          </w:tcPr>
          <w:p>
            <w:pPr>
              <w:pStyle w:val="TableParagraph"/>
              <w:spacing w:before="135"/>
              <w:ind w:left="85" w:right="83"/>
              <w:jc w:val="center"/>
              <w:rPr>
                <w:sz w:val="24"/>
              </w:rPr>
            </w:pPr>
            <w:hyperlink r:id="rId213">
              <w:r>
                <w:rPr>
                  <w:color w:val="0000FF"/>
                  <w:sz w:val="24"/>
                  <w:u w:val="single" w:color="0000FF"/>
                </w:rPr>
                <w:t>15848</w:t>
              </w:r>
            </w:hyperlink>
          </w:p>
        </w:tc>
        <w:tc>
          <w:tcPr>
            <w:tcW w:w="1349" w:type="dxa"/>
          </w:tcPr>
          <w:p>
            <w:pPr/>
          </w:p>
        </w:tc>
        <w:tc>
          <w:tcPr>
            <w:tcW w:w="1531" w:type="dxa"/>
          </w:tcPr>
          <w:p>
            <w:pPr/>
          </w:p>
        </w:tc>
        <w:tc>
          <w:tcPr>
            <w:tcW w:w="1438" w:type="dxa"/>
            <w:tcBorders>
              <w:right w:val="nil"/>
            </w:tcBorders>
          </w:tcPr>
          <w:p>
            <w:pPr/>
          </w:p>
        </w:tc>
      </w:tr>
      <w:tr>
        <w:trPr>
          <w:trHeight w:val="290" w:hRule="exact"/>
        </w:trPr>
        <w:tc>
          <w:tcPr>
            <w:tcW w:w="2899" w:type="dxa"/>
            <w:tcBorders>
              <w:left w:val="nil"/>
            </w:tcBorders>
          </w:tcPr>
          <w:p>
            <w:pPr>
              <w:pStyle w:val="TableParagraph"/>
              <w:spacing w:line="272" w:lineRule="exact"/>
              <w:ind w:left="108"/>
              <w:rPr>
                <w:sz w:val="24"/>
              </w:rPr>
            </w:pPr>
            <w:r>
              <w:rPr>
                <w:sz w:val="24"/>
              </w:rPr>
              <w:t>Financing of:</w:t>
            </w:r>
          </w:p>
        </w:tc>
        <w:tc>
          <w:tcPr>
            <w:tcW w:w="1260" w:type="dxa"/>
          </w:tcPr>
          <w:p>
            <w:pPr/>
          </w:p>
        </w:tc>
        <w:tc>
          <w:tcPr>
            <w:tcW w:w="1800" w:type="dxa"/>
          </w:tcPr>
          <w:p>
            <w:pPr/>
          </w:p>
        </w:tc>
        <w:tc>
          <w:tcPr>
            <w:tcW w:w="1349" w:type="dxa"/>
          </w:tcPr>
          <w:p>
            <w:pPr/>
          </w:p>
        </w:tc>
        <w:tc>
          <w:tcPr>
            <w:tcW w:w="1531" w:type="dxa"/>
          </w:tcPr>
          <w:p>
            <w:pPr/>
          </w:p>
        </w:tc>
        <w:tc>
          <w:tcPr>
            <w:tcW w:w="1438" w:type="dxa"/>
            <w:tcBorders>
              <w:right w:val="nil"/>
            </w:tcBorders>
          </w:tcPr>
          <w:p>
            <w:pPr/>
          </w:p>
        </w:tc>
      </w:tr>
      <w:tr>
        <w:trPr>
          <w:trHeight w:val="569" w:hRule="exact"/>
        </w:trPr>
        <w:tc>
          <w:tcPr>
            <w:tcW w:w="2899" w:type="dxa"/>
            <w:tcBorders>
              <w:left w:val="nil"/>
            </w:tcBorders>
          </w:tcPr>
          <w:p>
            <w:pPr>
              <w:pStyle w:val="TableParagraph"/>
              <w:spacing w:before="135"/>
              <w:ind w:left="108"/>
              <w:rPr>
                <w:sz w:val="24"/>
              </w:rPr>
            </w:pPr>
            <w:r>
              <w:rPr>
                <w:sz w:val="24"/>
              </w:rPr>
              <w:t>Higher ed. facilities</w:t>
            </w:r>
          </w:p>
        </w:tc>
        <w:tc>
          <w:tcPr>
            <w:tcW w:w="1260" w:type="dxa"/>
          </w:tcPr>
          <w:p>
            <w:pPr/>
          </w:p>
        </w:tc>
        <w:tc>
          <w:tcPr>
            <w:tcW w:w="1800" w:type="dxa"/>
          </w:tcPr>
          <w:p>
            <w:pPr>
              <w:pStyle w:val="TableParagraph"/>
              <w:ind w:left="566" w:right="375" w:hanging="176"/>
              <w:rPr>
                <w:sz w:val="24"/>
              </w:rPr>
            </w:pPr>
            <w:r>
              <w:rPr>
                <w:sz w:val="24"/>
              </w:rPr>
              <w:t>see PWB above</w:t>
            </w:r>
          </w:p>
        </w:tc>
        <w:tc>
          <w:tcPr>
            <w:tcW w:w="1349" w:type="dxa"/>
          </w:tcPr>
          <w:p>
            <w:pPr/>
          </w:p>
        </w:tc>
        <w:tc>
          <w:tcPr>
            <w:tcW w:w="1531" w:type="dxa"/>
          </w:tcPr>
          <w:p>
            <w:pPr/>
          </w:p>
        </w:tc>
        <w:tc>
          <w:tcPr>
            <w:tcW w:w="1438" w:type="dxa"/>
            <w:tcBorders>
              <w:right w:val="nil"/>
            </w:tcBorders>
          </w:tcPr>
          <w:p>
            <w:pPr/>
          </w:p>
        </w:tc>
      </w:tr>
      <w:tr>
        <w:trPr>
          <w:trHeight w:val="566" w:hRule="exact"/>
        </w:trPr>
        <w:tc>
          <w:tcPr>
            <w:tcW w:w="2899" w:type="dxa"/>
            <w:tcBorders>
              <w:left w:val="nil"/>
            </w:tcBorders>
          </w:tcPr>
          <w:p>
            <w:pPr>
              <w:pStyle w:val="TableParagraph"/>
              <w:spacing w:before="132"/>
              <w:ind w:left="108"/>
              <w:rPr>
                <w:sz w:val="24"/>
              </w:rPr>
            </w:pPr>
            <w:r>
              <w:rPr>
                <w:sz w:val="24"/>
              </w:rPr>
              <w:t>Prisons</w:t>
            </w:r>
          </w:p>
        </w:tc>
        <w:tc>
          <w:tcPr>
            <w:tcW w:w="1260" w:type="dxa"/>
          </w:tcPr>
          <w:p>
            <w:pPr/>
          </w:p>
        </w:tc>
        <w:tc>
          <w:tcPr>
            <w:tcW w:w="1800" w:type="dxa"/>
          </w:tcPr>
          <w:p>
            <w:pPr>
              <w:pStyle w:val="TableParagraph"/>
              <w:ind w:left="566" w:right="375" w:hanging="176"/>
              <w:rPr>
                <w:sz w:val="24"/>
              </w:rPr>
            </w:pPr>
            <w:r>
              <w:rPr>
                <w:sz w:val="24"/>
              </w:rPr>
              <w:t>see PWB above</w:t>
            </w:r>
          </w:p>
        </w:tc>
        <w:tc>
          <w:tcPr>
            <w:tcW w:w="1349" w:type="dxa"/>
          </w:tcPr>
          <w:p>
            <w:pPr/>
          </w:p>
        </w:tc>
        <w:tc>
          <w:tcPr>
            <w:tcW w:w="1531" w:type="dxa"/>
          </w:tcPr>
          <w:p>
            <w:pPr/>
          </w:p>
        </w:tc>
        <w:tc>
          <w:tcPr>
            <w:tcW w:w="1438" w:type="dxa"/>
            <w:tcBorders>
              <w:right w:val="nil"/>
            </w:tcBorders>
          </w:tcPr>
          <w:p>
            <w:pPr/>
          </w:p>
        </w:tc>
      </w:tr>
      <w:tr>
        <w:trPr>
          <w:trHeight w:val="290" w:hRule="exact"/>
        </w:trPr>
        <w:tc>
          <w:tcPr>
            <w:tcW w:w="2899" w:type="dxa"/>
            <w:tcBorders>
              <w:left w:val="nil"/>
            </w:tcBorders>
          </w:tcPr>
          <w:p>
            <w:pPr>
              <w:pStyle w:val="TableParagraph"/>
              <w:spacing w:line="272" w:lineRule="exact"/>
              <w:ind w:left="108"/>
              <w:rPr>
                <w:sz w:val="24"/>
              </w:rPr>
            </w:pPr>
            <w:r>
              <w:rPr>
                <w:sz w:val="24"/>
              </w:rPr>
              <w:t>Office buildings</w:t>
            </w:r>
          </w:p>
        </w:tc>
        <w:tc>
          <w:tcPr>
            <w:tcW w:w="1260" w:type="dxa"/>
          </w:tcPr>
          <w:p>
            <w:pPr/>
          </w:p>
        </w:tc>
        <w:tc>
          <w:tcPr>
            <w:tcW w:w="1800" w:type="dxa"/>
          </w:tcPr>
          <w:p>
            <w:pPr/>
          </w:p>
        </w:tc>
        <w:tc>
          <w:tcPr>
            <w:tcW w:w="1349" w:type="dxa"/>
          </w:tcPr>
          <w:p>
            <w:pPr/>
          </w:p>
        </w:tc>
        <w:tc>
          <w:tcPr>
            <w:tcW w:w="1531" w:type="dxa"/>
          </w:tcPr>
          <w:p>
            <w:pPr/>
          </w:p>
        </w:tc>
        <w:tc>
          <w:tcPr>
            <w:tcW w:w="1438" w:type="dxa"/>
            <w:tcBorders>
              <w:right w:val="nil"/>
            </w:tcBorders>
          </w:tcPr>
          <w:p>
            <w:pPr/>
          </w:p>
        </w:tc>
      </w:tr>
      <w:tr>
        <w:trPr>
          <w:trHeight w:val="290" w:hRule="exact"/>
        </w:trPr>
        <w:tc>
          <w:tcPr>
            <w:tcW w:w="2899" w:type="dxa"/>
            <w:tcBorders>
              <w:left w:val="nil"/>
            </w:tcBorders>
          </w:tcPr>
          <w:p>
            <w:pPr>
              <w:pStyle w:val="TableParagraph"/>
              <w:spacing w:line="272" w:lineRule="exact"/>
              <w:ind w:left="108"/>
              <w:rPr>
                <w:sz w:val="24"/>
              </w:rPr>
            </w:pPr>
            <w:r>
              <w:rPr>
                <w:sz w:val="24"/>
              </w:rPr>
              <w:t>Interim financing for LR:</w:t>
            </w:r>
          </w:p>
        </w:tc>
        <w:tc>
          <w:tcPr>
            <w:tcW w:w="1260" w:type="dxa"/>
          </w:tcPr>
          <w:p>
            <w:pPr/>
          </w:p>
        </w:tc>
        <w:tc>
          <w:tcPr>
            <w:tcW w:w="1800" w:type="dxa"/>
          </w:tcPr>
          <w:p>
            <w:pPr/>
          </w:p>
        </w:tc>
        <w:tc>
          <w:tcPr>
            <w:tcW w:w="1349" w:type="dxa"/>
          </w:tcPr>
          <w:p>
            <w:pPr/>
          </w:p>
        </w:tc>
        <w:tc>
          <w:tcPr>
            <w:tcW w:w="1531" w:type="dxa"/>
          </w:tcPr>
          <w:p>
            <w:pPr/>
          </w:p>
        </w:tc>
        <w:tc>
          <w:tcPr>
            <w:tcW w:w="1438" w:type="dxa"/>
            <w:tcBorders>
              <w:right w:val="nil"/>
            </w:tcBorders>
          </w:tcPr>
          <w:p>
            <w:pPr/>
          </w:p>
        </w:tc>
      </w:tr>
      <w:tr>
        <w:trPr>
          <w:trHeight w:val="1670" w:hRule="exact"/>
        </w:trPr>
        <w:tc>
          <w:tcPr>
            <w:tcW w:w="2899" w:type="dxa"/>
            <w:tcBorders>
              <w:left w:val="nil"/>
            </w:tcBorders>
          </w:tcPr>
          <w:p>
            <w:pPr>
              <w:pStyle w:val="TableParagraph"/>
              <w:rPr>
                <w:sz w:val="26"/>
              </w:rPr>
            </w:pPr>
          </w:p>
          <w:p>
            <w:pPr>
              <w:pStyle w:val="TableParagraph"/>
              <w:spacing w:before="7"/>
              <w:rPr>
                <w:sz w:val="21"/>
              </w:rPr>
            </w:pPr>
          </w:p>
          <w:p>
            <w:pPr>
              <w:pStyle w:val="TableParagraph"/>
              <w:ind w:left="107" w:right="1617"/>
              <w:rPr>
                <w:sz w:val="24"/>
              </w:rPr>
            </w:pPr>
            <w:r>
              <w:rPr>
                <w:sz w:val="24"/>
              </w:rPr>
              <w:t>Negotiable Loans</w:t>
            </w:r>
          </w:p>
        </w:tc>
        <w:tc>
          <w:tcPr>
            <w:tcW w:w="1260" w:type="dxa"/>
          </w:tcPr>
          <w:p>
            <w:pPr/>
          </w:p>
        </w:tc>
        <w:tc>
          <w:tcPr>
            <w:tcW w:w="1800" w:type="dxa"/>
          </w:tcPr>
          <w:p>
            <w:pPr>
              <w:pStyle w:val="TableParagraph"/>
              <w:spacing w:line="274" w:lineRule="exact"/>
              <w:ind w:left="85" w:right="83"/>
              <w:jc w:val="center"/>
              <w:rPr>
                <w:sz w:val="24"/>
              </w:rPr>
            </w:pPr>
            <w:hyperlink r:id="rId182">
              <w:r>
                <w:rPr>
                  <w:color w:val="0000FF"/>
                  <w:sz w:val="24"/>
                  <w:u w:val="single" w:color="0000FF"/>
                </w:rPr>
                <w:t>15809</w:t>
              </w:r>
            </w:hyperlink>
          </w:p>
          <w:p>
            <w:pPr>
              <w:pStyle w:val="TableParagraph"/>
              <w:spacing w:line="275" w:lineRule="exact"/>
              <w:ind w:left="85" w:right="84"/>
              <w:jc w:val="center"/>
              <w:rPr>
                <w:sz w:val="24"/>
              </w:rPr>
            </w:pPr>
            <w:r>
              <w:rPr>
                <w:sz w:val="24"/>
              </w:rPr>
              <w:t>15489.1</w:t>
            </w:r>
          </w:p>
          <w:p>
            <w:pPr>
              <w:pStyle w:val="TableParagraph"/>
              <w:spacing w:line="275" w:lineRule="exact"/>
              <w:ind w:left="85" w:right="85"/>
              <w:jc w:val="center"/>
              <w:rPr>
                <w:sz w:val="24"/>
              </w:rPr>
            </w:pPr>
            <w:hyperlink r:id="rId214">
              <w:r>
                <w:rPr>
                  <w:color w:val="0000FF"/>
                  <w:sz w:val="24"/>
                  <w:u w:val="single" w:color="0000FF"/>
                </w:rPr>
                <w:t>15819.13</w:t>
              </w:r>
            </w:hyperlink>
            <w:r>
              <w:rPr>
                <w:sz w:val="24"/>
              </w:rPr>
              <w:t>,</w:t>
            </w:r>
          </w:p>
          <w:p>
            <w:pPr>
              <w:pStyle w:val="TableParagraph"/>
              <w:ind w:left="85" w:right="85"/>
              <w:jc w:val="center"/>
              <w:rPr>
                <w:sz w:val="24"/>
              </w:rPr>
            </w:pPr>
            <w:hyperlink r:id="rId215">
              <w:r>
                <w:rPr>
                  <w:color w:val="0000FF"/>
                  <w:sz w:val="24"/>
                  <w:u w:val="single" w:color="0000FF"/>
                </w:rPr>
                <w:t>15820.19</w:t>
              </w:r>
            </w:hyperlink>
          </w:p>
          <w:p>
            <w:pPr>
              <w:pStyle w:val="TableParagraph"/>
              <w:ind w:left="85" w:right="85"/>
              <w:jc w:val="center"/>
              <w:rPr>
                <w:sz w:val="24"/>
              </w:rPr>
            </w:pPr>
            <w:hyperlink r:id="rId216">
              <w:r>
                <w:rPr>
                  <w:color w:val="0000FF"/>
                  <w:sz w:val="24"/>
                  <w:u w:val="single" w:color="0000FF"/>
                </w:rPr>
                <w:t>15820.41</w:t>
              </w:r>
            </w:hyperlink>
          </w:p>
          <w:p>
            <w:pPr>
              <w:pStyle w:val="TableParagraph"/>
              <w:ind w:left="85" w:right="85"/>
              <w:jc w:val="center"/>
              <w:rPr>
                <w:sz w:val="24"/>
              </w:rPr>
            </w:pPr>
            <w:hyperlink r:id="rId217">
              <w:r>
                <w:rPr>
                  <w:color w:val="0000FF"/>
                  <w:sz w:val="24"/>
                  <w:u w:val="single" w:color="0000FF"/>
                </w:rPr>
                <w:t>15820.61</w:t>
              </w:r>
            </w:hyperlink>
          </w:p>
        </w:tc>
        <w:tc>
          <w:tcPr>
            <w:tcW w:w="1349" w:type="dxa"/>
          </w:tcPr>
          <w:p>
            <w:pPr/>
          </w:p>
        </w:tc>
        <w:tc>
          <w:tcPr>
            <w:tcW w:w="1531" w:type="dxa"/>
          </w:tcPr>
          <w:p>
            <w:pPr/>
          </w:p>
        </w:tc>
        <w:tc>
          <w:tcPr>
            <w:tcW w:w="1438" w:type="dxa"/>
            <w:tcBorders>
              <w:right w:val="nil"/>
            </w:tcBorders>
          </w:tcPr>
          <w:p>
            <w:pPr/>
          </w:p>
        </w:tc>
      </w:tr>
      <w:tr>
        <w:trPr>
          <w:trHeight w:val="569" w:hRule="exact"/>
        </w:trPr>
        <w:tc>
          <w:tcPr>
            <w:tcW w:w="2899" w:type="dxa"/>
            <w:tcBorders>
              <w:left w:val="nil"/>
            </w:tcBorders>
          </w:tcPr>
          <w:p>
            <w:pPr>
              <w:pStyle w:val="TableParagraph"/>
              <w:spacing w:before="135"/>
              <w:ind w:left="108"/>
              <w:rPr>
                <w:sz w:val="24"/>
              </w:rPr>
            </w:pPr>
            <w:r>
              <w:rPr>
                <w:sz w:val="24"/>
              </w:rPr>
              <w:t>Continuing disclosure</w:t>
            </w:r>
          </w:p>
        </w:tc>
        <w:tc>
          <w:tcPr>
            <w:tcW w:w="1260" w:type="dxa"/>
          </w:tcPr>
          <w:p>
            <w:pPr/>
          </w:p>
        </w:tc>
        <w:tc>
          <w:tcPr>
            <w:tcW w:w="1800" w:type="dxa"/>
          </w:tcPr>
          <w:p>
            <w:pPr/>
          </w:p>
        </w:tc>
        <w:tc>
          <w:tcPr>
            <w:tcW w:w="1349" w:type="dxa"/>
          </w:tcPr>
          <w:p>
            <w:pPr/>
          </w:p>
        </w:tc>
        <w:tc>
          <w:tcPr>
            <w:tcW w:w="1531" w:type="dxa"/>
          </w:tcPr>
          <w:p>
            <w:pPr/>
          </w:p>
        </w:tc>
        <w:tc>
          <w:tcPr>
            <w:tcW w:w="1438" w:type="dxa"/>
            <w:tcBorders>
              <w:right w:val="nil"/>
            </w:tcBorders>
          </w:tcPr>
          <w:p>
            <w:pPr>
              <w:pStyle w:val="TableParagraph"/>
              <w:ind w:left="578" w:right="118" w:hanging="447"/>
              <w:rPr>
                <w:sz w:val="24"/>
              </w:rPr>
            </w:pPr>
            <w:r>
              <w:rPr>
                <w:sz w:val="24"/>
              </w:rPr>
              <w:t>SEC 15c2- 12</w:t>
            </w:r>
          </w:p>
        </w:tc>
      </w:tr>
      <w:tr>
        <w:trPr>
          <w:trHeight w:val="1670" w:hRule="exact"/>
        </w:trPr>
        <w:tc>
          <w:tcPr>
            <w:tcW w:w="2899" w:type="dxa"/>
            <w:tcBorders>
              <w:left w:val="nil"/>
            </w:tcBorders>
          </w:tcPr>
          <w:p>
            <w:pPr>
              <w:pStyle w:val="TableParagraph"/>
              <w:rPr>
                <w:sz w:val="26"/>
              </w:rPr>
            </w:pPr>
          </w:p>
          <w:p>
            <w:pPr>
              <w:pStyle w:val="TableParagraph"/>
              <w:spacing w:before="7"/>
              <w:rPr>
                <w:sz w:val="21"/>
              </w:rPr>
            </w:pPr>
          </w:p>
          <w:p>
            <w:pPr>
              <w:pStyle w:val="TableParagraph"/>
              <w:ind w:left="108" w:right="242"/>
              <w:rPr>
                <w:sz w:val="24"/>
              </w:rPr>
            </w:pPr>
            <w:r>
              <w:rPr>
                <w:sz w:val="24"/>
              </w:rPr>
              <w:t>Period of challenge to a bond issue</w:t>
            </w:r>
          </w:p>
        </w:tc>
        <w:tc>
          <w:tcPr>
            <w:tcW w:w="1260" w:type="dxa"/>
          </w:tcPr>
          <w:p>
            <w:pPr/>
          </w:p>
        </w:tc>
        <w:tc>
          <w:tcPr>
            <w:tcW w:w="1800" w:type="dxa"/>
          </w:tcPr>
          <w:p>
            <w:pPr/>
          </w:p>
        </w:tc>
        <w:tc>
          <w:tcPr>
            <w:tcW w:w="1349" w:type="dxa"/>
          </w:tcPr>
          <w:p>
            <w:pPr/>
          </w:p>
        </w:tc>
        <w:tc>
          <w:tcPr>
            <w:tcW w:w="1531" w:type="dxa"/>
          </w:tcPr>
          <w:p>
            <w:pPr/>
          </w:p>
        </w:tc>
        <w:tc>
          <w:tcPr>
            <w:tcW w:w="1438" w:type="dxa"/>
            <w:tcBorders>
              <w:right w:val="nil"/>
            </w:tcBorders>
          </w:tcPr>
          <w:p>
            <w:pPr>
              <w:pStyle w:val="TableParagraph"/>
              <w:ind w:left="172" w:right="176" w:hanging="5"/>
              <w:jc w:val="center"/>
              <w:rPr>
                <w:sz w:val="24"/>
              </w:rPr>
            </w:pPr>
            <w:r>
              <w:rPr>
                <w:sz w:val="24"/>
              </w:rPr>
              <w:t>Code of Civil Proc.</w:t>
            </w:r>
          </w:p>
          <w:p>
            <w:pPr>
              <w:pStyle w:val="TableParagraph"/>
              <w:spacing w:before="4"/>
              <w:ind w:left="165" w:right="168" w:hanging="2"/>
              <w:jc w:val="center"/>
              <w:rPr>
                <w:sz w:val="24"/>
              </w:rPr>
            </w:pPr>
            <w:r>
              <w:rPr>
                <w:sz w:val="24"/>
              </w:rPr>
              <w:t>860 et seq.; “validation acts”</w:t>
            </w:r>
          </w:p>
        </w:tc>
      </w:tr>
      <w:tr>
        <w:trPr>
          <w:trHeight w:val="559" w:hRule="exact"/>
        </w:trPr>
        <w:tc>
          <w:tcPr>
            <w:tcW w:w="2899" w:type="dxa"/>
            <w:tcBorders>
              <w:left w:val="nil"/>
              <w:bottom w:val="nil"/>
            </w:tcBorders>
          </w:tcPr>
          <w:p>
            <w:pPr>
              <w:pStyle w:val="TableParagraph"/>
              <w:ind w:left="108" w:right="522"/>
              <w:rPr>
                <w:sz w:val="24"/>
              </w:rPr>
            </w:pPr>
            <w:r>
              <w:rPr>
                <w:sz w:val="24"/>
              </w:rPr>
              <w:t>Financing as lease— see DGS</w:t>
            </w:r>
          </w:p>
        </w:tc>
        <w:tc>
          <w:tcPr>
            <w:tcW w:w="1260" w:type="dxa"/>
            <w:tcBorders>
              <w:bottom w:val="nil"/>
            </w:tcBorders>
          </w:tcPr>
          <w:p>
            <w:pPr/>
          </w:p>
        </w:tc>
        <w:tc>
          <w:tcPr>
            <w:tcW w:w="1800" w:type="dxa"/>
            <w:tcBorders>
              <w:bottom w:val="nil"/>
            </w:tcBorders>
          </w:tcPr>
          <w:p>
            <w:pPr/>
          </w:p>
        </w:tc>
        <w:tc>
          <w:tcPr>
            <w:tcW w:w="1349" w:type="dxa"/>
            <w:tcBorders>
              <w:bottom w:val="nil"/>
            </w:tcBorders>
          </w:tcPr>
          <w:p>
            <w:pPr/>
          </w:p>
        </w:tc>
        <w:tc>
          <w:tcPr>
            <w:tcW w:w="1531" w:type="dxa"/>
            <w:tcBorders>
              <w:bottom w:val="nil"/>
            </w:tcBorders>
          </w:tcPr>
          <w:p>
            <w:pPr/>
          </w:p>
        </w:tc>
        <w:tc>
          <w:tcPr>
            <w:tcW w:w="1438" w:type="dxa"/>
            <w:tcBorders>
              <w:bottom w:val="nil"/>
              <w:right w:val="nil"/>
            </w:tcBorders>
          </w:tcPr>
          <w:p>
            <w:pPr/>
          </w:p>
        </w:tc>
      </w:tr>
    </w:tbl>
    <w:p>
      <w:pPr>
        <w:pStyle w:val="BodyText"/>
        <w:spacing w:before="7"/>
        <w:rPr>
          <w:sz w:val="23"/>
        </w:rPr>
      </w:pPr>
    </w:p>
    <w:p>
      <w:pPr>
        <w:pStyle w:val="BodyText"/>
        <w:ind w:left="820"/>
      </w:pPr>
      <w:r>
        <w:rPr/>
        <w:t>(Continued)</w:t>
      </w:r>
    </w:p>
    <w:p>
      <w:pPr>
        <w:spacing w:after="0"/>
        <w:sectPr>
          <w:footerReference w:type="default" r:id="rId211"/>
          <w:pgSz w:w="12240" w:h="15840"/>
          <w:pgMar w:footer="1068" w:header="724" w:top="980" w:bottom="1260" w:left="620" w:right="420"/>
        </w:sectPr>
      </w:pPr>
    </w:p>
    <w:p>
      <w:pPr>
        <w:pStyle w:val="BodyText"/>
        <w:rPr>
          <w:sz w:val="20"/>
        </w:rPr>
      </w:pPr>
    </w:p>
    <w:p>
      <w:pPr>
        <w:pStyle w:val="BodyText"/>
        <w:spacing w:before="214"/>
        <w:ind w:left="820"/>
      </w:pPr>
      <w:r>
        <w:rPr/>
        <w:t>(Continued)</w:t>
      </w:r>
    </w:p>
    <w:p>
      <w:pPr>
        <w:pStyle w:val="BodyText"/>
        <w:spacing w:before="4"/>
      </w:pPr>
    </w:p>
    <w:tbl>
      <w:tblPr>
        <w:tblW w:w="0" w:type="auto"/>
        <w:jc w:val="left"/>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88"/>
        <w:gridCol w:w="1080"/>
        <w:gridCol w:w="1711"/>
        <w:gridCol w:w="1260"/>
        <w:gridCol w:w="1620"/>
        <w:gridCol w:w="1258"/>
      </w:tblGrid>
      <w:tr>
        <w:trPr>
          <w:trHeight w:val="871" w:hRule="exact"/>
        </w:trPr>
        <w:tc>
          <w:tcPr>
            <w:tcW w:w="2988" w:type="dxa"/>
            <w:tcBorders>
              <w:top w:val="nil"/>
              <w:left w:val="nil"/>
              <w:right w:val="nil"/>
            </w:tcBorders>
            <w:shd w:val="clear" w:color="auto" w:fill="DADADA"/>
          </w:tcPr>
          <w:p>
            <w:pPr/>
          </w:p>
        </w:tc>
        <w:tc>
          <w:tcPr>
            <w:tcW w:w="1080" w:type="dxa"/>
            <w:tcBorders>
              <w:top w:val="nil"/>
              <w:left w:val="nil"/>
              <w:right w:val="nil"/>
            </w:tcBorders>
            <w:shd w:val="clear" w:color="auto" w:fill="DADADA"/>
          </w:tcPr>
          <w:p>
            <w:pPr>
              <w:pStyle w:val="TableParagraph"/>
              <w:spacing w:before="12"/>
              <w:ind w:left="127" w:right="124" w:hanging="2"/>
              <w:jc w:val="center"/>
              <w:rPr>
                <w:b/>
                <w:sz w:val="24"/>
              </w:rPr>
            </w:pPr>
            <w:r>
              <w:rPr>
                <w:b/>
                <w:sz w:val="24"/>
              </w:rPr>
              <w:t>Annual Budget Act</w:t>
            </w:r>
          </w:p>
        </w:tc>
        <w:tc>
          <w:tcPr>
            <w:tcW w:w="1711" w:type="dxa"/>
            <w:tcBorders>
              <w:top w:val="nil"/>
              <w:left w:val="nil"/>
              <w:right w:val="nil"/>
            </w:tcBorders>
            <w:shd w:val="clear" w:color="auto" w:fill="DADADA"/>
          </w:tcPr>
          <w:p>
            <w:pPr>
              <w:pStyle w:val="TableParagraph"/>
              <w:spacing w:before="151"/>
              <w:ind w:left="554" w:right="129" w:hanging="406"/>
              <w:rPr>
                <w:b/>
                <w:sz w:val="24"/>
              </w:rPr>
            </w:pPr>
            <w:r>
              <w:rPr>
                <w:b/>
                <w:sz w:val="24"/>
              </w:rPr>
              <w:t>Government Code</w:t>
            </w:r>
          </w:p>
        </w:tc>
        <w:tc>
          <w:tcPr>
            <w:tcW w:w="1260" w:type="dxa"/>
            <w:tcBorders>
              <w:top w:val="nil"/>
              <w:left w:val="nil"/>
              <w:right w:val="nil"/>
            </w:tcBorders>
            <w:shd w:val="clear" w:color="auto" w:fill="DADADA"/>
          </w:tcPr>
          <w:p>
            <w:pPr>
              <w:pStyle w:val="TableParagraph"/>
              <w:spacing w:before="12"/>
              <w:ind w:left="134" w:right="136" w:hanging="2"/>
              <w:jc w:val="center"/>
              <w:rPr>
                <w:b/>
                <w:sz w:val="24"/>
              </w:rPr>
            </w:pPr>
            <w:r>
              <w:rPr>
                <w:b/>
                <w:sz w:val="24"/>
              </w:rPr>
              <w:t>Public Contract Code</w:t>
            </w:r>
          </w:p>
        </w:tc>
        <w:tc>
          <w:tcPr>
            <w:tcW w:w="1620" w:type="dxa"/>
            <w:tcBorders>
              <w:top w:val="nil"/>
              <w:left w:val="nil"/>
              <w:right w:val="nil"/>
            </w:tcBorders>
            <w:shd w:val="clear" w:color="auto" w:fill="DADADA"/>
          </w:tcPr>
          <w:p>
            <w:pPr>
              <w:pStyle w:val="TableParagraph"/>
              <w:spacing w:before="12"/>
              <w:ind w:left="191" w:right="198" w:firstLine="2"/>
              <w:jc w:val="center"/>
              <w:rPr>
                <w:b/>
                <w:sz w:val="24"/>
              </w:rPr>
            </w:pPr>
            <w:r>
              <w:rPr>
                <w:b/>
                <w:sz w:val="24"/>
              </w:rPr>
              <w:t>Public Resources Code</w:t>
            </w:r>
          </w:p>
        </w:tc>
        <w:tc>
          <w:tcPr>
            <w:tcW w:w="1258" w:type="dxa"/>
            <w:tcBorders>
              <w:top w:val="nil"/>
              <w:left w:val="nil"/>
              <w:right w:val="nil"/>
            </w:tcBorders>
            <w:shd w:val="clear" w:color="auto" w:fill="DADADA"/>
          </w:tcPr>
          <w:p>
            <w:pPr>
              <w:pStyle w:val="TableParagraph"/>
              <w:spacing w:before="1"/>
              <w:rPr>
                <w:sz w:val="25"/>
              </w:rPr>
            </w:pPr>
          </w:p>
          <w:p>
            <w:pPr>
              <w:pStyle w:val="TableParagraph"/>
              <w:ind w:left="307"/>
              <w:rPr>
                <w:b/>
                <w:sz w:val="24"/>
              </w:rPr>
            </w:pPr>
            <w:r>
              <w:rPr>
                <w:b/>
                <w:sz w:val="24"/>
              </w:rPr>
              <w:t>Other</w:t>
            </w:r>
          </w:p>
        </w:tc>
      </w:tr>
      <w:tr>
        <w:trPr>
          <w:trHeight w:val="878" w:hRule="exact"/>
        </w:trPr>
        <w:tc>
          <w:tcPr>
            <w:tcW w:w="2988" w:type="dxa"/>
            <w:tcBorders>
              <w:left w:val="nil"/>
            </w:tcBorders>
          </w:tcPr>
          <w:p>
            <w:pPr>
              <w:pStyle w:val="TableParagraph"/>
              <w:spacing w:before="151"/>
              <w:ind w:left="108" w:right="878"/>
              <w:rPr>
                <w:sz w:val="24"/>
              </w:rPr>
            </w:pPr>
            <w:r>
              <w:rPr>
                <w:sz w:val="24"/>
              </w:rPr>
              <w:t>DGS &amp; state office buildings</w:t>
            </w:r>
          </w:p>
        </w:tc>
        <w:tc>
          <w:tcPr>
            <w:tcW w:w="1080" w:type="dxa"/>
          </w:tcPr>
          <w:p>
            <w:pPr/>
          </w:p>
        </w:tc>
        <w:tc>
          <w:tcPr>
            <w:tcW w:w="1711" w:type="dxa"/>
          </w:tcPr>
          <w:p>
            <w:pPr>
              <w:pStyle w:val="TableParagraph"/>
              <w:spacing w:before="3"/>
              <w:rPr>
                <w:sz w:val="25"/>
              </w:rPr>
            </w:pPr>
          </w:p>
          <w:p>
            <w:pPr>
              <w:pStyle w:val="TableParagraph"/>
              <w:ind w:left="94" w:right="94"/>
              <w:jc w:val="center"/>
              <w:rPr>
                <w:sz w:val="24"/>
              </w:rPr>
            </w:pPr>
            <w:hyperlink r:id="rId203">
              <w:r>
                <w:rPr>
                  <w:color w:val="0000FF"/>
                  <w:sz w:val="24"/>
                  <w:u w:val="single" w:color="0000FF"/>
                </w:rPr>
                <w:t>6517</w:t>
              </w:r>
            </w:hyperlink>
          </w:p>
        </w:tc>
        <w:tc>
          <w:tcPr>
            <w:tcW w:w="1260" w:type="dxa"/>
          </w:tcPr>
          <w:p>
            <w:pPr/>
          </w:p>
        </w:tc>
        <w:tc>
          <w:tcPr>
            <w:tcW w:w="1620" w:type="dxa"/>
          </w:tcPr>
          <w:p>
            <w:pPr/>
          </w:p>
        </w:tc>
        <w:tc>
          <w:tcPr>
            <w:tcW w:w="1258" w:type="dxa"/>
            <w:tcBorders>
              <w:right w:val="nil"/>
            </w:tcBorders>
          </w:tcPr>
          <w:p>
            <w:pPr/>
          </w:p>
        </w:tc>
      </w:tr>
      <w:tr>
        <w:trPr>
          <w:trHeight w:val="878" w:hRule="exact"/>
        </w:trPr>
        <w:tc>
          <w:tcPr>
            <w:tcW w:w="2988" w:type="dxa"/>
            <w:tcBorders>
              <w:left w:val="nil"/>
            </w:tcBorders>
          </w:tcPr>
          <w:p>
            <w:pPr>
              <w:pStyle w:val="TableParagraph"/>
              <w:spacing w:before="3"/>
              <w:rPr>
                <w:sz w:val="25"/>
              </w:rPr>
            </w:pPr>
          </w:p>
          <w:p>
            <w:pPr>
              <w:pStyle w:val="TableParagraph"/>
              <w:ind w:left="108"/>
              <w:rPr>
                <w:b/>
                <w:sz w:val="24"/>
              </w:rPr>
            </w:pPr>
            <w:r>
              <w:rPr>
                <w:b/>
                <w:sz w:val="24"/>
              </w:rPr>
              <w:t>Department of Finance</w:t>
            </w:r>
          </w:p>
        </w:tc>
        <w:tc>
          <w:tcPr>
            <w:tcW w:w="1080" w:type="dxa"/>
          </w:tcPr>
          <w:p>
            <w:pPr/>
          </w:p>
        </w:tc>
        <w:tc>
          <w:tcPr>
            <w:tcW w:w="1711" w:type="dxa"/>
          </w:tcPr>
          <w:p>
            <w:pPr/>
          </w:p>
        </w:tc>
        <w:tc>
          <w:tcPr>
            <w:tcW w:w="1260" w:type="dxa"/>
          </w:tcPr>
          <w:p>
            <w:pPr/>
          </w:p>
        </w:tc>
        <w:tc>
          <w:tcPr>
            <w:tcW w:w="1620" w:type="dxa"/>
          </w:tcPr>
          <w:p>
            <w:pPr/>
          </w:p>
        </w:tc>
        <w:tc>
          <w:tcPr>
            <w:tcW w:w="1258" w:type="dxa"/>
            <w:tcBorders>
              <w:right w:val="nil"/>
            </w:tcBorders>
          </w:tcPr>
          <w:p>
            <w:pPr/>
          </w:p>
        </w:tc>
      </w:tr>
      <w:tr>
        <w:trPr>
          <w:trHeight w:val="881" w:hRule="exact"/>
        </w:trPr>
        <w:tc>
          <w:tcPr>
            <w:tcW w:w="2988" w:type="dxa"/>
            <w:tcBorders>
              <w:left w:val="nil"/>
            </w:tcBorders>
          </w:tcPr>
          <w:p>
            <w:pPr>
              <w:pStyle w:val="TableParagraph"/>
              <w:spacing w:before="154"/>
              <w:ind w:left="108" w:right="491"/>
              <w:rPr>
                <w:sz w:val="24"/>
              </w:rPr>
            </w:pPr>
            <w:r>
              <w:rPr>
                <w:sz w:val="24"/>
              </w:rPr>
              <w:t>General powers over financial and business</w:t>
            </w:r>
          </w:p>
        </w:tc>
        <w:tc>
          <w:tcPr>
            <w:tcW w:w="1080" w:type="dxa"/>
          </w:tcPr>
          <w:p>
            <w:pPr/>
          </w:p>
        </w:tc>
        <w:tc>
          <w:tcPr>
            <w:tcW w:w="1711" w:type="dxa"/>
          </w:tcPr>
          <w:p>
            <w:pPr>
              <w:pStyle w:val="TableParagraph"/>
              <w:spacing w:before="3"/>
              <w:rPr>
                <w:sz w:val="25"/>
              </w:rPr>
            </w:pPr>
          </w:p>
          <w:p>
            <w:pPr>
              <w:pStyle w:val="TableParagraph"/>
              <w:ind w:left="94" w:right="94"/>
              <w:jc w:val="center"/>
              <w:rPr>
                <w:sz w:val="24"/>
              </w:rPr>
            </w:pPr>
            <w:hyperlink r:id="rId149">
              <w:r>
                <w:rPr>
                  <w:color w:val="0000FF"/>
                  <w:sz w:val="24"/>
                  <w:u w:val="single" w:color="0000FF"/>
                </w:rPr>
                <w:t>13070</w:t>
              </w:r>
            </w:hyperlink>
          </w:p>
        </w:tc>
        <w:tc>
          <w:tcPr>
            <w:tcW w:w="1260" w:type="dxa"/>
          </w:tcPr>
          <w:p>
            <w:pPr/>
          </w:p>
        </w:tc>
        <w:tc>
          <w:tcPr>
            <w:tcW w:w="1620" w:type="dxa"/>
          </w:tcPr>
          <w:p>
            <w:pPr/>
          </w:p>
        </w:tc>
        <w:tc>
          <w:tcPr>
            <w:tcW w:w="1258" w:type="dxa"/>
            <w:tcBorders>
              <w:right w:val="nil"/>
            </w:tcBorders>
          </w:tcPr>
          <w:p>
            <w:pPr/>
          </w:p>
        </w:tc>
      </w:tr>
      <w:tr>
        <w:trPr>
          <w:trHeight w:val="1118" w:hRule="exact"/>
        </w:trPr>
        <w:tc>
          <w:tcPr>
            <w:tcW w:w="2988" w:type="dxa"/>
            <w:tcBorders>
              <w:left w:val="nil"/>
            </w:tcBorders>
          </w:tcPr>
          <w:p>
            <w:pPr>
              <w:pStyle w:val="TableParagraph"/>
              <w:ind w:left="108" w:right="371"/>
              <w:rPr>
                <w:sz w:val="24"/>
              </w:rPr>
            </w:pPr>
            <w:r>
              <w:rPr>
                <w:sz w:val="24"/>
              </w:rPr>
              <w:t>Approve scope changes, bid alternates and prelim.</w:t>
            </w:r>
          </w:p>
          <w:p>
            <w:pPr>
              <w:pStyle w:val="TableParagraph"/>
              <w:spacing w:before="4"/>
              <w:ind w:left="108"/>
              <w:rPr>
                <w:sz w:val="24"/>
              </w:rPr>
            </w:pPr>
            <w:r>
              <w:rPr>
                <w:sz w:val="24"/>
              </w:rPr>
              <w:t>plans; notify Legislature</w:t>
            </w:r>
          </w:p>
        </w:tc>
        <w:tc>
          <w:tcPr>
            <w:tcW w:w="1080" w:type="dxa"/>
          </w:tcPr>
          <w:p>
            <w:pPr/>
          </w:p>
        </w:tc>
        <w:tc>
          <w:tcPr>
            <w:tcW w:w="1711" w:type="dxa"/>
          </w:tcPr>
          <w:p>
            <w:pPr>
              <w:pStyle w:val="TableParagraph"/>
              <w:spacing w:before="6"/>
              <w:rPr>
                <w:sz w:val="35"/>
              </w:rPr>
            </w:pPr>
          </w:p>
          <w:p>
            <w:pPr>
              <w:pStyle w:val="TableParagraph"/>
              <w:ind w:left="93" w:right="94"/>
              <w:jc w:val="center"/>
              <w:rPr>
                <w:sz w:val="24"/>
              </w:rPr>
            </w:pPr>
            <w:hyperlink r:id="rId171">
              <w:r>
                <w:rPr>
                  <w:color w:val="0000FF"/>
                  <w:sz w:val="24"/>
                  <w:u w:val="single" w:color="0000FF"/>
                </w:rPr>
                <w:t>13332.11</w:t>
              </w:r>
            </w:hyperlink>
          </w:p>
        </w:tc>
        <w:tc>
          <w:tcPr>
            <w:tcW w:w="1260" w:type="dxa"/>
          </w:tcPr>
          <w:p>
            <w:pPr/>
          </w:p>
        </w:tc>
        <w:tc>
          <w:tcPr>
            <w:tcW w:w="1620" w:type="dxa"/>
          </w:tcPr>
          <w:p>
            <w:pPr/>
          </w:p>
        </w:tc>
        <w:tc>
          <w:tcPr>
            <w:tcW w:w="1258" w:type="dxa"/>
            <w:tcBorders>
              <w:right w:val="nil"/>
            </w:tcBorders>
          </w:tcPr>
          <w:p>
            <w:pPr/>
          </w:p>
        </w:tc>
      </w:tr>
      <w:tr>
        <w:trPr>
          <w:trHeight w:val="878" w:hRule="exact"/>
        </w:trPr>
        <w:tc>
          <w:tcPr>
            <w:tcW w:w="2988" w:type="dxa"/>
            <w:tcBorders>
              <w:left w:val="nil"/>
            </w:tcBorders>
          </w:tcPr>
          <w:p>
            <w:pPr>
              <w:pStyle w:val="TableParagraph"/>
              <w:spacing w:before="15"/>
              <w:ind w:left="108" w:right="838"/>
              <w:rPr>
                <w:sz w:val="24"/>
              </w:rPr>
            </w:pPr>
            <w:r>
              <w:rPr>
                <w:sz w:val="24"/>
              </w:rPr>
              <w:t>Transfer of unused balance</w:t>
            </w:r>
          </w:p>
          <w:p>
            <w:pPr>
              <w:pStyle w:val="TableParagraph"/>
              <w:spacing w:line="274" w:lineRule="exact"/>
              <w:ind w:left="108"/>
              <w:rPr>
                <w:i/>
                <w:sz w:val="24"/>
              </w:rPr>
            </w:pPr>
            <w:r>
              <w:rPr>
                <w:i/>
                <w:sz w:val="24"/>
              </w:rPr>
              <w:t>(see also PWB above)</w:t>
            </w:r>
          </w:p>
        </w:tc>
        <w:tc>
          <w:tcPr>
            <w:tcW w:w="1080" w:type="dxa"/>
          </w:tcPr>
          <w:p>
            <w:pPr/>
          </w:p>
        </w:tc>
        <w:tc>
          <w:tcPr>
            <w:tcW w:w="1711" w:type="dxa"/>
          </w:tcPr>
          <w:p>
            <w:pPr>
              <w:pStyle w:val="TableParagraph"/>
              <w:spacing w:before="3"/>
              <w:rPr>
                <w:sz w:val="25"/>
              </w:rPr>
            </w:pPr>
          </w:p>
          <w:p>
            <w:pPr>
              <w:pStyle w:val="TableParagraph"/>
              <w:ind w:left="94" w:right="94"/>
              <w:jc w:val="center"/>
              <w:rPr>
                <w:sz w:val="24"/>
              </w:rPr>
            </w:pPr>
            <w:hyperlink r:id="rId177">
              <w:r>
                <w:rPr>
                  <w:color w:val="0000FF"/>
                  <w:sz w:val="24"/>
                  <w:u w:val="single" w:color="0000FF"/>
                </w:rPr>
                <w:t>15812</w:t>
              </w:r>
            </w:hyperlink>
          </w:p>
        </w:tc>
        <w:tc>
          <w:tcPr>
            <w:tcW w:w="1260" w:type="dxa"/>
          </w:tcPr>
          <w:p>
            <w:pPr/>
          </w:p>
        </w:tc>
        <w:tc>
          <w:tcPr>
            <w:tcW w:w="1620" w:type="dxa"/>
          </w:tcPr>
          <w:p>
            <w:pPr/>
          </w:p>
        </w:tc>
        <w:tc>
          <w:tcPr>
            <w:tcW w:w="1258" w:type="dxa"/>
            <w:tcBorders>
              <w:right w:val="nil"/>
            </w:tcBorders>
          </w:tcPr>
          <w:p>
            <w:pPr/>
          </w:p>
        </w:tc>
      </w:tr>
      <w:tr>
        <w:trPr>
          <w:trHeight w:val="878" w:hRule="exact"/>
        </w:trPr>
        <w:tc>
          <w:tcPr>
            <w:tcW w:w="2988" w:type="dxa"/>
            <w:tcBorders>
              <w:left w:val="nil"/>
            </w:tcBorders>
          </w:tcPr>
          <w:p>
            <w:pPr>
              <w:pStyle w:val="TableParagraph"/>
              <w:spacing w:before="3"/>
              <w:rPr>
                <w:sz w:val="25"/>
              </w:rPr>
            </w:pPr>
          </w:p>
          <w:p>
            <w:pPr>
              <w:pStyle w:val="TableParagraph"/>
              <w:ind w:left="108"/>
              <w:rPr>
                <w:sz w:val="24"/>
              </w:rPr>
            </w:pPr>
            <w:r>
              <w:rPr>
                <w:sz w:val="24"/>
              </w:rPr>
              <w:t>Administers PWB</w:t>
            </w:r>
          </w:p>
        </w:tc>
        <w:tc>
          <w:tcPr>
            <w:tcW w:w="1080" w:type="dxa"/>
          </w:tcPr>
          <w:p>
            <w:pPr/>
          </w:p>
        </w:tc>
        <w:tc>
          <w:tcPr>
            <w:tcW w:w="1711" w:type="dxa"/>
          </w:tcPr>
          <w:p>
            <w:pPr>
              <w:pStyle w:val="TableParagraph"/>
              <w:spacing w:before="3"/>
              <w:rPr>
                <w:sz w:val="25"/>
              </w:rPr>
            </w:pPr>
          </w:p>
          <w:p>
            <w:pPr>
              <w:pStyle w:val="TableParagraph"/>
              <w:ind w:left="94" w:right="94"/>
              <w:jc w:val="center"/>
              <w:rPr>
                <w:sz w:val="24"/>
              </w:rPr>
            </w:pPr>
            <w:hyperlink r:id="rId170">
              <w:r>
                <w:rPr>
                  <w:color w:val="0000FF"/>
                  <w:sz w:val="24"/>
                  <w:u w:val="single" w:color="0000FF"/>
                </w:rPr>
                <w:t>15792</w:t>
              </w:r>
            </w:hyperlink>
          </w:p>
        </w:tc>
        <w:tc>
          <w:tcPr>
            <w:tcW w:w="1260" w:type="dxa"/>
          </w:tcPr>
          <w:p>
            <w:pPr/>
          </w:p>
        </w:tc>
        <w:tc>
          <w:tcPr>
            <w:tcW w:w="1620" w:type="dxa"/>
          </w:tcPr>
          <w:p>
            <w:pPr/>
          </w:p>
        </w:tc>
        <w:tc>
          <w:tcPr>
            <w:tcW w:w="1258" w:type="dxa"/>
            <w:tcBorders>
              <w:right w:val="nil"/>
            </w:tcBorders>
          </w:tcPr>
          <w:p>
            <w:pPr/>
          </w:p>
        </w:tc>
      </w:tr>
      <w:tr>
        <w:trPr>
          <w:trHeight w:val="881" w:hRule="exact"/>
        </w:trPr>
        <w:tc>
          <w:tcPr>
            <w:tcW w:w="2988" w:type="dxa"/>
            <w:tcBorders>
              <w:left w:val="nil"/>
            </w:tcBorders>
          </w:tcPr>
          <w:p>
            <w:pPr>
              <w:pStyle w:val="TableParagraph"/>
              <w:spacing w:before="154"/>
              <w:ind w:left="108" w:right="331"/>
              <w:rPr>
                <w:sz w:val="24"/>
              </w:rPr>
            </w:pPr>
            <w:r>
              <w:rPr>
                <w:sz w:val="24"/>
              </w:rPr>
              <w:t>Report on capital outlay plan</w:t>
            </w:r>
          </w:p>
        </w:tc>
        <w:tc>
          <w:tcPr>
            <w:tcW w:w="1080" w:type="dxa"/>
          </w:tcPr>
          <w:p>
            <w:pPr/>
          </w:p>
        </w:tc>
        <w:tc>
          <w:tcPr>
            <w:tcW w:w="1711" w:type="dxa"/>
          </w:tcPr>
          <w:p>
            <w:pPr>
              <w:pStyle w:val="TableParagraph"/>
              <w:spacing w:before="154"/>
              <w:ind w:left="511"/>
              <w:rPr>
                <w:sz w:val="24"/>
              </w:rPr>
            </w:pPr>
            <w:hyperlink r:id="rId206">
              <w:r>
                <w:rPr>
                  <w:color w:val="0000FF"/>
                  <w:sz w:val="24"/>
                  <w:u w:val="single" w:color="0000FF"/>
                </w:rPr>
                <w:t>13100</w:t>
              </w:r>
            </w:hyperlink>
          </w:p>
          <w:p>
            <w:pPr>
              <w:pStyle w:val="TableParagraph"/>
              <w:ind w:left="487"/>
              <w:rPr>
                <w:sz w:val="24"/>
              </w:rPr>
            </w:pPr>
            <w:r>
              <w:rPr>
                <w:sz w:val="24"/>
              </w:rPr>
              <w:t>et seq.</w:t>
            </w:r>
          </w:p>
        </w:tc>
        <w:tc>
          <w:tcPr>
            <w:tcW w:w="1260" w:type="dxa"/>
          </w:tcPr>
          <w:p>
            <w:pPr/>
          </w:p>
        </w:tc>
        <w:tc>
          <w:tcPr>
            <w:tcW w:w="1620" w:type="dxa"/>
          </w:tcPr>
          <w:p>
            <w:pPr/>
          </w:p>
        </w:tc>
        <w:tc>
          <w:tcPr>
            <w:tcW w:w="1258" w:type="dxa"/>
            <w:tcBorders>
              <w:right w:val="nil"/>
            </w:tcBorders>
          </w:tcPr>
          <w:p>
            <w:pPr/>
          </w:p>
        </w:tc>
      </w:tr>
      <w:tr>
        <w:trPr>
          <w:trHeight w:val="878" w:hRule="exact"/>
        </w:trPr>
        <w:tc>
          <w:tcPr>
            <w:tcW w:w="2988" w:type="dxa"/>
            <w:tcBorders>
              <w:left w:val="nil"/>
            </w:tcBorders>
          </w:tcPr>
          <w:p>
            <w:pPr>
              <w:pStyle w:val="TableParagraph"/>
              <w:spacing w:before="12"/>
              <w:ind w:left="108" w:right="331"/>
              <w:rPr>
                <w:sz w:val="24"/>
              </w:rPr>
            </w:pPr>
            <w:r>
              <w:rPr>
                <w:sz w:val="24"/>
              </w:rPr>
              <w:t>Report on capital outlay for</w:t>
            </w:r>
          </w:p>
          <w:p>
            <w:pPr>
              <w:pStyle w:val="TableParagraph"/>
              <w:ind w:left="108"/>
              <w:rPr>
                <w:sz w:val="24"/>
              </w:rPr>
            </w:pPr>
            <w:r>
              <w:rPr>
                <w:sz w:val="24"/>
              </w:rPr>
              <w:t>cogeneration</w:t>
            </w:r>
          </w:p>
        </w:tc>
        <w:tc>
          <w:tcPr>
            <w:tcW w:w="1080" w:type="dxa"/>
          </w:tcPr>
          <w:p>
            <w:pPr/>
          </w:p>
        </w:tc>
        <w:tc>
          <w:tcPr>
            <w:tcW w:w="1711" w:type="dxa"/>
          </w:tcPr>
          <w:p>
            <w:pPr>
              <w:pStyle w:val="TableParagraph"/>
              <w:spacing w:before="151"/>
              <w:ind w:left="94" w:right="94"/>
              <w:jc w:val="center"/>
              <w:rPr>
                <w:sz w:val="24"/>
              </w:rPr>
            </w:pPr>
            <w:hyperlink r:id="rId219">
              <w:r>
                <w:rPr>
                  <w:color w:val="0000FF"/>
                  <w:sz w:val="24"/>
                  <w:u w:val="single" w:color="0000FF"/>
                </w:rPr>
                <w:t>13304</w:t>
              </w:r>
            </w:hyperlink>
          </w:p>
        </w:tc>
        <w:tc>
          <w:tcPr>
            <w:tcW w:w="1260" w:type="dxa"/>
          </w:tcPr>
          <w:p>
            <w:pPr/>
          </w:p>
        </w:tc>
        <w:tc>
          <w:tcPr>
            <w:tcW w:w="1620" w:type="dxa"/>
          </w:tcPr>
          <w:p>
            <w:pPr/>
          </w:p>
        </w:tc>
        <w:tc>
          <w:tcPr>
            <w:tcW w:w="1258" w:type="dxa"/>
            <w:tcBorders>
              <w:right w:val="nil"/>
            </w:tcBorders>
          </w:tcPr>
          <w:p>
            <w:pPr/>
          </w:p>
        </w:tc>
      </w:tr>
      <w:tr>
        <w:trPr>
          <w:trHeight w:val="878" w:hRule="exact"/>
        </w:trPr>
        <w:tc>
          <w:tcPr>
            <w:tcW w:w="2988" w:type="dxa"/>
            <w:tcBorders>
              <w:left w:val="nil"/>
            </w:tcBorders>
          </w:tcPr>
          <w:p>
            <w:pPr>
              <w:pStyle w:val="TableParagraph"/>
              <w:spacing w:before="15"/>
              <w:ind w:left="108" w:right="398"/>
              <w:rPr>
                <w:sz w:val="24"/>
              </w:rPr>
            </w:pPr>
            <w:r>
              <w:rPr>
                <w:sz w:val="24"/>
              </w:rPr>
              <w:t>Time-frames for capital outlay budget adjustments</w:t>
            </w:r>
          </w:p>
        </w:tc>
        <w:tc>
          <w:tcPr>
            <w:tcW w:w="1080" w:type="dxa"/>
          </w:tcPr>
          <w:p>
            <w:pPr/>
          </w:p>
        </w:tc>
        <w:tc>
          <w:tcPr>
            <w:tcW w:w="1711" w:type="dxa"/>
          </w:tcPr>
          <w:p>
            <w:pPr>
              <w:pStyle w:val="TableParagraph"/>
              <w:spacing w:before="3"/>
              <w:rPr>
                <w:sz w:val="25"/>
              </w:rPr>
            </w:pPr>
          </w:p>
          <w:p>
            <w:pPr>
              <w:pStyle w:val="TableParagraph"/>
              <w:ind w:left="94" w:right="94"/>
              <w:jc w:val="center"/>
              <w:rPr>
                <w:sz w:val="24"/>
              </w:rPr>
            </w:pPr>
            <w:hyperlink r:id="rId220">
              <w:r>
                <w:rPr>
                  <w:color w:val="0000FF"/>
                  <w:sz w:val="24"/>
                  <w:u w:val="single" w:color="0000FF"/>
                </w:rPr>
                <w:t>13308</w:t>
              </w:r>
            </w:hyperlink>
          </w:p>
        </w:tc>
        <w:tc>
          <w:tcPr>
            <w:tcW w:w="1260" w:type="dxa"/>
          </w:tcPr>
          <w:p>
            <w:pPr/>
          </w:p>
        </w:tc>
        <w:tc>
          <w:tcPr>
            <w:tcW w:w="1620" w:type="dxa"/>
          </w:tcPr>
          <w:p>
            <w:pPr/>
          </w:p>
        </w:tc>
        <w:tc>
          <w:tcPr>
            <w:tcW w:w="1258" w:type="dxa"/>
            <w:tcBorders>
              <w:right w:val="nil"/>
            </w:tcBorders>
          </w:tcPr>
          <w:p>
            <w:pPr/>
          </w:p>
        </w:tc>
      </w:tr>
      <w:tr>
        <w:trPr>
          <w:trHeight w:val="878" w:hRule="exact"/>
        </w:trPr>
        <w:tc>
          <w:tcPr>
            <w:tcW w:w="2988" w:type="dxa"/>
            <w:tcBorders>
              <w:left w:val="nil"/>
            </w:tcBorders>
          </w:tcPr>
          <w:p>
            <w:pPr>
              <w:pStyle w:val="TableParagraph"/>
              <w:spacing w:before="15"/>
              <w:ind w:left="108" w:right="238"/>
              <w:rPr>
                <w:sz w:val="24"/>
              </w:rPr>
            </w:pPr>
            <w:r>
              <w:rPr>
                <w:sz w:val="24"/>
              </w:rPr>
              <w:t>Adjustment of dollar threshold of “project” per Public Contract Code</w:t>
            </w:r>
          </w:p>
        </w:tc>
        <w:tc>
          <w:tcPr>
            <w:tcW w:w="1080" w:type="dxa"/>
          </w:tcPr>
          <w:p>
            <w:pPr/>
          </w:p>
        </w:tc>
        <w:tc>
          <w:tcPr>
            <w:tcW w:w="1711" w:type="dxa"/>
          </w:tcPr>
          <w:p>
            <w:pPr/>
          </w:p>
        </w:tc>
        <w:tc>
          <w:tcPr>
            <w:tcW w:w="1260" w:type="dxa"/>
          </w:tcPr>
          <w:p>
            <w:pPr>
              <w:pStyle w:val="TableParagraph"/>
              <w:spacing w:before="3"/>
              <w:rPr>
                <w:sz w:val="25"/>
              </w:rPr>
            </w:pPr>
          </w:p>
          <w:p>
            <w:pPr>
              <w:pStyle w:val="TableParagraph"/>
              <w:ind w:left="128" w:right="128"/>
              <w:jc w:val="center"/>
              <w:rPr>
                <w:sz w:val="24"/>
              </w:rPr>
            </w:pPr>
            <w:hyperlink r:id="rId221">
              <w:r>
                <w:rPr>
                  <w:color w:val="0000FF"/>
                  <w:sz w:val="24"/>
                  <w:u w:val="single" w:color="0000FF"/>
                </w:rPr>
                <w:t>10105</w:t>
              </w:r>
            </w:hyperlink>
          </w:p>
        </w:tc>
        <w:tc>
          <w:tcPr>
            <w:tcW w:w="1620" w:type="dxa"/>
          </w:tcPr>
          <w:p>
            <w:pPr/>
          </w:p>
        </w:tc>
        <w:tc>
          <w:tcPr>
            <w:tcW w:w="1258" w:type="dxa"/>
            <w:tcBorders>
              <w:right w:val="nil"/>
            </w:tcBorders>
          </w:tcPr>
          <w:p>
            <w:pPr/>
          </w:p>
        </w:tc>
      </w:tr>
      <w:tr>
        <w:trPr>
          <w:trHeight w:val="874" w:hRule="exact"/>
        </w:trPr>
        <w:tc>
          <w:tcPr>
            <w:tcW w:w="2988" w:type="dxa"/>
            <w:tcBorders>
              <w:left w:val="nil"/>
              <w:bottom w:val="nil"/>
            </w:tcBorders>
          </w:tcPr>
          <w:p>
            <w:pPr>
              <w:pStyle w:val="TableParagraph"/>
              <w:spacing w:before="3"/>
              <w:rPr>
                <w:sz w:val="25"/>
              </w:rPr>
            </w:pPr>
          </w:p>
          <w:p>
            <w:pPr>
              <w:pStyle w:val="TableParagraph"/>
              <w:ind w:left="108"/>
              <w:rPr>
                <w:sz w:val="24"/>
              </w:rPr>
            </w:pPr>
            <w:r>
              <w:rPr>
                <w:sz w:val="24"/>
              </w:rPr>
              <w:t>Bid alternates—approval</w:t>
            </w:r>
          </w:p>
        </w:tc>
        <w:tc>
          <w:tcPr>
            <w:tcW w:w="1080" w:type="dxa"/>
            <w:tcBorders>
              <w:bottom w:val="nil"/>
            </w:tcBorders>
          </w:tcPr>
          <w:p>
            <w:pPr/>
          </w:p>
        </w:tc>
        <w:tc>
          <w:tcPr>
            <w:tcW w:w="1711" w:type="dxa"/>
            <w:tcBorders>
              <w:bottom w:val="nil"/>
            </w:tcBorders>
          </w:tcPr>
          <w:p>
            <w:pPr>
              <w:pStyle w:val="TableParagraph"/>
              <w:spacing w:before="3"/>
              <w:rPr>
                <w:sz w:val="25"/>
              </w:rPr>
            </w:pPr>
          </w:p>
          <w:p>
            <w:pPr>
              <w:pStyle w:val="TableParagraph"/>
              <w:ind w:left="94" w:right="94"/>
              <w:jc w:val="center"/>
              <w:rPr>
                <w:sz w:val="24"/>
              </w:rPr>
            </w:pPr>
            <w:hyperlink r:id="rId171">
              <w:r>
                <w:rPr>
                  <w:color w:val="0000FF"/>
                  <w:sz w:val="24"/>
                  <w:u w:val="single" w:color="0000FF"/>
                </w:rPr>
                <w:t>13332.11(b)</w:t>
              </w:r>
            </w:hyperlink>
          </w:p>
        </w:tc>
        <w:tc>
          <w:tcPr>
            <w:tcW w:w="1260" w:type="dxa"/>
            <w:tcBorders>
              <w:bottom w:val="nil"/>
            </w:tcBorders>
          </w:tcPr>
          <w:p>
            <w:pPr>
              <w:pStyle w:val="TableParagraph"/>
              <w:spacing w:before="3"/>
              <w:rPr>
                <w:sz w:val="25"/>
              </w:rPr>
            </w:pPr>
          </w:p>
          <w:p>
            <w:pPr>
              <w:pStyle w:val="TableParagraph"/>
              <w:ind w:left="128" w:right="128"/>
              <w:jc w:val="center"/>
              <w:rPr>
                <w:sz w:val="24"/>
              </w:rPr>
            </w:pPr>
            <w:hyperlink r:id="rId222">
              <w:r>
                <w:rPr>
                  <w:color w:val="0000FF"/>
                  <w:sz w:val="24"/>
                  <w:u w:val="single" w:color="0000FF"/>
                </w:rPr>
                <w:t>10126</w:t>
              </w:r>
            </w:hyperlink>
          </w:p>
        </w:tc>
        <w:tc>
          <w:tcPr>
            <w:tcW w:w="1620" w:type="dxa"/>
            <w:tcBorders>
              <w:bottom w:val="nil"/>
            </w:tcBorders>
          </w:tcPr>
          <w:p>
            <w:pPr/>
          </w:p>
        </w:tc>
        <w:tc>
          <w:tcPr>
            <w:tcW w:w="1258" w:type="dxa"/>
            <w:tcBorders>
              <w:bottom w:val="nil"/>
              <w:right w:val="nil"/>
            </w:tcBorders>
          </w:tcPr>
          <w:p>
            <w:pPr/>
          </w:p>
        </w:tc>
      </w:tr>
    </w:tbl>
    <w:p>
      <w:pPr>
        <w:pStyle w:val="BodyText"/>
        <w:spacing w:before="7"/>
        <w:rPr>
          <w:sz w:val="23"/>
        </w:rPr>
      </w:pPr>
    </w:p>
    <w:p>
      <w:pPr>
        <w:pStyle w:val="BodyText"/>
        <w:ind w:left="820"/>
      </w:pPr>
      <w:r>
        <w:rPr/>
        <w:t>(Continued)</w:t>
      </w:r>
    </w:p>
    <w:p>
      <w:pPr>
        <w:spacing w:after="0"/>
        <w:sectPr>
          <w:footerReference w:type="default" r:id="rId218"/>
          <w:pgSz w:w="12240" w:h="15840"/>
          <w:pgMar w:footer="1068" w:header="724" w:top="980" w:bottom="1260" w:left="620" w:right="780"/>
        </w:sectPr>
      </w:pPr>
    </w:p>
    <w:p>
      <w:pPr>
        <w:pStyle w:val="BodyText"/>
        <w:rPr>
          <w:sz w:val="20"/>
        </w:rPr>
      </w:pPr>
    </w:p>
    <w:p>
      <w:pPr>
        <w:pStyle w:val="BodyText"/>
        <w:spacing w:before="214"/>
        <w:ind w:left="820"/>
      </w:pPr>
      <w:r>
        <w:rPr/>
        <w:t>(Continued)</w:t>
      </w:r>
    </w:p>
    <w:p>
      <w:pPr>
        <w:pStyle w:val="BodyText"/>
        <w:spacing w:before="4"/>
      </w:pPr>
    </w:p>
    <w:tbl>
      <w:tblPr>
        <w:tblW w:w="0" w:type="auto"/>
        <w:jc w:val="left"/>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88"/>
        <w:gridCol w:w="1080"/>
        <w:gridCol w:w="1800"/>
        <w:gridCol w:w="1620"/>
        <w:gridCol w:w="1531"/>
        <w:gridCol w:w="989"/>
      </w:tblGrid>
      <w:tr>
        <w:trPr>
          <w:trHeight w:val="835" w:hRule="exact"/>
        </w:trPr>
        <w:tc>
          <w:tcPr>
            <w:tcW w:w="2988" w:type="dxa"/>
            <w:tcBorders>
              <w:top w:val="nil"/>
              <w:left w:val="nil"/>
              <w:right w:val="nil"/>
            </w:tcBorders>
            <w:shd w:val="clear" w:color="auto" w:fill="DADADA"/>
          </w:tcPr>
          <w:p>
            <w:pPr/>
          </w:p>
        </w:tc>
        <w:tc>
          <w:tcPr>
            <w:tcW w:w="1080" w:type="dxa"/>
            <w:tcBorders>
              <w:top w:val="nil"/>
              <w:left w:val="nil"/>
              <w:right w:val="nil"/>
            </w:tcBorders>
            <w:shd w:val="clear" w:color="auto" w:fill="DADADA"/>
          </w:tcPr>
          <w:p>
            <w:pPr>
              <w:pStyle w:val="TableParagraph"/>
              <w:ind w:left="127" w:right="124" w:hanging="2"/>
              <w:jc w:val="center"/>
              <w:rPr>
                <w:b/>
                <w:sz w:val="24"/>
              </w:rPr>
            </w:pPr>
            <w:r>
              <w:rPr>
                <w:b/>
                <w:sz w:val="24"/>
              </w:rPr>
              <w:t>Annual Budget Act</w:t>
            </w:r>
          </w:p>
        </w:tc>
        <w:tc>
          <w:tcPr>
            <w:tcW w:w="1800" w:type="dxa"/>
            <w:tcBorders>
              <w:top w:val="nil"/>
              <w:left w:val="nil"/>
              <w:right w:val="nil"/>
            </w:tcBorders>
            <w:shd w:val="clear" w:color="auto" w:fill="DADADA"/>
          </w:tcPr>
          <w:p>
            <w:pPr>
              <w:pStyle w:val="TableParagraph"/>
              <w:spacing w:before="132"/>
              <w:ind w:left="599" w:right="173" w:hanging="406"/>
              <w:rPr>
                <w:b/>
                <w:sz w:val="24"/>
              </w:rPr>
            </w:pPr>
            <w:r>
              <w:rPr>
                <w:b/>
                <w:sz w:val="24"/>
              </w:rPr>
              <w:t>Government Code</w:t>
            </w:r>
          </w:p>
        </w:tc>
        <w:tc>
          <w:tcPr>
            <w:tcW w:w="1620" w:type="dxa"/>
            <w:tcBorders>
              <w:top w:val="nil"/>
              <w:left w:val="nil"/>
              <w:right w:val="nil"/>
            </w:tcBorders>
            <w:shd w:val="clear" w:color="auto" w:fill="DADADA"/>
          </w:tcPr>
          <w:p>
            <w:pPr>
              <w:pStyle w:val="TableParagraph"/>
              <w:ind w:left="316" w:right="314" w:hanging="2"/>
              <w:jc w:val="center"/>
              <w:rPr>
                <w:b/>
                <w:sz w:val="24"/>
              </w:rPr>
            </w:pPr>
            <w:r>
              <w:rPr>
                <w:b/>
                <w:sz w:val="24"/>
              </w:rPr>
              <w:t>Public Contract Code</w:t>
            </w:r>
          </w:p>
        </w:tc>
        <w:tc>
          <w:tcPr>
            <w:tcW w:w="1531" w:type="dxa"/>
            <w:tcBorders>
              <w:top w:val="nil"/>
              <w:left w:val="nil"/>
              <w:right w:val="nil"/>
            </w:tcBorders>
            <w:shd w:val="clear" w:color="auto" w:fill="DADADA"/>
          </w:tcPr>
          <w:p>
            <w:pPr>
              <w:pStyle w:val="TableParagraph"/>
              <w:ind w:left="148" w:right="152" w:firstLine="2"/>
              <w:jc w:val="center"/>
              <w:rPr>
                <w:b/>
                <w:sz w:val="24"/>
              </w:rPr>
            </w:pPr>
            <w:r>
              <w:rPr>
                <w:b/>
                <w:sz w:val="24"/>
              </w:rPr>
              <w:t>Public Resources Code</w:t>
            </w:r>
          </w:p>
        </w:tc>
        <w:tc>
          <w:tcPr>
            <w:tcW w:w="989" w:type="dxa"/>
            <w:tcBorders>
              <w:top w:val="nil"/>
              <w:left w:val="nil"/>
              <w:right w:val="nil"/>
            </w:tcBorders>
            <w:shd w:val="clear" w:color="auto" w:fill="DADADA"/>
          </w:tcPr>
          <w:p>
            <w:pPr>
              <w:pStyle w:val="TableParagraph"/>
              <w:spacing w:before="7"/>
              <w:rPr>
                <w:sz w:val="23"/>
              </w:rPr>
            </w:pPr>
          </w:p>
          <w:p>
            <w:pPr>
              <w:pStyle w:val="TableParagraph"/>
              <w:ind w:left="170"/>
              <w:rPr>
                <w:b/>
                <w:sz w:val="24"/>
              </w:rPr>
            </w:pPr>
            <w:r>
              <w:rPr>
                <w:b/>
                <w:sz w:val="24"/>
              </w:rPr>
              <w:t>Other</w:t>
            </w:r>
          </w:p>
        </w:tc>
      </w:tr>
      <w:tr>
        <w:trPr>
          <w:trHeight w:val="590" w:hRule="exact"/>
        </w:trPr>
        <w:tc>
          <w:tcPr>
            <w:tcW w:w="2988" w:type="dxa"/>
            <w:tcBorders>
              <w:left w:val="nil"/>
            </w:tcBorders>
          </w:tcPr>
          <w:p>
            <w:pPr>
              <w:pStyle w:val="TableParagraph"/>
              <w:spacing w:line="275" w:lineRule="exact" w:before="7"/>
              <w:ind w:left="108"/>
              <w:rPr>
                <w:b/>
                <w:sz w:val="24"/>
              </w:rPr>
            </w:pPr>
            <w:r>
              <w:rPr>
                <w:b/>
                <w:sz w:val="24"/>
              </w:rPr>
              <w:t>Department of Finance</w:t>
            </w:r>
          </w:p>
          <w:p>
            <w:pPr>
              <w:pStyle w:val="TableParagraph"/>
              <w:spacing w:line="275" w:lineRule="exact"/>
              <w:ind w:left="108"/>
              <w:rPr>
                <w:i/>
                <w:sz w:val="24"/>
              </w:rPr>
            </w:pPr>
            <w:r>
              <w:rPr>
                <w:i/>
                <w:sz w:val="24"/>
              </w:rPr>
              <w:t>(cont.)</w:t>
            </w:r>
          </w:p>
        </w:tc>
        <w:tc>
          <w:tcPr>
            <w:tcW w:w="1080" w:type="dxa"/>
          </w:tcPr>
          <w:p>
            <w:pPr/>
          </w:p>
        </w:tc>
        <w:tc>
          <w:tcPr>
            <w:tcW w:w="1800" w:type="dxa"/>
          </w:tcPr>
          <w:p>
            <w:pPr/>
          </w:p>
        </w:tc>
        <w:tc>
          <w:tcPr>
            <w:tcW w:w="1620" w:type="dxa"/>
          </w:tcPr>
          <w:p>
            <w:pPr/>
          </w:p>
        </w:tc>
        <w:tc>
          <w:tcPr>
            <w:tcW w:w="1531" w:type="dxa"/>
          </w:tcPr>
          <w:p>
            <w:pPr/>
          </w:p>
        </w:tc>
        <w:tc>
          <w:tcPr>
            <w:tcW w:w="989" w:type="dxa"/>
            <w:tcBorders>
              <w:right w:val="nil"/>
            </w:tcBorders>
          </w:tcPr>
          <w:p>
            <w:pPr/>
          </w:p>
        </w:tc>
      </w:tr>
      <w:tr>
        <w:trPr>
          <w:trHeight w:val="590" w:hRule="exact"/>
        </w:trPr>
        <w:tc>
          <w:tcPr>
            <w:tcW w:w="2988" w:type="dxa"/>
            <w:tcBorders>
              <w:left w:val="nil"/>
            </w:tcBorders>
          </w:tcPr>
          <w:p>
            <w:pPr>
              <w:pStyle w:val="TableParagraph"/>
              <w:spacing w:before="7"/>
              <w:ind w:left="108" w:right="117"/>
              <w:rPr>
                <w:sz w:val="24"/>
              </w:rPr>
            </w:pPr>
            <w:r>
              <w:rPr>
                <w:sz w:val="24"/>
              </w:rPr>
              <w:t>Combined bid—allocation of costs</w:t>
            </w:r>
          </w:p>
        </w:tc>
        <w:tc>
          <w:tcPr>
            <w:tcW w:w="1080" w:type="dxa"/>
          </w:tcPr>
          <w:p>
            <w:pPr/>
          </w:p>
        </w:tc>
        <w:tc>
          <w:tcPr>
            <w:tcW w:w="1800" w:type="dxa"/>
          </w:tcPr>
          <w:p>
            <w:pPr/>
          </w:p>
        </w:tc>
        <w:tc>
          <w:tcPr>
            <w:tcW w:w="1620" w:type="dxa"/>
          </w:tcPr>
          <w:p>
            <w:pPr>
              <w:pStyle w:val="TableParagraph"/>
              <w:spacing w:before="147"/>
              <w:ind w:left="314" w:right="314"/>
              <w:jc w:val="center"/>
              <w:rPr>
                <w:sz w:val="24"/>
              </w:rPr>
            </w:pPr>
            <w:hyperlink r:id="rId201">
              <w:r>
                <w:rPr>
                  <w:color w:val="0000FF"/>
                  <w:sz w:val="24"/>
                  <w:u w:val="single" w:color="0000FF"/>
                </w:rPr>
                <w:t>10127</w:t>
              </w:r>
            </w:hyperlink>
          </w:p>
        </w:tc>
        <w:tc>
          <w:tcPr>
            <w:tcW w:w="1531" w:type="dxa"/>
          </w:tcPr>
          <w:p>
            <w:pPr/>
          </w:p>
        </w:tc>
        <w:tc>
          <w:tcPr>
            <w:tcW w:w="989" w:type="dxa"/>
            <w:tcBorders>
              <w:right w:val="nil"/>
            </w:tcBorders>
          </w:tcPr>
          <w:p>
            <w:pPr/>
          </w:p>
        </w:tc>
      </w:tr>
      <w:tr>
        <w:trPr>
          <w:trHeight w:val="845" w:hRule="exact"/>
        </w:trPr>
        <w:tc>
          <w:tcPr>
            <w:tcW w:w="2988" w:type="dxa"/>
            <w:tcBorders>
              <w:left w:val="nil"/>
            </w:tcBorders>
          </w:tcPr>
          <w:p>
            <w:pPr>
              <w:pStyle w:val="TableParagraph"/>
              <w:ind w:left="108" w:right="718"/>
              <w:rPr>
                <w:sz w:val="24"/>
              </w:rPr>
            </w:pPr>
            <w:r>
              <w:rPr>
                <w:sz w:val="24"/>
              </w:rPr>
              <w:t>Approve preliminary plans and working drawings</w:t>
            </w:r>
          </w:p>
        </w:tc>
        <w:tc>
          <w:tcPr>
            <w:tcW w:w="1080" w:type="dxa"/>
          </w:tcPr>
          <w:p>
            <w:pPr/>
          </w:p>
        </w:tc>
        <w:tc>
          <w:tcPr>
            <w:tcW w:w="1800" w:type="dxa"/>
          </w:tcPr>
          <w:p>
            <w:pPr>
              <w:pStyle w:val="TableParagraph"/>
              <w:spacing w:before="9"/>
              <w:rPr>
                <w:sz w:val="23"/>
              </w:rPr>
            </w:pPr>
          </w:p>
          <w:p>
            <w:pPr>
              <w:pStyle w:val="TableParagraph"/>
              <w:ind w:left="85" w:right="85"/>
              <w:jc w:val="center"/>
              <w:rPr>
                <w:sz w:val="24"/>
              </w:rPr>
            </w:pPr>
            <w:hyperlink r:id="rId171">
              <w:r>
                <w:rPr>
                  <w:color w:val="0000FF"/>
                  <w:sz w:val="24"/>
                  <w:u w:val="single" w:color="0000FF"/>
                </w:rPr>
                <w:t>13332.11</w:t>
              </w:r>
            </w:hyperlink>
          </w:p>
        </w:tc>
        <w:tc>
          <w:tcPr>
            <w:tcW w:w="1620" w:type="dxa"/>
          </w:tcPr>
          <w:p>
            <w:pPr/>
          </w:p>
        </w:tc>
        <w:tc>
          <w:tcPr>
            <w:tcW w:w="1531" w:type="dxa"/>
          </w:tcPr>
          <w:p>
            <w:pPr/>
          </w:p>
        </w:tc>
        <w:tc>
          <w:tcPr>
            <w:tcW w:w="989" w:type="dxa"/>
            <w:tcBorders>
              <w:right w:val="nil"/>
            </w:tcBorders>
          </w:tcPr>
          <w:p>
            <w:pPr/>
          </w:p>
        </w:tc>
      </w:tr>
      <w:tr>
        <w:trPr>
          <w:trHeight w:val="590" w:hRule="exact"/>
        </w:trPr>
        <w:tc>
          <w:tcPr>
            <w:tcW w:w="2988" w:type="dxa"/>
            <w:tcBorders>
              <w:left w:val="nil"/>
            </w:tcBorders>
          </w:tcPr>
          <w:p>
            <w:pPr>
              <w:pStyle w:val="TableParagraph"/>
              <w:spacing w:before="144"/>
              <w:ind w:left="108"/>
              <w:rPr>
                <w:b/>
                <w:sz w:val="24"/>
              </w:rPr>
            </w:pPr>
            <w:r>
              <w:rPr>
                <w:b/>
                <w:sz w:val="24"/>
              </w:rPr>
              <w:t>State Treasurer’s Office</w:t>
            </w:r>
          </w:p>
        </w:tc>
        <w:tc>
          <w:tcPr>
            <w:tcW w:w="1080" w:type="dxa"/>
          </w:tcPr>
          <w:p>
            <w:pPr/>
          </w:p>
        </w:tc>
        <w:tc>
          <w:tcPr>
            <w:tcW w:w="1800" w:type="dxa"/>
          </w:tcPr>
          <w:p>
            <w:pPr/>
          </w:p>
        </w:tc>
        <w:tc>
          <w:tcPr>
            <w:tcW w:w="1620" w:type="dxa"/>
          </w:tcPr>
          <w:p>
            <w:pPr/>
          </w:p>
        </w:tc>
        <w:tc>
          <w:tcPr>
            <w:tcW w:w="1531" w:type="dxa"/>
          </w:tcPr>
          <w:p>
            <w:pPr/>
          </w:p>
        </w:tc>
        <w:tc>
          <w:tcPr>
            <w:tcW w:w="989" w:type="dxa"/>
            <w:tcBorders>
              <w:right w:val="nil"/>
            </w:tcBorders>
          </w:tcPr>
          <w:p>
            <w:pPr/>
          </w:p>
        </w:tc>
      </w:tr>
      <w:tr>
        <w:trPr>
          <w:trHeight w:val="590" w:hRule="exact"/>
        </w:trPr>
        <w:tc>
          <w:tcPr>
            <w:tcW w:w="2988" w:type="dxa"/>
            <w:tcBorders>
              <w:left w:val="nil"/>
            </w:tcBorders>
          </w:tcPr>
          <w:p>
            <w:pPr>
              <w:pStyle w:val="TableParagraph"/>
              <w:spacing w:before="147"/>
              <w:ind w:left="108"/>
              <w:rPr>
                <w:sz w:val="24"/>
              </w:rPr>
            </w:pPr>
            <w:r>
              <w:rPr>
                <w:sz w:val="24"/>
              </w:rPr>
              <w:t>As agent for sale</w:t>
            </w:r>
          </w:p>
        </w:tc>
        <w:tc>
          <w:tcPr>
            <w:tcW w:w="1080" w:type="dxa"/>
          </w:tcPr>
          <w:p>
            <w:pPr/>
          </w:p>
        </w:tc>
        <w:tc>
          <w:tcPr>
            <w:tcW w:w="1800" w:type="dxa"/>
          </w:tcPr>
          <w:p>
            <w:pPr>
              <w:pStyle w:val="TableParagraph"/>
              <w:spacing w:before="147"/>
              <w:ind w:left="85" w:right="84"/>
              <w:jc w:val="center"/>
              <w:rPr>
                <w:sz w:val="24"/>
              </w:rPr>
            </w:pPr>
            <w:hyperlink r:id="rId224">
              <w:r>
                <w:rPr>
                  <w:color w:val="0000FF"/>
                  <w:sz w:val="24"/>
                  <w:u w:val="single" w:color="0000FF"/>
                </w:rPr>
                <w:t>5700</w:t>
              </w:r>
            </w:hyperlink>
          </w:p>
        </w:tc>
        <w:tc>
          <w:tcPr>
            <w:tcW w:w="1620" w:type="dxa"/>
          </w:tcPr>
          <w:p>
            <w:pPr/>
          </w:p>
        </w:tc>
        <w:tc>
          <w:tcPr>
            <w:tcW w:w="1531" w:type="dxa"/>
          </w:tcPr>
          <w:p>
            <w:pPr/>
          </w:p>
        </w:tc>
        <w:tc>
          <w:tcPr>
            <w:tcW w:w="989" w:type="dxa"/>
            <w:tcBorders>
              <w:right w:val="nil"/>
            </w:tcBorders>
          </w:tcPr>
          <w:p>
            <w:pPr/>
          </w:p>
        </w:tc>
      </w:tr>
      <w:tr>
        <w:trPr>
          <w:trHeight w:val="590" w:hRule="exact"/>
        </w:trPr>
        <w:tc>
          <w:tcPr>
            <w:tcW w:w="2988" w:type="dxa"/>
            <w:tcBorders>
              <w:left w:val="nil"/>
            </w:tcBorders>
          </w:tcPr>
          <w:p>
            <w:pPr>
              <w:pStyle w:val="TableParagraph"/>
              <w:spacing w:line="242" w:lineRule="auto" w:before="5"/>
              <w:ind w:left="108" w:right="744"/>
              <w:rPr>
                <w:sz w:val="24"/>
              </w:rPr>
            </w:pPr>
            <w:r>
              <w:rPr>
                <w:sz w:val="24"/>
              </w:rPr>
              <w:t>See also </w:t>
            </w:r>
            <w:r>
              <w:rPr>
                <w:i/>
                <w:sz w:val="24"/>
              </w:rPr>
              <w:t>Financing</w:t>
            </w:r>
            <w:r>
              <w:rPr>
                <w:sz w:val="24"/>
              </w:rPr>
              <w:t>, above</w:t>
            </w:r>
          </w:p>
        </w:tc>
        <w:tc>
          <w:tcPr>
            <w:tcW w:w="1080" w:type="dxa"/>
          </w:tcPr>
          <w:p>
            <w:pPr/>
          </w:p>
        </w:tc>
        <w:tc>
          <w:tcPr>
            <w:tcW w:w="1800" w:type="dxa"/>
          </w:tcPr>
          <w:p>
            <w:pPr/>
          </w:p>
        </w:tc>
        <w:tc>
          <w:tcPr>
            <w:tcW w:w="1620" w:type="dxa"/>
          </w:tcPr>
          <w:p>
            <w:pPr/>
          </w:p>
        </w:tc>
        <w:tc>
          <w:tcPr>
            <w:tcW w:w="1531" w:type="dxa"/>
          </w:tcPr>
          <w:p>
            <w:pPr/>
          </w:p>
        </w:tc>
        <w:tc>
          <w:tcPr>
            <w:tcW w:w="989" w:type="dxa"/>
            <w:tcBorders>
              <w:right w:val="nil"/>
            </w:tcBorders>
          </w:tcPr>
          <w:p>
            <w:pPr/>
          </w:p>
        </w:tc>
      </w:tr>
      <w:tr>
        <w:trPr>
          <w:trHeight w:val="593" w:hRule="exact"/>
        </w:trPr>
        <w:tc>
          <w:tcPr>
            <w:tcW w:w="2988" w:type="dxa"/>
            <w:tcBorders>
              <w:left w:val="nil"/>
            </w:tcBorders>
          </w:tcPr>
          <w:p>
            <w:pPr>
              <w:pStyle w:val="TableParagraph"/>
              <w:spacing w:before="10"/>
              <w:ind w:left="108" w:right="904"/>
              <w:rPr>
                <w:b/>
                <w:sz w:val="24"/>
              </w:rPr>
            </w:pPr>
            <w:r>
              <w:rPr>
                <w:b/>
                <w:sz w:val="24"/>
              </w:rPr>
              <w:t>Department of General Services</w:t>
            </w:r>
          </w:p>
        </w:tc>
        <w:tc>
          <w:tcPr>
            <w:tcW w:w="1080" w:type="dxa"/>
          </w:tcPr>
          <w:p>
            <w:pPr/>
          </w:p>
        </w:tc>
        <w:tc>
          <w:tcPr>
            <w:tcW w:w="1800" w:type="dxa"/>
          </w:tcPr>
          <w:p>
            <w:pPr/>
          </w:p>
        </w:tc>
        <w:tc>
          <w:tcPr>
            <w:tcW w:w="1620" w:type="dxa"/>
          </w:tcPr>
          <w:p>
            <w:pPr/>
          </w:p>
        </w:tc>
        <w:tc>
          <w:tcPr>
            <w:tcW w:w="1531" w:type="dxa"/>
          </w:tcPr>
          <w:p>
            <w:pPr/>
          </w:p>
        </w:tc>
        <w:tc>
          <w:tcPr>
            <w:tcW w:w="989" w:type="dxa"/>
            <w:tcBorders>
              <w:right w:val="nil"/>
            </w:tcBorders>
          </w:tcPr>
          <w:p>
            <w:pPr/>
          </w:p>
        </w:tc>
      </w:tr>
      <w:tr>
        <w:trPr>
          <w:trHeight w:val="590" w:hRule="exact"/>
        </w:trPr>
        <w:tc>
          <w:tcPr>
            <w:tcW w:w="2988" w:type="dxa"/>
            <w:tcBorders>
              <w:left w:val="nil"/>
            </w:tcBorders>
          </w:tcPr>
          <w:p>
            <w:pPr>
              <w:pStyle w:val="TableParagraph"/>
              <w:spacing w:before="7"/>
              <w:ind w:left="108" w:right="718"/>
              <w:rPr>
                <w:sz w:val="24"/>
              </w:rPr>
            </w:pPr>
            <w:r>
              <w:rPr>
                <w:sz w:val="24"/>
              </w:rPr>
              <w:t>Asset management, general</w:t>
            </w:r>
          </w:p>
        </w:tc>
        <w:tc>
          <w:tcPr>
            <w:tcW w:w="1080" w:type="dxa"/>
          </w:tcPr>
          <w:p>
            <w:pPr/>
          </w:p>
        </w:tc>
        <w:tc>
          <w:tcPr>
            <w:tcW w:w="1800" w:type="dxa"/>
          </w:tcPr>
          <w:p>
            <w:pPr>
              <w:pStyle w:val="TableParagraph"/>
              <w:spacing w:before="144"/>
              <w:ind w:left="85" w:right="85"/>
              <w:jc w:val="center"/>
              <w:rPr>
                <w:sz w:val="24"/>
              </w:rPr>
            </w:pPr>
            <w:hyperlink r:id="rId225">
              <w:r>
                <w:rPr>
                  <w:color w:val="0000FF"/>
                  <w:sz w:val="24"/>
                  <w:u w:val="single" w:color="0000FF"/>
                </w:rPr>
                <w:t>14650 </w:t>
              </w:r>
            </w:hyperlink>
            <w:r>
              <w:rPr>
                <w:sz w:val="24"/>
              </w:rPr>
              <w:t>et seq.</w:t>
            </w:r>
          </w:p>
        </w:tc>
        <w:tc>
          <w:tcPr>
            <w:tcW w:w="1620" w:type="dxa"/>
          </w:tcPr>
          <w:p>
            <w:pPr/>
          </w:p>
        </w:tc>
        <w:tc>
          <w:tcPr>
            <w:tcW w:w="1531" w:type="dxa"/>
          </w:tcPr>
          <w:p>
            <w:pPr/>
          </w:p>
        </w:tc>
        <w:tc>
          <w:tcPr>
            <w:tcW w:w="989" w:type="dxa"/>
            <w:tcBorders>
              <w:right w:val="nil"/>
            </w:tcBorders>
          </w:tcPr>
          <w:p>
            <w:pPr/>
          </w:p>
        </w:tc>
      </w:tr>
      <w:tr>
        <w:trPr>
          <w:trHeight w:val="842" w:hRule="exact"/>
        </w:trPr>
        <w:tc>
          <w:tcPr>
            <w:tcW w:w="2988" w:type="dxa"/>
            <w:tcBorders>
              <w:left w:val="nil"/>
            </w:tcBorders>
          </w:tcPr>
          <w:p>
            <w:pPr>
              <w:pStyle w:val="TableParagraph"/>
              <w:ind w:left="108" w:right="173"/>
              <w:jc w:val="both"/>
              <w:rPr>
                <w:sz w:val="24"/>
              </w:rPr>
            </w:pPr>
            <w:r>
              <w:rPr>
                <w:sz w:val="24"/>
              </w:rPr>
              <w:t>General authority to hire, lease, lease-purchase, or purchase-option</w:t>
            </w:r>
          </w:p>
        </w:tc>
        <w:tc>
          <w:tcPr>
            <w:tcW w:w="1080" w:type="dxa"/>
          </w:tcPr>
          <w:p>
            <w:pPr/>
          </w:p>
        </w:tc>
        <w:tc>
          <w:tcPr>
            <w:tcW w:w="1800" w:type="dxa"/>
          </w:tcPr>
          <w:p>
            <w:pPr>
              <w:pStyle w:val="TableParagraph"/>
              <w:spacing w:before="7"/>
              <w:rPr>
                <w:sz w:val="23"/>
              </w:rPr>
            </w:pPr>
          </w:p>
          <w:p>
            <w:pPr>
              <w:pStyle w:val="TableParagraph"/>
              <w:ind w:left="85" w:right="83"/>
              <w:jc w:val="center"/>
              <w:rPr>
                <w:sz w:val="24"/>
              </w:rPr>
            </w:pPr>
            <w:hyperlink r:id="rId76">
              <w:r>
                <w:rPr>
                  <w:color w:val="0000FF"/>
                  <w:sz w:val="24"/>
                  <w:u w:val="single" w:color="0000FF"/>
                </w:rPr>
                <w:t>14669</w:t>
              </w:r>
            </w:hyperlink>
          </w:p>
        </w:tc>
        <w:tc>
          <w:tcPr>
            <w:tcW w:w="1620" w:type="dxa"/>
          </w:tcPr>
          <w:p>
            <w:pPr/>
          </w:p>
        </w:tc>
        <w:tc>
          <w:tcPr>
            <w:tcW w:w="1531" w:type="dxa"/>
          </w:tcPr>
          <w:p>
            <w:pPr/>
          </w:p>
        </w:tc>
        <w:tc>
          <w:tcPr>
            <w:tcW w:w="989" w:type="dxa"/>
            <w:tcBorders>
              <w:right w:val="nil"/>
            </w:tcBorders>
          </w:tcPr>
          <w:p>
            <w:pPr/>
          </w:p>
        </w:tc>
      </w:tr>
      <w:tr>
        <w:trPr>
          <w:trHeight w:val="590" w:hRule="exact"/>
        </w:trPr>
        <w:tc>
          <w:tcPr>
            <w:tcW w:w="2988" w:type="dxa"/>
            <w:tcBorders>
              <w:left w:val="nil"/>
            </w:tcBorders>
          </w:tcPr>
          <w:p>
            <w:pPr>
              <w:pStyle w:val="TableParagraph"/>
              <w:spacing w:before="7"/>
              <w:ind w:left="108" w:right="798"/>
              <w:rPr>
                <w:sz w:val="24"/>
              </w:rPr>
            </w:pPr>
            <w:r>
              <w:rPr>
                <w:sz w:val="24"/>
              </w:rPr>
              <w:t>Notification of long- term leases</w:t>
            </w:r>
          </w:p>
        </w:tc>
        <w:tc>
          <w:tcPr>
            <w:tcW w:w="1080" w:type="dxa"/>
          </w:tcPr>
          <w:p>
            <w:pPr/>
          </w:p>
        </w:tc>
        <w:tc>
          <w:tcPr>
            <w:tcW w:w="1800" w:type="dxa"/>
          </w:tcPr>
          <w:p>
            <w:pPr>
              <w:pStyle w:val="TableParagraph"/>
              <w:spacing w:before="147"/>
              <w:ind w:left="85" w:right="85"/>
              <w:jc w:val="center"/>
              <w:rPr>
                <w:sz w:val="24"/>
              </w:rPr>
            </w:pPr>
            <w:hyperlink r:id="rId78">
              <w:r>
                <w:rPr>
                  <w:color w:val="0000FF"/>
                  <w:sz w:val="24"/>
                  <w:u w:val="single" w:color="0000FF"/>
                </w:rPr>
                <w:t>13332.10</w:t>
              </w:r>
            </w:hyperlink>
          </w:p>
        </w:tc>
        <w:tc>
          <w:tcPr>
            <w:tcW w:w="1620" w:type="dxa"/>
          </w:tcPr>
          <w:p>
            <w:pPr/>
          </w:p>
        </w:tc>
        <w:tc>
          <w:tcPr>
            <w:tcW w:w="1531" w:type="dxa"/>
          </w:tcPr>
          <w:p>
            <w:pPr/>
          </w:p>
        </w:tc>
        <w:tc>
          <w:tcPr>
            <w:tcW w:w="989" w:type="dxa"/>
            <w:tcBorders>
              <w:right w:val="nil"/>
            </w:tcBorders>
          </w:tcPr>
          <w:p>
            <w:pPr/>
          </w:p>
        </w:tc>
      </w:tr>
      <w:tr>
        <w:trPr>
          <w:trHeight w:val="593" w:hRule="exact"/>
        </w:trPr>
        <w:tc>
          <w:tcPr>
            <w:tcW w:w="2988" w:type="dxa"/>
            <w:tcBorders>
              <w:left w:val="nil"/>
            </w:tcBorders>
          </w:tcPr>
          <w:p>
            <w:pPr>
              <w:pStyle w:val="TableParagraph"/>
              <w:spacing w:before="10"/>
              <w:ind w:left="108" w:right="1225"/>
              <w:rPr>
                <w:sz w:val="24"/>
              </w:rPr>
            </w:pPr>
            <w:r>
              <w:rPr>
                <w:sz w:val="24"/>
              </w:rPr>
              <w:t>Specific project authorities</w:t>
            </w:r>
          </w:p>
        </w:tc>
        <w:tc>
          <w:tcPr>
            <w:tcW w:w="1080" w:type="dxa"/>
          </w:tcPr>
          <w:p>
            <w:pPr/>
          </w:p>
        </w:tc>
        <w:tc>
          <w:tcPr>
            <w:tcW w:w="1800" w:type="dxa"/>
          </w:tcPr>
          <w:p>
            <w:pPr>
              <w:pStyle w:val="TableParagraph"/>
              <w:spacing w:before="10"/>
              <w:ind w:left="85" w:right="85"/>
              <w:jc w:val="center"/>
              <w:rPr>
                <w:sz w:val="24"/>
              </w:rPr>
            </w:pPr>
            <w:hyperlink r:id="rId226">
              <w:r>
                <w:rPr>
                  <w:color w:val="0000FF"/>
                  <w:sz w:val="24"/>
                  <w:u w:val="single" w:color="0000FF"/>
                </w:rPr>
                <w:t>14669.1-</w:t>
              </w:r>
            </w:hyperlink>
          </w:p>
          <w:p>
            <w:pPr>
              <w:pStyle w:val="TableParagraph"/>
              <w:ind w:left="85" w:right="83"/>
              <w:jc w:val="center"/>
              <w:rPr>
                <w:sz w:val="24"/>
              </w:rPr>
            </w:pPr>
            <w:hyperlink r:id="rId226">
              <w:r>
                <w:rPr>
                  <w:color w:val="0000FF"/>
                  <w:sz w:val="24"/>
                  <w:u w:val="single" w:color="0000FF"/>
                </w:rPr>
                <w:t>14673</w:t>
              </w:r>
            </w:hyperlink>
          </w:p>
        </w:tc>
        <w:tc>
          <w:tcPr>
            <w:tcW w:w="1620" w:type="dxa"/>
          </w:tcPr>
          <w:p>
            <w:pPr/>
          </w:p>
        </w:tc>
        <w:tc>
          <w:tcPr>
            <w:tcW w:w="1531" w:type="dxa"/>
          </w:tcPr>
          <w:p>
            <w:pPr/>
          </w:p>
        </w:tc>
        <w:tc>
          <w:tcPr>
            <w:tcW w:w="989" w:type="dxa"/>
            <w:tcBorders>
              <w:right w:val="nil"/>
            </w:tcBorders>
          </w:tcPr>
          <w:p>
            <w:pPr/>
          </w:p>
        </w:tc>
      </w:tr>
      <w:tr>
        <w:trPr>
          <w:trHeight w:val="590" w:hRule="exact"/>
        </w:trPr>
        <w:tc>
          <w:tcPr>
            <w:tcW w:w="2988" w:type="dxa"/>
            <w:tcBorders>
              <w:left w:val="nil"/>
            </w:tcBorders>
          </w:tcPr>
          <w:p>
            <w:pPr>
              <w:pStyle w:val="TableParagraph"/>
              <w:spacing w:before="7"/>
              <w:ind w:left="108" w:right="811"/>
              <w:rPr>
                <w:sz w:val="24"/>
              </w:rPr>
            </w:pPr>
            <w:r>
              <w:rPr>
                <w:sz w:val="24"/>
              </w:rPr>
              <w:t>Proactive asset management goals</w:t>
            </w:r>
          </w:p>
        </w:tc>
        <w:tc>
          <w:tcPr>
            <w:tcW w:w="1080" w:type="dxa"/>
          </w:tcPr>
          <w:p>
            <w:pPr/>
          </w:p>
        </w:tc>
        <w:tc>
          <w:tcPr>
            <w:tcW w:w="1800" w:type="dxa"/>
          </w:tcPr>
          <w:p>
            <w:pPr>
              <w:pStyle w:val="TableParagraph"/>
              <w:spacing w:before="144"/>
              <w:ind w:left="85" w:right="84"/>
              <w:jc w:val="center"/>
              <w:rPr>
                <w:sz w:val="24"/>
              </w:rPr>
            </w:pPr>
            <w:r>
              <w:rPr>
                <w:sz w:val="24"/>
              </w:rPr>
              <w:t>14680.8</w:t>
            </w:r>
          </w:p>
        </w:tc>
        <w:tc>
          <w:tcPr>
            <w:tcW w:w="1620" w:type="dxa"/>
          </w:tcPr>
          <w:p>
            <w:pPr/>
          </w:p>
        </w:tc>
        <w:tc>
          <w:tcPr>
            <w:tcW w:w="1531" w:type="dxa"/>
          </w:tcPr>
          <w:p>
            <w:pPr/>
          </w:p>
        </w:tc>
        <w:tc>
          <w:tcPr>
            <w:tcW w:w="989" w:type="dxa"/>
            <w:tcBorders>
              <w:right w:val="nil"/>
            </w:tcBorders>
          </w:tcPr>
          <w:p>
            <w:pPr/>
          </w:p>
        </w:tc>
      </w:tr>
      <w:tr>
        <w:trPr>
          <w:trHeight w:val="590" w:hRule="exact"/>
        </w:trPr>
        <w:tc>
          <w:tcPr>
            <w:tcW w:w="2988" w:type="dxa"/>
            <w:tcBorders>
              <w:left w:val="nil"/>
            </w:tcBorders>
          </w:tcPr>
          <w:p>
            <w:pPr>
              <w:pStyle w:val="TableParagraph"/>
              <w:spacing w:before="147"/>
              <w:ind w:left="108"/>
              <w:rPr>
                <w:b/>
                <w:sz w:val="24"/>
              </w:rPr>
            </w:pPr>
            <w:r>
              <w:rPr>
                <w:b/>
                <w:sz w:val="24"/>
              </w:rPr>
              <w:t>State Contract Act</w:t>
            </w:r>
          </w:p>
        </w:tc>
        <w:tc>
          <w:tcPr>
            <w:tcW w:w="1080" w:type="dxa"/>
          </w:tcPr>
          <w:p>
            <w:pPr/>
          </w:p>
        </w:tc>
        <w:tc>
          <w:tcPr>
            <w:tcW w:w="1800" w:type="dxa"/>
          </w:tcPr>
          <w:p>
            <w:pPr/>
          </w:p>
        </w:tc>
        <w:tc>
          <w:tcPr>
            <w:tcW w:w="1620" w:type="dxa"/>
          </w:tcPr>
          <w:p>
            <w:pPr>
              <w:pStyle w:val="TableParagraph"/>
              <w:spacing w:before="7"/>
              <w:ind w:left="314" w:right="316"/>
              <w:jc w:val="center"/>
              <w:rPr>
                <w:sz w:val="24"/>
              </w:rPr>
            </w:pPr>
            <w:hyperlink r:id="rId227">
              <w:r>
                <w:rPr>
                  <w:color w:val="0000FF"/>
                  <w:sz w:val="24"/>
                  <w:u w:val="single" w:color="0000FF"/>
                </w:rPr>
                <w:t>10100 </w:t>
              </w:r>
            </w:hyperlink>
            <w:r>
              <w:rPr>
                <w:sz w:val="24"/>
              </w:rPr>
              <w:t>et</w:t>
            </w:r>
          </w:p>
          <w:p>
            <w:pPr>
              <w:pStyle w:val="TableParagraph"/>
              <w:ind w:left="314" w:right="315"/>
              <w:jc w:val="center"/>
              <w:rPr>
                <w:sz w:val="24"/>
              </w:rPr>
            </w:pPr>
            <w:r>
              <w:rPr>
                <w:sz w:val="24"/>
              </w:rPr>
              <w:t>seq.</w:t>
            </w:r>
          </w:p>
        </w:tc>
        <w:tc>
          <w:tcPr>
            <w:tcW w:w="1531" w:type="dxa"/>
          </w:tcPr>
          <w:p>
            <w:pPr/>
          </w:p>
        </w:tc>
        <w:tc>
          <w:tcPr>
            <w:tcW w:w="989" w:type="dxa"/>
            <w:tcBorders>
              <w:right w:val="nil"/>
            </w:tcBorders>
          </w:tcPr>
          <w:p>
            <w:pPr/>
          </w:p>
        </w:tc>
      </w:tr>
      <w:tr>
        <w:trPr>
          <w:trHeight w:val="590" w:hRule="exact"/>
        </w:trPr>
        <w:tc>
          <w:tcPr>
            <w:tcW w:w="2988" w:type="dxa"/>
            <w:tcBorders>
              <w:left w:val="nil"/>
            </w:tcBorders>
          </w:tcPr>
          <w:p>
            <w:pPr>
              <w:pStyle w:val="TableParagraph"/>
              <w:spacing w:before="147"/>
              <w:ind w:left="108"/>
              <w:rPr>
                <w:sz w:val="24"/>
              </w:rPr>
            </w:pPr>
            <w:r>
              <w:rPr>
                <w:sz w:val="24"/>
              </w:rPr>
              <w:t>Exclusions, emergencies</w:t>
            </w:r>
          </w:p>
        </w:tc>
        <w:tc>
          <w:tcPr>
            <w:tcW w:w="1080" w:type="dxa"/>
          </w:tcPr>
          <w:p>
            <w:pPr/>
          </w:p>
        </w:tc>
        <w:tc>
          <w:tcPr>
            <w:tcW w:w="1800" w:type="dxa"/>
          </w:tcPr>
          <w:p>
            <w:pPr/>
          </w:p>
        </w:tc>
        <w:tc>
          <w:tcPr>
            <w:tcW w:w="1620" w:type="dxa"/>
          </w:tcPr>
          <w:p>
            <w:pPr>
              <w:pStyle w:val="TableParagraph"/>
              <w:spacing w:before="147"/>
              <w:ind w:left="314" w:right="314"/>
              <w:jc w:val="center"/>
              <w:rPr>
                <w:sz w:val="24"/>
              </w:rPr>
            </w:pPr>
            <w:hyperlink r:id="rId228">
              <w:r>
                <w:rPr>
                  <w:color w:val="0000FF"/>
                  <w:sz w:val="24"/>
                  <w:u w:val="single" w:color="0000FF"/>
                </w:rPr>
                <w:t>10101</w:t>
              </w:r>
            </w:hyperlink>
          </w:p>
        </w:tc>
        <w:tc>
          <w:tcPr>
            <w:tcW w:w="1531" w:type="dxa"/>
          </w:tcPr>
          <w:p>
            <w:pPr/>
          </w:p>
        </w:tc>
        <w:tc>
          <w:tcPr>
            <w:tcW w:w="989" w:type="dxa"/>
            <w:tcBorders>
              <w:right w:val="nil"/>
            </w:tcBorders>
          </w:tcPr>
          <w:p>
            <w:pPr/>
          </w:p>
        </w:tc>
      </w:tr>
      <w:tr>
        <w:trPr>
          <w:trHeight w:val="593" w:hRule="exact"/>
        </w:trPr>
        <w:tc>
          <w:tcPr>
            <w:tcW w:w="2988" w:type="dxa"/>
            <w:tcBorders>
              <w:left w:val="nil"/>
            </w:tcBorders>
          </w:tcPr>
          <w:p>
            <w:pPr>
              <w:pStyle w:val="TableParagraph"/>
              <w:spacing w:before="147"/>
              <w:ind w:left="108"/>
              <w:rPr>
                <w:sz w:val="24"/>
              </w:rPr>
            </w:pPr>
            <w:r>
              <w:rPr>
                <w:sz w:val="24"/>
              </w:rPr>
              <w:t>Exclusions, inmate labor</w:t>
            </w:r>
          </w:p>
        </w:tc>
        <w:tc>
          <w:tcPr>
            <w:tcW w:w="1080" w:type="dxa"/>
          </w:tcPr>
          <w:p>
            <w:pPr/>
          </w:p>
        </w:tc>
        <w:tc>
          <w:tcPr>
            <w:tcW w:w="1800" w:type="dxa"/>
          </w:tcPr>
          <w:p>
            <w:pPr/>
          </w:p>
        </w:tc>
        <w:tc>
          <w:tcPr>
            <w:tcW w:w="1620" w:type="dxa"/>
          </w:tcPr>
          <w:p>
            <w:pPr>
              <w:pStyle w:val="TableParagraph"/>
              <w:spacing w:before="147"/>
              <w:ind w:left="314" w:right="314"/>
              <w:jc w:val="center"/>
              <w:rPr>
                <w:sz w:val="24"/>
              </w:rPr>
            </w:pPr>
            <w:hyperlink r:id="rId178">
              <w:r>
                <w:rPr>
                  <w:color w:val="0000FF"/>
                  <w:sz w:val="24"/>
                  <w:u w:val="single" w:color="0000FF"/>
                </w:rPr>
                <w:t>10103.5</w:t>
              </w:r>
            </w:hyperlink>
          </w:p>
        </w:tc>
        <w:tc>
          <w:tcPr>
            <w:tcW w:w="1531" w:type="dxa"/>
          </w:tcPr>
          <w:p>
            <w:pPr/>
          </w:p>
        </w:tc>
        <w:tc>
          <w:tcPr>
            <w:tcW w:w="989" w:type="dxa"/>
            <w:tcBorders>
              <w:right w:val="nil"/>
            </w:tcBorders>
          </w:tcPr>
          <w:p>
            <w:pPr/>
          </w:p>
        </w:tc>
      </w:tr>
      <w:tr>
        <w:trPr>
          <w:trHeight w:val="590" w:hRule="exact"/>
        </w:trPr>
        <w:tc>
          <w:tcPr>
            <w:tcW w:w="2988" w:type="dxa"/>
            <w:tcBorders>
              <w:left w:val="nil"/>
            </w:tcBorders>
          </w:tcPr>
          <w:p>
            <w:pPr>
              <w:pStyle w:val="TableParagraph"/>
              <w:spacing w:before="144"/>
              <w:ind w:left="108"/>
              <w:rPr>
                <w:sz w:val="24"/>
              </w:rPr>
            </w:pPr>
            <w:r>
              <w:rPr>
                <w:sz w:val="24"/>
              </w:rPr>
              <w:t>Project, defined</w:t>
            </w:r>
          </w:p>
        </w:tc>
        <w:tc>
          <w:tcPr>
            <w:tcW w:w="1080" w:type="dxa"/>
          </w:tcPr>
          <w:p>
            <w:pPr/>
          </w:p>
        </w:tc>
        <w:tc>
          <w:tcPr>
            <w:tcW w:w="1800" w:type="dxa"/>
          </w:tcPr>
          <w:p>
            <w:pPr/>
          </w:p>
        </w:tc>
        <w:tc>
          <w:tcPr>
            <w:tcW w:w="1620" w:type="dxa"/>
          </w:tcPr>
          <w:p>
            <w:pPr>
              <w:pStyle w:val="TableParagraph"/>
              <w:spacing w:before="144"/>
              <w:ind w:left="314" w:right="314"/>
              <w:jc w:val="center"/>
              <w:rPr>
                <w:sz w:val="24"/>
              </w:rPr>
            </w:pPr>
            <w:hyperlink r:id="rId221">
              <w:r>
                <w:rPr>
                  <w:color w:val="0000FF"/>
                  <w:sz w:val="24"/>
                  <w:u w:val="single" w:color="0000FF"/>
                </w:rPr>
                <w:t>10105</w:t>
              </w:r>
            </w:hyperlink>
          </w:p>
        </w:tc>
        <w:tc>
          <w:tcPr>
            <w:tcW w:w="1531" w:type="dxa"/>
          </w:tcPr>
          <w:p>
            <w:pPr/>
          </w:p>
        </w:tc>
        <w:tc>
          <w:tcPr>
            <w:tcW w:w="989" w:type="dxa"/>
            <w:tcBorders>
              <w:right w:val="nil"/>
            </w:tcBorders>
          </w:tcPr>
          <w:p>
            <w:pPr/>
          </w:p>
        </w:tc>
      </w:tr>
      <w:tr>
        <w:trPr>
          <w:trHeight w:val="590" w:hRule="exact"/>
        </w:trPr>
        <w:tc>
          <w:tcPr>
            <w:tcW w:w="2988" w:type="dxa"/>
            <w:tcBorders>
              <w:left w:val="nil"/>
            </w:tcBorders>
          </w:tcPr>
          <w:p>
            <w:pPr>
              <w:pStyle w:val="TableParagraph"/>
              <w:spacing w:before="147"/>
              <w:ind w:left="108"/>
              <w:rPr>
                <w:sz w:val="24"/>
              </w:rPr>
            </w:pPr>
            <w:r>
              <w:rPr>
                <w:sz w:val="24"/>
              </w:rPr>
              <w:t>State procurement</w:t>
            </w:r>
          </w:p>
        </w:tc>
        <w:tc>
          <w:tcPr>
            <w:tcW w:w="1080" w:type="dxa"/>
          </w:tcPr>
          <w:p>
            <w:pPr/>
          </w:p>
        </w:tc>
        <w:tc>
          <w:tcPr>
            <w:tcW w:w="1800" w:type="dxa"/>
          </w:tcPr>
          <w:p>
            <w:pPr/>
          </w:p>
        </w:tc>
        <w:tc>
          <w:tcPr>
            <w:tcW w:w="1620" w:type="dxa"/>
          </w:tcPr>
          <w:p>
            <w:pPr>
              <w:pStyle w:val="TableParagraph"/>
              <w:spacing w:before="7"/>
              <w:ind w:left="314" w:right="316"/>
              <w:jc w:val="center"/>
              <w:rPr>
                <w:sz w:val="24"/>
              </w:rPr>
            </w:pPr>
            <w:hyperlink r:id="rId229">
              <w:r>
                <w:rPr>
                  <w:color w:val="0000FF"/>
                  <w:sz w:val="24"/>
                  <w:u w:val="single" w:color="0000FF"/>
                </w:rPr>
                <w:t>10290 </w:t>
              </w:r>
            </w:hyperlink>
            <w:r>
              <w:rPr>
                <w:sz w:val="24"/>
              </w:rPr>
              <w:t>et</w:t>
            </w:r>
          </w:p>
          <w:p>
            <w:pPr>
              <w:pStyle w:val="TableParagraph"/>
              <w:ind w:left="314" w:right="315"/>
              <w:jc w:val="center"/>
              <w:rPr>
                <w:sz w:val="24"/>
              </w:rPr>
            </w:pPr>
            <w:r>
              <w:rPr>
                <w:sz w:val="24"/>
              </w:rPr>
              <w:t>seq.</w:t>
            </w:r>
          </w:p>
        </w:tc>
        <w:tc>
          <w:tcPr>
            <w:tcW w:w="1531" w:type="dxa"/>
          </w:tcPr>
          <w:p>
            <w:pPr/>
          </w:p>
        </w:tc>
        <w:tc>
          <w:tcPr>
            <w:tcW w:w="989" w:type="dxa"/>
            <w:tcBorders>
              <w:right w:val="nil"/>
            </w:tcBorders>
          </w:tcPr>
          <w:p>
            <w:pPr/>
          </w:p>
        </w:tc>
      </w:tr>
      <w:tr>
        <w:trPr>
          <w:trHeight w:val="583" w:hRule="exact"/>
        </w:trPr>
        <w:tc>
          <w:tcPr>
            <w:tcW w:w="2988" w:type="dxa"/>
            <w:tcBorders>
              <w:left w:val="nil"/>
              <w:bottom w:val="nil"/>
            </w:tcBorders>
          </w:tcPr>
          <w:p>
            <w:pPr>
              <w:pStyle w:val="TableParagraph"/>
              <w:spacing w:before="147"/>
              <w:ind w:left="108"/>
              <w:rPr>
                <w:sz w:val="24"/>
              </w:rPr>
            </w:pPr>
            <w:r>
              <w:rPr>
                <w:sz w:val="24"/>
              </w:rPr>
              <w:t>University of California</w:t>
            </w:r>
          </w:p>
        </w:tc>
        <w:tc>
          <w:tcPr>
            <w:tcW w:w="1080" w:type="dxa"/>
            <w:tcBorders>
              <w:bottom w:val="nil"/>
            </w:tcBorders>
          </w:tcPr>
          <w:p>
            <w:pPr/>
          </w:p>
        </w:tc>
        <w:tc>
          <w:tcPr>
            <w:tcW w:w="1800" w:type="dxa"/>
            <w:tcBorders>
              <w:bottom w:val="nil"/>
            </w:tcBorders>
          </w:tcPr>
          <w:p>
            <w:pPr/>
          </w:p>
        </w:tc>
        <w:tc>
          <w:tcPr>
            <w:tcW w:w="1620" w:type="dxa"/>
            <w:tcBorders>
              <w:bottom w:val="nil"/>
            </w:tcBorders>
          </w:tcPr>
          <w:p>
            <w:pPr>
              <w:pStyle w:val="TableParagraph"/>
              <w:spacing w:before="7"/>
              <w:ind w:left="314" w:right="316"/>
              <w:jc w:val="center"/>
              <w:rPr>
                <w:sz w:val="24"/>
              </w:rPr>
            </w:pPr>
            <w:hyperlink r:id="rId230">
              <w:r>
                <w:rPr>
                  <w:color w:val="0000FF"/>
                  <w:sz w:val="24"/>
                  <w:u w:val="single" w:color="0000FF"/>
                </w:rPr>
                <w:t>10500 </w:t>
              </w:r>
            </w:hyperlink>
            <w:r>
              <w:rPr>
                <w:sz w:val="24"/>
              </w:rPr>
              <w:t>et</w:t>
            </w:r>
          </w:p>
          <w:p>
            <w:pPr>
              <w:pStyle w:val="TableParagraph"/>
              <w:ind w:left="314" w:right="315"/>
              <w:jc w:val="center"/>
              <w:rPr>
                <w:sz w:val="24"/>
              </w:rPr>
            </w:pPr>
            <w:r>
              <w:rPr>
                <w:sz w:val="24"/>
              </w:rPr>
              <w:t>seq.</w:t>
            </w:r>
          </w:p>
        </w:tc>
        <w:tc>
          <w:tcPr>
            <w:tcW w:w="1531" w:type="dxa"/>
            <w:tcBorders>
              <w:bottom w:val="nil"/>
            </w:tcBorders>
          </w:tcPr>
          <w:p>
            <w:pPr/>
          </w:p>
        </w:tc>
        <w:tc>
          <w:tcPr>
            <w:tcW w:w="989" w:type="dxa"/>
            <w:tcBorders>
              <w:bottom w:val="nil"/>
              <w:right w:val="nil"/>
            </w:tcBorders>
          </w:tcPr>
          <w:p>
            <w:pPr/>
          </w:p>
        </w:tc>
      </w:tr>
    </w:tbl>
    <w:p>
      <w:pPr>
        <w:pStyle w:val="BodyText"/>
        <w:spacing w:before="7"/>
        <w:rPr>
          <w:sz w:val="23"/>
        </w:rPr>
      </w:pPr>
    </w:p>
    <w:p>
      <w:pPr>
        <w:pStyle w:val="BodyText"/>
        <w:ind w:left="820"/>
      </w:pPr>
      <w:r>
        <w:rPr/>
        <w:t>(Continued)</w:t>
      </w:r>
    </w:p>
    <w:p>
      <w:pPr>
        <w:spacing w:after="0"/>
        <w:sectPr>
          <w:footerReference w:type="default" r:id="rId223"/>
          <w:pgSz w:w="12240" w:h="15840"/>
          <w:pgMar w:footer="1068" w:header="724" w:top="980" w:bottom="1260" w:left="620" w:right="680"/>
        </w:sectPr>
      </w:pPr>
    </w:p>
    <w:p>
      <w:pPr>
        <w:pStyle w:val="BodyText"/>
        <w:rPr>
          <w:sz w:val="20"/>
        </w:rPr>
      </w:pPr>
      <w:r>
        <w:rPr/>
        <w:pict>
          <v:line style="position:absolute;mso-position-horizontal-relative:page;mso-position-vertical-relative:page;z-index:21496" from="36.360001pt,579.481018pt" to="36.360001pt,605.280018pt" stroked="true" strokeweight=".72pt" strokecolor="#000000">
            <v:stroke dashstyle="solid"/>
            <w10:wrap type="none"/>
          </v:line>
        </w:pict>
      </w:r>
    </w:p>
    <w:p>
      <w:pPr>
        <w:pStyle w:val="BodyText"/>
        <w:spacing w:before="214"/>
        <w:ind w:left="819"/>
      </w:pPr>
      <w:r>
        <w:rPr/>
        <w:t>(Continued)</w:t>
      </w:r>
    </w:p>
    <w:p>
      <w:pPr>
        <w:pStyle w:val="BodyText"/>
        <w:spacing w:before="4"/>
      </w:pPr>
    </w:p>
    <w:tbl>
      <w:tblPr>
        <w:tblW w:w="0" w:type="auto"/>
        <w:jc w:val="left"/>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39"/>
        <w:gridCol w:w="1169"/>
        <w:gridCol w:w="1711"/>
        <w:gridCol w:w="1440"/>
        <w:gridCol w:w="1620"/>
        <w:gridCol w:w="1709"/>
      </w:tblGrid>
      <w:tr>
        <w:trPr>
          <w:trHeight w:val="1159" w:hRule="exact"/>
        </w:trPr>
        <w:tc>
          <w:tcPr>
            <w:tcW w:w="2539" w:type="dxa"/>
            <w:tcBorders>
              <w:top w:val="nil"/>
              <w:left w:val="nil"/>
              <w:right w:val="nil"/>
            </w:tcBorders>
            <w:shd w:val="clear" w:color="auto" w:fill="DADADA"/>
          </w:tcPr>
          <w:p>
            <w:pPr/>
          </w:p>
        </w:tc>
        <w:tc>
          <w:tcPr>
            <w:tcW w:w="1169" w:type="dxa"/>
            <w:tcBorders>
              <w:top w:val="nil"/>
              <w:left w:val="nil"/>
              <w:right w:val="nil"/>
            </w:tcBorders>
            <w:shd w:val="clear" w:color="auto" w:fill="DADADA"/>
          </w:tcPr>
          <w:p>
            <w:pPr>
              <w:pStyle w:val="TableParagraph"/>
              <w:spacing w:before="156"/>
              <w:ind w:left="168" w:right="172" w:hanging="2"/>
              <w:jc w:val="center"/>
              <w:rPr>
                <w:b/>
                <w:sz w:val="24"/>
              </w:rPr>
            </w:pPr>
            <w:r>
              <w:rPr>
                <w:b/>
                <w:sz w:val="24"/>
              </w:rPr>
              <w:t>Annual Budget Act</w:t>
            </w:r>
          </w:p>
        </w:tc>
        <w:tc>
          <w:tcPr>
            <w:tcW w:w="1711" w:type="dxa"/>
            <w:tcBorders>
              <w:top w:val="nil"/>
              <w:left w:val="nil"/>
              <w:right w:val="nil"/>
            </w:tcBorders>
            <w:shd w:val="clear" w:color="auto" w:fill="DADADA"/>
          </w:tcPr>
          <w:p>
            <w:pPr>
              <w:pStyle w:val="TableParagraph"/>
              <w:spacing w:before="8"/>
              <w:rPr>
                <w:sz w:val="25"/>
              </w:rPr>
            </w:pPr>
          </w:p>
          <w:p>
            <w:pPr>
              <w:pStyle w:val="TableParagraph"/>
              <w:ind w:left="554" w:right="129" w:hanging="406"/>
              <w:rPr>
                <w:b/>
                <w:sz w:val="24"/>
              </w:rPr>
            </w:pPr>
            <w:r>
              <w:rPr>
                <w:b/>
                <w:sz w:val="24"/>
              </w:rPr>
              <w:t>Government Code</w:t>
            </w:r>
          </w:p>
        </w:tc>
        <w:tc>
          <w:tcPr>
            <w:tcW w:w="1440" w:type="dxa"/>
            <w:tcBorders>
              <w:top w:val="nil"/>
              <w:left w:val="nil"/>
              <w:right w:val="nil"/>
            </w:tcBorders>
            <w:shd w:val="clear" w:color="auto" w:fill="DADADA"/>
          </w:tcPr>
          <w:p>
            <w:pPr>
              <w:pStyle w:val="TableParagraph"/>
              <w:spacing w:before="156"/>
              <w:ind w:left="223" w:right="227" w:firstLine="3"/>
              <w:jc w:val="center"/>
              <w:rPr>
                <w:b/>
                <w:sz w:val="24"/>
              </w:rPr>
            </w:pPr>
            <w:r>
              <w:rPr>
                <w:b/>
                <w:sz w:val="24"/>
              </w:rPr>
              <w:t>Public Contract Code</w:t>
            </w:r>
          </w:p>
        </w:tc>
        <w:tc>
          <w:tcPr>
            <w:tcW w:w="1620" w:type="dxa"/>
            <w:tcBorders>
              <w:top w:val="nil"/>
              <w:left w:val="nil"/>
              <w:right w:val="nil"/>
            </w:tcBorders>
            <w:shd w:val="clear" w:color="auto" w:fill="DADADA"/>
          </w:tcPr>
          <w:p>
            <w:pPr>
              <w:pStyle w:val="TableParagraph"/>
              <w:spacing w:before="156"/>
              <w:ind w:left="191" w:right="198" w:firstLine="2"/>
              <w:jc w:val="center"/>
              <w:rPr>
                <w:b/>
                <w:sz w:val="24"/>
              </w:rPr>
            </w:pPr>
            <w:r>
              <w:rPr>
                <w:b/>
                <w:sz w:val="24"/>
              </w:rPr>
              <w:t>Public Resources Code</w:t>
            </w:r>
          </w:p>
        </w:tc>
        <w:tc>
          <w:tcPr>
            <w:tcW w:w="1709" w:type="dxa"/>
            <w:tcBorders>
              <w:top w:val="nil"/>
              <w:left w:val="nil"/>
              <w:right w:val="nil"/>
            </w:tcBorders>
            <w:shd w:val="clear" w:color="auto" w:fill="DADADA"/>
          </w:tcPr>
          <w:p>
            <w:pPr>
              <w:pStyle w:val="TableParagraph"/>
              <w:spacing w:before="7"/>
              <w:rPr>
                <w:sz w:val="37"/>
              </w:rPr>
            </w:pPr>
          </w:p>
          <w:p>
            <w:pPr>
              <w:pStyle w:val="TableParagraph"/>
              <w:ind w:left="530"/>
              <w:rPr>
                <w:b/>
                <w:sz w:val="24"/>
              </w:rPr>
            </w:pPr>
            <w:r>
              <w:rPr>
                <w:b/>
                <w:sz w:val="24"/>
              </w:rPr>
              <w:t>Other</w:t>
            </w:r>
          </w:p>
        </w:tc>
      </w:tr>
      <w:tr>
        <w:trPr>
          <w:trHeight w:val="1166" w:hRule="exact"/>
        </w:trPr>
        <w:tc>
          <w:tcPr>
            <w:tcW w:w="2539" w:type="dxa"/>
            <w:tcBorders>
              <w:left w:val="nil"/>
            </w:tcBorders>
          </w:tcPr>
          <w:p>
            <w:pPr>
              <w:pStyle w:val="TableParagraph"/>
              <w:spacing w:before="9"/>
              <w:rPr>
                <w:sz w:val="37"/>
              </w:rPr>
            </w:pPr>
          </w:p>
          <w:p>
            <w:pPr>
              <w:pStyle w:val="TableParagraph"/>
              <w:ind w:left="108"/>
              <w:rPr>
                <w:sz w:val="24"/>
              </w:rPr>
            </w:pPr>
            <w:r>
              <w:rPr>
                <w:sz w:val="24"/>
              </w:rPr>
              <w:t>CA State University</w:t>
            </w:r>
          </w:p>
        </w:tc>
        <w:tc>
          <w:tcPr>
            <w:tcW w:w="1169" w:type="dxa"/>
          </w:tcPr>
          <w:p>
            <w:pPr/>
          </w:p>
        </w:tc>
        <w:tc>
          <w:tcPr>
            <w:tcW w:w="1711" w:type="dxa"/>
          </w:tcPr>
          <w:p>
            <w:pPr/>
          </w:p>
        </w:tc>
        <w:tc>
          <w:tcPr>
            <w:tcW w:w="1440" w:type="dxa"/>
          </w:tcPr>
          <w:p>
            <w:pPr>
              <w:pStyle w:val="TableParagraph"/>
              <w:spacing w:before="8"/>
              <w:rPr>
                <w:sz w:val="25"/>
              </w:rPr>
            </w:pPr>
          </w:p>
          <w:p>
            <w:pPr>
              <w:pStyle w:val="TableParagraph"/>
              <w:ind w:left="376"/>
              <w:rPr>
                <w:sz w:val="24"/>
              </w:rPr>
            </w:pPr>
            <w:hyperlink r:id="rId232">
              <w:r>
                <w:rPr>
                  <w:color w:val="0000FF"/>
                  <w:sz w:val="24"/>
                  <w:u w:val="single" w:color="0000FF"/>
                </w:rPr>
                <w:t>10700</w:t>
              </w:r>
            </w:hyperlink>
          </w:p>
          <w:p>
            <w:pPr>
              <w:pStyle w:val="TableParagraph"/>
              <w:ind w:left="352"/>
              <w:rPr>
                <w:sz w:val="24"/>
              </w:rPr>
            </w:pPr>
            <w:r>
              <w:rPr>
                <w:sz w:val="24"/>
              </w:rPr>
              <w:t>et seq.</w:t>
            </w:r>
          </w:p>
        </w:tc>
        <w:tc>
          <w:tcPr>
            <w:tcW w:w="1620" w:type="dxa"/>
          </w:tcPr>
          <w:p>
            <w:pPr/>
          </w:p>
        </w:tc>
        <w:tc>
          <w:tcPr>
            <w:tcW w:w="1709" w:type="dxa"/>
            <w:tcBorders>
              <w:right w:val="nil"/>
            </w:tcBorders>
          </w:tcPr>
          <w:p>
            <w:pPr/>
          </w:p>
        </w:tc>
      </w:tr>
      <w:tr>
        <w:trPr>
          <w:trHeight w:val="1166" w:hRule="exact"/>
        </w:trPr>
        <w:tc>
          <w:tcPr>
            <w:tcW w:w="2539" w:type="dxa"/>
            <w:tcBorders>
              <w:left w:val="nil"/>
            </w:tcBorders>
          </w:tcPr>
          <w:p>
            <w:pPr>
              <w:pStyle w:val="TableParagraph"/>
              <w:spacing w:before="9"/>
              <w:rPr>
                <w:sz w:val="37"/>
              </w:rPr>
            </w:pPr>
          </w:p>
          <w:p>
            <w:pPr>
              <w:pStyle w:val="TableParagraph"/>
              <w:ind w:left="108"/>
              <w:rPr>
                <w:b/>
                <w:sz w:val="24"/>
              </w:rPr>
            </w:pPr>
            <w:r>
              <w:rPr>
                <w:b/>
                <w:sz w:val="24"/>
              </w:rPr>
              <w:t>Building Codes</w:t>
            </w:r>
          </w:p>
        </w:tc>
        <w:tc>
          <w:tcPr>
            <w:tcW w:w="1169" w:type="dxa"/>
          </w:tcPr>
          <w:p>
            <w:pPr/>
          </w:p>
        </w:tc>
        <w:tc>
          <w:tcPr>
            <w:tcW w:w="1711" w:type="dxa"/>
          </w:tcPr>
          <w:p>
            <w:pPr/>
          </w:p>
        </w:tc>
        <w:tc>
          <w:tcPr>
            <w:tcW w:w="1440" w:type="dxa"/>
          </w:tcPr>
          <w:p>
            <w:pPr/>
          </w:p>
        </w:tc>
        <w:tc>
          <w:tcPr>
            <w:tcW w:w="1620" w:type="dxa"/>
          </w:tcPr>
          <w:p>
            <w:pPr/>
          </w:p>
        </w:tc>
        <w:tc>
          <w:tcPr>
            <w:tcW w:w="1709" w:type="dxa"/>
            <w:tcBorders>
              <w:right w:val="nil"/>
            </w:tcBorders>
          </w:tcPr>
          <w:p>
            <w:pPr>
              <w:pStyle w:val="TableParagraph"/>
              <w:spacing w:before="8"/>
              <w:rPr>
                <w:sz w:val="25"/>
              </w:rPr>
            </w:pPr>
          </w:p>
          <w:p>
            <w:pPr>
              <w:pStyle w:val="TableParagraph"/>
              <w:ind w:left="131" w:right="123" w:firstLine="93"/>
              <w:rPr>
                <w:sz w:val="24"/>
              </w:rPr>
            </w:pPr>
            <w:r>
              <w:rPr>
                <w:sz w:val="24"/>
              </w:rPr>
              <w:t>CA Code of Reg., Title 24</w:t>
            </w:r>
          </w:p>
        </w:tc>
      </w:tr>
      <w:tr>
        <w:trPr>
          <w:trHeight w:val="1169" w:hRule="exact"/>
        </w:trPr>
        <w:tc>
          <w:tcPr>
            <w:tcW w:w="2539" w:type="dxa"/>
            <w:tcBorders>
              <w:left w:val="nil"/>
            </w:tcBorders>
          </w:tcPr>
          <w:p>
            <w:pPr>
              <w:pStyle w:val="TableParagraph"/>
              <w:spacing w:before="159"/>
              <w:ind w:left="108" w:right="490"/>
              <w:jc w:val="both"/>
              <w:rPr>
                <w:b/>
                <w:sz w:val="24"/>
              </w:rPr>
            </w:pPr>
            <w:r>
              <w:rPr>
                <w:b/>
                <w:sz w:val="24"/>
              </w:rPr>
              <w:t>Rules Governing Selection of A&amp;E Firms</w:t>
            </w:r>
          </w:p>
        </w:tc>
        <w:tc>
          <w:tcPr>
            <w:tcW w:w="1169" w:type="dxa"/>
          </w:tcPr>
          <w:p>
            <w:pPr/>
          </w:p>
        </w:tc>
        <w:tc>
          <w:tcPr>
            <w:tcW w:w="1711" w:type="dxa"/>
          </w:tcPr>
          <w:p>
            <w:pPr>
              <w:pStyle w:val="TableParagraph"/>
              <w:spacing w:before="9"/>
              <w:rPr>
                <w:sz w:val="37"/>
              </w:rPr>
            </w:pPr>
          </w:p>
          <w:p>
            <w:pPr>
              <w:pStyle w:val="TableParagraph"/>
              <w:ind w:left="94" w:right="94"/>
              <w:jc w:val="center"/>
              <w:rPr>
                <w:sz w:val="24"/>
              </w:rPr>
            </w:pPr>
            <w:hyperlink r:id="rId233">
              <w:r>
                <w:rPr>
                  <w:color w:val="0000FF"/>
                  <w:sz w:val="24"/>
                  <w:u w:val="single" w:color="0000FF"/>
                </w:rPr>
                <w:t>4525</w:t>
              </w:r>
            </w:hyperlink>
          </w:p>
        </w:tc>
        <w:tc>
          <w:tcPr>
            <w:tcW w:w="1440" w:type="dxa"/>
          </w:tcPr>
          <w:p>
            <w:pPr>
              <w:pStyle w:val="TableParagraph"/>
              <w:spacing w:before="9"/>
              <w:rPr>
                <w:sz w:val="37"/>
              </w:rPr>
            </w:pPr>
          </w:p>
          <w:p>
            <w:pPr>
              <w:pStyle w:val="TableParagraph"/>
              <w:ind w:left="446"/>
              <w:rPr>
                <w:sz w:val="24"/>
              </w:rPr>
            </w:pPr>
            <w:hyperlink r:id="rId234">
              <w:r>
                <w:rPr>
                  <w:color w:val="0000FF"/>
                  <w:sz w:val="24"/>
                  <w:u w:val="single" w:color="0000FF"/>
                </w:rPr>
                <w:t>6106</w:t>
              </w:r>
            </w:hyperlink>
          </w:p>
        </w:tc>
        <w:tc>
          <w:tcPr>
            <w:tcW w:w="1620" w:type="dxa"/>
          </w:tcPr>
          <w:p>
            <w:pPr/>
          </w:p>
        </w:tc>
        <w:tc>
          <w:tcPr>
            <w:tcW w:w="1709" w:type="dxa"/>
            <w:tcBorders>
              <w:right w:val="nil"/>
            </w:tcBorders>
          </w:tcPr>
          <w:p>
            <w:pPr>
              <w:pStyle w:val="TableParagraph"/>
              <w:spacing w:before="10"/>
              <w:rPr>
                <w:sz w:val="25"/>
              </w:rPr>
            </w:pPr>
          </w:p>
          <w:p>
            <w:pPr>
              <w:pStyle w:val="TableParagraph"/>
              <w:ind w:left="131" w:right="123" w:firstLine="93"/>
              <w:rPr>
                <w:sz w:val="24"/>
              </w:rPr>
            </w:pPr>
            <w:r>
              <w:rPr>
                <w:sz w:val="24"/>
              </w:rPr>
              <w:t>CA Code of Reg., Title 21</w:t>
            </w:r>
          </w:p>
        </w:tc>
      </w:tr>
      <w:tr>
        <w:trPr>
          <w:trHeight w:val="1166" w:hRule="exact"/>
        </w:trPr>
        <w:tc>
          <w:tcPr>
            <w:tcW w:w="2539" w:type="dxa"/>
            <w:tcBorders>
              <w:left w:val="nil"/>
            </w:tcBorders>
          </w:tcPr>
          <w:p>
            <w:pPr>
              <w:pStyle w:val="TableParagraph"/>
              <w:spacing w:before="156"/>
              <w:ind w:left="108" w:right="217"/>
              <w:rPr>
                <w:b/>
                <w:sz w:val="24"/>
              </w:rPr>
            </w:pPr>
            <w:r>
              <w:rPr>
                <w:b/>
                <w:sz w:val="24"/>
              </w:rPr>
              <w:t>California Environmental Quality Act (CEQA)</w:t>
            </w:r>
          </w:p>
        </w:tc>
        <w:tc>
          <w:tcPr>
            <w:tcW w:w="1169" w:type="dxa"/>
          </w:tcPr>
          <w:p>
            <w:pPr/>
          </w:p>
        </w:tc>
        <w:tc>
          <w:tcPr>
            <w:tcW w:w="1711" w:type="dxa"/>
          </w:tcPr>
          <w:p>
            <w:pPr/>
          </w:p>
        </w:tc>
        <w:tc>
          <w:tcPr>
            <w:tcW w:w="1440" w:type="dxa"/>
          </w:tcPr>
          <w:p>
            <w:pPr/>
          </w:p>
        </w:tc>
        <w:tc>
          <w:tcPr>
            <w:tcW w:w="1620" w:type="dxa"/>
          </w:tcPr>
          <w:p>
            <w:pPr>
              <w:pStyle w:val="TableParagraph"/>
              <w:spacing w:before="156"/>
              <w:ind w:left="467"/>
              <w:rPr>
                <w:sz w:val="24"/>
              </w:rPr>
            </w:pPr>
            <w:hyperlink r:id="rId235">
              <w:r>
                <w:rPr>
                  <w:color w:val="0000FF"/>
                  <w:sz w:val="24"/>
                  <w:u w:val="single" w:color="0000FF"/>
                </w:rPr>
                <w:t>21000</w:t>
              </w:r>
            </w:hyperlink>
          </w:p>
          <w:p>
            <w:pPr>
              <w:pStyle w:val="TableParagraph"/>
              <w:ind w:left="347" w:right="331" w:firstLine="93"/>
              <w:rPr>
                <w:sz w:val="24"/>
              </w:rPr>
            </w:pPr>
            <w:r>
              <w:rPr>
                <w:sz w:val="24"/>
              </w:rPr>
              <w:t>et seq. (Div. 13)</w:t>
            </w:r>
          </w:p>
        </w:tc>
        <w:tc>
          <w:tcPr>
            <w:tcW w:w="1709" w:type="dxa"/>
            <w:tcBorders>
              <w:right w:val="nil"/>
            </w:tcBorders>
          </w:tcPr>
          <w:p>
            <w:pPr>
              <w:pStyle w:val="TableParagraph"/>
              <w:spacing w:before="156"/>
              <w:ind w:left="119" w:right="123" w:hanging="5"/>
              <w:jc w:val="center"/>
              <w:rPr>
                <w:sz w:val="24"/>
              </w:rPr>
            </w:pPr>
            <w:r>
              <w:rPr>
                <w:sz w:val="24"/>
              </w:rPr>
              <w:t>CA Code of Reg., Sec 15000 et seq.</w:t>
            </w:r>
          </w:p>
        </w:tc>
      </w:tr>
      <w:tr>
        <w:trPr>
          <w:trHeight w:val="1166" w:hRule="exact"/>
        </w:trPr>
        <w:tc>
          <w:tcPr>
            <w:tcW w:w="2539" w:type="dxa"/>
            <w:tcBorders>
              <w:left w:val="nil"/>
            </w:tcBorders>
          </w:tcPr>
          <w:p>
            <w:pPr>
              <w:pStyle w:val="TableParagraph"/>
              <w:spacing w:before="8"/>
              <w:rPr>
                <w:sz w:val="25"/>
              </w:rPr>
            </w:pPr>
          </w:p>
          <w:p>
            <w:pPr>
              <w:pStyle w:val="TableParagraph"/>
              <w:ind w:left="108"/>
              <w:rPr>
                <w:b/>
                <w:sz w:val="24"/>
              </w:rPr>
            </w:pPr>
            <w:r>
              <w:rPr>
                <w:b/>
                <w:sz w:val="24"/>
              </w:rPr>
              <w:t>Eminent Domain</w:t>
            </w:r>
          </w:p>
        </w:tc>
        <w:tc>
          <w:tcPr>
            <w:tcW w:w="1169" w:type="dxa"/>
          </w:tcPr>
          <w:p>
            <w:pPr/>
          </w:p>
        </w:tc>
        <w:tc>
          <w:tcPr>
            <w:tcW w:w="1711" w:type="dxa"/>
          </w:tcPr>
          <w:p>
            <w:pPr>
              <w:pStyle w:val="TableParagraph"/>
              <w:spacing w:before="159"/>
              <w:ind w:left="513"/>
              <w:rPr>
                <w:sz w:val="24"/>
              </w:rPr>
            </w:pPr>
            <w:hyperlink r:id="rId236">
              <w:r>
                <w:rPr>
                  <w:color w:val="0000FF"/>
                  <w:sz w:val="24"/>
                  <w:u w:val="single" w:color="0000FF"/>
                </w:rPr>
                <w:t>15854</w:t>
              </w:r>
            </w:hyperlink>
          </w:p>
          <w:p>
            <w:pPr>
              <w:pStyle w:val="TableParagraph"/>
              <w:ind w:left="513"/>
              <w:rPr>
                <w:sz w:val="24"/>
              </w:rPr>
            </w:pPr>
            <w:hyperlink r:id="rId180">
              <w:r>
                <w:rPr>
                  <w:color w:val="0000FF"/>
                  <w:sz w:val="24"/>
                  <w:u w:val="single" w:color="0000FF"/>
                </w:rPr>
                <w:t>15802</w:t>
              </w:r>
            </w:hyperlink>
          </w:p>
          <w:p>
            <w:pPr>
              <w:pStyle w:val="TableParagraph"/>
              <w:ind w:left="479"/>
              <w:rPr>
                <w:sz w:val="24"/>
              </w:rPr>
            </w:pPr>
            <w:hyperlink r:id="rId237">
              <w:r>
                <w:rPr>
                  <w:color w:val="0000FF"/>
                  <w:sz w:val="24"/>
                  <w:u w:val="single" w:color="0000FF"/>
                </w:rPr>
                <w:t>7267.2</w:t>
              </w:r>
            </w:hyperlink>
          </w:p>
        </w:tc>
        <w:tc>
          <w:tcPr>
            <w:tcW w:w="1440" w:type="dxa"/>
          </w:tcPr>
          <w:p>
            <w:pPr/>
          </w:p>
        </w:tc>
        <w:tc>
          <w:tcPr>
            <w:tcW w:w="1620" w:type="dxa"/>
          </w:tcPr>
          <w:p>
            <w:pPr/>
          </w:p>
        </w:tc>
        <w:tc>
          <w:tcPr>
            <w:tcW w:w="1709" w:type="dxa"/>
            <w:tcBorders>
              <w:right w:val="nil"/>
            </w:tcBorders>
          </w:tcPr>
          <w:p>
            <w:pPr>
              <w:pStyle w:val="TableParagraph"/>
              <w:spacing w:before="19"/>
              <w:ind w:left="211" w:right="219"/>
              <w:jc w:val="center"/>
              <w:rPr>
                <w:sz w:val="24"/>
              </w:rPr>
            </w:pPr>
            <w:r>
              <w:rPr>
                <w:sz w:val="24"/>
              </w:rPr>
              <w:t>Code Civil Proc 1230.010 et</w:t>
            </w:r>
          </w:p>
          <w:p>
            <w:pPr>
              <w:pStyle w:val="TableParagraph"/>
              <w:ind w:left="210" w:right="219"/>
              <w:jc w:val="center"/>
              <w:rPr>
                <w:sz w:val="24"/>
              </w:rPr>
            </w:pPr>
            <w:r>
              <w:rPr>
                <w:sz w:val="24"/>
              </w:rPr>
              <w:t>seq.</w:t>
            </w:r>
          </w:p>
        </w:tc>
      </w:tr>
      <w:tr>
        <w:trPr>
          <w:trHeight w:val="1166" w:hRule="exact"/>
        </w:trPr>
        <w:tc>
          <w:tcPr>
            <w:tcW w:w="2539" w:type="dxa"/>
            <w:tcBorders>
              <w:left w:val="nil"/>
            </w:tcBorders>
          </w:tcPr>
          <w:p>
            <w:pPr>
              <w:pStyle w:val="TableParagraph"/>
              <w:spacing w:before="8"/>
              <w:rPr>
                <w:sz w:val="25"/>
              </w:rPr>
            </w:pPr>
          </w:p>
          <w:p>
            <w:pPr>
              <w:pStyle w:val="TableParagraph"/>
              <w:ind w:left="108" w:right="97"/>
              <w:rPr>
                <w:b/>
                <w:sz w:val="24"/>
              </w:rPr>
            </w:pPr>
            <w:r>
              <w:rPr>
                <w:b/>
                <w:sz w:val="24"/>
              </w:rPr>
              <w:t>Arbitration of Public Construction</w:t>
            </w:r>
          </w:p>
        </w:tc>
        <w:tc>
          <w:tcPr>
            <w:tcW w:w="1169" w:type="dxa"/>
          </w:tcPr>
          <w:p>
            <w:pPr/>
          </w:p>
        </w:tc>
        <w:tc>
          <w:tcPr>
            <w:tcW w:w="1711" w:type="dxa"/>
          </w:tcPr>
          <w:p>
            <w:pPr/>
          </w:p>
        </w:tc>
        <w:tc>
          <w:tcPr>
            <w:tcW w:w="1440" w:type="dxa"/>
          </w:tcPr>
          <w:p>
            <w:pPr/>
          </w:p>
        </w:tc>
        <w:tc>
          <w:tcPr>
            <w:tcW w:w="1620" w:type="dxa"/>
          </w:tcPr>
          <w:p>
            <w:pPr/>
          </w:p>
        </w:tc>
        <w:tc>
          <w:tcPr>
            <w:tcW w:w="1709" w:type="dxa"/>
            <w:tcBorders>
              <w:right w:val="nil"/>
            </w:tcBorders>
          </w:tcPr>
          <w:p>
            <w:pPr>
              <w:pStyle w:val="TableParagraph"/>
              <w:spacing w:before="159"/>
              <w:ind w:left="165" w:right="170" w:hanging="3"/>
              <w:jc w:val="center"/>
              <w:rPr>
                <w:sz w:val="24"/>
              </w:rPr>
            </w:pPr>
            <w:r>
              <w:rPr>
                <w:sz w:val="24"/>
              </w:rPr>
              <w:t>Code Civil Proc 1296 et seq.</w:t>
            </w:r>
          </w:p>
        </w:tc>
      </w:tr>
      <w:tr>
        <w:trPr>
          <w:trHeight w:val="1162" w:hRule="exact"/>
        </w:trPr>
        <w:tc>
          <w:tcPr>
            <w:tcW w:w="2539" w:type="dxa"/>
            <w:tcBorders>
              <w:left w:val="nil"/>
              <w:bottom w:val="nil"/>
            </w:tcBorders>
          </w:tcPr>
          <w:p>
            <w:pPr>
              <w:pStyle w:val="TableParagraph"/>
              <w:spacing w:before="10"/>
              <w:rPr>
                <w:sz w:val="25"/>
              </w:rPr>
            </w:pPr>
          </w:p>
          <w:p>
            <w:pPr>
              <w:pStyle w:val="TableParagraph"/>
              <w:ind w:left="108" w:right="1176"/>
              <w:rPr>
                <w:b/>
                <w:sz w:val="24"/>
              </w:rPr>
            </w:pPr>
            <w:r>
              <w:rPr>
                <w:b/>
                <w:sz w:val="24"/>
              </w:rPr>
              <w:t>Historical Resources</w:t>
            </w:r>
          </w:p>
        </w:tc>
        <w:tc>
          <w:tcPr>
            <w:tcW w:w="1169" w:type="dxa"/>
            <w:tcBorders>
              <w:bottom w:val="nil"/>
            </w:tcBorders>
          </w:tcPr>
          <w:p>
            <w:pPr/>
          </w:p>
        </w:tc>
        <w:tc>
          <w:tcPr>
            <w:tcW w:w="1711" w:type="dxa"/>
            <w:tcBorders>
              <w:bottom w:val="nil"/>
            </w:tcBorders>
          </w:tcPr>
          <w:p>
            <w:pPr/>
          </w:p>
        </w:tc>
        <w:tc>
          <w:tcPr>
            <w:tcW w:w="1440" w:type="dxa"/>
            <w:tcBorders>
              <w:bottom w:val="nil"/>
            </w:tcBorders>
          </w:tcPr>
          <w:p>
            <w:pPr>
              <w:pStyle w:val="TableParagraph"/>
              <w:spacing w:before="9"/>
              <w:rPr>
                <w:sz w:val="37"/>
              </w:rPr>
            </w:pPr>
          </w:p>
          <w:p>
            <w:pPr>
              <w:pStyle w:val="TableParagraph"/>
              <w:ind w:left="379"/>
              <w:rPr>
                <w:sz w:val="24"/>
              </w:rPr>
            </w:pPr>
            <w:hyperlink r:id="rId238">
              <w:r>
                <w:rPr>
                  <w:color w:val="0000FF"/>
                  <w:sz w:val="24"/>
                  <w:u w:val="single" w:color="0000FF"/>
                </w:rPr>
                <w:t>10110</w:t>
              </w:r>
            </w:hyperlink>
          </w:p>
        </w:tc>
        <w:tc>
          <w:tcPr>
            <w:tcW w:w="1620" w:type="dxa"/>
            <w:tcBorders>
              <w:bottom w:val="nil"/>
            </w:tcBorders>
          </w:tcPr>
          <w:p>
            <w:pPr>
              <w:pStyle w:val="TableParagraph"/>
              <w:spacing w:before="10"/>
              <w:rPr>
                <w:sz w:val="25"/>
              </w:rPr>
            </w:pPr>
          </w:p>
          <w:p>
            <w:pPr>
              <w:pStyle w:val="TableParagraph"/>
              <w:ind w:left="535"/>
              <w:rPr>
                <w:sz w:val="24"/>
              </w:rPr>
            </w:pPr>
            <w:hyperlink r:id="rId239">
              <w:r>
                <w:rPr>
                  <w:color w:val="0000FF"/>
                  <w:sz w:val="24"/>
                  <w:u w:val="single" w:color="0000FF"/>
                </w:rPr>
                <w:t>5024</w:t>
              </w:r>
            </w:hyperlink>
          </w:p>
          <w:p>
            <w:pPr>
              <w:pStyle w:val="TableParagraph"/>
              <w:ind w:left="441"/>
              <w:rPr>
                <w:sz w:val="24"/>
              </w:rPr>
            </w:pPr>
            <w:r>
              <w:rPr>
                <w:sz w:val="24"/>
              </w:rPr>
              <w:t>et seq.</w:t>
            </w:r>
          </w:p>
        </w:tc>
        <w:tc>
          <w:tcPr>
            <w:tcW w:w="1709" w:type="dxa"/>
            <w:tcBorders>
              <w:bottom w:val="nil"/>
              <w:right w:val="nil"/>
            </w:tcBorders>
          </w:tcPr>
          <w:p>
            <w:pPr>
              <w:pStyle w:val="TableParagraph"/>
              <w:spacing w:before="10"/>
              <w:rPr>
                <w:sz w:val="25"/>
              </w:rPr>
            </w:pPr>
          </w:p>
          <w:p>
            <w:pPr>
              <w:pStyle w:val="TableParagraph"/>
              <w:ind w:left="131" w:right="123" w:firstLine="93"/>
              <w:rPr>
                <w:sz w:val="24"/>
              </w:rPr>
            </w:pPr>
            <w:r>
              <w:rPr>
                <w:sz w:val="24"/>
              </w:rPr>
              <w:t>CA Code of Reg., Title 24</w:t>
            </w:r>
          </w:p>
        </w:tc>
      </w:tr>
    </w:tbl>
    <w:p>
      <w:pPr>
        <w:spacing w:after="0"/>
        <w:rPr>
          <w:sz w:val="24"/>
        </w:rPr>
        <w:sectPr>
          <w:footerReference w:type="default" r:id="rId231"/>
          <w:pgSz w:w="12240" w:h="15840"/>
          <w:pgMar w:footer="1068" w:header="724" w:top="980" w:bottom="1260" w:left="620" w:right="500"/>
        </w:sectPr>
      </w:pPr>
    </w:p>
    <w:p>
      <w:pPr>
        <w:pStyle w:val="BodyText"/>
        <w:rPr>
          <w:sz w:val="20"/>
        </w:rPr>
      </w:pPr>
      <w:r>
        <w:rPr/>
        <w:pict>
          <v:line style="position:absolute;mso-position-horizontal-relative:page;mso-position-vertical-relative:page;z-index:21544" from="36.360001pt,728.400024pt" to="36.360001pt,756.000024pt" stroked="true" strokeweight=".72pt" strokecolor="#000000">
            <v:stroke dashstyle="solid"/>
            <w10:wrap type="none"/>
          </v:line>
        </w:pict>
      </w:r>
    </w:p>
    <w:p>
      <w:pPr>
        <w:pStyle w:val="Heading2"/>
        <w:tabs>
          <w:tab w:pos="9647" w:val="left" w:leader="none"/>
        </w:tabs>
        <w:spacing w:before="214"/>
        <w:ind w:left="820"/>
      </w:pPr>
      <w:r>
        <w:rPr/>
        <w:pict>
          <v:line style="position:absolute;mso-position-horizontal-relative:page;mso-position-vertical-relative:paragraph;z-index:21520" from="36.360001pt,24.715881pt" to="36.360001pt,139.435881pt" stroked="true" strokeweight=".72pt" strokecolor="#000000">
            <v:stroke dashstyle="solid"/>
            <w10:wrap type="none"/>
          </v:line>
        </w:pict>
      </w:r>
      <w:r>
        <w:rPr/>
        <w:t>CAPITALIZED ASSETS PLANNING</w:t>
      </w:r>
      <w:r>
        <w:rPr>
          <w:spacing w:val="-3"/>
        </w:rPr>
        <w:t> AND</w:t>
      </w:r>
      <w:r>
        <w:rPr>
          <w:spacing w:val="-4"/>
        </w:rPr>
        <w:t> </w:t>
      </w:r>
      <w:r>
        <w:rPr/>
        <w:t>BUDGETING</w:t>
        <w:tab/>
        <w:t>6810</w:t>
      </w:r>
    </w:p>
    <w:p>
      <w:pPr>
        <w:pStyle w:val="BodyText"/>
        <w:ind w:left="820"/>
      </w:pPr>
      <w:r>
        <w:rPr>
          <w:strike/>
          <w:color w:val="2E97D3"/>
        </w:rPr>
        <w:t>(New 5/1998)</w:t>
      </w:r>
    </w:p>
    <w:p>
      <w:pPr>
        <w:pStyle w:val="BodyText"/>
        <w:spacing w:before="120"/>
        <w:ind w:left="820" w:right="173"/>
      </w:pPr>
      <w:r>
        <w:rPr>
          <w:strike/>
          <w:color w:val="2E97D3"/>
        </w:rPr>
        <w:t>Sections 6812–6839 provide budget development highlights and information on the major activities which make up the concept and document phase, the budget package phase, and appropriation approval. An overview of capital outlay phases is provided in Section 6808. Acronyms, terminology and forms are defined and indexed in the glossary, Section 6899.</w:t>
      </w:r>
    </w:p>
    <w:p>
      <w:pPr>
        <w:spacing w:after="0"/>
        <w:sectPr>
          <w:pgSz w:w="12240" w:h="15840"/>
          <w:pgMar w:header="724" w:footer="1068" w:top="980" w:bottom="1260" w:left="620" w:right="1320"/>
        </w:sectPr>
      </w:pPr>
    </w:p>
    <w:p>
      <w:pPr>
        <w:pStyle w:val="BodyText"/>
        <w:rPr>
          <w:sz w:val="20"/>
        </w:rPr>
      </w:pPr>
    </w:p>
    <w:p>
      <w:pPr>
        <w:pStyle w:val="BodyText"/>
        <w:spacing w:before="214"/>
        <w:ind w:left="820"/>
      </w:pPr>
      <w:r>
        <w:rPr/>
        <w:pict>
          <v:line style="position:absolute;mso-position-horizontal-relative:page;mso-position-vertical-relative:paragraph;z-index:21640" from="36.360001pt,10.915881pt" to="36.360001pt,50.515881pt" stroked="true" strokeweight=".72pt" strokecolor="#000000">
            <v:stroke dashstyle="solid"/>
            <w10:wrap type="none"/>
          </v:line>
        </w:pict>
      </w:r>
      <w:r>
        <w:rPr>
          <w:color w:val="2E97D3"/>
          <w:u w:val="single" w:color="2E97D3"/>
        </w:rPr>
        <w:t>(Deleted 09/2017)</w:t>
      </w:r>
    </w:p>
    <w:p>
      <w:pPr>
        <w:pStyle w:val="BodyText"/>
        <w:rPr>
          <w:sz w:val="20"/>
        </w:rPr>
      </w:pPr>
    </w:p>
    <w:p>
      <w:pPr>
        <w:pStyle w:val="BodyText"/>
        <w:spacing w:before="9"/>
        <w:rPr>
          <w:sz w:val="16"/>
        </w:rPr>
      </w:pPr>
    </w:p>
    <w:p>
      <w:pPr>
        <w:pStyle w:val="Heading2"/>
        <w:tabs>
          <w:tab w:pos="9647" w:val="left" w:leader="none"/>
        </w:tabs>
        <w:spacing w:before="93"/>
        <w:ind w:left="820"/>
      </w:pPr>
      <w:r>
        <w:rPr/>
        <w:pict>
          <v:line style="position:absolute;mso-position-horizontal-relative:page;mso-position-vertical-relative:paragraph;z-index:21664" from="36.360001pt,18.665844pt" to="36.360001pt,66.065844pt" stroked="true" strokeweight=".72pt" strokecolor="#000000">
            <v:stroke dashstyle="solid"/>
            <w10:wrap type="none"/>
          </v:line>
        </w:pict>
      </w:r>
      <w:r>
        <w:rPr/>
        <w:t>CAPITALIZED ASSET BUDGET</w:t>
      </w:r>
      <w:r>
        <w:rPr>
          <w:spacing w:val="-11"/>
        </w:rPr>
        <w:t> </w:t>
      </w:r>
      <w:r>
        <w:rPr/>
        <w:t>DEVELOPMENT</w:t>
      </w:r>
      <w:r>
        <w:rPr>
          <w:spacing w:val="-5"/>
        </w:rPr>
        <w:t> </w:t>
      </w:r>
      <w:r>
        <w:rPr/>
        <w:t>HIGHLIGHTS</w:t>
        <w:tab/>
        <w:t>6812</w:t>
      </w:r>
    </w:p>
    <w:p>
      <w:pPr>
        <w:pStyle w:val="BodyText"/>
        <w:ind w:left="820"/>
      </w:pPr>
      <w:r>
        <w:rPr/>
        <w:t>(</w:t>
      </w:r>
      <w:r>
        <w:rPr>
          <w:strike/>
          <w:color w:val="2E97D3"/>
        </w:rPr>
        <w:t>New 5/1998</w:t>
      </w:r>
      <w:r>
        <w:rPr>
          <w:strike w:val="0"/>
          <w:color w:val="2E97D3"/>
          <w:u w:val="single" w:color="2E97D3"/>
        </w:rPr>
        <w:t>Revised 10/2017</w:t>
      </w:r>
      <w:r>
        <w:rPr>
          <w:strike w:val="0"/>
        </w:rPr>
        <w:t>)</w:t>
      </w:r>
    </w:p>
    <w:p>
      <w:pPr>
        <w:pStyle w:val="BodyText"/>
        <w:spacing w:before="120"/>
        <w:ind w:left="820" w:right="113"/>
      </w:pPr>
      <w:r>
        <w:rPr/>
        <w:pict>
          <v:line style="position:absolute;mso-position-horizontal-relative:page;mso-position-vertical-relative:paragraph;z-index:-451096" from="267.959991pt,14.435869pt" to="271.320991pt,14.435869pt" stroked="true" strokeweight=".6pt" strokecolor="#2e97d3">
            <v:stroke dashstyle="solid"/>
            <w10:wrap type="none"/>
          </v:line>
        </w:pict>
      </w:r>
      <w:r>
        <w:rPr/>
        <w:pict>
          <v:line style="position:absolute;mso-position-horizontal-relative:page;mso-position-vertical-relative:paragraph;z-index:21688" from="36.360001pt,75.215866pt" to="36.360001pt,171.815866pt" stroked="true" strokeweight=".72pt" strokecolor="#000000">
            <v:stroke dashstyle="solid"/>
            <w10:wrap type="none"/>
          </v:line>
        </w:pict>
      </w:r>
      <w:r>
        <w:rPr>
          <w:b/>
        </w:rPr>
        <w:t>No base budget for capital outlay</w:t>
      </w:r>
      <w:r>
        <w:rPr/>
        <w:t>. Capital outlay budgets are zero-based each year. This means the </w:t>
      </w:r>
      <w:r>
        <w:rPr>
          <w:strike/>
          <w:color w:val="2E97D3"/>
        </w:rPr>
        <w:t>client </w:t>
      </w:r>
      <w:r>
        <w:rPr>
          <w:strike w:val="0"/>
        </w:rPr>
        <w:t>department must submit a written capital outlay budget change proposal (COBCP) for each new project or subsequent phase of an existing project for which the department would like funding. The requirements for COBCPs are presented in Section 6818.</w:t>
      </w:r>
    </w:p>
    <w:p>
      <w:pPr>
        <w:pStyle w:val="BodyText"/>
      </w:pPr>
    </w:p>
    <w:p>
      <w:pPr>
        <w:pStyle w:val="BodyText"/>
        <w:ind w:left="820" w:right="189"/>
      </w:pPr>
      <w:r>
        <w:rPr/>
        <w:pict>
          <v:line style="position:absolute;mso-position-horizontal-relative:page;mso-position-vertical-relative:paragraph;z-index:-451072" from="210.839996pt,8.435882pt" to="214.199996pt,8.435882pt" stroked="true" strokeweight=".6pt" strokecolor="#2e97d3">
            <v:stroke dashstyle="solid"/>
            <w10:wrap type="none"/>
          </v:line>
        </w:pict>
      </w:r>
      <w:r>
        <w:rPr/>
        <w:pict>
          <v:line style="position:absolute;mso-position-horizontal-relative:page;mso-position-vertical-relative:paragraph;z-index:-451048" from="484.320007pt,81.995384pt" to="487.681007pt,81.995384pt" stroked="true" strokeweight=".841pt" strokecolor="#2e97d3">
            <v:stroke dashstyle="solid"/>
            <w10:wrap type="none"/>
          </v:line>
        </w:pict>
      </w:r>
      <w:r>
        <w:rPr/>
        <w:pict>
          <v:line style="position:absolute;mso-position-horizontal-relative:page;mso-position-vertical-relative:paragraph;z-index:21712" from="36.360001pt,110.615883pt" to="36.360001pt,262.415883pt" stroked="true" strokeweight=".72pt" strokecolor="#000000">
            <v:stroke dashstyle="solid"/>
            <w10:wrap type="none"/>
          </v:line>
        </w:pict>
      </w:r>
      <w:r>
        <w:rPr>
          <w:b/>
        </w:rPr>
        <w:t>When COBCPs are due</w:t>
      </w:r>
      <w:r>
        <w:rPr/>
        <w:t>. In general, COBCPs for major </w:t>
      </w:r>
      <w:r>
        <w:rPr>
          <w:color w:val="2E97D3"/>
          <w:u w:val="single" w:color="2E97D3"/>
        </w:rPr>
        <w:t>and minor </w:t>
      </w:r>
      <w:r>
        <w:rPr/>
        <w:t>capital outlay projects are due </w:t>
      </w:r>
      <w:r>
        <w:rPr>
          <w:color w:val="2E97D3"/>
          <w:u w:val="single" w:color="2E97D3"/>
        </w:rPr>
        <w:t>to Finance </w:t>
      </w:r>
      <w:r>
        <w:rPr/>
        <w:t>in </w:t>
      </w:r>
      <w:r>
        <w:rPr>
          <w:strike/>
          <w:color w:val="2E97D3"/>
        </w:rPr>
        <w:t>February</w:t>
      </w:r>
      <w:r>
        <w:rPr>
          <w:strike w:val="0"/>
          <w:color w:val="2E97D3"/>
          <w:u w:val="single" w:color="2E97D3"/>
        </w:rPr>
        <w:t>early August </w:t>
      </w:r>
      <w:r>
        <w:rPr>
          <w:strike w:val="0"/>
        </w:rPr>
        <w:t>of each year for the fiscal year commencing </w:t>
      </w:r>
      <w:r>
        <w:rPr>
          <w:i/>
          <w:strike/>
          <w:color w:val="2E97D3"/>
        </w:rPr>
        <w:t>17</w:t>
      </w:r>
      <w:r>
        <w:rPr>
          <w:strike w:val="0"/>
          <w:color w:val="2E97D3"/>
          <w:u w:val="single" w:color="2E97D3"/>
        </w:rPr>
        <w:t>11 </w:t>
      </w:r>
      <w:r>
        <w:rPr>
          <w:strike w:val="0"/>
        </w:rPr>
        <w:t>months later </w:t>
      </w:r>
      <w:r>
        <w:rPr>
          <w:strike/>
          <w:color w:val="2E97D3"/>
        </w:rPr>
        <w:t>(COBCPs for minor projects are due in July, 12 months prior to the budget year).  This timing allows DGS to complete feasibility studies and cost estimates for the project and DOF to make site visits. Copies of the COBCPs are simultaneously due to DOF, DGS, and the Legislative Analyst’s Office (LAO). </w:t>
      </w:r>
      <w:r>
        <w:rPr>
          <w:strike w:val="0"/>
          <w:color w:val="2E97D3"/>
        </w:rPr>
        <w:t>. </w:t>
      </w:r>
      <w:r>
        <w:rPr>
          <w:strike w:val="0"/>
        </w:rPr>
        <w:t>See Section 6814 for an overview of the budget enactment timetable.  See Section 6816 for a listing of documents in addition to COBCPs required to request capital outlay funding. </w:t>
      </w:r>
      <w:r>
        <w:rPr>
          <w:b/>
          <w:strike/>
          <w:color w:val="2E97D3"/>
        </w:rPr>
        <w:t>When COBCPs are updated</w:t>
      </w:r>
      <w:r>
        <w:rPr>
          <w:strike/>
          <w:color w:val="2E97D3"/>
        </w:rPr>
        <w:t>. The client department submits </w:t>
      </w:r>
      <w:r>
        <w:rPr>
          <w:i/>
          <w:strike/>
          <w:color w:val="2E97D3"/>
        </w:rPr>
        <w:t>technical </w:t>
      </w:r>
      <w:r>
        <w:rPr>
          <w:strike/>
          <w:color w:val="2E97D3"/>
        </w:rPr>
        <w:t>updates (including cost index updates) to the COBCP and five-year plan, generally by September 1, prior to the budget year.</w:t>
      </w:r>
    </w:p>
    <w:p>
      <w:pPr>
        <w:pStyle w:val="BodyText"/>
        <w:ind w:left="820" w:right="168"/>
      </w:pPr>
      <w:r>
        <w:rPr>
          <w:b/>
          <w:color w:val="2E97D3"/>
          <w:u w:val="single" w:color="2E97D3"/>
        </w:rPr>
        <w:t>Scope Meetings. </w:t>
      </w:r>
      <w:r>
        <w:rPr>
          <w:color w:val="2E97D3"/>
          <w:u w:val="single" w:color="2E97D3"/>
        </w:rPr>
        <w:t>Departments may be requested to schedule meetings and/or arrange site visits to help Finance clarify and evaluate project necessity and scope of their COBCPs.  Participants usually include Finance capital outlay staff, department staff, and the Department of General Services (DGS). The scope meeting establishes a common understanding among all parties about project scope and priority. </w:t>
      </w:r>
      <w:r>
        <w:rPr>
          <w:i/>
          <w:color w:val="2E97D3"/>
          <w:u w:val="single" w:color="2E97D3"/>
        </w:rPr>
        <w:t>Scope </w:t>
      </w:r>
      <w:r>
        <w:rPr>
          <w:color w:val="2E97D3"/>
          <w:u w:val="single" w:color="2E97D3"/>
        </w:rPr>
        <w:t>is defined in Section 6863.</w:t>
      </w:r>
    </w:p>
    <w:p>
      <w:pPr>
        <w:pStyle w:val="BodyText"/>
        <w:spacing w:before="11"/>
        <w:rPr>
          <w:sz w:val="15"/>
        </w:rPr>
      </w:pPr>
    </w:p>
    <w:p>
      <w:pPr>
        <w:pStyle w:val="BodyText"/>
        <w:spacing w:before="92"/>
        <w:ind w:left="820" w:right="187"/>
      </w:pPr>
      <w:r>
        <w:rPr/>
        <w:pict>
          <v:line style="position:absolute;mso-position-horizontal-relative:page;mso-position-vertical-relative:paragraph;z-index:21736" from="36.360001pt,32.415855pt" to="36.360001pt,73.815855pt" stroked="true" strokeweight=".72pt" strokecolor="#000000">
            <v:stroke dashstyle="solid"/>
            <w10:wrap type="none"/>
          </v:line>
        </w:pict>
      </w:r>
      <w:r>
        <w:rPr/>
        <w:pict>
          <v:line style="position:absolute;mso-position-horizontal-relative:page;mso-position-vertical-relative:paragraph;z-index:21760" from="36.360001pt,87.614861pt" to="36.360001pt,101.415861pt" stroked="true" strokeweight=".72pt" strokecolor="#000000">
            <v:stroke dashstyle="solid"/>
            <w10:wrap type="none"/>
          </v:line>
        </w:pict>
      </w:r>
      <w:r>
        <w:rPr/>
        <w:pict>
          <v:line style="position:absolute;mso-position-horizontal-relative:page;mso-position-vertical-relative:paragraph;z-index:21784" from="36.360001pt,115.215858pt" to="36.360001pt,170.415858pt" stroked="true" strokeweight=".72pt" strokecolor="#000000">
            <v:stroke dashstyle="solid"/>
            <w10:wrap type="none"/>
          </v:line>
        </w:pict>
      </w:r>
      <w:r>
        <w:rPr/>
        <w:pict>
          <v:line style="position:absolute;mso-position-horizontal-relative:page;mso-position-vertical-relative:paragraph;z-index:21808" from="36.360001pt,184.215851pt" to="36.360001pt,198.015851pt" stroked="true" strokeweight=".72pt" strokecolor="#000000">
            <v:stroke dashstyle="solid"/>
            <w10:wrap type="none"/>
          </v:line>
        </w:pict>
      </w:r>
      <w:r>
        <w:rPr/>
        <w:pict>
          <v:line style="position:absolute;mso-position-horizontal-relative:page;mso-position-vertical-relative:paragraph;z-index:21832" from="36.360001pt,211.81485pt" to="36.360001pt,265.21585pt" stroked="true" strokeweight=".72pt" strokecolor="#000000">
            <v:stroke dashstyle="solid"/>
            <w10:wrap type="none"/>
          </v:line>
        </w:pict>
      </w:r>
      <w:r>
        <w:rPr>
          <w:b/>
          <w:color w:val="2E97D3"/>
          <w:u w:val="thick" w:color="2E97D3"/>
        </w:rPr>
        <w:t>When COBCPs are updated</w:t>
      </w:r>
      <w:r>
        <w:rPr>
          <w:color w:val="2E97D3"/>
          <w:u w:val="thick" w:color="2E97D3"/>
        </w:rPr>
        <w:t>. </w:t>
      </w:r>
      <w:r>
        <w:rPr/>
        <w:t>New project proposals, unless of a truly urgent nature, are usually not accepted after initial submittal of the COBCPs and five-year plan in </w:t>
      </w:r>
      <w:r>
        <w:rPr>
          <w:strike/>
          <w:color w:val="2E97D3"/>
        </w:rPr>
        <w:t>February. </w:t>
      </w:r>
      <w:r>
        <w:rPr>
          <w:strike w:val="0"/>
          <w:color w:val="2E97D3"/>
          <w:u w:val="single" w:color="2E97D3"/>
        </w:rPr>
        <w:t>August. However, each COBCP submission is evaluated on a case-by-case basis and exceptions can be made to allow for a spring submission if the request is deemed critical and cannot wait until the next fall submission deadline. </w:t>
      </w:r>
      <w:r>
        <w:rPr>
          <w:strike w:val="0"/>
        </w:rPr>
        <w:t>Cost updates received from DGS (based on budget package estimates) will be incorporated into the Governor’s Budget if received by </w:t>
      </w:r>
      <w:r>
        <w:rPr>
          <w:strike/>
          <w:color w:val="2E97D3"/>
        </w:rPr>
        <w:t>early December before the budget year.</w:t>
      </w:r>
      <w:r>
        <w:rPr>
          <w:strike w:val="0"/>
          <w:color w:val="2E97D3"/>
          <w:u w:val="single" w:color="2E97D3"/>
        </w:rPr>
        <w:t>late October. </w:t>
      </w:r>
      <w:r>
        <w:rPr>
          <w:strike w:val="0"/>
        </w:rPr>
        <w:t>Otherwise, technical cost updates will be presented to the Legislature through a Finance Letter due to the Legislature no later than May 1</w:t>
      </w:r>
      <w:r>
        <w:rPr>
          <w:strike/>
          <w:color w:val="2E97D3"/>
        </w:rPr>
        <w:t>, before the budget year.</w:t>
      </w:r>
      <w:r>
        <w:rPr>
          <w:strike w:val="0"/>
          <w:color w:val="2E97D3"/>
          <w:u w:val="single" w:color="2E97D3"/>
        </w:rPr>
        <w:t>. If possible, technical updates should be made by the April 1 deadline for spring Finance Letters. Requests accepted at May 1 may be rolled into the overall May Revision process at the discretion of Finance. </w:t>
      </w:r>
      <w:r>
        <w:rPr>
          <w:strike w:val="0"/>
        </w:rPr>
        <w:t>Scope changes to existing projects, or new projects justified on an urgency basis, may be presented to the Legislature in a Finance </w:t>
      </w:r>
      <w:r>
        <w:rPr>
          <w:strike/>
          <w:color w:val="2E97D3"/>
        </w:rPr>
        <w:t>letter</w:t>
      </w:r>
      <w:r>
        <w:rPr>
          <w:strike w:val="0"/>
          <w:color w:val="2E97D3"/>
          <w:u w:val="single" w:color="2E97D3"/>
        </w:rPr>
        <w:t>Letter </w:t>
      </w:r>
      <w:r>
        <w:rPr>
          <w:strike w:val="0"/>
        </w:rPr>
        <w:t>due no later than April 1. </w:t>
      </w:r>
      <w:r>
        <w:rPr>
          <w:strike/>
          <w:color w:val="2E97D3"/>
        </w:rPr>
        <w:t>Departments’</w:t>
      </w:r>
      <w:r>
        <w:rPr>
          <w:strike w:val="0"/>
          <w:color w:val="2E97D3"/>
          <w:u w:val="single" w:color="2E97D3"/>
        </w:rPr>
        <w:t>Department </w:t>
      </w:r>
      <w:r>
        <w:rPr>
          <w:strike w:val="0"/>
        </w:rPr>
        <w:t>requests for technical and policy Finance Letters are generally due in mid-February; specific due dates are published annually </w:t>
      </w:r>
      <w:r>
        <w:rPr>
          <w:strike/>
          <w:color w:val="2E97D3"/>
        </w:rPr>
        <w:t>by DOF</w:t>
      </w:r>
      <w:r>
        <w:rPr>
          <w:strike w:val="0"/>
          <w:color w:val="2E97D3"/>
          <w:u w:val="single" w:color="2E97D3"/>
        </w:rPr>
        <w:t>in a Finance </w:t>
      </w:r>
      <w:r>
        <w:rPr>
          <w:strike w:val="0"/>
        </w:rPr>
        <w:t>Budget Letter. An updated or new COBCP </w:t>
      </w:r>
      <w:r>
        <w:rPr>
          <w:i/>
          <w:strike/>
          <w:color w:val="2E97D3"/>
        </w:rPr>
        <w:t>is</w:t>
      </w:r>
      <w:r>
        <w:rPr>
          <w:strike w:val="0"/>
          <w:color w:val="2E97D3"/>
          <w:u w:val="single" w:color="2E97D3"/>
        </w:rPr>
        <w:t>may be </w:t>
      </w:r>
      <w:r>
        <w:rPr>
          <w:strike w:val="0"/>
        </w:rPr>
        <w:t>required for policy and technical Finance Letters.</w:t>
      </w:r>
    </w:p>
    <w:p>
      <w:pPr>
        <w:spacing w:after="0"/>
        <w:sectPr>
          <w:footerReference w:type="default" r:id="rId240"/>
          <w:pgSz w:w="12240" w:h="15840"/>
          <w:pgMar w:footer="792" w:header="724" w:top="980" w:bottom="980" w:left="620" w:right="1320"/>
        </w:sectPr>
      </w:pPr>
    </w:p>
    <w:p>
      <w:pPr>
        <w:pStyle w:val="BodyText"/>
        <w:rPr>
          <w:sz w:val="20"/>
        </w:rPr>
      </w:pPr>
    </w:p>
    <w:p>
      <w:pPr>
        <w:pStyle w:val="BodyText"/>
        <w:spacing w:before="214"/>
        <w:ind w:left="820" w:right="115"/>
      </w:pPr>
      <w:r>
        <w:rPr/>
        <w:pict>
          <v:line style="position:absolute;mso-position-horizontal-relative:page;mso-position-vertical-relative:paragraph;z-index:-450808" from="431.519989pt,19.135881pt" to="434.879989pt,19.135881pt" stroked="true" strokeweight=".6pt" strokecolor="#2e97d3">
            <v:stroke dashstyle="solid"/>
            <w10:wrap type="none"/>
          </v:line>
        </w:pict>
      </w:r>
      <w:r>
        <w:rPr/>
        <w:pict>
          <v:line style="position:absolute;mso-position-horizontal-relative:page;mso-position-vertical-relative:paragraph;z-index:-450784" from="526.320007pt,19.135881pt" to="529.680007pt,19.135881pt" stroked="true" strokeweight=".6pt" strokecolor="#2e97d3">
            <v:stroke dashstyle="solid"/>
            <w10:wrap type="none"/>
          </v:line>
        </w:pict>
      </w:r>
      <w:r>
        <w:rPr/>
        <w:pict>
          <v:line style="position:absolute;mso-position-horizontal-relative:page;mso-position-vertical-relative:paragraph;z-index:-450760" from="247.440002pt,51.295883pt" to="250.801002pt,51.295883pt" stroked="true" strokeweight=".84pt" strokecolor="#2e97d3">
            <v:stroke dashstyle="solid"/>
            <w10:wrap type="none"/>
          </v:line>
        </w:pict>
      </w:r>
      <w:r>
        <w:rPr/>
        <w:pict>
          <v:line style="position:absolute;mso-position-horizontal-relative:page;mso-position-vertical-relative:paragraph;z-index:22000" from="36.360001pt,10.915881pt" to="36.360001pt,91.915881pt" stroked="true" strokeweight=".72pt" strokecolor="#000000">
            <v:stroke dashstyle="solid"/>
            <w10:wrap type="none"/>
          </v:line>
        </w:pict>
      </w:r>
      <w:r>
        <w:rPr>
          <w:b/>
        </w:rPr>
        <w:t>COBCPs must clearly support the department’s </w:t>
      </w:r>
      <w:r>
        <w:rPr>
          <w:b/>
          <w:strike/>
          <w:color w:val="2E97D3"/>
        </w:rPr>
        <w:t>strategic </w:t>
      </w:r>
      <w:r>
        <w:rPr>
          <w:b/>
          <w:strike w:val="0"/>
        </w:rPr>
        <w:t>plan</w:t>
      </w:r>
      <w:r>
        <w:rPr>
          <w:strike w:val="0"/>
        </w:rPr>
        <w:t>. Each department</w:t>
      </w:r>
      <w:r>
        <w:rPr>
          <w:strike w:val="0"/>
          <w:color w:val="2E97D3"/>
        </w:rPr>
        <w:t>, </w:t>
      </w:r>
      <w:r>
        <w:rPr>
          <w:strike/>
          <w:color w:val="2E97D3"/>
        </w:rPr>
        <w:t>as defined in Section 6816, </w:t>
      </w:r>
      <w:r>
        <w:rPr>
          <w:strike w:val="0"/>
        </w:rPr>
        <w:t>must have a strategic plan, and its </w:t>
      </w:r>
      <w:r>
        <w:rPr>
          <w:strike/>
          <w:color w:val="2E97D3"/>
        </w:rPr>
        <w:t>budget change proposals—including </w:t>
      </w:r>
      <w:r>
        <w:rPr>
          <w:strike w:val="0"/>
        </w:rPr>
        <w:t>COBCPs</w:t>
      </w:r>
      <w:r>
        <w:rPr>
          <w:strike/>
          <w:color w:val="2E97D3"/>
        </w:rPr>
        <w:t>— </w:t>
      </w:r>
      <w:r>
        <w:rPr>
          <w:strike w:val="0"/>
        </w:rPr>
        <w:t>must demonstrate the relationship and relevancy </w:t>
      </w:r>
      <w:r>
        <w:rPr>
          <w:strike/>
          <w:color w:val="2E97D3"/>
        </w:rPr>
        <w:t>to</w:t>
      </w:r>
      <w:r>
        <w:rPr>
          <w:strike w:val="0"/>
          <w:color w:val="2E97D3"/>
          <w:u w:val="single" w:color="2E97D3"/>
        </w:rPr>
        <w:t>on how </w:t>
      </w:r>
      <w:r>
        <w:rPr>
          <w:strike w:val="0"/>
        </w:rPr>
        <w:t>the </w:t>
      </w:r>
      <w:r>
        <w:rPr>
          <w:strike/>
          <w:color w:val="2E97D3"/>
        </w:rPr>
        <w:t>department’s</w:t>
      </w:r>
      <w:r>
        <w:rPr>
          <w:strike w:val="0"/>
          <w:color w:val="2E97D3"/>
          <w:u w:val="single" w:color="2E97D3"/>
        </w:rPr>
        <w:t>project supports the implementation of its </w:t>
      </w:r>
      <w:r>
        <w:rPr>
          <w:strike w:val="0"/>
        </w:rPr>
        <w:t>strategic plan.</w:t>
      </w:r>
    </w:p>
    <w:p>
      <w:pPr>
        <w:pStyle w:val="BodyText"/>
        <w:spacing w:before="10"/>
        <w:rPr>
          <w:sz w:val="20"/>
        </w:rPr>
      </w:pPr>
    </w:p>
    <w:p>
      <w:pPr>
        <w:spacing w:line="240" w:lineRule="auto" w:before="0"/>
        <w:ind w:left="820" w:right="0" w:firstLine="0"/>
        <w:jc w:val="left"/>
        <w:rPr>
          <w:sz w:val="24"/>
        </w:rPr>
      </w:pPr>
      <w:r>
        <w:rPr/>
        <w:pict>
          <v:line style="position:absolute;mso-position-horizontal-relative:page;mso-position-vertical-relative:paragraph;z-index:-450736" from="204.720001pt,68.195366pt" to="208.080001pt,68.195366pt" stroked="true" strokeweight=".841pt" strokecolor="#2e97d3">
            <v:stroke dashstyle="solid"/>
            <w10:wrap type="none"/>
          </v:line>
        </w:pict>
      </w:r>
      <w:r>
        <w:rPr/>
        <w:pict>
          <v:group style="position:absolute;margin-left:71.699997pt;margin-top:62.73587pt;width:107.4pt;height:1.8pt;mso-position-horizontal-relative:page;mso-position-vertical-relative:paragraph;z-index:-450712" coordorigin="1434,1255" coordsize="2148,36">
            <v:line style="position:absolute" from="1440,1285" to="2110,1285" stroked="true" strokeweight=".599pt" strokecolor="#2c6234">
              <v:stroke dashstyle="solid"/>
            </v:line>
            <v:line style="position:absolute" from="1440,1261" to="2110,1261" stroked="true" strokeweight=".6pt" strokecolor="#2c6234">
              <v:stroke dashstyle="solid"/>
            </v:line>
            <v:line style="position:absolute" from="2110,1273" to="3576,1273" stroked="true" strokeweight=".6pt" strokecolor="#2e97d3">
              <v:stroke dashstyle="solid"/>
            </v:line>
            <w10:wrap type="none"/>
          </v:group>
        </w:pict>
      </w:r>
      <w:r>
        <w:rPr/>
        <w:pict>
          <v:line style="position:absolute;mso-position-horizontal-relative:page;mso-position-vertical-relative:paragraph;z-index:-450688" from="200.759995pt,63.635868pt" to="204.719995pt,63.635868pt" stroked="true" strokeweight=".6pt" strokecolor="#2e97d3">
            <v:stroke dashstyle="solid"/>
            <w10:wrap type="none"/>
          </v:line>
        </w:pict>
      </w:r>
      <w:r>
        <w:rPr/>
        <w:pict>
          <v:line style="position:absolute;mso-position-horizontal-relative:page;mso-position-vertical-relative:paragraph;z-index:22024" from="36.360001pt,27.814869pt" to="36.360001pt,83.015869pt" stroked="true" strokeweight=".72pt" strokecolor="#000000">
            <v:stroke dashstyle="solid"/>
            <w10:wrap type="none"/>
          </v:line>
        </w:pict>
      </w:r>
      <w:r>
        <w:rPr>
          <w:b/>
          <w:sz w:val="24"/>
        </w:rPr>
        <w:t>Five-year </w:t>
      </w:r>
      <w:r>
        <w:rPr>
          <w:b/>
          <w:strike/>
          <w:color w:val="2E97D3"/>
          <w:sz w:val="24"/>
        </w:rPr>
        <w:t>capitalized assets</w:t>
      </w:r>
      <w:r>
        <w:rPr>
          <w:b/>
          <w:strike w:val="0"/>
          <w:color w:val="2E97D3"/>
          <w:sz w:val="24"/>
          <w:u w:val="thick" w:color="2E97D3"/>
        </w:rPr>
        <w:t>infrastructure </w:t>
      </w:r>
      <w:r>
        <w:rPr>
          <w:b/>
          <w:strike w:val="0"/>
          <w:sz w:val="24"/>
        </w:rPr>
        <w:t>plans</w:t>
      </w:r>
      <w:r>
        <w:rPr>
          <w:b/>
          <w:strike/>
          <w:color w:val="2E97D3"/>
          <w:sz w:val="24"/>
        </w:rPr>
        <w:t>, </w:t>
      </w:r>
      <w:r>
        <w:rPr>
          <w:b/>
          <w:i/>
          <w:strike/>
          <w:color w:val="2E97D3"/>
          <w:sz w:val="24"/>
        </w:rPr>
        <w:t>by project</w:t>
      </w:r>
      <w:r>
        <w:rPr>
          <w:b/>
          <w:strike/>
          <w:color w:val="2E97D3"/>
          <w:sz w:val="24"/>
        </w:rPr>
        <w:t>, </w:t>
      </w:r>
      <w:r>
        <w:rPr>
          <w:b/>
          <w:strike w:val="0"/>
          <w:sz w:val="24"/>
        </w:rPr>
        <w:t>are required annually</w:t>
      </w:r>
      <w:r>
        <w:rPr>
          <w:strike w:val="0"/>
          <w:sz w:val="24"/>
        </w:rPr>
        <w:t>. Each department submitting a COBCP must also submit, at the same time, a five-year </w:t>
      </w:r>
      <w:r>
        <w:rPr>
          <w:strike/>
          <w:color w:val="2E97D3"/>
          <w:sz w:val="24"/>
        </w:rPr>
        <w:t>capitalized assets</w:t>
      </w:r>
      <w:r>
        <w:rPr>
          <w:strike w:val="0"/>
          <w:color w:val="2E97D3"/>
          <w:sz w:val="24"/>
          <w:u w:val="single" w:color="2E97D3"/>
        </w:rPr>
        <w:t>infrastructure </w:t>
      </w:r>
      <w:r>
        <w:rPr>
          <w:strike w:val="0"/>
          <w:sz w:val="24"/>
        </w:rPr>
        <w:t>plan </w:t>
      </w:r>
      <w:r>
        <w:rPr>
          <w:i/>
          <w:strike/>
          <w:color w:val="2E97D3"/>
          <w:sz w:val="24"/>
        </w:rPr>
        <w:t>by project</w:t>
      </w:r>
      <w:r>
        <w:rPr>
          <w:strike/>
          <w:color w:val="2E97D3"/>
          <w:sz w:val="24"/>
        </w:rPr>
        <w:t>. </w:t>
      </w:r>
      <w:r>
        <w:rPr>
          <w:strike w:val="0"/>
          <w:color w:val="2E97D3"/>
          <w:sz w:val="24"/>
          <w:u w:val="single" w:color="2E97D3"/>
        </w:rPr>
        <w:t>that includes the specific projects it intends to pursue in the following</w:t>
      </w:r>
      <w:r>
        <w:rPr>
          <w:strike/>
          <w:color w:val="2C6234"/>
          <w:sz w:val="24"/>
        </w:rPr>
        <w:t>The requirements for this plan are set out in Section </w:t>
      </w:r>
      <w:r>
        <w:rPr>
          <w:strike w:val="0"/>
          <w:color w:val="2C6234"/>
          <w:sz w:val="24"/>
        </w:rPr>
        <w:t>6820.  </w:t>
      </w:r>
      <w:r>
        <w:rPr>
          <w:strike w:val="0"/>
          <w:color w:val="2E97D3"/>
          <w:sz w:val="24"/>
        </w:rPr>
        <w:t>A copy of the </w:t>
      </w:r>
      <w:r>
        <w:rPr>
          <w:strike w:val="0"/>
          <w:sz w:val="24"/>
        </w:rPr>
        <w:t>five</w:t>
      </w:r>
      <w:r>
        <w:rPr>
          <w:strike w:val="0"/>
          <w:color w:val="2E97D3"/>
          <w:sz w:val="24"/>
        </w:rPr>
        <w:t>- </w:t>
      </w:r>
      <w:r>
        <w:rPr>
          <w:strike w:val="0"/>
          <w:sz w:val="24"/>
        </w:rPr>
        <w:t>year </w:t>
      </w:r>
      <w:r>
        <w:rPr>
          <w:strike/>
          <w:color w:val="2E97D3"/>
          <w:sz w:val="24"/>
        </w:rPr>
        <w:t>plan is due simultaneously to LAO.  Exceptions to</w:t>
      </w:r>
    </w:p>
    <w:p>
      <w:pPr>
        <w:pStyle w:val="BodyText"/>
        <w:ind w:left="820" w:right="3263"/>
      </w:pPr>
      <w:r>
        <w:rPr>
          <w:strike/>
          <w:color w:val="2E97D3"/>
        </w:rPr>
        <w:t>project-level plans must be approved by DOF.</w:t>
      </w:r>
      <w:r>
        <w:rPr>
          <w:strike w:val="0"/>
          <w:color w:val="2E97D3"/>
          <w:u w:val="single" w:color="2E97D3"/>
        </w:rPr>
        <w:t>time period. </w:t>
      </w:r>
      <w:r>
        <w:rPr>
          <w:strike w:val="0"/>
        </w:rPr>
        <w:t>(Continued)</w:t>
      </w:r>
    </w:p>
    <w:p>
      <w:pPr>
        <w:spacing w:after="0"/>
        <w:sectPr>
          <w:pgSz w:w="12240" w:h="15840"/>
          <w:pgMar w:header="724" w:footer="792" w:top="980" w:bottom="980" w:left="620" w:right="1380"/>
        </w:sectPr>
      </w:pPr>
    </w:p>
    <w:p>
      <w:pPr>
        <w:pStyle w:val="BodyText"/>
        <w:rPr>
          <w:sz w:val="20"/>
        </w:rPr>
      </w:pPr>
    </w:p>
    <w:p>
      <w:pPr>
        <w:pStyle w:val="BodyText"/>
        <w:spacing w:before="214"/>
        <w:ind w:left="819"/>
      </w:pPr>
      <w:r>
        <w:rPr/>
        <w:t>(Continued)</w:t>
      </w:r>
    </w:p>
    <w:p>
      <w:pPr>
        <w:pStyle w:val="Heading2"/>
        <w:tabs>
          <w:tab w:pos="8646" w:val="left" w:leader="none"/>
        </w:tabs>
        <w:ind w:left="819"/>
        <w:rPr>
          <w:b w:val="0"/>
        </w:rPr>
      </w:pPr>
      <w:r>
        <w:rPr/>
        <w:pict>
          <v:line style="position:absolute;mso-position-horizontal-relative:page;mso-position-vertical-relative:paragraph;z-index:22096" from="36.360001pt,14.015833pt" to="36.360001pt,75.215833pt" stroked="true" strokeweight=".72pt" strokecolor="#000000">
            <v:stroke dashstyle="solid"/>
            <w10:wrap type="none"/>
          </v:line>
        </w:pict>
      </w:r>
      <w:r>
        <w:rPr/>
        <w:t>CAPITALIZED ASSET BUDGET</w:t>
      </w:r>
      <w:r>
        <w:rPr>
          <w:spacing w:val="-11"/>
        </w:rPr>
        <w:t> </w:t>
      </w:r>
      <w:r>
        <w:rPr/>
        <w:t>DEVELOPMENT</w:t>
      </w:r>
      <w:r>
        <w:rPr>
          <w:spacing w:val="-5"/>
        </w:rPr>
        <w:t> </w:t>
      </w:r>
      <w:r>
        <w:rPr/>
        <w:t>HIGHLIGHTS</w:t>
        <w:tab/>
        <w:t>6812 </w:t>
      </w:r>
      <w:r>
        <w:rPr>
          <w:b w:val="0"/>
        </w:rPr>
        <w:t>(Cont.</w:t>
      </w:r>
      <w:r>
        <w:rPr>
          <w:b w:val="0"/>
          <w:spacing w:val="-6"/>
        </w:rPr>
        <w:t> </w:t>
      </w:r>
      <w:r>
        <w:rPr>
          <w:b w:val="0"/>
        </w:rPr>
        <w:t>1)</w:t>
      </w:r>
    </w:p>
    <w:p>
      <w:pPr>
        <w:pStyle w:val="BodyText"/>
        <w:ind w:left="820"/>
      </w:pPr>
      <w:r>
        <w:rPr/>
        <w:t>(</w:t>
      </w:r>
      <w:r>
        <w:rPr>
          <w:color w:val="2E97D3"/>
          <w:u w:val="single" w:color="2E97D3"/>
        </w:rPr>
        <w:t>Revised 10/2017)</w:t>
      </w:r>
    </w:p>
    <w:p>
      <w:pPr>
        <w:pStyle w:val="BodyText"/>
        <w:spacing w:before="120"/>
        <w:ind w:left="820" w:right="231"/>
      </w:pPr>
      <w:r>
        <w:rPr>
          <w:color w:val="2C6234"/>
          <w:u w:val="thick" w:color="2C6234"/>
        </w:rPr>
        <w:t>The requirements for this plan are set out in Section 6820. </w:t>
      </w:r>
      <w:r>
        <w:rPr>
          <w:strike/>
          <w:color w:val="2E97D3"/>
        </w:rPr>
        <w:t>New 5/1998)</w:t>
      </w:r>
      <w:r>
        <w:rPr>
          <w:strike w:val="0"/>
          <w:color w:val="2E97D3"/>
          <w:u w:val="single" w:color="2E97D3"/>
        </w:rPr>
        <w:t>A copy of the five-year plan is due simultaneously to the LAO. Exceptions to project-level plans must be approved by Finance.</w:t>
      </w:r>
    </w:p>
    <w:p>
      <w:pPr>
        <w:pStyle w:val="BodyText"/>
        <w:spacing w:before="11"/>
        <w:rPr>
          <w:sz w:val="15"/>
        </w:rPr>
      </w:pPr>
    </w:p>
    <w:p>
      <w:pPr>
        <w:pStyle w:val="BodyText"/>
        <w:spacing w:before="92"/>
        <w:ind w:left="819" w:right="173"/>
      </w:pPr>
      <w:r>
        <w:rPr/>
        <w:pict>
          <v:line style="position:absolute;mso-position-horizontal-relative:page;mso-position-vertical-relative:paragraph;z-index:22120" from="36.360001pt,4.815845pt" to="36.360001pt,32.415845pt" stroked="true" strokeweight=".72pt" strokecolor="#000000">
            <v:stroke dashstyle="solid"/>
            <w10:wrap type="none"/>
          </v:line>
        </w:pict>
      </w:r>
      <w:r>
        <w:rPr/>
        <w:pict>
          <v:line style="position:absolute;mso-position-horizontal-relative:page;mso-position-vertical-relative:paragraph;z-index:22144" from="36.360001pt,46.215843pt" to="36.360001pt,60.015843pt" stroked="true" strokeweight=".72pt" strokecolor="#000000">
            <v:stroke dashstyle="solid"/>
            <w10:wrap type="none"/>
          </v:line>
        </w:pict>
      </w:r>
      <w:r>
        <w:rPr/>
        <w:pict>
          <v:line style="position:absolute;mso-position-horizontal-relative:page;mso-position-vertical-relative:paragraph;z-index:22168" from="36.360001pt,87.615845pt" to="36.360001pt,101.415845pt" stroked="true" strokeweight=".72pt" strokecolor="#000000">
            <v:stroke dashstyle="solid"/>
            <w10:wrap type="none"/>
          </v:line>
        </w:pict>
      </w:r>
      <w:r>
        <w:rPr/>
        <w:pict>
          <v:line style="position:absolute;mso-position-horizontal-relative:page;mso-position-vertical-relative:paragraph;z-index:22192" from="36.360001pt,115.216843pt" to="36.360001pt,434.775843pt" stroked="true" strokeweight=".72pt" strokecolor="#000000">
            <v:stroke dashstyle="solid"/>
            <w10:wrap type="none"/>
          </v:line>
        </w:pict>
      </w:r>
      <w:r>
        <w:rPr>
          <w:b/>
        </w:rPr>
        <w:t>Annual Budget Letters for COBCPs and five-year plans</w:t>
      </w:r>
      <w:r>
        <w:rPr/>
        <w:t>. </w:t>
      </w:r>
      <w:r>
        <w:rPr>
          <w:strike/>
          <w:color w:val="2E97D3"/>
        </w:rPr>
        <w:t>DOF</w:t>
      </w:r>
      <w:r>
        <w:rPr>
          <w:strike w:val="0"/>
          <w:color w:val="2E97D3"/>
          <w:u w:val="single" w:color="2E97D3"/>
        </w:rPr>
        <w:t>Finance </w:t>
      </w:r>
      <w:r>
        <w:rPr>
          <w:strike w:val="0"/>
        </w:rPr>
        <w:t>releases a Budget Letter each </w:t>
      </w:r>
      <w:r>
        <w:rPr>
          <w:strike/>
          <w:color w:val="2E97D3"/>
        </w:rPr>
        <w:t>fall</w:t>
      </w:r>
      <w:r>
        <w:rPr>
          <w:strike w:val="0"/>
          <w:color w:val="2E97D3"/>
          <w:u w:val="single" w:color="2E97D3"/>
        </w:rPr>
        <w:t>July </w:t>
      </w:r>
      <w:r>
        <w:rPr>
          <w:strike w:val="0"/>
        </w:rPr>
        <w:t>setting specific due dates for COBCPs and five-year plans, reiterating information requirements, and describing any form or processing changes. A separate Budget Letter is released in </w:t>
      </w:r>
      <w:r>
        <w:rPr>
          <w:strike/>
          <w:color w:val="2E97D3"/>
        </w:rPr>
        <w:t>late Fall</w:t>
      </w:r>
      <w:r>
        <w:rPr>
          <w:strike w:val="0"/>
          <w:color w:val="2E97D3"/>
          <w:u w:val="single" w:color="2E97D3"/>
        </w:rPr>
        <w:t>January </w:t>
      </w:r>
      <w:r>
        <w:rPr>
          <w:strike w:val="0"/>
        </w:rPr>
        <w:t>setting due dates for requests for Finance Letters the following Spring to make policy or technical changes to capital outlay projects proposed in the Governor’s Budget</w:t>
      </w:r>
      <w:r>
        <w:rPr>
          <w:i/>
          <w:strike w:val="0"/>
        </w:rPr>
        <w:t>. </w:t>
      </w:r>
      <w:r>
        <w:rPr>
          <w:strike w:val="0"/>
        </w:rPr>
        <w:t>Another Budget Letter is released </w:t>
      </w:r>
      <w:r>
        <w:rPr>
          <w:strike w:val="0"/>
          <w:color w:val="2E97D3"/>
          <w:u w:val="single" w:color="2E97D3"/>
        </w:rPr>
        <w:t>biannually </w:t>
      </w:r>
      <w:r>
        <w:rPr>
          <w:strike w:val="0"/>
        </w:rPr>
        <w:t>in </w:t>
      </w:r>
      <w:r>
        <w:rPr>
          <w:strike/>
          <w:color w:val="2E97D3"/>
        </w:rPr>
        <w:t>July of each year</w:t>
      </w:r>
      <w:r>
        <w:rPr>
          <w:strike w:val="0"/>
          <w:color w:val="2E97D3"/>
          <w:u w:val="single" w:color="2E97D3"/>
        </w:rPr>
        <w:t>the spring </w:t>
      </w:r>
      <w:r>
        <w:rPr>
          <w:strike w:val="0"/>
        </w:rPr>
        <w:t>publishing the </w:t>
      </w:r>
      <w:r>
        <w:rPr>
          <w:strike/>
          <w:color w:val="2E97D3"/>
        </w:rPr>
        <w:t>annually-</w:t>
      </w:r>
      <w:r>
        <w:rPr>
          <w:strike w:val="0"/>
        </w:rPr>
        <w:t>updated cost indexes used to adjust construction costs for inflation.</w:t>
      </w:r>
    </w:p>
    <w:p>
      <w:pPr>
        <w:spacing w:line="240" w:lineRule="auto" w:before="0"/>
        <w:ind w:left="820" w:right="150" w:firstLine="0"/>
        <w:jc w:val="left"/>
        <w:rPr>
          <w:sz w:val="24"/>
        </w:rPr>
      </w:pPr>
      <w:r>
        <w:rPr>
          <w:b/>
          <w:strike/>
          <w:color w:val="2E97D3"/>
          <w:sz w:val="24"/>
        </w:rPr>
        <w:t>Ten-year capital outlay survey responses, </w:t>
      </w:r>
      <w:r>
        <w:rPr>
          <w:b/>
          <w:i/>
          <w:strike/>
          <w:color w:val="2E97D3"/>
          <w:sz w:val="24"/>
        </w:rPr>
        <w:t>by program and fund source</w:t>
      </w:r>
      <w:r>
        <w:rPr>
          <w:b/>
          <w:strike/>
          <w:color w:val="2E97D3"/>
          <w:sz w:val="24"/>
        </w:rPr>
        <w:t>, are required annually</w:t>
      </w:r>
      <w:r>
        <w:rPr>
          <w:strike/>
          <w:color w:val="2E97D3"/>
          <w:sz w:val="24"/>
        </w:rPr>
        <w:t>. All departments which anticipate needing funds for capital outlay or state-funded infrastructure </w:t>
      </w:r>
      <w:r>
        <w:rPr>
          <w:i/>
          <w:strike/>
          <w:color w:val="2E97D3"/>
          <w:sz w:val="24"/>
        </w:rPr>
        <w:t>in the next ten years </w:t>
      </w:r>
      <w:r>
        <w:rPr>
          <w:strike/>
          <w:color w:val="2E97D3"/>
          <w:sz w:val="24"/>
        </w:rPr>
        <w:t>must annually respond to a DOF survey questionnaire regarding those needs. A response is required whether or not the client department will be submitting a COBCP for the upcoming budget year. The requirements for the ten-year survey response are described in Section 6837.</w:t>
      </w:r>
    </w:p>
    <w:p>
      <w:pPr>
        <w:pStyle w:val="BodyText"/>
        <w:spacing w:before="120"/>
        <w:ind w:left="820" w:right="113"/>
      </w:pPr>
      <w:r>
        <w:rPr>
          <w:b/>
          <w:strike/>
          <w:color w:val="2E97D3"/>
        </w:rPr>
        <w:t>The state uses the design-bid-build process for most projects; therefore, capital outlay projects are frequently budgeted in multiple phases. </w:t>
      </w:r>
      <w:r>
        <w:rPr>
          <w:strike/>
          <w:color w:val="2E97D3"/>
        </w:rPr>
        <w:t>The design-bid-build process means that project specifications must be completely developed (i.e., through the working drawings phase) before construction is bid out. Consequently, working drawings and construction appropriations are often not provided until cost information from the previous phases is available. This can result in multiple, sequential appropriations for a single project. However, at the discretion of DOF and subject to legislative concurrence, more than one phase may be budgeted at a time, and in some cases all phases may be budgeted simultaneously. The typical phases for projects are described in Section 6808. A discussion of the design-bid-build process is provided in Section 6841.</w:t>
      </w:r>
    </w:p>
    <w:p>
      <w:pPr>
        <w:pStyle w:val="BodyText"/>
        <w:spacing w:before="196"/>
        <w:ind w:left="820" w:right="761"/>
      </w:pPr>
      <w:r>
        <w:rPr>
          <w:b/>
          <w:strike/>
          <w:color w:val="2E97D3"/>
        </w:rPr>
        <w:t>No capital outlay deficiencies</w:t>
      </w:r>
      <w:r>
        <w:rPr>
          <w:strike/>
          <w:color w:val="2E97D3"/>
        </w:rPr>
        <w:t>. The annual Budget Act includes control section language forbidding the Director of Finance to propose a deficiency for any capital outlay</w:t>
      </w:r>
    </w:p>
    <w:p>
      <w:pPr>
        <w:pStyle w:val="BodyText"/>
        <w:ind w:left="820" w:right="162"/>
      </w:pPr>
      <w:r>
        <w:rPr/>
        <w:pict>
          <v:line style="position:absolute;mso-position-horizontal-relative:page;mso-position-vertical-relative:paragraph;z-index:-450616" from="264.119995pt,49.836361pt" to="267.479995pt,49.836361pt" stroked="true" strokeweight=".599pt" strokecolor="#2e97d3">
            <v:stroke dashstyle="solid"/>
            <w10:wrap type="none"/>
          </v:line>
        </w:pict>
      </w:r>
      <w:r>
        <w:rPr/>
        <w:pict>
          <v:line style="position:absolute;mso-position-horizontal-relative:page;mso-position-vertical-relative:paragraph;z-index:-450592" from="348.23999pt,77.435860pt" to="351.60099pt,77.435860pt" stroked="true" strokeweight=".6pt" strokecolor="#2e97d3">
            <v:stroke dashstyle="solid"/>
            <w10:wrap type="none"/>
          </v:line>
        </w:pict>
      </w:r>
      <w:r>
        <w:rPr/>
        <w:pict>
          <v:line style="position:absolute;mso-position-horizontal-relative:page;mso-position-vertical-relative:paragraph;z-index:22216" from="36.360001pt,41.61586pt" to="36.360001pt,55.41586pt" stroked="true" strokeweight=".72pt" strokecolor="#000000">
            <v:stroke dashstyle="solid"/>
            <w10:wrap type="none"/>
          </v:line>
        </w:pict>
      </w:r>
      <w:r>
        <w:rPr/>
        <w:pict>
          <v:line style="position:absolute;mso-position-horizontal-relative:page;mso-position-vertical-relative:paragraph;z-index:22240" from="36.360001pt,69.214859pt" to="36.360001pt,83.015859pt" stroked="true" strokeweight=".72pt" strokecolor="#000000">
            <v:stroke dashstyle="solid"/>
            <w10:wrap type="none"/>
          </v:line>
        </w:pict>
      </w:r>
      <w:r>
        <w:rPr/>
        <w:pict>
          <v:line style="position:absolute;mso-position-horizontal-relative:page;mso-position-vertical-relative:paragraph;z-index:22264" from="36.360001pt,96.815857pt" to="36.360001pt,146.495857pt" stroked="true" strokeweight=".72pt" strokecolor="#000000">
            <v:stroke dashstyle="solid"/>
            <w10:wrap type="none"/>
          </v:line>
        </w:pict>
      </w:r>
      <w:r>
        <w:rPr>
          <w:b/>
          <w:color w:val="2E97D3"/>
          <w:u w:val="thick" w:color="2E97D3"/>
        </w:rPr>
        <w:t>Capital Outlay augmentations</w:t>
      </w:r>
      <w:r>
        <w:rPr>
          <w:color w:val="2E97D3"/>
          <w:u w:val="thick" w:color="2E97D3"/>
        </w:rPr>
        <w:t>. </w:t>
      </w:r>
      <w:r>
        <w:rPr>
          <w:strike/>
          <w:color w:val="2C6234"/>
        </w:rPr>
        <w:t>projects.  </w:t>
      </w:r>
      <w:r>
        <w:rPr>
          <w:strike w:val="0"/>
        </w:rPr>
        <w:t>If a project is anticipated to exceed its budget, the remedies are a scope reduction (subject to approval by </w:t>
      </w:r>
      <w:r>
        <w:rPr>
          <w:strike/>
          <w:color w:val="2E97D3"/>
        </w:rPr>
        <w:t>DOF</w:t>
      </w:r>
      <w:r>
        <w:rPr>
          <w:strike w:val="0"/>
          <w:color w:val="2E97D3"/>
          <w:u w:val="single" w:color="2E97D3"/>
        </w:rPr>
        <w:t>Finance </w:t>
      </w:r>
      <w:r>
        <w:rPr>
          <w:strike w:val="0"/>
        </w:rPr>
        <w:t>and legislative notification) and/or an augmentation of up to 20 percent (subject to approval by the </w:t>
      </w:r>
      <w:r>
        <w:rPr>
          <w:strike/>
          <w:color w:val="2E97D3"/>
        </w:rPr>
        <w:t>Public Works Board</w:t>
      </w:r>
      <w:r>
        <w:rPr>
          <w:strike w:val="0"/>
          <w:color w:val="2E97D3"/>
          <w:u w:val="single" w:color="2E97D3"/>
        </w:rPr>
        <w:t>PWB </w:t>
      </w:r>
      <w:r>
        <w:rPr>
          <w:strike w:val="0"/>
        </w:rPr>
        <w:t>and</w:t>
      </w:r>
      <w:r>
        <w:rPr>
          <w:strike w:val="0"/>
          <w:color w:val="2E97D3"/>
        </w:rPr>
        <w:t>, </w:t>
      </w:r>
      <w:r>
        <w:rPr>
          <w:strike w:val="0"/>
        </w:rPr>
        <w:t>when required, </w:t>
      </w:r>
      <w:r>
        <w:rPr>
          <w:strike/>
          <w:color w:val="2E97D3"/>
        </w:rPr>
        <w:t>to </w:t>
      </w:r>
      <w:r>
        <w:rPr>
          <w:strike w:val="0"/>
        </w:rPr>
        <w:t>legislative notification). If those remedies are insufficient, the remaining options are to terminate the project or halt it while seeking a new or supplemental appropriation. Augmentations and scope changes are discussed in Sections 6861 and 6863.</w:t>
      </w:r>
    </w:p>
    <w:p>
      <w:pPr>
        <w:pStyle w:val="BodyText"/>
        <w:spacing w:before="2"/>
        <w:ind w:left="820"/>
      </w:pPr>
      <w:r>
        <w:rPr>
          <w:strike/>
          <w:color w:val="2C6234"/>
        </w:rPr>
        <w:t>(Continued)</w:t>
      </w:r>
    </w:p>
    <w:p>
      <w:pPr>
        <w:spacing w:after="0"/>
        <w:sectPr>
          <w:pgSz w:w="12240" w:h="15840"/>
          <w:pgMar w:header="724" w:footer="792" w:top="980" w:bottom="980" w:left="620" w:right="1320"/>
        </w:sectPr>
      </w:pPr>
    </w:p>
    <w:p>
      <w:pPr>
        <w:pStyle w:val="BodyText"/>
        <w:rPr>
          <w:sz w:val="20"/>
        </w:rPr>
      </w:pPr>
    </w:p>
    <w:p>
      <w:pPr>
        <w:pStyle w:val="BodyText"/>
        <w:spacing w:line="275" w:lineRule="exact" w:before="216"/>
        <w:ind w:left="820"/>
      </w:pPr>
      <w:r>
        <w:rPr/>
        <w:pict>
          <v:line style="position:absolute;mso-position-horizontal-relative:page;mso-position-vertical-relative:paragraph;z-index:22504" from="36.360001pt,10.895886pt" to="36.360001pt,107.495886pt" stroked="true" strokeweight=".72pt" strokecolor="#000000">
            <v:stroke dashstyle="solid"/>
            <w10:wrap type="none"/>
          </v:line>
        </w:pict>
      </w:r>
      <w:r>
        <w:rPr>
          <w:strike/>
          <w:color w:val="2C6234"/>
        </w:rPr>
        <w:t>(Continued)</w:t>
      </w:r>
    </w:p>
    <w:p>
      <w:pPr>
        <w:tabs>
          <w:tab w:pos="8646" w:val="left" w:leader="none"/>
        </w:tabs>
        <w:spacing w:before="0"/>
        <w:ind w:left="820" w:right="113" w:firstLine="0"/>
        <w:jc w:val="left"/>
        <w:rPr>
          <w:sz w:val="24"/>
        </w:rPr>
      </w:pPr>
      <w:r>
        <w:rPr/>
        <w:pict>
          <v:line style="position:absolute;mso-position-horizontal-relative:page;mso-position-vertical-relative:paragraph;z-index:-450352" from="72pt,8.435833pt" to="540pt,8.435833pt" stroked="true" strokeweight=".6pt" strokecolor="#2e97d3">
            <v:stroke dashstyle="solid"/>
            <w10:wrap type="none"/>
          </v:line>
        </w:pict>
      </w:r>
      <w:r>
        <w:rPr>
          <w:b/>
          <w:color w:val="2E97D3"/>
          <w:sz w:val="24"/>
        </w:rPr>
        <w:t>CAPITALIZED ASSET BUDGET</w:t>
      </w:r>
      <w:r>
        <w:rPr>
          <w:b/>
          <w:color w:val="2E97D3"/>
          <w:spacing w:val="-11"/>
          <w:sz w:val="24"/>
        </w:rPr>
        <w:t> </w:t>
      </w:r>
      <w:r>
        <w:rPr>
          <w:b/>
          <w:color w:val="2E97D3"/>
          <w:sz w:val="24"/>
        </w:rPr>
        <w:t>DEVELOPMENT</w:t>
      </w:r>
      <w:r>
        <w:rPr>
          <w:b/>
          <w:color w:val="2E97D3"/>
          <w:spacing w:val="-5"/>
          <w:sz w:val="24"/>
        </w:rPr>
        <w:t> </w:t>
      </w:r>
      <w:r>
        <w:rPr>
          <w:b/>
          <w:color w:val="2E97D3"/>
          <w:sz w:val="24"/>
        </w:rPr>
        <w:t>HIGHLIGHTS</w:t>
        <w:tab/>
        <w:t>6812</w:t>
      </w:r>
      <w:r>
        <w:rPr>
          <w:b/>
          <w:color w:val="2E97D3"/>
          <w:spacing w:val="-2"/>
          <w:sz w:val="24"/>
        </w:rPr>
        <w:t> </w:t>
      </w:r>
      <w:r>
        <w:rPr>
          <w:color w:val="2E97D3"/>
          <w:sz w:val="24"/>
        </w:rPr>
        <w:t>(Cont.</w:t>
      </w:r>
      <w:r>
        <w:rPr>
          <w:color w:val="2E97D3"/>
          <w:spacing w:val="-5"/>
          <w:sz w:val="24"/>
        </w:rPr>
        <w:t> </w:t>
      </w:r>
      <w:r>
        <w:rPr>
          <w:color w:val="2E97D3"/>
          <w:sz w:val="24"/>
        </w:rPr>
        <w:t>2)</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spacing w:before="1"/>
        <w:ind w:left="820" w:right="361"/>
      </w:pPr>
      <w:r>
        <w:rPr/>
        <w:pict>
          <v:line style="position:absolute;mso-position-horizontal-relative:page;mso-position-vertical-relative:paragraph;z-index:-450328" from="437.399994pt,8.485857pt" to="440.639994pt,8.485857pt" stroked="true" strokeweight=".6pt" strokecolor="#2e97d3">
            <v:stroke dashstyle="solid"/>
            <w10:wrap type="none"/>
          </v:line>
        </w:pict>
      </w:r>
      <w:r>
        <w:rPr/>
        <w:pict>
          <v:line style="position:absolute;mso-position-horizontal-relative:page;mso-position-vertical-relative:paragraph;z-index:22528" from="36.360001pt,69.266853pt" to="36.360001pt,309.985853pt" stroked="true" strokeweight=".72pt" strokecolor="#000000">
            <v:stroke dashstyle="solid"/>
            <w10:wrap type="none"/>
          </v:line>
        </w:pict>
      </w:r>
      <w:r>
        <w:rPr>
          <w:b/>
        </w:rPr>
        <w:t>No transfer of capital outlay funds between scheduled projects. </w:t>
      </w:r>
      <w:r>
        <w:rPr/>
        <w:t>The annual Budget Act includes control section language </w:t>
      </w:r>
      <w:r>
        <w:rPr>
          <w:color w:val="2E97D3"/>
          <w:u w:val="single" w:color="2E97D3"/>
        </w:rPr>
        <w:t>(Sec. 26.00) </w:t>
      </w:r>
      <w:r>
        <w:rPr/>
        <w:t>forbidding the transfer of funds between scheduled projects in a </w:t>
      </w:r>
      <w:r>
        <w:rPr>
          <w:strike/>
          <w:color w:val="2E97D3"/>
        </w:rPr>
        <w:t>client </w:t>
      </w:r>
      <w:r>
        <w:rPr>
          <w:strike w:val="0"/>
        </w:rPr>
        <w:t>department’s capital outlay item. </w:t>
      </w:r>
      <w:r>
        <w:rPr>
          <w:strike/>
          <w:color w:val="2E97D3"/>
        </w:rPr>
        <w:t>(</w:t>
      </w:r>
      <w:r>
        <w:rPr>
          <w:strike w:val="0"/>
        </w:rPr>
        <w:t>There may be some exceptions on an item-by-item basis</w:t>
      </w:r>
      <w:r>
        <w:rPr>
          <w:strike/>
          <w:color w:val="2E97D3"/>
        </w:rPr>
        <w:t>.) However,</w:t>
      </w:r>
      <w:r>
        <w:rPr>
          <w:strike w:val="0"/>
          <w:color w:val="2E97D3"/>
          <w:u w:val="single" w:color="2E97D3"/>
        </w:rPr>
        <w:t>; however, the </w:t>
      </w:r>
      <w:r>
        <w:rPr>
          <w:strike w:val="0"/>
        </w:rPr>
        <w:t>PWB retains the authority to augment a project’s appropriation, provided there are sufficient </w:t>
      </w:r>
      <w:r>
        <w:rPr>
          <w:strike/>
          <w:color w:val="2E97D3"/>
        </w:rPr>
        <w:t>revenues</w:t>
      </w:r>
      <w:r>
        <w:rPr>
          <w:strike w:val="0"/>
          <w:color w:val="2E97D3"/>
          <w:u w:val="single" w:color="2E97D3"/>
        </w:rPr>
        <w:t>resources </w:t>
      </w:r>
      <w:r>
        <w:rPr>
          <w:strike w:val="0"/>
        </w:rPr>
        <w:t>available in the source fund.</w:t>
      </w:r>
    </w:p>
    <w:p>
      <w:pPr>
        <w:pStyle w:val="BodyText"/>
        <w:ind w:left="820" w:right="294"/>
      </w:pPr>
      <w:r>
        <w:rPr>
          <w:b/>
          <w:strike/>
          <w:color w:val="2E97D3"/>
        </w:rPr>
        <w:t>Period of appropriation availability</w:t>
      </w:r>
      <w:r>
        <w:rPr>
          <w:strike/>
          <w:color w:val="2E97D3"/>
        </w:rPr>
        <w:t>. The </w:t>
      </w:r>
      <w:r>
        <w:rPr>
          <w:i/>
          <w:strike/>
          <w:color w:val="2E97D3"/>
        </w:rPr>
        <w:t>Governor’s Budget </w:t>
      </w:r>
      <w:r>
        <w:rPr>
          <w:strike/>
          <w:color w:val="2E97D3"/>
        </w:rPr>
        <w:t>includes only those projects or project phases for which funds can be encumbered within the appropriation period. Section 2.00 of the Budget Act specifies that, in general, appropriations and reappropriations for capital outlay pursuant to that act are available for expenditure for three years (with an additional two years for liquidation), with the exception of appropriations for studies, preliminary plans, working drawings, or minor capital outlay which are available for encumbrance for a single year only. However, a construction appropriation reverts to its source fund </w:t>
      </w:r>
      <w:r>
        <w:rPr>
          <w:i/>
          <w:strike/>
          <w:color w:val="2E97D3"/>
        </w:rPr>
        <w:t>at the end of the first year of appropriation </w:t>
      </w:r>
      <w:r>
        <w:rPr>
          <w:i/>
          <w:strike/>
          <w:color w:val="2E97D3"/>
        </w:rPr>
        <w:t>availability </w:t>
      </w:r>
      <w:r>
        <w:rPr>
          <w:strike/>
          <w:color w:val="2E97D3"/>
        </w:rPr>
        <w:t>if DOF has not allocated the funding through fund transfer or approval to proceed to bid.</w:t>
      </w:r>
    </w:p>
    <w:p>
      <w:pPr>
        <w:pStyle w:val="BodyText"/>
        <w:spacing w:before="200"/>
        <w:ind w:left="820" w:right="175"/>
      </w:pPr>
      <w:r>
        <w:rPr>
          <w:strike/>
          <w:color w:val="2E97D3"/>
        </w:rPr>
        <w:t>A capital outlay appropriation provided through special legislation is also available for expenditure for three years (followed by a two-year liquidation period), unless otherwise specified or unless the chapter makes the appropriation continuous.</w:t>
      </w:r>
    </w:p>
    <w:p>
      <w:pPr>
        <w:pStyle w:val="BodyText"/>
        <w:rPr>
          <w:sz w:val="20"/>
        </w:rPr>
      </w:pPr>
    </w:p>
    <w:p>
      <w:pPr>
        <w:pStyle w:val="BodyText"/>
        <w:spacing w:before="1"/>
        <w:rPr>
          <w:sz w:val="21"/>
        </w:rPr>
      </w:pPr>
    </w:p>
    <w:p>
      <w:pPr>
        <w:pStyle w:val="BodyText"/>
        <w:ind w:left="820" w:right="454"/>
      </w:pPr>
      <w:r>
        <w:rPr/>
        <w:pict>
          <v:line style="position:absolute;mso-position-horizontal-relative:page;mso-position-vertical-relative:paragraph;z-index:-450304" from="202.080002pt,8.435874pt" to="205.441002pt,8.435874pt" stroked="true" strokeweight=".6pt" strokecolor="#2e97d3">
            <v:stroke dashstyle="solid"/>
            <w10:wrap type="none"/>
          </v:line>
        </w:pict>
      </w:r>
      <w:r>
        <w:rPr>
          <w:b/>
        </w:rPr>
        <w:t>CEQA review required</w:t>
      </w:r>
      <w:r>
        <w:rPr/>
        <w:t>. The California Environmental Quality Act (CEQA) requires environmental review of any project undertaken in whole or in part by any public agency.  See Section 6850 for more information.</w:t>
      </w:r>
    </w:p>
    <w:p>
      <w:pPr>
        <w:pStyle w:val="BodyText"/>
        <w:ind w:left="99"/>
        <w:rPr>
          <w:sz w:val="20"/>
        </w:rPr>
      </w:pPr>
      <w:r>
        <w:rPr>
          <w:sz w:val="20"/>
        </w:rPr>
        <w:pict>
          <v:group style="width:.75pt;height:14.55pt;mso-position-horizontal-relative:char;mso-position-vertical-relative:line" coordorigin="0,0" coordsize="15,291">
            <v:line style="position:absolute" from="8,8" to="8,284" stroked="true" strokeweight=".72pt" strokecolor="#000000">
              <v:stroke dashstyle="solid"/>
            </v:line>
          </v:group>
        </w:pict>
      </w:r>
      <w:r>
        <w:rPr>
          <w:sz w:val="20"/>
        </w:rPr>
      </w:r>
    </w:p>
    <w:p>
      <w:pPr>
        <w:pStyle w:val="BodyText"/>
        <w:ind w:left="820" w:right="200"/>
      </w:pPr>
      <w:r>
        <w:rPr/>
        <w:pict>
          <v:line style="position:absolute;mso-position-horizontal-relative:page;mso-position-vertical-relative:paragraph;z-index:-450280" from="385.679993pt,109.595863pt" to="389.519993pt,109.595863pt" stroked="true" strokeweight=".84pt" strokecolor="#2e97d3">
            <v:stroke dashstyle="solid"/>
            <w10:wrap type="none"/>
          </v:line>
        </w:pict>
      </w:r>
      <w:r>
        <w:rPr/>
        <w:pict>
          <v:line style="position:absolute;mso-position-horizontal-relative:page;mso-position-vertical-relative:paragraph;z-index:-450256" from="531pt,109.595863pt" to="534.96pt,109.595863pt" stroked="true" strokeweight=".84pt" strokecolor="#2e97d3">
            <v:stroke dashstyle="solid"/>
            <w10:wrap type="none"/>
          </v:line>
        </w:pict>
      </w:r>
      <w:r>
        <w:rPr/>
        <w:pict>
          <v:line style="position:absolute;mso-position-horizontal-relative:page;mso-position-vertical-relative:paragraph;z-index:-450232" from="275.640015pt,123.395363pt" to="279.479015pt,123.395363pt" stroked="true" strokeweight=".841pt" strokecolor="#2e97d3">
            <v:stroke dashstyle="solid"/>
            <w10:wrap type="none"/>
          </v:line>
        </w:pict>
      </w:r>
      <w:r>
        <w:rPr/>
        <w:pict>
          <v:line style="position:absolute;mso-position-horizontal-relative:page;mso-position-vertical-relative:paragraph;z-index:-450208" from="427.079987pt,123.395363pt" to="431.039987pt,123.395363pt" stroked="true" strokeweight=".841pt" strokecolor="#2e97d3">
            <v:stroke dashstyle="solid"/>
            <w10:wrap type="none"/>
          </v:line>
        </w:pict>
      </w:r>
      <w:r>
        <w:rPr/>
        <w:pict>
          <v:line style="position:absolute;mso-position-horizontal-relative:page;mso-position-vertical-relative:paragraph;z-index:-450184" from="293.519989pt,137.195862pt" to="296.880989pt,137.195862pt" stroked="true" strokeweight=".84pt" strokecolor="#2e97d3">
            <v:stroke dashstyle="solid"/>
            <w10:wrap type="none"/>
          </v:line>
        </w:pict>
      </w:r>
      <w:r>
        <w:rPr/>
        <w:pict>
          <v:line style="position:absolute;mso-position-horizontal-relative:page;mso-position-vertical-relative:paragraph;z-index:22552" from="36.360001pt,14.015862pt" to="36.360001pt,162.095862pt" stroked="true" strokeweight=".72pt" strokecolor="#000000">
            <v:stroke dashstyle="solid"/>
            <w10:wrap type="none"/>
          </v:line>
        </w:pict>
      </w:r>
      <w:r>
        <w:rPr>
          <w:b/>
        </w:rPr>
        <w:t>Process exceptions for certain departments. </w:t>
      </w:r>
      <w:r>
        <w:rPr/>
        <w:t>The University of California, the California State University, </w:t>
      </w:r>
      <w:r>
        <w:rPr>
          <w:strike/>
          <w:color w:val="2E97D3"/>
        </w:rPr>
        <w:t>the </w:t>
      </w:r>
      <w:r>
        <w:rPr>
          <w:strike w:val="0"/>
        </w:rPr>
        <w:t>California Community Colleges, some Resources Agency departments, and the Department of </w:t>
      </w:r>
      <w:r>
        <w:rPr>
          <w:strike/>
          <w:color w:val="2E97D3"/>
        </w:rPr>
        <w:t>Corrections’ New Prison Construction Program (Penal Code 7003)</w:t>
      </w:r>
      <w:r>
        <w:rPr>
          <w:strike w:val="0"/>
          <w:color w:val="2E97D3"/>
          <w:u w:val="single" w:color="2E97D3"/>
        </w:rPr>
        <w:t>Corrections and Rehabilitation </w:t>
      </w:r>
      <w:r>
        <w:rPr>
          <w:strike w:val="0"/>
        </w:rPr>
        <w:t>may handle the design and construction of their own projects without using </w:t>
      </w:r>
      <w:r>
        <w:rPr>
          <w:strike/>
          <w:color w:val="2E97D3"/>
        </w:rPr>
        <w:t>DGS’</w:t>
      </w:r>
      <w:r>
        <w:rPr>
          <w:strike w:val="0"/>
          <w:color w:val="2E97D3"/>
          <w:u w:val="single" w:color="2E97D3"/>
        </w:rPr>
        <w:t>the </w:t>
      </w:r>
      <w:r>
        <w:rPr>
          <w:strike w:val="0"/>
        </w:rPr>
        <w:t>services</w:t>
      </w:r>
      <w:r>
        <w:rPr>
          <w:strike/>
          <w:color w:val="2E97D3"/>
        </w:rPr>
        <w:t>. However, the instructions contained in this chapter are otherwise fully applicable unless waived by statute or Budget Act language. (The Department </w:t>
      </w:r>
      <w:r>
        <w:rPr>
          <w:strike w:val="0"/>
        </w:rPr>
        <w:t>of </w:t>
      </w:r>
      <w:r>
        <w:rPr>
          <w:strike w:val="0"/>
          <w:color w:val="2E97D3"/>
          <w:u w:val="single" w:color="2E97D3"/>
        </w:rPr>
        <w:t>the Department of General Services. In addition, the Department of </w:t>
      </w:r>
      <w:r>
        <w:rPr>
          <w:strike w:val="0"/>
        </w:rPr>
        <w:t>Water Resources </w:t>
      </w:r>
      <w:r>
        <w:rPr>
          <w:strike w:val="0"/>
          <w:color w:val="2E97D3"/>
        </w:rPr>
        <w:t>(</w:t>
      </w:r>
      <w:r>
        <w:rPr>
          <w:strike w:val="0"/>
        </w:rPr>
        <w:t>for the State Water Project</w:t>
      </w:r>
      <w:r>
        <w:rPr>
          <w:strike w:val="0"/>
          <w:color w:val="2E97D3"/>
        </w:rPr>
        <w:t>) </w:t>
      </w:r>
      <w:r>
        <w:rPr>
          <w:strike w:val="0"/>
        </w:rPr>
        <w:t>and the Department of Transportation </w:t>
      </w:r>
      <w:r>
        <w:rPr>
          <w:strike w:val="0"/>
          <w:color w:val="2E97D3"/>
        </w:rPr>
        <w:t>(</w:t>
      </w:r>
      <w:r>
        <w:rPr>
          <w:strike w:val="0"/>
        </w:rPr>
        <w:t>for highway-related projects</w:t>
      </w:r>
      <w:r>
        <w:rPr>
          <w:strike w:val="0"/>
          <w:color w:val="2E97D3"/>
        </w:rPr>
        <w:t>) </w:t>
      </w:r>
      <w:r>
        <w:rPr>
          <w:strike w:val="0"/>
        </w:rPr>
        <w:t>are not subject to the instructions contained in this chapter</w:t>
      </w:r>
      <w:r>
        <w:rPr>
          <w:strike/>
          <w:color w:val="2E97D3"/>
        </w:rPr>
        <w:t>.)</w:t>
      </w:r>
      <w:r>
        <w:rPr>
          <w:strike w:val="0"/>
          <w:color w:val="2E97D3"/>
        </w:rPr>
        <w:t>.</w:t>
      </w:r>
    </w:p>
    <w:p>
      <w:pPr>
        <w:spacing w:after="0"/>
        <w:sectPr>
          <w:pgSz w:w="12240" w:h="15840"/>
          <w:pgMar w:header="724" w:footer="792" w:top="980" w:bottom="980" w:left="620" w:right="1320"/>
        </w:sectPr>
      </w:pPr>
    </w:p>
    <w:p>
      <w:pPr>
        <w:pStyle w:val="BodyText"/>
        <w:rPr>
          <w:sz w:val="20"/>
        </w:rPr>
      </w:pPr>
    </w:p>
    <w:p>
      <w:pPr>
        <w:pStyle w:val="Heading2"/>
        <w:tabs>
          <w:tab w:pos="9647" w:val="left" w:leader="none"/>
        </w:tabs>
        <w:spacing w:before="214"/>
        <w:ind w:left="819"/>
      </w:pPr>
      <w:r>
        <w:rPr/>
        <w:pict>
          <v:line style="position:absolute;mso-position-horizontal-relative:page;mso-position-vertical-relative:paragraph;z-index:22576" from="36.360001pt,24.715881pt" to="36.360001pt,44.515881pt" stroked="true" strokeweight=".72pt" strokecolor="#000000">
            <v:stroke dashstyle="solid"/>
            <w10:wrap type="none"/>
          </v:line>
        </w:pict>
      </w:r>
      <w:r>
        <w:rPr/>
        <w:t>BUDGET PREPARATION </w:t>
      </w:r>
      <w:r>
        <w:rPr>
          <w:spacing w:val="-3"/>
        </w:rPr>
        <w:t>AND</w:t>
      </w:r>
      <w:r>
        <w:rPr>
          <w:spacing w:val="-6"/>
        </w:rPr>
        <w:t> </w:t>
      </w:r>
      <w:r>
        <w:rPr/>
        <w:t>ENACTMENT</w:t>
      </w:r>
      <w:r>
        <w:rPr>
          <w:spacing w:val="-3"/>
        </w:rPr>
        <w:t> </w:t>
      </w:r>
      <w:r>
        <w:rPr/>
        <w:t>TIMETABLE</w:t>
        <w:tab/>
        <w:t>6814</w:t>
      </w:r>
    </w:p>
    <w:p>
      <w:pPr>
        <w:pStyle w:val="BodyText"/>
        <w:ind w:left="820"/>
      </w:pPr>
      <w:bookmarkStart w:name="(Revised 5/199810/2017)" w:id="70"/>
      <w:bookmarkEnd w:id="70"/>
      <w:r>
        <w:rPr/>
      </w:r>
      <w:r>
        <w:rPr/>
        <w:t>(Revised </w:t>
      </w:r>
      <w:r>
        <w:rPr>
          <w:strike/>
          <w:color w:val="2E97D3"/>
        </w:rPr>
        <w:t>5/1998</w:t>
      </w:r>
      <w:r>
        <w:rPr>
          <w:strike w:val="0"/>
          <w:color w:val="2E97D3"/>
          <w:u w:val="single" w:color="2E97D3"/>
        </w:rPr>
        <w:t>10/2017</w:t>
      </w:r>
      <w:r>
        <w:rPr>
          <w:strike w:val="0"/>
        </w:rPr>
        <w:t>)</w:t>
      </w:r>
    </w:p>
    <w:p>
      <w:pPr>
        <w:pStyle w:val="BodyText"/>
        <w:spacing w:before="120"/>
        <w:ind w:left="820" w:right="126"/>
      </w:pPr>
      <w:r>
        <w:rPr/>
        <w:pict>
          <v:line style="position:absolute;mso-position-horizontal-relative:page;mso-position-vertical-relative:paragraph;z-index:22600" from="36.360001pt,33.815845pt" to="36.360001pt,102.815845pt" stroked="true" strokeweight=".72pt" strokecolor="#000000">
            <v:stroke dashstyle="solid"/>
            <w10:wrap type="none"/>
          </v:line>
        </w:pict>
      </w:r>
      <w:r>
        <w:rPr/>
        <w:pict>
          <v:line style="position:absolute;mso-position-horizontal-relative:page;mso-position-vertical-relative:paragraph;z-index:22624" from="36.360001pt,116.615845pt" to="36.360001pt,164.015845pt" stroked="true" strokeweight=".72pt" strokecolor="#000000">
            <v:stroke dashstyle="solid"/>
            <w10:wrap type="none"/>
          </v:line>
        </w:pict>
      </w:r>
      <w:r>
        <w:rPr/>
        <w:t>The following 6814 Illustration will help departments plan their capital outlay budget work. To meet statutory budget time frames, departments must submit requests for major </w:t>
      </w:r>
      <w:r>
        <w:rPr>
          <w:color w:val="2E97D3"/>
          <w:u w:val="single" w:color="2E97D3"/>
        </w:rPr>
        <w:t>and minor </w:t>
      </w:r>
      <w:r>
        <w:rPr/>
        <w:t>capital outlay projects in </w:t>
      </w:r>
      <w:r>
        <w:rPr>
          <w:color w:val="2E97D3"/>
          <w:u w:val="single" w:color="2E97D3"/>
        </w:rPr>
        <w:t>late July/</w:t>
      </w:r>
      <w:r>
        <w:rPr/>
        <w:t>early </w:t>
      </w:r>
      <w:r>
        <w:rPr>
          <w:strike/>
          <w:color w:val="2E97D3"/>
        </w:rPr>
        <w:t>February, 17</w:t>
      </w:r>
      <w:r>
        <w:rPr>
          <w:strike w:val="0"/>
          <w:color w:val="2E97D3"/>
          <w:u w:val="single" w:color="2E97D3"/>
        </w:rPr>
        <w:t>August, 11 </w:t>
      </w:r>
      <w:r>
        <w:rPr>
          <w:strike w:val="0"/>
        </w:rPr>
        <w:t>months prior to the budget year for which funding is requested.  </w:t>
      </w:r>
      <w:r>
        <w:rPr>
          <w:i/>
          <w:strike/>
          <w:color w:val="2E97D3"/>
        </w:rPr>
        <w:t>Minor </w:t>
      </w:r>
      <w:r>
        <w:rPr>
          <w:strike/>
          <w:color w:val="2E97D3"/>
        </w:rPr>
        <w:t>capital outlay requests are due in early July, one</w:t>
      </w:r>
      <w:r>
        <w:rPr>
          <w:strike w:val="0"/>
          <w:color w:val="2E97D3"/>
          <w:u w:val="single" w:color="2E97D3"/>
        </w:rPr>
        <w:t>Finance will publish a Budget Letter each </w:t>
      </w:r>
      <w:r>
        <w:rPr>
          <w:strike w:val="0"/>
        </w:rPr>
        <w:t>year </w:t>
      </w:r>
      <w:r>
        <w:rPr>
          <w:strike/>
          <w:color w:val="2E97D3"/>
        </w:rPr>
        <w:t>prior to the budget year (Section 6807). </w:t>
      </w:r>
      <w:r>
        <w:rPr>
          <w:strike w:val="0"/>
          <w:color w:val="2E97D3"/>
          <w:u w:val="single" w:color="2E97D3"/>
        </w:rPr>
        <w:t>with more detailed instructions and due dates. </w:t>
      </w:r>
      <w:r>
        <w:rPr>
          <w:strike w:val="0"/>
        </w:rPr>
        <w:t>Late requests will be accepted only if </w:t>
      </w:r>
      <w:r>
        <w:rPr>
          <w:strike/>
          <w:color w:val="2E97D3"/>
        </w:rPr>
        <w:t>DOF</w:t>
      </w:r>
      <w:r>
        <w:rPr>
          <w:strike w:val="0"/>
          <w:color w:val="2E97D3"/>
          <w:u w:val="single" w:color="2E97D3"/>
        </w:rPr>
        <w:t>Finance </w:t>
      </w:r>
      <w:r>
        <w:rPr>
          <w:strike w:val="0"/>
        </w:rPr>
        <w:t>has previously approved </w:t>
      </w:r>
      <w:r>
        <w:rPr>
          <w:strike w:val="0"/>
          <w:color w:val="2E97D3"/>
          <w:u w:val="single" w:color="2E97D3"/>
        </w:rPr>
        <w:t>a </w:t>
      </w:r>
      <w:r>
        <w:rPr>
          <w:strike w:val="0"/>
        </w:rPr>
        <w:t>late submittal. Departments within agencies must have agency concurrence for their proposals, prior to submittal. Submission dates indicated are when documents are due to </w:t>
      </w:r>
      <w:r>
        <w:rPr>
          <w:strike/>
          <w:color w:val="2E97D3"/>
        </w:rPr>
        <w:t>DOF, DGS, and usually the LAO.</w:t>
      </w:r>
      <w:r>
        <w:rPr>
          <w:strike/>
          <w:color w:val="2E97D3"/>
          <w:spacing w:val="-11"/>
        </w:rPr>
        <w:t> </w:t>
      </w:r>
      <w:r>
        <w:rPr>
          <w:strike w:val="0"/>
          <w:color w:val="2E97D3"/>
          <w:u w:val="single" w:color="2E97D3"/>
        </w:rPr>
        <w:t>Finance.</w:t>
      </w:r>
    </w:p>
    <w:p>
      <w:pPr>
        <w:pStyle w:val="BodyText"/>
        <w:spacing w:before="120"/>
        <w:ind w:left="820" w:right="175"/>
        <w:jc w:val="both"/>
      </w:pPr>
      <w:r>
        <w:rPr/>
        <w:t>References to </w:t>
      </w:r>
      <w:r>
        <w:rPr>
          <w:strike/>
          <w:color w:val="2E97D3"/>
        </w:rPr>
        <w:t>DGS</w:t>
      </w:r>
      <w:r>
        <w:rPr>
          <w:strike w:val="0"/>
          <w:color w:val="2E97D3"/>
          <w:u w:val="single" w:color="2E97D3"/>
        </w:rPr>
        <w:t>the Department of General Services </w:t>
      </w:r>
      <w:r>
        <w:rPr>
          <w:strike w:val="0"/>
        </w:rPr>
        <w:t>in the following table also apply to any department which is authorized to act as its own project manager. Due dates on the chart are approximate; actual dates are set by Budget Letter.</w:t>
      </w:r>
    </w:p>
    <w:p>
      <w:pPr>
        <w:pStyle w:val="BodyText"/>
        <w:spacing w:before="120"/>
        <w:ind w:left="820"/>
      </w:pPr>
      <w:r>
        <w:rPr/>
        <w:t>(Continued)</w:t>
      </w:r>
    </w:p>
    <w:p>
      <w:pPr>
        <w:spacing w:after="0"/>
        <w:sectPr>
          <w:pgSz w:w="12240" w:h="15840"/>
          <w:pgMar w:header="724" w:footer="792" w:top="980" w:bottom="980" w:left="620" w:right="1320"/>
        </w:sectPr>
      </w:pPr>
    </w:p>
    <w:p>
      <w:pPr>
        <w:pStyle w:val="BodyText"/>
        <w:rPr>
          <w:sz w:val="20"/>
        </w:rPr>
      </w:pPr>
    </w:p>
    <w:p>
      <w:pPr>
        <w:pStyle w:val="BodyText"/>
        <w:spacing w:before="4"/>
        <w:rPr>
          <w:sz w:val="29"/>
        </w:rPr>
      </w:pPr>
    </w:p>
    <w:p>
      <w:pPr>
        <w:pStyle w:val="BodyText"/>
        <w:spacing w:before="92"/>
        <w:ind w:left="820"/>
      </w:pPr>
      <w:r>
        <w:rPr/>
        <w:pict>
          <v:line style="position:absolute;mso-position-horizontal-relative:page;mso-position-vertical-relative:paragraph;z-index:22648" from="36.360001pt,-5.984168pt" to="36.360001pt,50.415832pt" stroked="true" strokeweight=".72pt" strokecolor="#000000">
            <v:stroke dashstyle="solid"/>
            <w10:wrap type="none"/>
          </v:line>
        </w:pict>
      </w:r>
      <w:r>
        <w:rPr>
          <w:color w:val="2C6234"/>
          <w:u w:val="thick" w:color="2C6234"/>
        </w:rPr>
        <w:t>(Continued)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16"/>
        <w:ind w:left="4411" w:right="3311"/>
        <w:jc w:val="center"/>
      </w:pPr>
      <w:r>
        <w:rPr/>
        <w:pict>
          <v:line style="position:absolute;mso-position-horizontal-relative:page;mso-position-vertical-relative:paragraph;z-index:22672" from="36.360001pt,11.015861pt" to="36.360001pt,38.615861pt" stroked="true" strokeweight=".72pt" strokecolor="#000000">
            <v:stroke dashstyle="solid"/>
            <w10:wrap type="none"/>
          </v:line>
        </w:pict>
      </w:r>
      <w:r>
        <w:rPr/>
        <w:t>Rev. 364</w:t>
      </w:r>
    </w:p>
    <w:p>
      <w:pPr>
        <w:spacing w:before="0"/>
        <w:ind w:left="4411" w:right="3311" w:firstLine="0"/>
        <w:jc w:val="center"/>
        <w:rPr>
          <w:b/>
          <w:i/>
          <w:sz w:val="24"/>
        </w:rPr>
      </w:pPr>
      <w:r>
        <w:rPr>
          <w:b/>
          <w:i/>
          <w:strike/>
          <w:color w:val="2E97D3"/>
          <w:sz w:val="24"/>
        </w:rPr>
        <w:t>(6814 Illustration)</w:t>
      </w:r>
    </w:p>
    <w:p>
      <w:pPr>
        <w:spacing w:after="0"/>
        <w:jc w:val="center"/>
        <w:rPr>
          <w:sz w:val="24"/>
        </w:rPr>
        <w:sectPr>
          <w:headerReference w:type="default" r:id="rId241"/>
          <w:footerReference w:type="default" r:id="rId242"/>
          <w:pgSz w:w="12240" w:h="15840"/>
          <w:pgMar w:header="724" w:footer="0" w:top="980" w:bottom="280" w:left="620" w:right="1720"/>
        </w:sectPr>
      </w:pPr>
    </w:p>
    <w:p>
      <w:pPr>
        <w:pStyle w:val="BodyText"/>
        <w:rPr>
          <w:b/>
          <w:i/>
          <w:sz w:val="20"/>
        </w:rPr>
      </w:pPr>
      <w:r>
        <w:rPr/>
        <w:pict>
          <v:line style="position:absolute;mso-position-horizontal-relative:page;mso-position-vertical-relative:page;z-index:-449872" from="77.400002pt,310.980011pt" to="171.000002pt,310.980011pt" stroked="true" strokeweight=".6pt" strokecolor="#2e97d3">
            <v:stroke dashstyle="solid"/>
            <w10:wrap type="none"/>
          </v:line>
        </w:pict>
      </w:r>
      <w:r>
        <w:rPr/>
        <w:pict>
          <v:line style="position:absolute;mso-position-horizontal-relative:page;mso-position-vertical-relative:page;z-index:-449848" from="77.400002pt,436.980011pt" to="171.000002pt,436.980011pt" stroked="true" strokeweight=".84pt" strokecolor="#2e97d3">
            <v:stroke dashstyle="solid"/>
            <w10:wrap type="none"/>
          </v:line>
        </w:pict>
      </w:r>
      <w:r>
        <w:rPr/>
        <w:pict>
          <v:line style="position:absolute;mso-position-horizontal-relative:page;mso-position-vertical-relative:page;z-index:-449824" from="77.400002pt,608.340027pt" to="171.000002pt,608.340027pt" stroked="true" strokeweight=".84pt" strokecolor="#2e97d3">
            <v:stroke dashstyle="solid"/>
            <w10:wrap type="none"/>
          </v:line>
        </w:pict>
      </w:r>
      <w:r>
        <w:rPr/>
        <w:pict>
          <v:line style="position:absolute;mso-position-horizontal-relative:page;mso-position-vertical-relative:page;z-index:-449800" from="77.400002pt,650.940002pt" to="171.000002pt,650.940002pt" stroked="true" strokeweight=".6pt" strokecolor="#2e97d3">
            <v:stroke dashstyle="solid"/>
            <w10:wrap type="none"/>
          </v:line>
        </w:pict>
      </w:r>
      <w:r>
        <w:rPr/>
        <w:pict>
          <v:line style="position:absolute;mso-position-horizontal-relative:page;mso-position-vertical-relative:page;z-index:22936" from="36.360001pt,288.960999pt" to="36.360001pt,424.199999pt" stroked="true" strokeweight=".72pt" strokecolor="#000000">
            <v:stroke dashstyle="solid"/>
            <w10:wrap type="none"/>
          </v:line>
        </w:pict>
      </w:r>
      <w:r>
        <w:rPr/>
        <w:pict>
          <v:line style="position:absolute;mso-position-horizontal-relative:page;mso-position-vertical-relative:page;z-index:22960" from="36.360001pt,443.760986pt" to="36.360001pt,471.359986pt" stroked="true" strokeweight=".72pt" strokecolor="#000000">
            <v:stroke dashstyle="solid"/>
            <w10:wrap type="none"/>
          </v:line>
        </w:pict>
      </w:r>
      <w:r>
        <w:rPr/>
        <w:pict>
          <v:line style="position:absolute;mso-position-horizontal-relative:page;mso-position-vertical-relative:page;z-index:22984" from="36.360001pt,485.161011pt" to="36.360001pt,559.200011pt" stroked="true" strokeweight=".72pt" strokecolor="#000000">
            <v:stroke dashstyle="solid"/>
            <w10:wrap type="none"/>
          </v:line>
        </w:pict>
      </w:r>
      <w:r>
        <w:rPr/>
        <w:pict>
          <v:line style="position:absolute;mso-position-horizontal-relative:page;mso-position-vertical-relative:page;z-index:23008" from="36.360001pt,567.960999pt" to="36.360001pt,595.559999pt" stroked="true" strokeweight=".72pt" strokecolor="#000000">
            <v:stroke dashstyle="solid"/>
            <w10:wrap type="none"/>
          </v:line>
        </w:pict>
      </w:r>
      <w:r>
        <w:rPr/>
        <w:pict>
          <v:line style="position:absolute;mso-position-horizontal-relative:page;mso-position-vertical-relative:page;z-index:23032" from="36.360001pt,615.119995pt" to="36.360001pt,717.719995pt" stroked="true" strokeweight=".72pt" strokecolor="#000000">
            <v:stroke dashstyle="solid"/>
            <w10:wrap type="none"/>
          </v:line>
        </w:pict>
      </w:r>
    </w:p>
    <w:p>
      <w:pPr>
        <w:tabs>
          <w:tab w:pos="8648" w:val="left" w:leader="none"/>
        </w:tabs>
        <w:spacing w:before="214"/>
        <w:ind w:left="820" w:right="0" w:firstLine="0"/>
        <w:jc w:val="left"/>
        <w:rPr>
          <w:sz w:val="24"/>
        </w:rPr>
      </w:pPr>
      <w:r>
        <w:rPr/>
        <w:pict>
          <v:line style="position:absolute;mso-position-horizontal-relative:page;mso-position-vertical-relative:paragraph;z-index:-449896" from="72pt,23.875881pt" to="540pt,23.875881pt" stroked="true" strokeweight="1.2pt" strokecolor="#2e97d3">
            <v:stroke dashstyle="solid"/>
            <w10:wrap type="none"/>
          </v:line>
        </w:pict>
      </w:r>
      <w:r>
        <w:rPr/>
        <w:pict>
          <v:line style="position:absolute;mso-position-horizontal-relative:page;mso-position-vertical-relative:paragraph;z-index:22888" from="36.360001pt,10.915881pt" to="36.360001pt,64.315881pt" stroked="true" strokeweight=".72pt" strokecolor="#000000">
            <v:stroke dashstyle="solid"/>
            <w10:wrap type="none"/>
          </v:line>
        </w:pict>
      </w:r>
      <w:r>
        <w:rPr>
          <w:b/>
          <w:color w:val="2E97D3"/>
          <w:sz w:val="24"/>
        </w:rPr>
        <w:t>BUDGET PREPARATION </w:t>
      </w:r>
      <w:r>
        <w:rPr>
          <w:b/>
          <w:color w:val="2E97D3"/>
          <w:spacing w:val="-3"/>
          <w:sz w:val="24"/>
        </w:rPr>
        <w:t>AND</w:t>
      </w:r>
      <w:r>
        <w:rPr>
          <w:b/>
          <w:color w:val="2E97D3"/>
          <w:spacing w:val="-6"/>
          <w:sz w:val="24"/>
        </w:rPr>
        <w:t> </w:t>
      </w:r>
      <w:r>
        <w:rPr>
          <w:b/>
          <w:color w:val="2E97D3"/>
          <w:sz w:val="24"/>
        </w:rPr>
        <w:t>ENACTMENT</w:t>
      </w:r>
      <w:r>
        <w:rPr>
          <w:b/>
          <w:color w:val="2E97D3"/>
          <w:spacing w:val="-3"/>
          <w:sz w:val="24"/>
        </w:rPr>
        <w:t> </w:t>
      </w:r>
      <w:r>
        <w:rPr>
          <w:b/>
          <w:color w:val="2E97D3"/>
          <w:sz w:val="24"/>
        </w:rPr>
        <w:t>TIMETABLE</w:t>
        <w:tab/>
        <w:t>6814 </w:t>
      </w:r>
      <w:r>
        <w:rPr>
          <w:color w:val="2E97D3"/>
          <w:sz w:val="24"/>
        </w:rPr>
        <w:t>(Cont.</w:t>
      </w:r>
      <w:r>
        <w:rPr>
          <w:color w:val="2E97D3"/>
          <w:spacing w:val="-11"/>
          <w:sz w:val="24"/>
        </w:rPr>
        <w:t> </w:t>
      </w:r>
      <w:r>
        <w:rPr>
          <w:color w:val="2E97D3"/>
          <w:sz w:val="24"/>
        </w:rPr>
        <w:t>1)</w:t>
      </w:r>
    </w:p>
    <w:p>
      <w:pPr>
        <w:pStyle w:val="BodyText"/>
        <w:ind w:left="820"/>
      </w:pPr>
      <w:bookmarkStart w:name="(Revised 10/2017)" w:id="71"/>
      <w:bookmarkEnd w:id="71"/>
      <w:r>
        <w:rPr/>
      </w:r>
      <w:r>
        <w:rPr>
          <w:color w:val="2E97D3"/>
          <w:u w:val="single" w:color="2E97D3"/>
        </w:rPr>
        <w:t>(Revised 10/2017)</w:t>
      </w:r>
    </w:p>
    <w:p>
      <w:pPr>
        <w:pStyle w:val="BodyText"/>
        <w:rPr>
          <w:sz w:val="20"/>
        </w:rPr>
      </w:pPr>
    </w:p>
    <w:p>
      <w:pPr>
        <w:pStyle w:val="BodyText"/>
        <w:spacing w:before="9"/>
        <w:rPr>
          <w:sz w:val="16"/>
        </w:rPr>
      </w:pPr>
    </w:p>
    <w:p>
      <w:pPr>
        <w:pStyle w:val="Heading2"/>
        <w:spacing w:before="93"/>
        <w:ind w:left="3085"/>
      </w:pPr>
      <w:r>
        <w:rPr/>
        <w:pict>
          <v:line style="position:absolute;mso-position-horizontal-relative:page;mso-position-vertical-relative:paragraph;z-index:22912" from="36.360001pt,44.465858pt" to="36.360001pt,157.385858pt" stroked="true" strokeweight=".72pt" strokecolor="#000000">
            <v:stroke dashstyle="solid"/>
            <w10:wrap type="none"/>
          </v:line>
        </w:pict>
      </w:r>
      <w:r>
        <w:rPr/>
        <w:t>TIMETABLE FOR FIRST YEAR ACTIVITIES</w:t>
      </w:r>
    </w:p>
    <w:p>
      <w:pPr>
        <w:pStyle w:val="BodyText"/>
        <w:rPr>
          <w:b/>
          <w:sz w:val="20"/>
        </w:rPr>
      </w:pPr>
    </w:p>
    <w:p>
      <w:pPr>
        <w:pStyle w:val="BodyText"/>
        <w:spacing w:before="2" w:after="1"/>
        <w:rPr>
          <w:b/>
          <w:sz w:val="25"/>
        </w:rPr>
      </w:pPr>
    </w:p>
    <w:tbl>
      <w:tblPr>
        <w:tblW w:w="0" w:type="auto"/>
        <w:jc w:val="left"/>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88"/>
        <w:gridCol w:w="7488"/>
      </w:tblGrid>
      <w:tr>
        <w:trPr>
          <w:trHeight w:val="1488" w:hRule="exact"/>
        </w:trPr>
        <w:tc>
          <w:tcPr>
            <w:tcW w:w="2088" w:type="dxa"/>
            <w:tcBorders>
              <w:top w:val="nil"/>
              <w:left w:val="nil"/>
            </w:tcBorders>
          </w:tcPr>
          <w:p>
            <w:pPr>
              <w:pStyle w:val="TableParagraph"/>
              <w:spacing w:before="6"/>
              <w:rPr>
                <w:b/>
                <w:sz w:val="35"/>
              </w:rPr>
            </w:pPr>
          </w:p>
          <w:p>
            <w:pPr>
              <w:pStyle w:val="TableParagraph"/>
              <w:ind w:left="108" w:right="578"/>
              <w:rPr>
                <w:sz w:val="24"/>
              </w:rPr>
            </w:pPr>
            <w:r>
              <w:rPr>
                <w:strike/>
                <w:color w:val="2E97D3"/>
                <w:sz w:val="24"/>
              </w:rPr>
              <w:t>February 1</w:t>
            </w:r>
            <w:r>
              <w:rPr>
                <w:strike w:val="0"/>
                <w:color w:val="2E97D3"/>
                <w:sz w:val="24"/>
                <w:u w:val="single" w:color="2E97D3"/>
              </w:rPr>
              <w:t>July/August</w:t>
            </w:r>
          </w:p>
        </w:tc>
        <w:tc>
          <w:tcPr>
            <w:tcW w:w="7488" w:type="dxa"/>
            <w:tcBorders>
              <w:top w:val="nil"/>
              <w:right w:val="nil"/>
            </w:tcBorders>
          </w:tcPr>
          <w:p>
            <w:pPr>
              <w:pStyle w:val="TableParagraph"/>
              <w:ind w:left="100" w:right="276"/>
              <w:rPr>
                <w:sz w:val="24"/>
              </w:rPr>
            </w:pPr>
            <w:r>
              <w:rPr>
                <w:strike/>
                <w:color w:val="2E97D3"/>
                <w:sz w:val="24"/>
              </w:rPr>
              <w:t>Last</w:t>
            </w:r>
            <w:r>
              <w:rPr>
                <w:strike w:val="0"/>
                <w:color w:val="2E97D3"/>
                <w:sz w:val="24"/>
                <w:u w:val="single" w:color="2E97D3"/>
              </w:rPr>
              <w:t>Per annual Budget Letter instructions from Finance, the last </w:t>
            </w:r>
            <w:r>
              <w:rPr>
                <w:strike w:val="0"/>
                <w:sz w:val="24"/>
              </w:rPr>
              <w:t>date to submit five-year capitalized assets plans and </w:t>
            </w:r>
            <w:r>
              <w:rPr>
                <w:strike w:val="0"/>
                <w:color w:val="2E97D3"/>
                <w:sz w:val="24"/>
                <w:u w:val="single" w:color="2E97D3"/>
              </w:rPr>
              <w:t>major/minor </w:t>
            </w:r>
            <w:r>
              <w:rPr>
                <w:strike w:val="0"/>
                <w:sz w:val="24"/>
              </w:rPr>
              <w:t>capital outlay budget change proposals (COBCPs) for each new or continuing projects to </w:t>
            </w:r>
            <w:r>
              <w:rPr>
                <w:strike/>
                <w:color w:val="2E97D3"/>
                <w:sz w:val="24"/>
              </w:rPr>
              <w:t>DOF (2 copies), LAO (1 copy), and DGS (2 copies).</w:t>
            </w:r>
            <w:r>
              <w:rPr>
                <w:strike w:val="0"/>
                <w:color w:val="2E97D3"/>
                <w:sz w:val="24"/>
                <w:u w:val="single" w:color="2E97D3"/>
              </w:rPr>
              <w:t>Finance.</w:t>
            </w:r>
          </w:p>
        </w:tc>
      </w:tr>
      <w:tr>
        <w:trPr>
          <w:trHeight w:val="878" w:hRule="exact"/>
        </w:trPr>
        <w:tc>
          <w:tcPr>
            <w:tcW w:w="2088" w:type="dxa"/>
            <w:tcBorders>
              <w:left w:val="nil"/>
            </w:tcBorders>
          </w:tcPr>
          <w:p>
            <w:pPr>
              <w:pStyle w:val="TableParagraph"/>
              <w:spacing w:before="8"/>
              <w:rPr>
                <w:b/>
                <w:sz w:val="20"/>
              </w:rPr>
            </w:pPr>
          </w:p>
          <w:p>
            <w:pPr>
              <w:pStyle w:val="TableParagraph"/>
              <w:ind w:left="108"/>
              <w:rPr>
                <w:sz w:val="24"/>
              </w:rPr>
            </w:pPr>
            <w:r>
              <w:rPr>
                <w:strike/>
                <w:color w:val="2E97D3"/>
                <w:sz w:val="24"/>
              </w:rPr>
              <w:t>February–March</w:t>
            </w:r>
          </w:p>
        </w:tc>
        <w:tc>
          <w:tcPr>
            <w:tcW w:w="7488" w:type="dxa"/>
            <w:tcBorders>
              <w:right w:val="nil"/>
            </w:tcBorders>
          </w:tcPr>
          <w:p>
            <w:pPr>
              <w:pStyle w:val="TableParagraph"/>
              <w:spacing w:before="101"/>
              <w:ind w:left="100" w:right="331"/>
              <w:rPr>
                <w:sz w:val="24"/>
              </w:rPr>
            </w:pPr>
            <w:r>
              <w:rPr>
                <w:strike/>
                <w:color w:val="2E97D3"/>
                <w:sz w:val="24"/>
              </w:rPr>
              <w:t>DOF refers selected new projects to DGS for a technical feasibility review.</w:t>
            </w:r>
          </w:p>
        </w:tc>
      </w:tr>
      <w:tr>
        <w:trPr>
          <w:trHeight w:val="878" w:hRule="exact"/>
        </w:trPr>
        <w:tc>
          <w:tcPr>
            <w:tcW w:w="2088" w:type="dxa"/>
            <w:tcBorders>
              <w:left w:val="nil"/>
            </w:tcBorders>
          </w:tcPr>
          <w:p>
            <w:pPr>
              <w:pStyle w:val="TableParagraph"/>
              <w:spacing w:before="101"/>
              <w:ind w:left="108"/>
              <w:rPr>
                <w:sz w:val="24"/>
              </w:rPr>
            </w:pPr>
            <w:r>
              <w:rPr>
                <w:strike/>
                <w:color w:val="2E97D3"/>
                <w:sz w:val="24"/>
              </w:rPr>
              <w:t>March</w:t>
            </w:r>
          </w:p>
        </w:tc>
        <w:tc>
          <w:tcPr>
            <w:tcW w:w="7488" w:type="dxa"/>
            <w:tcBorders>
              <w:right w:val="nil"/>
            </w:tcBorders>
          </w:tcPr>
          <w:p>
            <w:pPr>
              <w:pStyle w:val="TableParagraph"/>
              <w:spacing w:before="101"/>
              <w:ind w:left="100" w:right="183"/>
              <w:rPr>
                <w:sz w:val="24"/>
              </w:rPr>
            </w:pPr>
            <w:r>
              <w:rPr>
                <w:strike/>
                <w:color w:val="2E97D3"/>
                <w:sz w:val="24"/>
              </w:rPr>
              <w:t>DOF releases funds to DGS for the preparation of budget packages for new projects.</w:t>
            </w:r>
          </w:p>
        </w:tc>
      </w:tr>
      <w:tr>
        <w:trPr>
          <w:trHeight w:val="2323" w:hRule="exact"/>
        </w:trPr>
        <w:tc>
          <w:tcPr>
            <w:tcW w:w="2088" w:type="dxa"/>
            <w:tcBorders>
              <w:left w:val="nil"/>
            </w:tcBorders>
          </w:tcPr>
          <w:p>
            <w:pPr>
              <w:pStyle w:val="TableParagraph"/>
              <w:ind w:left="108" w:right="698"/>
              <w:rPr>
                <w:sz w:val="24"/>
              </w:rPr>
            </w:pPr>
            <w:r>
              <w:rPr>
                <w:color w:val="2E97D3"/>
                <w:sz w:val="24"/>
                <w:u w:val="single" w:color="2E97D3"/>
              </w:rPr>
              <w:t>September- October</w:t>
            </w:r>
          </w:p>
          <w:p>
            <w:pPr>
              <w:pStyle w:val="TableParagraph"/>
              <w:spacing w:before="2"/>
              <w:rPr>
                <w:b/>
                <w:sz w:val="22"/>
              </w:rPr>
            </w:pPr>
          </w:p>
          <w:p>
            <w:pPr>
              <w:pStyle w:val="TableParagraph"/>
              <w:spacing w:line="20" w:lineRule="exact"/>
              <w:ind w:left="99"/>
              <w:rPr>
                <w:sz w:val="2"/>
              </w:rPr>
            </w:pPr>
            <w:r>
              <w:rPr>
                <w:sz w:val="2"/>
              </w:rPr>
              <w:pict>
                <v:group style="width:94.45pt;height:.85pt;mso-position-horizontal-relative:char;mso-position-vertical-relative:line" coordorigin="0,0" coordsize="1889,17">
                  <v:line style="position:absolute" from="9,9" to="1881,9" stroked="true" strokeweight=".84pt" strokecolor="#2e97d3">
                    <v:stroke dashstyle="solid"/>
                  </v:line>
                </v:group>
              </w:pict>
            </w:r>
            <w:r>
              <w:rPr>
                <w:sz w:val="2"/>
              </w:rPr>
            </w:r>
          </w:p>
          <w:p>
            <w:pPr>
              <w:pStyle w:val="TableParagraph"/>
              <w:spacing w:before="4"/>
              <w:ind w:left="108" w:right="1526"/>
              <w:rPr>
                <w:sz w:val="24"/>
              </w:rPr>
            </w:pPr>
            <w:r>
              <w:rPr>
                <w:sz w:val="24"/>
              </w:rPr>
              <w:t>July 1</w:t>
            </w:r>
          </w:p>
          <w:p>
            <w:pPr>
              <w:pStyle w:val="TableParagraph"/>
              <w:spacing w:before="10"/>
              <w:rPr>
                <w:b/>
                <w:sz w:val="23"/>
              </w:rPr>
            </w:pPr>
          </w:p>
          <w:p>
            <w:pPr>
              <w:pStyle w:val="TableParagraph"/>
              <w:spacing w:before="1"/>
              <w:ind w:left="108"/>
              <w:rPr>
                <w:sz w:val="24"/>
              </w:rPr>
            </w:pPr>
            <w:r>
              <w:rPr>
                <w:color w:val="2E97D3"/>
                <w:sz w:val="24"/>
                <w:u w:val="single" w:color="2E97D3"/>
              </w:rPr>
              <w:t>March</w:t>
            </w:r>
          </w:p>
        </w:tc>
        <w:tc>
          <w:tcPr>
            <w:tcW w:w="7488" w:type="dxa"/>
            <w:tcBorders>
              <w:right w:val="nil"/>
            </w:tcBorders>
          </w:tcPr>
          <w:p>
            <w:pPr>
              <w:pStyle w:val="TableParagraph"/>
              <w:rPr>
                <w:b/>
                <w:sz w:val="26"/>
              </w:rPr>
            </w:pPr>
          </w:p>
          <w:p>
            <w:pPr>
              <w:pStyle w:val="TableParagraph"/>
              <w:spacing w:before="8"/>
              <w:rPr>
                <w:b/>
                <w:sz w:val="33"/>
              </w:rPr>
            </w:pPr>
          </w:p>
          <w:p>
            <w:pPr>
              <w:pStyle w:val="TableParagraph"/>
              <w:ind w:left="100" w:right="397"/>
              <w:rPr>
                <w:sz w:val="24"/>
              </w:rPr>
            </w:pPr>
            <w:r>
              <w:rPr>
                <w:strike/>
                <w:color w:val="2E97D3"/>
                <w:sz w:val="24"/>
              </w:rPr>
              <w:t>Last date for</w:t>
            </w:r>
            <w:r>
              <w:rPr>
                <w:strike w:val="0"/>
                <w:color w:val="2E97D3"/>
                <w:sz w:val="24"/>
                <w:u w:val="single" w:color="2E97D3"/>
              </w:rPr>
              <w:t>Capital outlay meetings with </w:t>
            </w:r>
            <w:r>
              <w:rPr>
                <w:strike w:val="0"/>
                <w:sz w:val="24"/>
              </w:rPr>
              <w:t>departments </w:t>
            </w:r>
            <w:r>
              <w:rPr>
                <w:strike/>
                <w:color w:val="2E97D3"/>
                <w:sz w:val="24"/>
              </w:rPr>
              <w:t>to submit minor capital outlay requests to DOF </w:t>
            </w:r>
            <w:r>
              <w:rPr>
                <w:strike w:val="0"/>
                <w:sz w:val="24"/>
              </w:rPr>
              <w:t>and </w:t>
            </w:r>
            <w:r>
              <w:rPr>
                <w:strike/>
                <w:color w:val="2E97D3"/>
                <w:sz w:val="24"/>
              </w:rPr>
              <w:t>LAO.</w:t>
            </w:r>
            <w:r>
              <w:rPr>
                <w:strike w:val="0"/>
                <w:color w:val="2E97D3"/>
                <w:sz w:val="24"/>
                <w:u w:val="single" w:color="2E97D3"/>
              </w:rPr>
              <w:t>Finance to discuss COBCPs (if necessary).</w:t>
            </w:r>
          </w:p>
        </w:tc>
      </w:tr>
      <w:tr>
        <w:trPr>
          <w:trHeight w:val="3427" w:hRule="exact"/>
        </w:trPr>
        <w:tc>
          <w:tcPr>
            <w:tcW w:w="2088" w:type="dxa"/>
            <w:tcBorders>
              <w:left w:val="nil"/>
            </w:tcBorders>
          </w:tcPr>
          <w:p>
            <w:pPr>
              <w:pStyle w:val="TableParagraph"/>
              <w:ind w:left="108" w:right="1098"/>
              <w:rPr>
                <w:sz w:val="24"/>
              </w:rPr>
            </w:pPr>
            <w:r>
              <w:rPr>
                <w:color w:val="2E97D3"/>
                <w:sz w:val="24"/>
                <w:u w:val="single" w:color="2E97D3"/>
              </w:rPr>
              <w:t>January 10</w:t>
            </w:r>
          </w:p>
          <w:p>
            <w:pPr>
              <w:pStyle w:val="TableParagraph"/>
              <w:spacing w:before="2"/>
              <w:rPr>
                <w:b/>
                <w:sz w:val="22"/>
              </w:rPr>
            </w:pPr>
          </w:p>
          <w:p>
            <w:pPr>
              <w:pStyle w:val="TableParagraph"/>
              <w:spacing w:line="20" w:lineRule="exact"/>
              <w:ind w:left="99"/>
              <w:rPr>
                <w:sz w:val="2"/>
              </w:rPr>
            </w:pPr>
            <w:r>
              <w:rPr>
                <w:sz w:val="2"/>
              </w:rPr>
              <w:pict>
                <v:group style="width:94.45pt;height:.85pt;mso-position-horizontal-relative:char;mso-position-vertical-relative:line" coordorigin="0,0" coordsize="1889,17">
                  <v:line style="position:absolute" from="9,9" to="1881,9" stroked="true" strokeweight=".84pt" strokecolor="#2e97d3">
                    <v:stroke dashstyle="solid"/>
                  </v:line>
                </v:group>
              </w:pict>
            </w:r>
            <w:r>
              <w:rPr>
                <w:sz w:val="2"/>
              </w:rPr>
            </w:r>
          </w:p>
          <w:p>
            <w:pPr>
              <w:pStyle w:val="TableParagraph"/>
              <w:spacing w:before="4"/>
              <w:ind w:left="108" w:right="778"/>
              <w:rPr>
                <w:sz w:val="24"/>
              </w:rPr>
            </w:pPr>
            <w:r>
              <w:rPr>
                <w:color w:val="2E97D3"/>
                <w:sz w:val="24"/>
                <w:u w:val="single" w:color="2E97D3"/>
              </w:rPr>
              <w:t>September 1</w:t>
            </w:r>
          </w:p>
          <w:p>
            <w:pPr>
              <w:pStyle w:val="TableParagraph"/>
              <w:tabs>
                <w:tab w:pos="1979" w:val="left" w:leader="none"/>
              </w:tabs>
              <w:ind w:left="108" w:right="98"/>
              <w:rPr>
                <w:sz w:val="24"/>
              </w:rPr>
            </w:pPr>
            <w:r>
              <w:rPr>
                <w:color w:val="2E97D3"/>
                <w:w w:val="100"/>
                <w:sz w:val="24"/>
                <w:u w:val="single" w:color="2E97D3"/>
              </w:rPr>
              <w:t> </w:t>
            </w:r>
            <w:r>
              <w:rPr>
                <w:color w:val="2E97D3"/>
                <w:sz w:val="24"/>
                <w:u w:val="single" w:color="2E97D3"/>
              </w:rPr>
              <w:tab/>
            </w:r>
            <w:r>
              <w:rPr>
                <w:color w:val="2E97D3"/>
                <w:sz w:val="24"/>
              </w:rPr>
              <w:t> </w:t>
            </w:r>
            <w:r>
              <w:rPr>
                <w:sz w:val="24"/>
              </w:rPr>
              <w:t>J</w:t>
            </w:r>
            <w:r>
              <w:rPr>
                <w:w w:val="99"/>
                <w:sz w:val="24"/>
              </w:rPr>
              <w:t>u</w:t>
            </w:r>
            <w:r>
              <w:rPr>
                <w:spacing w:val="-1"/>
                <w:w w:val="99"/>
                <w:sz w:val="24"/>
              </w:rPr>
              <w:t>l</w:t>
            </w:r>
            <w:r>
              <w:rPr>
                <w:spacing w:val="-3"/>
                <w:w w:val="99"/>
                <w:sz w:val="24"/>
              </w:rPr>
              <w:t>y</w:t>
            </w:r>
            <w:r>
              <w:rPr>
                <w:w w:val="99"/>
                <w:sz w:val="24"/>
              </w:rPr>
              <w:t>–</w:t>
            </w:r>
          </w:p>
          <w:p>
            <w:pPr>
              <w:pStyle w:val="TableParagraph"/>
              <w:ind w:left="108"/>
              <w:rPr>
                <w:sz w:val="24"/>
              </w:rPr>
            </w:pPr>
            <w:r>
              <w:rPr>
                <w:sz w:val="24"/>
              </w:rPr>
              <w:t>October</w:t>
            </w:r>
          </w:p>
          <w:p>
            <w:pPr>
              <w:pStyle w:val="TableParagraph"/>
              <w:spacing w:before="10"/>
              <w:rPr>
                <w:b/>
                <w:sz w:val="23"/>
              </w:rPr>
            </w:pPr>
          </w:p>
          <w:p>
            <w:pPr>
              <w:pStyle w:val="TableParagraph"/>
              <w:spacing w:before="1"/>
              <w:ind w:left="108" w:right="1526"/>
              <w:rPr>
                <w:sz w:val="24"/>
              </w:rPr>
            </w:pPr>
            <w:r>
              <w:rPr>
                <w:color w:val="2E97D3"/>
                <w:sz w:val="24"/>
                <w:u w:val="single" w:color="2E97D3"/>
              </w:rPr>
              <w:t>July 1</w:t>
            </w:r>
          </w:p>
        </w:tc>
        <w:tc>
          <w:tcPr>
            <w:tcW w:w="7488" w:type="dxa"/>
            <w:tcBorders>
              <w:right w:val="nil"/>
            </w:tcBorders>
          </w:tcPr>
          <w:p>
            <w:pPr>
              <w:pStyle w:val="TableParagraph"/>
              <w:rPr>
                <w:b/>
                <w:sz w:val="26"/>
              </w:rPr>
            </w:pPr>
          </w:p>
          <w:p>
            <w:pPr>
              <w:pStyle w:val="TableParagraph"/>
              <w:rPr>
                <w:b/>
                <w:sz w:val="26"/>
              </w:rPr>
            </w:pPr>
          </w:p>
          <w:p>
            <w:pPr>
              <w:pStyle w:val="TableParagraph"/>
              <w:rPr>
                <w:b/>
                <w:sz w:val="26"/>
              </w:rPr>
            </w:pPr>
          </w:p>
          <w:p>
            <w:pPr>
              <w:pStyle w:val="TableParagraph"/>
              <w:spacing w:before="202"/>
              <w:ind w:left="100" w:right="250"/>
              <w:rPr>
                <w:sz w:val="24"/>
              </w:rPr>
            </w:pPr>
            <w:r>
              <w:rPr>
                <w:strike/>
                <w:color w:val="2E97D3"/>
                <w:sz w:val="24"/>
              </w:rPr>
              <w:t>DOF schedules scope review meetings, as required, for both major and minor capital outlay requests. The review may include the department, the LAO, and, if appropriate, DGS.</w:t>
            </w:r>
            <w:r>
              <w:rPr>
                <w:i/>
                <w:strike w:val="0"/>
                <w:color w:val="2E97D3"/>
                <w:sz w:val="24"/>
                <w:u w:val="single" w:color="2E97D3"/>
              </w:rPr>
              <w:t>Governor's Budget </w:t>
            </w:r>
            <w:r>
              <w:rPr>
                <w:strike w:val="0"/>
                <w:color w:val="2E97D3"/>
                <w:sz w:val="24"/>
                <w:u w:val="single" w:color="2E97D3"/>
              </w:rPr>
              <w:t>and Budget Bill presented to the Legislature.</w:t>
            </w:r>
          </w:p>
        </w:tc>
      </w:tr>
      <w:tr>
        <w:trPr>
          <w:trHeight w:val="943" w:hRule="exact"/>
        </w:trPr>
        <w:tc>
          <w:tcPr>
            <w:tcW w:w="2088" w:type="dxa"/>
            <w:tcBorders>
              <w:left w:val="nil"/>
            </w:tcBorders>
          </w:tcPr>
          <w:p>
            <w:pPr>
              <w:pStyle w:val="TableParagraph"/>
              <w:ind w:left="108" w:right="1205"/>
              <w:rPr>
                <w:sz w:val="24"/>
              </w:rPr>
            </w:pPr>
            <w:r>
              <w:rPr>
                <w:strike/>
                <w:color w:val="2E97D3"/>
                <w:sz w:val="24"/>
              </w:rPr>
              <w:t>August 15</w:t>
            </w:r>
          </w:p>
        </w:tc>
        <w:tc>
          <w:tcPr>
            <w:tcW w:w="7488" w:type="dxa"/>
            <w:tcBorders>
              <w:right w:val="nil"/>
            </w:tcBorders>
          </w:tcPr>
          <w:p>
            <w:pPr>
              <w:pStyle w:val="TableParagraph"/>
              <w:spacing w:before="7"/>
              <w:rPr>
                <w:b/>
                <w:sz w:val="23"/>
              </w:rPr>
            </w:pPr>
          </w:p>
          <w:p>
            <w:pPr>
              <w:pStyle w:val="TableParagraph"/>
              <w:ind w:left="100"/>
              <w:rPr>
                <w:sz w:val="24"/>
              </w:rPr>
            </w:pPr>
            <w:r>
              <w:rPr>
                <w:strike/>
                <w:color w:val="2E97D3"/>
                <w:sz w:val="24"/>
              </w:rPr>
              <w:t>Higher education segments submit five-year plans and COBCPs.</w:t>
            </w:r>
          </w:p>
        </w:tc>
      </w:tr>
      <w:tr>
        <w:trPr>
          <w:trHeight w:val="1111" w:hRule="exact"/>
        </w:trPr>
        <w:tc>
          <w:tcPr>
            <w:tcW w:w="2088" w:type="dxa"/>
            <w:tcBorders>
              <w:left w:val="nil"/>
              <w:bottom w:val="nil"/>
            </w:tcBorders>
          </w:tcPr>
          <w:p>
            <w:pPr>
              <w:pStyle w:val="TableParagraph"/>
              <w:ind w:left="108" w:right="778"/>
              <w:rPr>
                <w:sz w:val="24"/>
              </w:rPr>
            </w:pPr>
            <w:r>
              <w:rPr>
                <w:strike/>
                <w:color w:val="2E97D3"/>
                <w:sz w:val="24"/>
              </w:rPr>
              <w:t>September 1</w:t>
            </w:r>
          </w:p>
          <w:p>
            <w:pPr>
              <w:pStyle w:val="TableParagraph"/>
              <w:spacing w:before="6"/>
              <w:rPr>
                <w:b/>
                <w:sz w:val="14"/>
              </w:rPr>
            </w:pPr>
          </w:p>
          <w:p>
            <w:pPr>
              <w:pStyle w:val="TableParagraph"/>
              <w:spacing w:line="20" w:lineRule="exact"/>
              <w:ind w:left="102"/>
              <w:rPr>
                <w:sz w:val="2"/>
              </w:rPr>
            </w:pPr>
            <w:r>
              <w:rPr>
                <w:sz w:val="2"/>
              </w:rPr>
              <w:pict>
                <v:group style="width:94.2pt;height:.6pt;mso-position-horizontal-relative:char;mso-position-vertical-relative:line" coordorigin="0,0" coordsize="1884,12">
                  <v:line style="position:absolute" from="6,6" to="1878,6" stroked="true" strokeweight=".6pt" strokecolor="#2e97d3">
                    <v:stroke dashstyle="solid"/>
                  </v:line>
                </v:group>
              </w:pict>
            </w:r>
            <w:r>
              <w:rPr>
                <w:sz w:val="2"/>
              </w:rPr>
            </w:r>
          </w:p>
          <w:p>
            <w:pPr>
              <w:pStyle w:val="TableParagraph"/>
              <w:spacing w:before="93"/>
              <w:ind w:left="108"/>
              <w:rPr>
                <w:sz w:val="24"/>
              </w:rPr>
            </w:pPr>
            <w:r>
              <w:rPr>
                <w:color w:val="2E97D3"/>
                <w:sz w:val="24"/>
                <w:u w:val="single" w:color="2E97D3"/>
              </w:rPr>
              <w:t>February</w:t>
            </w:r>
          </w:p>
        </w:tc>
        <w:tc>
          <w:tcPr>
            <w:tcW w:w="7488" w:type="dxa"/>
            <w:tcBorders>
              <w:bottom w:val="nil"/>
              <w:right w:val="nil"/>
            </w:tcBorders>
          </w:tcPr>
          <w:p>
            <w:pPr>
              <w:pStyle w:val="TableParagraph"/>
              <w:spacing w:before="132"/>
              <w:ind w:left="460" w:right="344" w:hanging="360"/>
              <w:rPr>
                <w:sz w:val="24"/>
              </w:rPr>
            </w:pPr>
            <w:r>
              <w:rPr>
                <w:strike/>
                <w:color w:val="2E97D3"/>
                <w:sz w:val="24"/>
              </w:rPr>
              <w:t>(1) DGS submits completed budget packages, cost updates,</w:t>
            </w:r>
            <w:r>
              <w:rPr>
                <w:strike w:val="0"/>
                <w:color w:val="2E97D3"/>
                <w:sz w:val="24"/>
                <w:u w:val="single" w:color="2E97D3"/>
              </w:rPr>
              <w:t>Departments submit requests for technical </w:t>
            </w:r>
            <w:r>
              <w:rPr>
                <w:strike w:val="0"/>
                <w:sz w:val="24"/>
              </w:rPr>
              <w:t>and </w:t>
            </w:r>
            <w:r>
              <w:rPr>
                <w:strike/>
                <w:color w:val="2E97D3"/>
                <w:sz w:val="24"/>
              </w:rPr>
              <w:t>scope refinements</w:t>
            </w:r>
            <w:r>
              <w:rPr>
                <w:strike w:val="0"/>
                <w:color w:val="2E97D3"/>
                <w:sz w:val="24"/>
                <w:u w:val="single" w:color="2E97D3"/>
              </w:rPr>
              <w:t>policy amendments </w:t>
            </w:r>
            <w:r>
              <w:rPr>
                <w:strike w:val="0"/>
                <w:sz w:val="24"/>
              </w:rPr>
              <w:t>to </w:t>
            </w:r>
            <w:r>
              <w:rPr>
                <w:strike/>
                <w:color w:val="2E97D3"/>
                <w:sz w:val="24"/>
              </w:rPr>
              <w:t>DOF and client departments</w:t>
            </w:r>
          </w:p>
        </w:tc>
      </w:tr>
    </w:tbl>
    <w:p>
      <w:pPr>
        <w:spacing w:after="0"/>
        <w:rPr>
          <w:sz w:val="24"/>
        </w:rPr>
        <w:sectPr>
          <w:headerReference w:type="default" r:id="rId243"/>
          <w:footerReference w:type="default" r:id="rId244"/>
          <w:pgSz w:w="12240" w:h="15840"/>
          <w:pgMar w:header="724" w:footer="1068" w:top="980" w:bottom="1260" w:left="620" w:right="1120"/>
        </w:sectPr>
      </w:pPr>
    </w:p>
    <w:p>
      <w:pPr>
        <w:pStyle w:val="BodyText"/>
        <w:rPr>
          <w:b/>
          <w:sz w:val="20"/>
        </w:rPr>
      </w:pPr>
      <w:r>
        <w:rPr/>
        <w:pict>
          <v:line style="position:absolute;mso-position-horizontal-relative:page;mso-position-vertical-relative:page;z-index:-449512" from="299.640015pt,94.019997pt" to="302.880015pt,94.019997pt" stroked="true" strokeweight=".6pt" strokecolor="#2e97d3">
            <v:stroke dashstyle="solid"/>
            <w10:wrap type="none"/>
          </v:line>
        </w:pict>
      </w:r>
      <w:r>
        <w:rPr/>
        <w:pict>
          <v:line style="position:absolute;mso-position-horizontal-relative:page;mso-position-vertical-relative:page;z-index:-449488" from="77.400002pt,440.459503pt" to="171.000002pt,440.459503pt" stroked="true" strokeweight=".841pt" strokecolor="#2e97d3">
            <v:stroke dashstyle="solid"/>
            <w10:wrap type="none"/>
          </v:line>
        </w:pict>
      </w:r>
      <w:r>
        <w:rPr/>
        <w:pict>
          <v:line style="position:absolute;mso-position-horizontal-relative:page;mso-position-vertical-relative:page;z-index:23200" from="36.360001pt,72pt" to="36.360001pt,386.28pt" stroked="true" strokeweight=".72pt" strokecolor="#000000">
            <v:stroke dashstyle="solid"/>
            <w10:wrap type="none"/>
          </v:line>
        </w:pict>
      </w:r>
      <w:r>
        <w:rPr/>
        <w:pict>
          <v:line style="position:absolute;mso-position-horizontal-relative:page;mso-position-vertical-relative:page;z-index:23224" from="36.360001pt,400.079987pt" to="36.360001pt,427.679987pt" stroked="true" strokeweight=".72pt" strokecolor="#000000">
            <v:stroke dashstyle="solid"/>
            <w10:wrap type="none"/>
          </v:line>
        </w:pict>
      </w:r>
    </w:p>
    <w:p>
      <w:pPr>
        <w:pStyle w:val="BodyText"/>
        <w:spacing w:before="11"/>
        <w:rPr>
          <w:b/>
          <w:sz w:val="18"/>
        </w:rPr>
      </w:pPr>
    </w:p>
    <w:tbl>
      <w:tblPr>
        <w:tblW w:w="0" w:type="auto"/>
        <w:jc w:val="left"/>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88"/>
        <w:gridCol w:w="7488"/>
      </w:tblGrid>
      <w:tr>
        <w:trPr>
          <w:trHeight w:val="3972" w:hRule="exact"/>
        </w:trPr>
        <w:tc>
          <w:tcPr>
            <w:tcW w:w="2088" w:type="dxa"/>
            <w:tcBorders>
              <w:top w:val="nil"/>
              <w:left w:val="nil"/>
            </w:tcBorders>
          </w:tcPr>
          <w:p>
            <w:pPr>
              <w:pStyle w:val="TableParagraph"/>
              <w:spacing w:before="5"/>
              <w:rPr>
                <w:b/>
                <w:sz w:val="21"/>
              </w:rPr>
            </w:pPr>
          </w:p>
          <w:p>
            <w:pPr>
              <w:pStyle w:val="TableParagraph"/>
              <w:spacing w:line="20" w:lineRule="exact"/>
              <w:ind w:left="99"/>
              <w:rPr>
                <w:sz w:val="2"/>
              </w:rPr>
            </w:pPr>
            <w:r>
              <w:rPr>
                <w:sz w:val="2"/>
              </w:rPr>
              <w:pict>
                <v:group style="width:94.45pt;height:.85pt;mso-position-horizontal-relative:char;mso-position-vertical-relative:line" coordorigin="0,0" coordsize="1889,17">
                  <v:line style="position:absolute" from="9,9" to="1881,9" stroked="true" strokeweight=".841pt" strokecolor="#2e97d3">
                    <v:stroke dashstyle="solid"/>
                  </v:line>
                </v:group>
              </w:pict>
            </w:r>
            <w:r>
              <w:rPr>
                <w:sz w:val="2"/>
              </w:rPr>
            </w:r>
          </w:p>
          <w:p>
            <w:pPr>
              <w:pStyle w:val="TableParagraph"/>
              <w:spacing w:before="4"/>
              <w:ind w:left="108" w:right="1099"/>
              <w:rPr>
                <w:sz w:val="24"/>
              </w:rPr>
            </w:pPr>
            <w:r>
              <w:rPr>
                <w:color w:val="2E97D3"/>
                <w:sz w:val="24"/>
                <w:u w:val="single" w:color="2E97D3"/>
              </w:rPr>
              <w:t>July– October</w:t>
            </w:r>
          </w:p>
          <w:p>
            <w:pPr>
              <w:pStyle w:val="TableParagraph"/>
              <w:tabs>
                <w:tab w:pos="1979" w:val="left" w:leader="none"/>
              </w:tabs>
              <w:ind w:left="108"/>
              <w:rPr>
                <w:sz w:val="24"/>
              </w:rPr>
            </w:pPr>
            <w:r>
              <w:rPr>
                <w:color w:val="2E97D3"/>
                <w:w w:val="100"/>
                <w:sz w:val="24"/>
                <w:u w:val="single" w:color="2E97D3"/>
              </w:rPr>
              <w:t> </w:t>
            </w:r>
            <w:r>
              <w:rPr>
                <w:color w:val="2E97D3"/>
                <w:sz w:val="24"/>
                <w:u w:val="single" w:color="2E97D3"/>
              </w:rPr>
              <w:tab/>
            </w:r>
          </w:p>
        </w:tc>
        <w:tc>
          <w:tcPr>
            <w:tcW w:w="7488" w:type="dxa"/>
            <w:tcBorders>
              <w:top w:val="nil"/>
              <w:right w:val="nil"/>
            </w:tcBorders>
          </w:tcPr>
          <w:p>
            <w:pPr>
              <w:pStyle w:val="TableParagraph"/>
              <w:ind w:left="460" w:right="716"/>
              <w:rPr>
                <w:sz w:val="24"/>
              </w:rPr>
            </w:pPr>
            <w:r>
              <w:rPr>
                <w:strike/>
                <w:color w:val="2E97D3"/>
                <w:sz w:val="24"/>
              </w:rPr>
              <w:t>for potential inclusion</w:t>
            </w:r>
            <w:r>
              <w:rPr>
                <w:strike w:val="0"/>
                <w:color w:val="2E97D3"/>
                <w:sz w:val="24"/>
                <w:u w:val="single" w:color="2E97D3"/>
              </w:rPr>
              <w:t>capital outlay projects proposed </w:t>
            </w:r>
            <w:r>
              <w:rPr>
                <w:strike w:val="0"/>
                <w:sz w:val="24"/>
              </w:rPr>
              <w:t>in the Governor's Budget</w:t>
            </w:r>
            <w:r>
              <w:rPr>
                <w:strike w:val="0"/>
                <w:color w:val="2E97D3"/>
                <w:sz w:val="24"/>
              </w:rPr>
              <w:t>.</w:t>
            </w:r>
          </w:p>
          <w:p>
            <w:pPr>
              <w:pStyle w:val="TableParagraph"/>
              <w:spacing w:before="4"/>
              <w:rPr>
                <w:b/>
                <w:sz w:val="24"/>
              </w:rPr>
            </w:pPr>
          </w:p>
          <w:p>
            <w:pPr>
              <w:pStyle w:val="TableParagraph"/>
              <w:numPr>
                <w:ilvl w:val="0"/>
                <w:numId w:val="62"/>
              </w:numPr>
              <w:tabs>
                <w:tab w:pos="595" w:val="left" w:leader="none"/>
                <w:tab w:pos="596" w:val="left" w:leader="none"/>
                <w:tab w:pos="1703" w:val="left" w:leader="none"/>
              </w:tabs>
              <w:spacing w:line="240" w:lineRule="auto" w:before="0" w:after="0"/>
              <w:ind w:left="460" w:right="226" w:hanging="360"/>
              <w:jc w:val="left"/>
              <w:rPr>
                <w:sz w:val="24"/>
              </w:rPr>
            </w:pPr>
            <w:r>
              <w:rPr>
                <w:strike/>
                <w:color w:val="2E97D3"/>
                <w:sz w:val="24"/>
              </w:rPr>
              <w:t>Client departments submit any other revisions to their five-year plans</w:t>
            </w:r>
            <w:r>
              <w:rPr>
                <w:strike/>
                <w:color w:val="2E97D3"/>
                <w:spacing w:val="-3"/>
                <w:sz w:val="24"/>
              </w:rPr>
              <w:t> </w:t>
            </w:r>
            <w:r>
              <w:rPr>
                <w:strike/>
                <w:color w:val="2E97D3"/>
                <w:sz w:val="24"/>
              </w:rPr>
              <w:t>and</w:t>
              <w:tab/>
              <w:t>COBCPs made necessary by</w:t>
            </w:r>
            <w:r>
              <w:rPr>
                <w:strike/>
                <w:color w:val="2E97D3"/>
                <w:spacing w:val="-15"/>
                <w:sz w:val="24"/>
              </w:rPr>
              <w:t> </w:t>
            </w:r>
            <w:r>
              <w:rPr>
                <w:strike/>
                <w:color w:val="2E97D3"/>
                <w:sz w:val="24"/>
              </w:rPr>
              <w:t>final</w:t>
            </w:r>
            <w:r>
              <w:rPr>
                <w:strike/>
                <w:color w:val="2E97D3"/>
                <w:spacing w:val="-3"/>
                <w:sz w:val="24"/>
              </w:rPr>
              <w:t> </w:t>
            </w:r>
            <w:r>
              <w:rPr>
                <w:strike/>
                <w:color w:val="2E97D3"/>
                <w:sz w:val="24"/>
              </w:rPr>
              <w:t>budget</w:t>
            </w:r>
            <w:r>
              <w:rPr>
                <w:strike w:val="0"/>
                <w:color w:val="2E97D3"/>
                <w:w w:val="100"/>
                <w:sz w:val="24"/>
              </w:rPr>
              <w:t> </w:t>
            </w:r>
            <w:r>
              <w:rPr>
                <w:strike/>
                <w:color w:val="2E97D3"/>
                <w:sz w:val="24"/>
              </w:rPr>
              <w:t>enactment.</w:t>
            </w:r>
          </w:p>
          <w:p>
            <w:pPr>
              <w:pStyle w:val="TableParagraph"/>
              <w:spacing w:before="11"/>
              <w:rPr>
                <w:b/>
                <w:sz w:val="23"/>
              </w:rPr>
            </w:pPr>
          </w:p>
          <w:p>
            <w:pPr>
              <w:pStyle w:val="TableParagraph"/>
              <w:numPr>
                <w:ilvl w:val="0"/>
                <w:numId w:val="62"/>
              </w:numPr>
              <w:tabs>
                <w:tab w:pos="595" w:val="left" w:leader="none"/>
                <w:tab w:pos="596" w:val="left" w:leader="none"/>
              </w:tabs>
              <w:spacing w:line="240" w:lineRule="auto" w:before="0" w:after="0"/>
              <w:ind w:left="460" w:right="347" w:hanging="360"/>
              <w:jc w:val="left"/>
              <w:rPr>
                <w:sz w:val="24"/>
              </w:rPr>
            </w:pPr>
            <w:r>
              <w:rPr>
                <w:strike/>
                <w:color w:val="2E97D3"/>
                <w:sz w:val="24"/>
              </w:rPr>
              <w:t>Updated fund conditions are due for COBCPs requested</w:t>
            </w:r>
            <w:r>
              <w:rPr>
                <w:strike/>
                <w:color w:val="2E97D3"/>
                <w:spacing w:val="-29"/>
                <w:sz w:val="24"/>
              </w:rPr>
              <w:t> </w:t>
            </w:r>
            <w:r>
              <w:rPr>
                <w:strike/>
                <w:color w:val="2E97D3"/>
                <w:sz w:val="24"/>
              </w:rPr>
              <w:t>from special</w:t>
            </w:r>
            <w:r>
              <w:rPr>
                <w:strike/>
                <w:color w:val="2E97D3"/>
                <w:spacing w:val="-5"/>
                <w:sz w:val="24"/>
              </w:rPr>
              <w:t> </w:t>
            </w:r>
            <w:r>
              <w:rPr>
                <w:strike/>
                <w:color w:val="2E97D3"/>
                <w:sz w:val="24"/>
              </w:rPr>
              <w:t>funds.</w:t>
            </w:r>
          </w:p>
          <w:p>
            <w:pPr>
              <w:pStyle w:val="TableParagraph"/>
              <w:spacing w:before="11"/>
              <w:rPr>
                <w:b/>
                <w:sz w:val="23"/>
              </w:rPr>
            </w:pPr>
          </w:p>
          <w:p>
            <w:pPr>
              <w:pStyle w:val="TableParagraph"/>
              <w:numPr>
                <w:ilvl w:val="0"/>
                <w:numId w:val="62"/>
              </w:numPr>
              <w:tabs>
                <w:tab w:pos="595" w:val="left" w:leader="none"/>
                <w:tab w:pos="596" w:val="left" w:leader="none"/>
              </w:tabs>
              <w:spacing w:line="275" w:lineRule="exact" w:before="0" w:after="0"/>
              <w:ind w:left="595" w:right="0" w:hanging="495"/>
              <w:jc w:val="left"/>
              <w:rPr>
                <w:sz w:val="24"/>
              </w:rPr>
            </w:pPr>
            <w:r>
              <w:rPr>
                <w:strike/>
                <w:color w:val="2E97D3"/>
                <w:sz w:val="24"/>
              </w:rPr>
              <w:t>Responses are due on the ten-year survey for the </w:t>
            </w:r>
            <w:r>
              <w:rPr>
                <w:strike w:val="0"/>
                <w:color w:val="2E97D3"/>
                <w:sz w:val="24"/>
                <w:u w:val="single" w:color="2E97D3"/>
              </w:rPr>
              <w:t>per</w:t>
            </w:r>
            <w:r>
              <w:rPr>
                <w:strike w:val="0"/>
                <w:color w:val="2E97D3"/>
                <w:spacing w:val="-30"/>
                <w:sz w:val="24"/>
                <w:u w:val="single" w:color="2E97D3"/>
              </w:rPr>
              <w:t> </w:t>
            </w:r>
            <w:r>
              <w:rPr>
                <w:strike w:val="0"/>
                <w:sz w:val="24"/>
              </w:rPr>
              <w:t>annual</w:t>
            </w:r>
          </w:p>
          <w:p>
            <w:pPr>
              <w:pStyle w:val="TableParagraph"/>
              <w:spacing w:line="275" w:lineRule="exact"/>
              <w:ind w:left="460"/>
              <w:rPr>
                <w:sz w:val="24"/>
              </w:rPr>
            </w:pPr>
            <w:r>
              <w:rPr>
                <w:i/>
                <w:strike/>
                <w:color w:val="2E97D3"/>
                <w:sz w:val="24"/>
              </w:rPr>
              <w:t>Capital Outlay and Infrastructure Report</w:t>
            </w:r>
            <w:r>
              <w:rPr>
                <w:strike/>
                <w:color w:val="2E97D3"/>
                <w:sz w:val="24"/>
              </w:rPr>
              <w:t>.</w:t>
            </w:r>
          </w:p>
          <w:p>
            <w:pPr>
              <w:pStyle w:val="TableParagraph"/>
              <w:spacing w:before="2"/>
              <w:ind w:left="100" w:right="183"/>
              <w:rPr>
                <w:sz w:val="24"/>
              </w:rPr>
            </w:pPr>
            <w:r>
              <w:rPr>
                <w:color w:val="2E97D3"/>
                <w:sz w:val="24"/>
                <w:u w:val="single" w:color="2E97D3"/>
              </w:rPr>
              <w:t>Budget Letter instructions from Finance. A new or updated COBCP is required.</w:t>
            </w:r>
          </w:p>
        </w:tc>
      </w:tr>
      <w:tr>
        <w:trPr>
          <w:trHeight w:val="3526" w:hRule="exact"/>
        </w:trPr>
        <w:tc>
          <w:tcPr>
            <w:tcW w:w="2088" w:type="dxa"/>
            <w:tcBorders>
              <w:left w:val="nil"/>
            </w:tcBorders>
          </w:tcPr>
          <w:p>
            <w:pPr>
              <w:pStyle w:val="TableParagraph"/>
              <w:ind w:left="108" w:right="178"/>
              <w:rPr>
                <w:sz w:val="24"/>
              </w:rPr>
            </w:pPr>
            <w:r>
              <w:rPr>
                <w:strike/>
                <w:color w:val="2E97D3"/>
                <w:sz w:val="24"/>
              </w:rPr>
              <w:t>October- November</w:t>
            </w:r>
            <w:r>
              <w:rPr>
                <w:strike w:val="0"/>
                <w:color w:val="2E97D3"/>
                <w:sz w:val="24"/>
                <w:u w:val="single" w:color="2E97D3"/>
              </w:rPr>
              <w:t>March</w:t>
            </w:r>
          </w:p>
          <w:p>
            <w:pPr>
              <w:pStyle w:val="TableParagraph"/>
              <w:spacing w:before="4"/>
              <w:ind w:left="108"/>
              <w:rPr>
                <w:sz w:val="24"/>
              </w:rPr>
            </w:pPr>
            <w:r>
              <w:rPr>
                <w:color w:val="2E97D3"/>
                <w:w w:val="99"/>
                <w:sz w:val="24"/>
                <w:u w:val="single" w:color="2E97D3"/>
              </w:rPr>
              <w:t>–</w:t>
            </w:r>
          </w:p>
          <w:p>
            <w:pPr>
              <w:pStyle w:val="TableParagraph"/>
              <w:spacing w:before="98"/>
              <w:ind w:left="108" w:right="1432"/>
              <w:rPr>
                <w:sz w:val="24"/>
              </w:rPr>
            </w:pPr>
            <w:r>
              <w:rPr>
                <w:color w:val="2E97D3"/>
                <w:sz w:val="24"/>
                <w:u w:val="single" w:color="2E97D3"/>
              </w:rPr>
              <w:t>June 15</w:t>
            </w:r>
          </w:p>
          <w:p>
            <w:pPr>
              <w:pStyle w:val="TableParagraph"/>
              <w:spacing w:before="9" w:after="1"/>
              <w:rPr>
                <w:b/>
                <w:sz w:val="21"/>
              </w:rPr>
            </w:pPr>
          </w:p>
          <w:p>
            <w:pPr>
              <w:pStyle w:val="TableParagraph"/>
              <w:spacing w:line="20" w:lineRule="exact"/>
              <w:ind w:left="99"/>
              <w:rPr>
                <w:sz w:val="2"/>
              </w:rPr>
            </w:pPr>
            <w:r>
              <w:rPr>
                <w:sz w:val="2"/>
              </w:rPr>
              <w:pict>
                <v:group style="width:94.45pt;height:.85pt;mso-position-horizontal-relative:char;mso-position-vertical-relative:line" coordorigin="0,0" coordsize="1889,17">
                  <v:line style="position:absolute" from="9,9" to="1881,9" stroked="true" strokeweight=".841pt" strokecolor="#2e97d3">
                    <v:stroke dashstyle="solid"/>
                  </v:line>
                </v:group>
              </w:pict>
            </w:r>
            <w:r>
              <w:rPr>
                <w:sz w:val="2"/>
              </w:rPr>
            </w:r>
          </w:p>
          <w:p>
            <w:pPr>
              <w:pStyle w:val="TableParagraph"/>
              <w:spacing w:before="4"/>
              <w:ind w:left="108" w:right="778"/>
              <w:rPr>
                <w:sz w:val="24"/>
              </w:rPr>
            </w:pPr>
            <w:r>
              <w:rPr>
                <w:color w:val="2E97D3"/>
                <w:sz w:val="24"/>
                <w:u w:val="single" w:color="2E97D3"/>
              </w:rPr>
              <w:t>September 1</w:t>
            </w:r>
          </w:p>
          <w:p>
            <w:pPr>
              <w:pStyle w:val="TableParagraph"/>
              <w:spacing w:before="9"/>
              <w:rPr>
                <w:b/>
                <w:sz w:val="21"/>
              </w:rPr>
            </w:pPr>
          </w:p>
          <w:p>
            <w:pPr>
              <w:pStyle w:val="TableParagraph"/>
              <w:spacing w:line="20" w:lineRule="exact"/>
              <w:ind w:left="99"/>
              <w:rPr>
                <w:sz w:val="2"/>
              </w:rPr>
            </w:pPr>
            <w:r>
              <w:rPr>
                <w:sz w:val="2"/>
              </w:rPr>
              <w:pict>
                <v:group style="width:94.45pt;height:.85pt;mso-position-horizontal-relative:char;mso-position-vertical-relative:line" coordorigin="0,0" coordsize="1889,17">
                  <v:line style="position:absolute" from="9,9" to="1881,9" stroked="true" strokeweight=".841pt" strokecolor="#2e97d3">
                    <v:stroke dashstyle="solid"/>
                  </v:line>
                </v:group>
              </w:pict>
            </w:r>
            <w:r>
              <w:rPr>
                <w:sz w:val="2"/>
              </w:rPr>
            </w:r>
          </w:p>
          <w:p>
            <w:pPr>
              <w:pStyle w:val="TableParagraph"/>
              <w:spacing w:before="4"/>
              <w:ind w:left="108" w:right="1205"/>
              <w:rPr>
                <w:sz w:val="24"/>
              </w:rPr>
            </w:pPr>
            <w:r>
              <w:rPr>
                <w:color w:val="2E97D3"/>
                <w:sz w:val="24"/>
                <w:u w:val="single" w:color="2E97D3"/>
              </w:rPr>
              <w:t>August 15</w:t>
            </w:r>
          </w:p>
        </w:tc>
        <w:tc>
          <w:tcPr>
            <w:tcW w:w="7488" w:type="dxa"/>
            <w:tcBorders>
              <w:right w:val="nil"/>
            </w:tcBorders>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30"/>
              <w:ind w:left="100" w:right="356"/>
              <w:rPr>
                <w:sz w:val="24"/>
              </w:rPr>
            </w:pPr>
            <w:r>
              <w:rPr>
                <w:strike/>
                <w:color w:val="2E97D3"/>
                <w:sz w:val="24"/>
              </w:rPr>
              <w:t>Capital outlay</w:t>
            </w:r>
            <w:r>
              <w:rPr>
                <w:strike w:val="0"/>
                <w:color w:val="2E97D3"/>
                <w:sz w:val="24"/>
                <w:u w:val="single" w:color="2E97D3"/>
              </w:rPr>
              <w:t>Legislative </w:t>
            </w:r>
            <w:r>
              <w:rPr>
                <w:strike w:val="0"/>
                <w:sz w:val="24"/>
              </w:rPr>
              <w:t>budget hearings </w:t>
            </w:r>
            <w:r>
              <w:rPr>
                <w:strike/>
                <w:color w:val="2E97D3"/>
                <w:sz w:val="24"/>
              </w:rPr>
              <w:t>with agencies and DOF. </w:t>
            </w:r>
            <w:r>
              <w:rPr>
                <w:strike w:val="0"/>
                <w:color w:val="2E97D3"/>
                <w:sz w:val="24"/>
                <w:u w:val="single" w:color="2E97D3"/>
              </w:rPr>
              <w:t>held.</w:t>
            </w:r>
          </w:p>
        </w:tc>
      </w:tr>
      <w:tr>
        <w:trPr>
          <w:trHeight w:val="943" w:hRule="exact"/>
        </w:trPr>
        <w:tc>
          <w:tcPr>
            <w:tcW w:w="2088" w:type="dxa"/>
            <w:tcBorders>
              <w:left w:val="nil"/>
            </w:tcBorders>
          </w:tcPr>
          <w:p>
            <w:pPr>
              <w:pStyle w:val="TableParagraph"/>
              <w:ind w:left="108" w:right="1472"/>
              <w:rPr>
                <w:sz w:val="24"/>
              </w:rPr>
            </w:pPr>
            <w:r>
              <w:rPr>
                <w:color w:val="2E97D3"/>
                <w:sz w:val="24"/>
                <w:u w:val="single" w:color="2E97D3"/>
              </w:rPr>
              <w:t>April 1</w:t>
            </w:r>
          </w:p>
          <w:p>
            <w:pPr>
              <w:pStyle w:val="TableParagraph"/>
              <w:tabs>
                <w:tab w:pos="1979" w:val="left" w:leader="none"/>
              </w:tabs>
              <w:spacing w:before="4"/>
              <w:ind w:left="108"/>
              <w:rPr>
                <w:sz w:val="24"/>
              </w:rPr>
            </w:pPr>
            <w:r>
              <w:rPr>
                <w:color w:val="2E97D3"/>
                <w:w w:val="100"/>
                <w:sz w:val="24"/>
                <w:u w:val="single" w:color="2E97D3"/>
              </w:rPr>
              <w:t> </w:t>
            </w:r>
            <w:r>
              <w:rPr>
                <w:color w:val="2E97D3"/>
                <w:sz w:val="24"/>
                <w:u w:val="single" w:color="2E97D3"/>
              </w:rPr>
              <w:tab/>
            </w:r>
          </w:p>
        </w:tc>
        <w:tc>
          <w:tcPr>
            <w:tcW w:w="7488" w:type="dxa"/>
            <w:tcBorders>
              <w:right w:val="nil"/>
            </w:tcBorders>
          </w:tcPr>
          <w:p>
            <w:pPr>
              <w:pStyle w:val="TableParagraph"/>
              <w:ind w:left="100" w:right="196"/>
              <w:rPr>
                <w:sz w:val="24"/>
              </w:rPr>
            </w:pPr>
            <w:r>
              <w:rPr>
                <w:color w:val="2E97D3"/>
                <w:sz w:val="24"/>
                <w:u w:val="single" w:color="2E97D3"/>
              </w:rPr>
              <w:t>By statute</w:t>
            </w:r>
            <w:r>
              <w:rPr>
                <w:i/>
                <w:color w:val="2E97D3"/>
                <w:sz w:val="24"/>
                <w:u w:val="single" w:color="2E97D3"/>
              </w:rPr>
              <w:t>, </w:t>
            </w:r>
            <w:r>
              <w:rPr>
                <w:color w:val="2E97D3"/>
                <w:sz w:val="24"/>
                <w:u w:val="single" w:color="2E97D3"/>
              </w:rPr>
              <w:t>any capital outlay Finance Letter of a policy nature (i.e., proposing a scope change or new project) must be submitted to the Legislature by this date.</w:t>
            </w:r>
          </w:p>
        </w:tc>
      </w:tr>
      <w:tr>
        <w:trPr>
          <w:trHeight w:val="2592" w:hRule="exact"/>
        </w:trPr>
        <w:tc>
          <w:tcPr>
            <w:tcW w:w="2088" w:type="dxa"/>
            <w:tcBorders>
              <w:left w:val="nil"/>
              <w:bottom w:val="nil"/>
            </w:tcBorders>
          </w:tcPr>
          <w:p>
            <w:pPr>
              <w:pStyle w:val="TableParagraph"/>
              <w:rPr>
                <w:b/>
                <w:sz w:val="26"/>
              </w:rPr>
            </w:pPr>
          </w:p>
          <w:p>
            <w:pPr>
              <w:pStyle w:val="TableParagraph"/>
              <w:spacing w:before="8"/>
              <w:rPr>
                <w:b/>
                <w:sz w:val="33"/>
              </w:rPr>
            </w:pPr>
          </w:p>
          <w:p>
            <w:pPr>
              <w:pStyle w:val="TableParagraph"/>
              <w:ind w:left="108" w:right="712"/>
              <w:rPr>
                <w:sz w:val="24"/>
              </w:rPr>
            </w:pPr>
            <w:r>
              <w:rPr>
                <w:strike/>
                <w:color w:val="2E97D3"/>
                <w:sz w:val="24"/>
              </w:rPr>
              <w:t>November– December</w:t>
            </w:r>
          </w:p>
          <w:p>
            <w:pPr>
              <w:pStyle w:val="TableParagraph"/>
              <w:spacing w:before="1"/>
              <w:rPr>
                <w:b/>
                <w:sz w:val="14"/>
              </w:rPr>
            </w:pPr>
          </w:p>
          <w:p>
            <w:pPr>
              <w:pStyle w:val="TableParagraph"/>
              <w:spacing w:line="20" w:lineRule="exact"/>
              <w:ind w:left="102"/>
              <w:rPr>
                <w:sz w:val="2"/>
              </w:rPr>
            </w:pPr>
            <w:r>
              <w:rPr>
                <w:sz w:val="2"/>
              </w:rPr>
              <w:pict>
                <v:group style="width:94.2pt;height:.6pt;mso-position-horizontal-relative:char;mso-position-vertical-relative:line" coordorigin="0,0" coordsize="1884,12">
                  <v:line style="position:absolute" from="6,6" to="1878,6" stroked="true" strokeweight=".6pt" strokecolor="#2e97d3">
                    <v:stroke dashstyle="solid"/>
                  </v:line>
                </v:group>
              </w:pict>
            </w:r>
            <w:r>
              <w:rPr>
                <w:sz w:val="2"/>
              </w:rPr>
            </w:r>
          </w:p>
          <w:p>
            <w:pPr>
              <w:pStyle w:val="TableParagraph"/>
              <w:spacing w:before="93"/>
              <w:ind w:left="108"/>
              <w:rPr>
                <w:sz w:val="24"/>
              </w:rPr>
            </w:pPr>
            <w:r>
              <w:rPr>
                <w:color w:val="2E97D3"/>
                <w:sz w:val="24"/>
                <w:u w:val="single" w:color="2E97D3"/>
              </w:rPr>
              <w:t>May 1</w:t>
            </w:r>
          </w:p>
        </w:tc>
        <w:tc>
          <w:tcPr>
            <w:tcW w:w="7488" w:type="dxa"/>
            <w:tcBorders>
              <w:bottom w:val="nil"/>
              <w:right w:val="nil"/>
            </w:tcBorders>
          </w:tcPr>
          <w:p>
            <w:pPr>
              <w:pStyle w:val="TableParagraph"/>
              <w:ind w:left="100" w:right="450"/>
              <w:rPr>
                <w:sz w:val="24"/>
              </w:rPr>
            </w:pPr>
            <w:r>
              <w:rPr>
                <w:strike/>
                <w:color w:val="2E97D3"/>
                <w:sz w:val="24"/>
              </w:rPr>
              <w:t>Following Governor's decisions, DOF authorizes departments to release approved COBCPs to the LAO, incorporating final dollars and approved scope.</w:t>
            </w:r>
          </w:p>
          <w:p>
            <w:pPr>
              <w:pStyle w:val="TableParagraph"/>
              <w:spacing w:before="2"/>
              <w:ind w:left="100" w:right="196"/>
              <w:rPr>
                <w:sz w:val="24"/>
              </w:rPr>
            </w:pPr>
            <w:r>
              <w:rPr>
                <w:color w:val="2E97D3"/>
                <w:sz w:val="24"/>
                <w:u w:val="single" w:color="2E97D3"/>
              </w:rPr>
              <w:t>By statute</w:t>
            </w:r>
            <w:r>
              <w:rPr>
                <w:i/>
                <w:color w:val="2E97D3"/>
                <w:sz w:val="24"/>
                <w:u w:val="single" w:color="2E97D3"/>
              </w:rPr>
              <w:t>, </w:t>
            </w:r>
            <w:r>
              <w:rPr>
                <w:color w:val="2E97D3"/>
                <w:sz w:val="24"/>
                <w:u w:val="single" w:color="2E97D3"/>
              </w:rPr>
              <w:t>any capital outlay Finance Letter proposing a technical adjustment to a capital outlay project must be submitted to the Legislature by this date. If possible, technical changes should be submitted by the April 1 deadline. If Finance approves technical changes after the April deadline, they may be rolled in to the overall May Revision process at the discretion of Finance.</w:t>
            </w:r>
          </w:p>
        </w:tc>
      </w:tr>
    </w:tbl>
    <w:p>
      <w:pPr>
        <w:pStyle w:val="BodyText"/>
        <w:rPr>
          <w:b/>
          <w:sz w:val="26"/>
        </w:rPr>
      </w:pPr>
    </w:p>
    <w:p>
      <w:pPr>
        <w:pStyle w:val="BodyText"/>
        <w:spacing w:before="92"/>
        <w:ind w:left="820"/>
      </w:pPr>
      <w:r>
        <w:rPr/>
        <w:pict>
          <v:line style="position:absolute;mso-position-horizontal-relative:page;mso-position-vertical-relative:paragraph;z-index:23248" from="36.360001pt,-191.385132pt" to="36.360001pt,18.615868pt" stroked="true" strokeweight=".72pt" strokecolor="#000000">
            <v:stroke dashstyle="solid"/>
            <w10:wrap type="none"/>
          </v:line>
        </w:pict>
      </w:r>
      <w:r>
        <w:rPr>
          <w:strike/>
          <w:color w:val="2E97D3"/>
        </w:rPr>
        <w:t>(Continued)</w:t>
      </w:r>
    </w:p>
    <w:p>
      <w:pPr>
        <w:spacing w:after="0"/>
        <w:sectPr>
          <w:pgSz w:w="12240" w:h="15840"/>
          <w:pgMar w:header="724" w:footer="1068" w:top="980" w:bottom="1260" w:left="620" w:right="1120"/>
        </w:sectPr>
      </w:pPr>
    </w:p>
    <w:p>
      <w:pPr>
        <w:pStyle w:val="BodyText"/>
        <w:rPr>
          <w:sz w:val="20"/>
        </w:rPr>
      </w:pPr>
      <w:r>
        <w:rPr/>
        <w:pict>
          <v:line style="position:absolute;mso-position-horizontal-relative:page;mso-position-vertical-relative:page;z-index:23344" from="36.360001pt,728.400024pt" to="36.360001pt,756.000024pt" stroked="true" strokeweight=".72pt" strokecolor="#000000">
            <v:stroke dashstyle="solid"/>
            <w10:wrap type="none"/>
          </v:line>
        </w:pict>
      </w:r>
    </w:p>
    <w:p>
      <w:pPr>
        <w:pStyle w:val="BodyText"/>
        <w:spacing w:before="214"/>
        <w:ind w:left="820"/>
      </w:pPr>
      <w:r>
        <w:rPr/>
        <w:pict>
          <v:line style="position:absolute;mso-position-horizontal-relative:page;mso-position-vertical-relative:paragraph;z-index:23272" from="36.360001pt,10.915881pt" to="36.360001pt,70.315881pt" stroked="true" strokeweight=".72pt" strokecolor="#000000">
            <v:stroke dashstyle="solid"/>
            <w10:wrap type="none"/>
          </v:line>
        </w:pict>
      </w:r>
      <w:r>
        <w:rPr>
          <w:strike/>
          <w:color w:val="2C6234"/>
        </w:rPr>
        <w:t>(Continued)</w:t>
      </w:r>
    </w:p>
    <w:p>
      <w:pPr>
        <w:pStyle w:val="Heading2"/>
        <w:spacing w:before="120"/>
        <w:ind w:left="3085"/>
      </w:pPr>
      <w:r>
        <w:rPr/>
        <w:pict>
          <v:line style="position:absolute;mso-position-horizontal-relative:page;mso-position-vertical-relative:paragraph;z-index:23296" from="36.360001pt,58.055832pt" to="36.360001pt,83.975832pt" stroked="true" strokeweight=".72pt" strokecolor="#000000">
            <v:stroke dashstyle="solid"/>
            <w10:wrap type="none"/>
          </v:line>
        </w:pict>
      </w:r>
      <w:r>
        <w:rPr/>
        <w:pict>
          <v:line style="position:absolute;mso-position-horizontal-relative:page;mso-position-vertical-relative:paragraph;z-index:23320" from="36.360001pt,89.735832pt" to="36.360001pt,332.135832pt" stroked="true" strokeweight=".72pt" strokecolor="#000000">
            <v:stroke dashstyle="solid"/>
            <w10:wrap type="none"/>
          </v:line>
        </w:pict>
      </w:r>
      <w:r>
        <w:rPr>
          <w:strike/>
          <w:color w:val="2E97D3"/>
        </w:rPr>
        <w:t>TIMETABLE FOR FIRST YEAR ACTIVITIES</w:t>
      </w:r>
    </w:p>
    <w:p>
      <w:pPr>
        <w:pStyle w:val="BodyText"/>
        <w:rPr>
          <w:b/>
          <w:sz w:val="20"/>
        </w:rPr>
      </w:pPr>
    </w:p>
    <w:p>
      <w:pPr>
        <w:pStyle w:val="BodyText"/>
        <w:spacing w:before="2" w:after="1"/>
        <w:rPr>
          <w:b/>
          <w:sz w:val="25"/>
        </w:rPr>
      </w:pPr>
    </w:p>
    <w:tbl>
      <w:tblPr>
        <w:tblW w:w="0" w:type="auto"/>
        <w:jc w:val="left"/>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13"/>
        <w:gridCol w:w="180"/>
        <w:gridCol w:w="7596"/>
      </w:tblGrid>
      <w:tr>
        <w:trPr>
          <w:trHeight w:val="871" w:hRule="exact"/>
        </w:trPr>
        <w:tc>
          <w:tcPr>
            <w:tcW w:w="1913" w:type="dxa"/>
            <w:tcBorders>
              <w:top w:val="nil"/>
              <w:left w:val="nil"/>
            </w:tcBorders>
          </w:tcPr>
          <w:p>
            <w:pPr>
              <w:pStyle w:val="TableParagraph"/>
              <w:spacing w:before="10"/>
              <w:rPr>
                <w:b/>
                <w:sz w:val="20"/>
              </w:rPr>
            </w:pPr>
          </w:p>
          <w:p>
            <w:pPr>
              <w:pStyle w:val="TableParagraph"/>
              <w:ind w:left="112"/>
              <w:rPr>
                <w:sz w:val="24"/>
              </w:rPr>
            </w:pPr>
            <w:r>
              <w:rPr>
                <w:strike/>
                <w:color w:val="2E97D3"/>
                <w:sz w:val="24"/>
              </w:rPr>
              <w:t>January 10</w:t>
            </w:r>
          </w:p>
        </w:tc>
        <w:tc>
          <w:tcPr>
            <w:tcW w:w="7776" w:type="dxa"/>
            <w:gridSpan w:val="2"/>
            <w:tcBorders>
              <w:top w:val="nil"/>
              <w:right w:val="nil"/>
            </w:tcBorders>
          </w:tcPr>
          <w:p>
            <w:pPr>
              <w:pStyle w:val="TableParagraph"/>
              <w:spacing w:before="8"/>
              <w:rPr>
                <w:b/>
                <w:sz w:val="20"/>
              </w:rPr>
            </w:pPr>
          </w:p>
          <w:p>
            <w:pPr>
              <w:pStyle w:val="TableParagraph"/>
              <w:ind w:left="100"/>
              <w:rPr>
                <w:sz w:val="24"/>
              </w:rPr>
            </w:pPr>
            <w:r>
              <w:rPr>
                <w:i/>
                <w:strike/>
                <w:color w:val="2E97D3"/>
                <w:sz w:val="24"/>
              </w:rPr>
              <w:t>Governor's Budget </w:t>
            </w:r>
            <w:r>
              <w:rPr>
                <w:strike/>
                <w:color w:val="2E97D3"/>
                <w:sz w:val="24"/>
              </w:rPr>
              <w:t>and Budget Bill presented to the Legislature.</w:t>
            </w:r>
          </w:p>
        </w:tc>
      </w:tr>
      <w:tr>
        <w:trPr>
          <w:trHeight w:val="1219" w:hRule="exact"/>
        </w:trPr>
        <w:tc>
          <w:tcPr>
            <w:tcW w:w="1913" w:type="dxa"/>
            <w:tcBorders>
              <w:left w:val="nil"/>
            </w:tcBorders>
          </w:tcPr>
          <w:p>
            <w:pPr>
              <w:pStyle w:val="TableParagraph"/>
              <w:spacing w:before="8"/>
              <w:rPr>
                <w:b/>
                <w:sz w:val="35"/>
              </w:rPr>
            </w:pPr>
          </w:p>
          <w:p>
            <w:pPr>
              <w:pStyle w:val="TableParagraph"/>
              <w:ind w:left="112"/>
              <w:rPr>
                <w:sz w:val="24"/>
              </w:rPr>
            </w:pPr>
            <w:r>
              <w:rPr>
                <w:strike/>
                <w:color w:val="2E97D3"/>
                <w:sz w:val="24"/>
              </w:rPr>
              <w:t>February</w:t>
            </w:r>
          </w:p>
        </w:tc>
        <w:tc>
          <w:tcPr>
            <w:tcW w:w="7776" w:type="dxa"/>
            <w:gridSpan w:val="2"/>
            <w:tcBorders>
              <w:right w:val="nil"/>
            </w:tcBorders>
          </w:tcPr>
          <w:p>
            <w:pPr>
              <w:pStyle w:val="TableParagraph"/>
              <w:ind w:left="100" w:right="92"/>
              <w:rPr>
                <w:sz w:val="24"/>
              </w:rPr>
            </w:pPr>
            <w:r>
              <w:rPr>
                <w:strike/>
                <w:color w:val="2E97D3"/>
                <w:sz w:val="24"/>
              </w:rPr>
              <w:t>Client agencies submit requests for Finance Letters for technical and policy amendments to capital outlay projects proposed in the Governor's Budget per annual Budget Letter instructions from DOF. A new or updated COBCP is required.</w:t>
            </w:r>
          </w:p>
        </w:tc>
      </w:tr>
      <w:tr>
        <w:trPr>
          <w:trHeight w:val="878" w:hRule="exact"/>
        </w:trPr>
        <w:tc>
          <w:tcPr>
            <w:tcW w:w="1913" w:type="dxa"/>
            <w:tcBorders>
              <w:left w:val="nil"/>
            </w:tcBorders>
          </w:tcPr>
          <w:p>
            <w:pPr>
              <w:pStyle w:val="TableParagraph"/>
              <w:spacing w:line="328" w:lineRule="auto" w:before="51"/>
              <w:ind w:left="112" w:right="919"/>
              <w:rPr>
                <w:sz w:val="24"/>
              </w:rPr>
            </w:pPr>
            <w:r>
              <w:rPr>
                <w:strike/>
                <w:color w:val="2E97D3"/>
                <w:sz w:val="24"/>
              </w:rPr>
              <w:t>March– June 15</w:t>
            </w:r>
          </w:p>
        </w:tc>
        <w:tc>
          <w:tcPr>
            <w:tcW w:w="7776" w:type="dxa"/>
            <w:gridSpan w:val="2"/>
            <w:tcBorders>
              <w:right w:val="nil"/>
            </w:tcBorders>
          </w:tcPr>
          <w:p>
            <w:pPr>
              <w:pStyle w:val="TableParagraph"/>
              <w:spacing w:before="10"/>
              <w:rPr>
                <w:b/>
                <w:sz w:val="20"/>
              </w:rPr>
            </w:pPr>
          </w:p>
          <w:p>
            <w:pPr>
              <w:pStyle w:val="TableParagraph"/>
              <w:ind w:left="100"/>
              <w:rPr>
                <w:sz w:val="24"/>
              </w:rPr>
            </w:pPr>
            <w:r>
              <w:rPr>
                <w:strike/>
                <w:color w:val="2E97D3"/>
                <w:sz w:val="24"/>
              </w:rPr>
              <w:t>Legislative budget hearings held.</w:t>
            </w:r>
          </w:p>
        </w:tc>
      </w:tr>
      <w:tr>
        <w:trPr>
          <w:trHeight w:val="943" w:hRule="exact"/>
        </w:trPr>
        <w:tc>
          <w:tcPr>
            <w:tcW w:w="1913" w:type="dxa"/>
            <w:tcBorders>
              <w:left w:val="nil"/>
            </w:tcBorders>
          </w:tcPr>
          <w:p>
            <w:pPr>
              <w:pStyle w:val="TableParagraph"/>
              <w:spacing w:before="7"/>
              <w:rPr>
                <w:b/>
                <w:sz w:val="23"/>
              </w:rPr>
            </w:pPr>
          </w:p>
          <w:p>
            <w:pPr>
              <w:pStyle w:val="TableParagraph"/>
              <w:ind w:left="112"/>
              <w:rPr>
                <w:sz w:val="24"/>
              </w:rPr>
            </w:pPr>
            <w:r>
              <w:rPr>
                <w:strike/>
                <w:color w:val="2E97D3"/>
                <w:sz w:val="24"/>
              </w:rPr>
              <w:t>April 1</w:t>
            </w:r>
          </w:p>
        </w:tc>
        <w:tc>
          <w:tcPr>
            <w:tcW w:w="7776" w:type="dxa"/>
            <w:gridSpan w:val="2"/>
            <w:tcBorders>
              <w:right w:val="nil"/>
            </w:tcBorders>
          </w:tcPr>
          <w:p>
            <w:pPr>
              <w:pStyle w:val="TableParagraph"/>
              <w:ind w:left="100" w:right="484"/>
              <w:rPr>
                <w:sz w:val="24"/>
              </w:rPr>
            </w:pPr>
            <w:r>
              <w:rPr>
                <w:i/>
                <w:strike/>
                <w:color w:val="2E97D3"/>
                <w:sz w:val="24"/>
              </w:rPr>
              <w:t>By statute, </w:t>
            </w:r>
            <w:r>
              <w:rPr>
                <w:strike/>
                <w:color w:val="2E97D3"/>
                <w:sz w:val="24"/>
              </w:rPr>
              <w:t>any capital outlay Finance Letter of a policy nature (i.e., proposing a scope change or new project) must be submitted to the Legislature by this date.</w:t>
            </w:r>
          </w:p>
        </w:tc>
      </w:tr>
      <w:tr>
        <w:trPr>
          <w:trHeight w:val="878" w:hRule="exact"/>
        </w:trPr>
        <w:tc>
          <w:tcPr>
            <w:tcW w:w="1913" w:type="dxa"/>
            <w:tcBorders>
              <w:left w:val="nil"/>
            </w:tcBorders>
          </w:tcPr>
          <w:p>
            <w:pPr>
              <w:pStyle w:val="TableParagraph"/>
              <w:spacing w:before="10"/>
              <w:rPr>
                <w:b/>
                <w:sz w:val="20"/>
              </w:rPr>
            </w:pPr>
          </w:p>
          <w:p>
            <w:pPr>
              <w:pStyle w:val="TableParagraph"/>
              <w:ind w:left="112"/>
              <w:rPr>
                <w:sz w:val="24"/>
              </w:rPr>
            </w:pPr>
            <w:r>
              <w:rPr>
                <w:strike/>
                <w:color w:val="2E97D3"/>
                <w:sz w:val="24"/>
              </w:rPr>
              <w:t>April 30</w:t>
            </w:r>
          </w:p>
        </w:tc>
        <w:tc>
          <w:tcPr>
            <w:tcW w:w="7776" w:type="dxa"/>
            <w:gridSpan w:val="2"/>
            <w:tcBorders>
              <w:right w:val="nil"/>
            </w:tcBorders>
          </w:tcPr>
          <w:p>
            <w:pPr>
              <w:pStyle w:val="TableParagraph"/>
              <w:spacing w:before="101"/>
              <w:ind w:left="100" w:right="471"/>
              <w:rPr>
                <w:sz w:val="24"/>
              </w:rPr>
            </w:pPr>
            <w:r>
              <w:rPr>
                <w:strike/>
                <w:color w:val="2E97D3"/>
                <w:sz w:val="24"/>
              </w:rPr>
              <w:t>Last day project proposals via Section 6.00 will be accepted, if DOF approval is required.</w:t>
            </w:r>
          </w:p>
        </w:tc>
      </w:tr>
      <w:tr>
        <w:trPr>
          <w:trHeight w:val="943" w:hRule="exact"/>
        </w:trPr>
        <w:tc>
          <w:tcPr>
            <w:tcW w:w="1913" w:type="dxa"/>
            <w:tcBorders>
              <w:left w:val="nil"/>
            </w:tcBorders>
          </w:tcPr>
          <w:p>
            <w:pPr>
              <w:pStyle w:val="TableParagraph"/>
              <w:spacing w:before="7"/>
              <w:rPr>
                <w:b/>
                <w:sz w:val="23"/>
              </w:rPr>
            </w:pPr>
          </w:p>
          <w:p>
            <w:pPr>
              <w:pStyle w:val="TableParagraph"/>
              <w:ind w:left="112"/>
              <w:rPr>
                <w:sz w:val="24"/>
              </w:rPr>
            </w:pPr>
            <w:r>
              <w:rPr>
                <w:strike/>
                <w:color w:val="2E97D3"/>
                <w:sz w:val="24"/>
              </w:rPr>
              <w:t>May 1</w:t>
            </w:r>
          </w:p>
        </w:tc>
        <w:tc>
          <w:tcPr>
            <w:tcW w:w="7776" w:type="dxa"/>
            <w:gridSpan w:val="2"/>
            <w:tcBorders>
              <w:right w:val="nil"/>
            </w:tcBorders>
          </w:tcPr>
          <w:p>
            <w:pPr>
              <w:pStyle w:val="TableParagraph"/>
              <w:ind w:left="100" w:right="657"/>
              <w:rPr>
                <w:sz w:val="24"/>
              </w:rPr>
            </w:pPr>
            <w:r>
              <w:rPr>
                <w:i/>
                <w:strike/>
                <w:color w:val="2E97D3"/>
                <w:sz w:val="24"/>
              </w:rPr>
              <w:t>By statute, </w:t>
            </w:r>
            <w:r>
              <w:rPr>
                <w:strike/>
                <w:color w:val="2E97D3"/>
                <w:sz w:val="24"/>
              </w:rPr>
              <w:t>any capital outlay Finance Letter proposing a technical adjustment to a capital outlay project must be submitted to the Legislature by this date.</w:t>
            </w:r>
          </w:p>
        </w:tc>
      </w:tr>
      <w:tr>
        <w:trPr>
          <w:trHeight w:val="871" w:hRule="exact"/>
        </w:trPr>
        <w:tc>
          <w:tcPr>
            <w:tcW w:w="2093" w:type="dxa"/>
            <w:gridSpan w:val="2"/>
            <w:tcBorders>
              <w:left w:val="nil"/>
              <w:bottom w:val="nil"/>
            </w:tcBorders>
          </w:tcPr>
          <w:p>
            <w:pPr>
              <w:pStyle w:val="TableParagraph"/>
              <w:spacing w:before="91"/>
              <w:ind w:left="108"/>
              <w:rPr>
                <w:sz w:val="24"/>
              </w:rPr>
            </w:pPr>
            <w:r>
              <w:rPr>
                <w:sz w:val="24"/>
              </w:rPr>
              <w:t>June 15–</w:t>
            </w:r>
          </w:p>
          <w:p>
            <w:pPr>
              <w:pStyle w:val="TableParagraph"/>
              <w:spacing w:before="119"/>
              <w:ind w:left="108"/>
              <w:rPr>
                <w:sz w:val="24"/>
              </w:rPr>
            </w:pPr>
            <w:r>
              <w:rPr>
                <w:sz w:val="24"/>
              </w:rPr>
              <w:t>June 30</w:t>
            </w:r>
          </w:p>
        </w:tc>
        <w:tc>
          <w:tcPr>
            <w:tcW w:w="7596" w:type="dxa"/>
            <w:tcBorders>
              <w:bottom w:val="nil"/>
              <w:right w:val="nil"/>
            </w:tcBorders>
          </w:tcPr>
          <w:p>
            <w:pPr>
              <w:pStyle w:val="TableParagraph"/>
              <w:spacing w:before="3"/>
              <w:rPr>
                <w:b/>
                <w:sz w:val="25"/>
              </w:rPr>
            </w:pPr>
          </w:p>
          <w:p>
            <w:pPr>
              <w:pStyle w:val="TableParagraph"/>
              <w:ind w:left="100"/>
              <w:rPr>
                <w:sz w:val="24"/>
              </w:rPr>
            </w:pPr>
            <w:r>
              <w:rPr>
                <w:sz w:val="24"/>
              </w:rPr>
              <w:t>Budget Bill signed by Governor.</w:t>
            </w:r>
          </w:p>
        </w:tc>
      </w:tr>
    </w:tbl>
    <w:p>
      <w:pPr>
        <w:spacing w:after="0"/>
        <w:rPr>
          <w:sz w:val="24"/>
        </w:rPr>
        <w:sectPr>
          <w:footerReference w:type="default" r:id="rId245"/>
          <w:pgSz w:w="12240" w:h="15840"/>
          <w:pgMar w:footer="1068" w:header="724" w:top="980" w:bottom="1260" w:left="620" w:right="1000"/>
        </w:sectPr>
      </w:pPr>
    </w:p>
    <w:p>
      <w:pPr>
        <w:pStyle w:val="BodyText"/>
        <w:rPr>
          <w:b/>
          <w:sz w:val="20"/>
        </w:rPr>
      </w:pPr>
    </w:p>
    <w:p>
      <w:pPr>
        <w:tabs>
          <w:tab w:pos="8947" w:val="left" w:leader="none"/>
        </w:tabs>
        <w:spacing w:before="214"/>
        <w:ind w:left="119" w:right="0" w:firstLine="0"/>
        <w:jc w:val="left"/>
        <w:rPr>
          <w:b/>
          <w:sz w:val="24"/>
        </w:rPr>
      </w:pPr>
      <w:r>
        <w:rPr>
          <w:b/>
          <w:sz w:val="24"/>
        </w:rPr>
        <w:t>DOCUMENTS REQUIRED TO REQUEST CAPITAL</w:t>
      </w:r>
      <w:r>
        <w:rPr>
          <w:b/>
          <w:spacing w:val="-15"/>
          <w:sz w:val="24"/>
        </w:rPr>
        <w:t> </w:t>
      </w:r>
      <w:r>
        <w:rPr>
          <w:b/>
          <w:sz w:val="24"/>
        </w:rPr>
        <w:t>OUTLAY</w:t>
      </w:r>
      <w:r>
        <w:rPr>
          <w:b/>
          <w:spacing w:val="-3"/>
          <w:sz w:val="24"/>
        </w:rPr>
        <w:t> </w:t>
      </w:r>
      <w:r>
        <w:rPr>
          <w:b/>
          <w:sz w:val="24"/>
        </w:rPr>
        <w:t>FUNDING</w:t>
        <w:tab/>
        <w:t>6816</w:t>
      </w:r>
    </w:p>
    <w:p>
      <w:pPr>
        <w:pStyle w:val="BodyText"/>
        <w:ind w:left="119"/>
      </w:pPr>
      <w:bookmarkStart w:name="(Revised 5/1998)" w:id="72"/>
      <w:bookmarkEnd w:id="72"/>
      <w:r>
        <w:rPr/>
      </w:r>
      <w:r>
        <w:rPr/>
        <w:t>(Revised 5/1998)</w:t>
      </w:r>
    </w:p>
    <w:p>
      <w:pPr>
        <w:pStyle w:val="BodyText"/>
        <w:spacing w:before="120"/>
        <w:ind w:left="119" w:right="150"/>
      </w:pPr>
      <w:r>
        <w:rPr/>
        <w:t>A department must make a formal request to DOF by February 1 of each year to have a major capital outlay project included in the annual </w:t>
      </w:r>
      <w:r>
        <w:rPr>
          <w:i/>
        </w:rPr>
        <w:t>Governor's Budget </w:t>
      </w:r>
      <w:r>
        <w:rPr/>
        <w:t>presented to the Legislature the following January.  The following documents are required:</w:t>
      </w:r>
    </w:p>
    <w:p>
      <w:pPr>
        <w:pStyle w:val="ListParagraph"/>
        <w:numPr>
          <w:ilvl w:val="0"/>
          <w:numId w:val="63"/>
        </w:numPr>
        <w:tabs>
          <w:tab w:pos="768" w:val="left" w:leader="none"/>
        </w:tabs>
        <w:spacing w:line="240" w:lineRule="auto" w:before="120" w:after="0"/>
        <w:ind w:left="768" w:right="0" w:hanging="288"/>
        <w:jc w:val="left"/>
        <w:rPr>
          <w:sz w:val="24"/>
        </w:rPr>
      </w:pPr>
      <w:r>
        <w:rPr>
          <w:sz w:val="24"/>
        </w:rPr>
        <w:t>A capital outlay budget change proposal (COBCP), as described in Section</w:t>
      </w:r>
      <w:r>
        <w:rPr>
          <w:spacing w:val="-35"/>
          <w:sz w:val="24"/>
        </w:rPr>
        <w:t> </w:t>
      </w:r>
      <w:r>
        <w:rPr>
          <w:sz w:val="24"/>
        </w:rPr>
        <w:t>6818.</w:t>
      </w:r>
    </w:p>
    <w:p>
      <w:pPr>
        <w:pStyle w:val="BodyText"/>
        <w:spacing w:before="10"/>
        <w:rPr>
          <w:sz w:val="20"/>
        </w:rPr>
      </w:pPr>
    </w:p>
    <w:p>
      <w:pPr>
        <w:pStyle w:val="ListParagraph"/>
        <w:numPr>
          <w:ilvl w:val="0"/>
          <w:numId w:val="63"/>
        </w:numPr>
        <w:tabs>
          <w:tab w:pos="768" w:val="left" w:leader="none"/>
        </w:tabs>
        <w:spacing w:line="240" w:lineRule="auto" w:before="0" w:after="0"/>
        <w:ind w:left="768" w:right="450" w:hanging="288"/>
        <w:jc w:val="left"/>
        <w:rPr>
          <w:sz w:val="24"/>
        </w:rPr>
      </w:pPr>
      <w:r>
        <w:rPr>
          <w:sz w:val="24"/>
        </w:rPr>
        <w:t>The five-year capitalized assets plan, showing projected needs by project (or capitalized lease) for the budget year and four additional years, as described in Section</w:t>
      </w:r>
      <w:r>
        <w:rPr>
          <w:spacing w:val="-5"/>
          <w:sz w:val="24"/>
        </w:rPr>
        <w:t> </w:t>
      </w:r>
      <w:r>
        <w:rPr>
          <w:sz w:val="24"/>
        </w:rPr>
        <w:t>6820.</w:t>
      </w:r>
    </w:p>
    <w:p>
      <w:pPr>
        <w:pStyle w:val="BodyText"/>
        <w:spacing w:before="7"/>
        <w:rPr>
          <w:sz w:val="20"/>
        </w:rPr>
      </w:pPr>
    </w:p>
    <w:p>
      <w:pPr>
        <w:pStyle w:val="ListParagraph"/>
        <w:numPr>
          <w:ilvl w:val="0"/>
          <w:numId w:val="63"/>
        </w:numPr>
        <w:tabs>
          <w:tab w:pos="768" w:val="left" w:leader="none"/>
        </w:tabs>
        <w:spacing w:line="240" w:lineRule="auto" w:before="0" w:after="0"/>
        <w:ind w:left="768" w:right="607" w:hanging="288"/>
        <w:jc w:val="left"/>
        <w:rPr>
          <w:sz w:val="24"/>
        </w:rPr>
      </w:pPr>
      <w:r>
        <w:rPr>
          <w:sz w:val="24"/>
        </w:rPr>
        <w:t>A current fund condition statement for the proposed fund source, </w:t>
      </w:r>
      <w:r>
        <w:rPr>
          <w:i/>
          <w:sz w:val="24"/>
        </w:rPr>
        <w:t>if </w:t>
      </w:r>
      <w:r>
        <w:rPr>
          <w:sz w:val="24"/>
        </w:rPr>
        <w:t>the department manages the fund. (Obtain the fund condition statement from the departmental budget</w:t>
      </w:r>
      <w:r>
        <w:rPr>
          <w:spacing w:val="-16"/>
          <w:sz w:val="24"/>
        </w:rPr>
        <w:t> </w:t>
      </w:r>
      <w:r>
        <w:rPr>
          <w:sz w:val="24"/>
        </w:rPr>
        <w:t>officer.)</w:t>
      </w:r>
    </w:p>
    <w:p>
      <w:pPr>
        <w:pStyle w:val="BodyText"/>
        <w:spacing w:before="9"/>
        <w:rPr>
          <w:sz w:val="20"/>
        </w:rPr>
      </w:pPr>
    </w:p>
    <w:p>
      <w:pPr>
        <w:pStyle w:val="ListParagraph"/>
        <w:numPr>
          <w:ilvl w:val="0"/>
          <w:numId w:val="63"/>
        </w:numPr>
        <w:tabs>
          <w:tab w:pos="768" w:val="left" w:leader="none"/>
        </w:tabs>
        <w:spacing w:line="240" w:lineRule="auto" w:before="0" w:after="0"/>
        <w:ind w:left="768" w:right="220" w:hanging="288"/>
        <w:jc w:val="left"/>
        <w:rPr>
          <w:sz w:val="24"/>
        </w:rPr>
      </w:pPr>
      <w:r>
        <w:rPr>
          <w:sz w:val="24"/>
        </w:rPr>
        <w:t>For departments planning to use prototypes, any proposed new prototypes or changes to existing prototypes (provide with the five-year plan per Section</w:t>
      </w:r>
      <w:r>
        <w:rPr>
          <w:spacing w:val="-40"/>
          <w:sz w:val="24"/>
        </w:rPr>
        <w:t> </w:t>
      </w:r>
      <w:r>
        <w:rPr>
          <w:sz w:val="24"/>
        </w:rPr>
        <w:t>6821.)</w:t>
      </w:r>
    </w:p>
    <w:p>
      <w:pPr>
        <w:pStyle w:val="BodyText"/>
        <w:spacing w:before="7"/>
        <w:rPr>
          <w:sz w:val="20"/>
        </w:rPr>
      </w:pPr>
    </w:p>
    <w:p>
      <w:pPr>
        <w:pStyle w:val="ListParagraph"/>
        <w:numPr>
          <w:ilvl w:val="0"/>
          <w:numId w:val="63"/>
        </w:numPr>
        <w:tabs>
          <w:tab w:pos="768" w:val="left" w:leader="none"/>
        </w:tabs>
        <w:spacing w:line="244" w:lineRule="auto" w:before="0" w:after="0"/>
        <w:ind w:left="768" w:right="1064" w:hanging="288"/>
        <w:jc w:val="left"/>
        <w:rPr>
          <w:sz w:val="24"/>
        </w:rPr>
      </w:pPr>
      <w:r>
        <w:rPr>
          <w:sz w:val="24"/>
        </w:rPr>
        <w:t>A copy of the facility inventory is </w:t>
      </w:r>
      <w:r>
        <w:rPr>
          <w:i/>
          <w:sz w:val="24"/>
        </w:rPr>
        <w:t>optional</w:t>
      </w:r>
      <w:r>
        <w:rPr>
          <w:sz w:val="24"/>
        </w:rPr>
        <w:t>, but departments must keep the inventories current in the event DOF or LAO requires a</w:t>
      </w:r>
      <w:r>
        <w:rPr>
          <w:spacing w:val="-30"/>
          <w:sz w:val="24"/>
        </w:rPr>
        <w:t> </w:t>
      </w:r>
      <w:r>
        <w:rPr>
          <w:sz w:val="24"/>
        </w:rPr>
        <w:t>copy.</w:t>
      </w:r>
    </w:p>
    <w:p>
      <w:pPr>
        <w:pStyle w:val="BodyText"/>
        <w:spacing w:before="191"/>
        <w:ind w:left="119" w:right="430"/>
      </w:pPr>
      <w:r>
        <w:rPr/>
        <w:t>In addition, all departments within the Administration (which excludes constitutional officers, constitutionally created boards and commissions, and the higher education segments) must have a strategic plan approved by the Governor’s Office before DOF will consider a COBCP.</w:t>
      </w:r>
    </w:p>
    <w:p>
      <w:pPr>
        <w:pStyle w:val="BodyText"/>
        <w:spacing w:before="117"/>
        <w:ind w:left="119" w:right="269"/>
      </w:pPr>
      <w:r>
        <w:rPr/>
        <w:t>The required items must be approved by the appropriate agency secretary </w:t>
      </w:r>
      <w:r>
        <w:rPr>
          <w:i/>
        </w:rPr>
        <w:t>before </w:t>
      </w:r>
      <w:r>
        <w:rPr/>
        <w:t>release to DOF. The department then submits the information package simultaneously to DOF (2 copies), LAO (1 copy), and DGS (2 copies). Minor projects are included in the five-year plan as a lump sum for each of the five years. This lump sum for minor projects must be detailed later—by July 1—as described in Sections 6807 and 6814.</w:t>
      </w:r>
    </w:p>
    <w:p>
      <w:pPr>
        <w:spacing w:after="0"/>
        <w:sectPr>
          <w:footerReference w:type="default" r:id="rId246"/>
          <w:pgSz w:w="12240" w:h="15840"/>
          <w:pgMar w:footer="792" w:header="724" w:top="980" w:bottom="980" w:left="1320" w:right="1320"/>
        </w:sectPr>
      </w:pPr>
    </w:p>
    <w:p>
      <w:pPr>
        <w:pStyle w:val="BodyText"/>
        <w:rPr>
          <w:sz w:val="20"/>
        </w:rPr>
      </w:pPr>
    </w:p>
    <w:p>
      <w:pPr>
        <w:tabs>
          <w:tab w:pos="9647" w:val="left" w:leader="none"/>
        </w:tabs>
        <w:spacing w:before="214"/>
        <w:ind w:left="819" w:right="0" w:firstLine="0"/>
        <w:jc w:val="left"/>
        <w:rPr>
          <w:b/>
          <w:sz w:val="24"/>
        </w:rPr>
      </w:pPr>
      <w:r>
        <w:rPr/>
        <w:pict>
          <v:line style="position:absolute;mso-position-horizontal-relative:page;mso-position-vertical-relative:paragraph;z-index:23368" from="36.360001pt,24.714882pt" to="36.360001pt,506.155882pt" stroked="true" strokeweight=".72pt" strokecolor="#000000">
            <v:stroke dashstyle="solid"/>
            <w10:wrap type="none"/>
          </v:line>
        </w:pict>
      </w:r>
      <w:r>
        <w:rPr>
          <w:b/>
          <w:sz w:val="24"/>
        </w:rPr>
        <w:t>CAPITAL OUTLAY BUDGET CHANGE</w:t>
      </w:r>
      <w:r>
        <w:rPr>
          <w:b/>
          <w:spacing w:val="-13"/>
          <w:sz w:val="24"/>
        </w:rPr>
        <w:t> </w:t>
      </w:r>
      <w:r>
        <w:rPr>
          <w:b/>
          <w:sz w:val="24"/>
        </w:rPr>
        <w:t>PROPOSALS</w:t>
      </w:r>
      <w:r>
        <w:rPr>
          <w:b/>
          <w:spacing w:val="-3"/>
          <w:sz w:val="24"/>
        </w:rPr>
        <w:t> </w:t>
      </w:r>
      <w:r>
        <w:rPr>
          <w:b/>
          <w:sz w:val="24"/>
        </w:rPr>
        <w:t>(COBCP)</w:t>
        <w:tab/>
        <w:t>6818</w:t>
      </w:r>
    </w:p>
    <w:p>
      <w:pPr>
        <w:pStyle w:val="BodyText"/>
        <w:ind w:left="820"/>
      </w:pPr>
      <w:bookmarkStart w:name="(Revised 5/1998)" w:id="73"/>
      <w:bookmarkEnd w:id="73"/>
      <w:r>
        <w:rPr/>
      </w:r>
      <w:r>
        <w:rPr/>
        <w:t>(Revised </w:t>
      </w:r>
      <w:r>
        <w:rPr>
          <w:strike/>
          <w:color w:val="2E97D3"/>
        </w:rPr>
        <w:t>5/1998)</w:t>
      </w:r>
    </w:p>
    <w:p>
      <w:pPr>
        <w:pStyle w:val="BodyText"/>
        <w:spacing w:before="120"/>
        <w:ind w:left="820" w:right="175"/>
      </w:pPr>
      <w:r>
        <w:rPr>
          <w:strike/>
          <w:color w:val="2E97D3"/>
        </w:rPr>
        <w:t>A COBCP is required for all capital projects proposed for the Governor’s Budget and for certain capitalized leases which do not have prior legislative authority. This section provides:</w:t>
      </w:r>
    </w:p>
    <w:p>
      <w:pPr>
        <w:pStyle w:val="ListParagraph"/>
        <w:numPr>
          <w:ilvl w:val="1"/>
          <w:numId w:val="63"/>
        </w:numPr>
        <w:tabs>
          <w:tab w:pos="1180" w:val="left" w:leader="none"/>
        </w:tabs>
        <w:spacing w:line="240" w:lineRule="auto" w:before="120" w:after="0"/>
        <w:ind w:left="820" w:right="0" w:firstLine="0"/>
        <w:jc w:val="left"/>
        <w:rPr>
          <w:sz w:val="24"/>
        </w:rPr>
      </w:pPr>
      <w:r>
        <w:rPr>
          <w:strike/>
          <w:color w:val="2E97D3"/>
          <w:sz w:val="24"/>
        </w:rPr>
        <w:t>An overview of the purpose of the</w:t>
      </w:r>
      <w:r>
        <w:rPr>
          <w:strike/>
          <w:color w:val="2E97D3"/>
          <w:spacing w:val="-17"/>
          <w:sz w:val="24"/>
        </w:rPr>
        <w:t> </w:t>
      </w:r>
      <w:r>
        <w:rPr>
          <w:strike/>
          <w:color w:val="2E97D3"/>
          <w:sz w:val="24"/>
        </w:rPr>
        <w:t>COBCP;</w:t>
      </w:r>
    </w:p>
    <w:p>
      <w:pPr>
        <w:pStyle w:val="BodyText"/>
        <w:spacing w:before="10"/>
        <w:rPr>
          <w:sz w:val="20"/>
        </w:rPr>
      </w:pPr>
    </w:p>
    <w:p>
      <w:pPr>
        <w:pStyle w:val="ListParagraph"/>
        <w:numPr>
          <w:ilvl w:val="1"/>
          <w:numId w:val="63"/>
        </w:numPr>
        <w:tabs>
          <w:tab w:pos="1180" w:val="left" w:leader="none"/>
        </w:tabs>
        <w:spacing w:line="448" w:lineRule="auto" w:before="0" w:after="0"/>
        <w:ind w:left="820" w:right="3911" w:firstLine="0"/>
        <w:jc w:val="left"/>
        <w:rPr>
          <w:sz w:val="24"/>
        </w:rPr>
      </w:pPr>
      <w:r>
        <w:rPr>
          <w:strike/>
          <w:color w:val="2E97D3"/>
          <w:sz w:val="24"/>
        </w:rPr>
        <w:t>Under what circumstances a COBCP is required; 3.  Timelines for submittal and</w:t>
      </w:r>
      <w:r>
        <w:rPr>
          <w:strike/>
          <w:color w:val="2E97D3"/>
          <w:spacing w:val="6"/>
          <w:sz w:val="24"/>
        </w:rPr>
        <w:t> </w:t>
      </w:r>
      <w:r>
        <w:rPr>
          <w:strike/>
          <w:color w:val="2E97D3"/>
          <w:sz w:val="24"/>
        </w:rPr>
        <w:t>updating;</w:t>
      </w:r>
    </w:p>
    <w:p>
      <w:pPr>
        <w:pStyle w:val="BodyText"/>
        <w:spacing w:line="448" w:lineRule="auto" w:before="6"/>
        <w:ind w:left="820" w:right="654"/>
      </w:pPr>
      <w:r>
        <w:rPr>
          <w:strike/>
          <w:color w:val="2E97D3"/>
        </w:rPr>
        <w:t>4. Instructions for completing COBCPs, including a section on technical notes; and 5.  A sample of the required COBCP format in the illustration for this section.</w:t>
      </w:r>
    </w:p>
    <w:p>
      <w:pPr>
        <w:pStyle w:val="BodyText"/>
        <w:spacing w:before="6"/>
        <w:ind w:left="820" w:right="241"/>
      </w:pPr>
      <w:r>
        <w:rPr>
          <w:strike/>
          <w:color w:val="2E97D3"/>
        </w:rPr>
        <w:t>Additional documents which must accompany the COBCP are outlined in Section 6816 and explained in Sections 6820, 6821, and 6822.  Terminology, acronyms and forms are defined and indexed in the glossary (Section 6899).</w:t>
      </w:r>
    </w:p>
    <w:p>
      <w:pPr>
        <w:pStyle w:val="BodyText"/>
        <w:spacing w:before="10"/>
        <w:rPr>
          <w:sz w:val="20"/>
        </w:rPr>
      </w:pPr>
    </w:p>
    <w:p>
      <w:pPr>
        <w:spacing w:before="0"/>
        <w:ind w:left="820" w:right="0" w:firstLine="0"/>
        <w:jc w:val="left"/>
        <w:rPr>
          <w:sz w:val="24"/>
        </w:rPr>
      </w:pPr>
      <w:r>
        <w:rPr>
          <w:b/>
          <w:strike/>
          <w:color w:val="2E97D3"/>
          <w:sz w:val="24"/>
        </w:rPr>
        <w:t>Purpose of the COBCP: </w:t>
      </w:r>
      <w:r>
        <w:rPr>
          <w:strike/>
          <w:color w:val="2E97D3"/>
          <w:sz w:val="24"/>
        </w:rPr>
        <w:t>In broad terms, the COBCP justifies the funding request. Specifically, the COBCP must:</w:t>
      </w:r>
    </w:p>
    <w:p>
      <w:pPr>
        <w:pStyle w:val="BodyText"/>
        <w:rPr>
          <w:sz w:val="21"/>
        </w:rPr>
      </w:pPr>
    </w:p>
    <w:p>
      <w:pPr>
        <w:pStyle w:val="ListParagraph"/>
        <w:numPr>
          <w:ilvl w:val="0"/>
          <w:numId w:val="64"/>
        </w:numPr>
        <w:tabs>
          <w:tab w:pos="1180" w:val="left" w:leader="none"/>
        </w:tabs>
        <w:spacing w:line="240" w:lineRule="auto" w:before="1" w:after="0"/>
        <w:ind w:left="1180" w:right="0" w:hanging="360"/>
        <w:jc w:val="left"/>
        <w:rPr>
          <w:sz w:val="24"/>
        </w:rPr>
      </w:pPr>
      <w:r>
        <w:rPr>
          <w:strike/>
          <w:color w:val="2E97D3"/>
          <w:sz w:val="24"/>
        </w:rPr>
        <w:t>Define the client department’s problem and establish its</w:t>
      </w:r>
      <w:r>
        <w:rPr>
          <w:strike/>
          <w:color w:val="2E97D3"/>
          <w:spacing w:val="-35"/>
          <w:sz w:val="24"/>
        </w:rPr>
        <w:t> </w:t>
      </w:r>
      <w:r>
        <w:rPr>
          <w:strike/>
          <w:color w:val="2E97D3"/>
          <w:sz w:val="24"/>
        </w:rPr>
        <w:t>significance;</w:t>
      </w:r>
    </w:p>
    <w:p>
      <w:pPr>
        <w:pStyle w:val="ListParagraph"/>
        <w:numPr>
          <w:ilvl w:val="0"/>
          <w:numId w:val="64"/>
        </w:numPr>
        <w:tabs>
          <w:tab w:pos="1180" w:val="left" w:leader="none"/>
        </w:tabs>
        <w:spacing w:line="242" w:lineRule="auto" w:before="197" w:after="0"/>
        <w:ind w:left="1180" w:right="402" w:hanging="360"/>
        <w:jc w:val="left"/>
        <w:rPr>
          <w:sz w:val="24"/>
        </w:rPr>
      </w:pPr>
      <w:r>
        <w:rPr>
          <w:strike/>
          <w:color w:val="2E97D3"/>
          <w:sz w:val="24"/>
        </w:rPr>
        <w:t>Demonstrate that the client department has explored all reasonable alternatives to solving the problem and offered the most logical</w:t>
      </w:r>
      <w:r>
        <w:rPr>
          <w:strike/>
          <w:color w:val="2E97D3"/>
          <w:spacing w:val="-24"/>
          <w:sz w:val="24"/>
        </w:rPr>
        <w:t> </w:t>
      </w:r>
      <w:r>
        <w:rPr>
          <w:strike/>
          <w:color w:val="2E97D3"/>
          <w:sz w:val="24"/>
        </w:rPr>
        <w:t>solution;</w:t>
      </w:r>
    </w:p>
    <w:p>
      <w:pPr>
        <w:pStyle w:val="ListParagraph"/>
        <w:numPr>
          <w:ilvl w:val="0"/>
          <w:numId w:val="64"/>
        </w:numPr>
        <w:tabs>
          <w:tab w:pos="1180" w:val="left" w:leader="none"/>
        </w:tabs>
        <w:spacing w:line="448" w:lineRule="auto" w:before="194" w:after="0"/>
        <w:ind w:left="820" w:right="1229" w:firstLine="0"/>
        <w:jc w:val="left"/>
        <w:rPr>
          <w:sz w:val="24"/>
        </w:rPr>
      </w:pPr>
      <w:r>
        <w:rPr>
          <w:strike/>
          <w:color w:val="2E97D3"/>
          <w:sz w:val="24"/>
        </w:rPr>
        <w:t>Provide detailed documentation for the proposed solution and its cost; and 4.  Explain how the project supports the department’s strategic</w:t>
      </w:r>
      <w:r>
        <w:rPr>
          <w:strike/>
          <w:color w:val="2E97D3"/>
          <w:spacing w:val="-7"/>
          <w:sz w:val="24"/>
        </w:rPr>
        <w:t> </w:t>
      </w:r>
      <w:r>
        <w:rPr>
          <w:strike/>
          <w:color w:val="2E97D3"/>
          <w:sz w:val="24"/>
        </w:rPr>
        <w:t>plan.</w:t>
      </w:r>
    </w:p>
    <w:p>
      <w:pPr>
        <w:pStyle w:val="BodyText"/>
        <w:spacing w:line="242" w:lineRule="auto" w:before="4"/>
        <w:ind w:left="820" w:right="949"/>
      </w:pPr>
      <w:r>
        <w:rPr>
          <w:strike/>
          <w:color w:val="2E97D3"/>
        </w:rPr>
        <w:t>DOF will consider only those proposals which </w:t>
      </w:r>
      <w:r>
        <w:rPr>
          <w:i/>
          <w:strike/>
          <w:color w:val="2E97D3"/>
        </w:rPr>
        <w:t>convincingly </w:t>
      </w:r>
      <w:r>
        <w:rPr>
          <w:strike/>
          <w:color w:val="2E97D3"/>
        </w:rPr>
        <w:t>meet all four of these requirements.</w:t>
      </w:r>
    </w:p>
    <w:p>
      <w:pPr>
        <w:pStyle w:val="BodyText"/>
        <w:spacing w:before="9"/>
        <w:rPr>
          <w:sz w:val="20"/>
        </w:rPr>
      </w:pPr>
    </w:p>
    <w:p>
      <w:pPr>
        <w:pStyle w:val="BodyText"/>
        <w:ind w:left="820"/>
      </w:pPr>
      <w:r>
        <w:rPr>
          <w:strike/>
          <w:color w:val="2C6234"/>
        </w:rPr>
        <w:t>(Continued)</w:t>
      </w:r>
    </w:p>
    <w:p>
      <w:pPr>
        <w:spacing w:after="0"/>
        <w:sectPr>
          <w:footerReference w:type="default" r:id="rId247"/>
          <w:pgSz w:w="12240" w:h="15840"/>
          <w:pgMar w:footer="792" w:header="724" w:top="980" w:bottom="980" w:left="620" w:right="1320"/>
        </w:sectPr>
      </w:pPr>
    </w:p>
    <w:p>
      <w:pPr>
        <w:pStyle w:val="BodyText"/>
        <w:rPr>
          <w:sz w:val="20"/>
        </w:rPr>
      </w:pPr>
    </w:p>
    <w:p>
      <w:pPr>
        <w:pStyle w:val="BodyText"/>
        <w:spacing w:before="214"/>
        <w:ind w:left="820"/>
      </w:pPr>
      <w:r>
        <w:rPr/>
        <w:pict>
          <v:line style="position:absolute;mso-position-horizontal-relative:page;mso-position-vertical-relative:paragraph;z-index:23464" from="36.360001pt,10.915881pt" to="36.360001pt,58.315881pt" stroked="true" strokeweight=".72pt" strokecolor="#000000">
            <v:stroke dashstyle="solid"/>
            <w10:wrap type="none"/>
          </v:line>
        </w:pict>
      </w:r>
      <w:r>
        <w:rPr>
          <w:strike/>
          <w:color w:val="2C6234"/>
        </w:rPr>
        <w:t>(Continued)</w:t>
      </w:r>
    </w:p>
    <w:p>
      <w:pPr>
        <w:pStyle w:val="Heading2"/>
        <w:tabs>
          <w:tab w:pos="8646" w:val="left" w:leader="none"/>
        </w:tabs>
        <w:ind w:left="820"/>
        <w:rPr>
          <w:b w:val="0"/>
        </w:rPr>
      </w:pPr>
      <w:r>
        <w:rPr/>
        <w:pict>
          <v:group style="position:absolute;margin-left:71.699997pt;margin-top:7.536333pt;width:468.6pt;height:1.8pt;mso-position-horizontal-relative:page;mso-position-vertical-relative:paragraph;z-index:-449272" coordorigin="1434,151" coordsize="9372,36">
            <v:line style="position:absolute" from="1440,181" to="10800,181" stroked="true" strokeweight=".6pt" strokecolor="#2c6234">
              <v:stroke dashstyle="solid"/>
            </v:line>
            <v:line style="position:absolute" from="1440,157" to="10800,157" stroked="true" strokeweight=".599pt" strokecolor="#2c6234">
              <v:stroke dashstyle="solid"/>
            </v:line>
            <w10:wrap type="none"/>
          </v:group>
        </w:pict>
      </w:r>
      <w:r>
        <w:rPr>
          <w:color w:val="2C6234"/>
        </w:rPr>
        <w:t>CAPITAL OUTLAY BUDGET CHANGE</w:t>
      </w:r>
      <w:r>
        <w:rPr>
          <w:color w:val="2C6234"/>
          <w:spacing w:val="-13"/>
        </w:rPr>
        <w:t> </w:t>
      </w:r>
      <w:r>
        <w:rPr>
          <w:color w:val="2C6234"/>
        </w:rPr>
        <w:t>PROPOSALS</w:t>
      </w:r>
      <w:r>
        <w:rPr>
          <w:color w:val="2C6234"/>
          <w:spacing w:val="-3"/>
        </w:rPr>
        <w:t> </w:t>
      </w:r>
      <w:r>
        <w:rPr>
          <w:color w:val="2C6234"/>
        </w:rPr>
        <w:t>(COBCP)</w:t>
        <w:tab/>
        <w:t>6818 </w:t>
      </w:r>
      <w:r>
        <w:rPr>
          <w:b w:val="0"/>
          <w:color w:val="2C6234"/>
        </w:rPr>
        <w:t>(Cont.</w:t>
      </w:r>
      <w:r>
        <w:rPr>
          <w:b w:val="0"/>
          <w:color w:val="2C6234"/>
          <w:spacing w:val="-6"/>
        </w:rPr>
        <w:t> </w:t>
      </w:r>
      <w:r>
        <w:rPr>
          <w:b w:val="0"/>
          <w:color w:val="2C6234"/>
        </w:rPr>
        <w:t>1)</w:t>
      </w:r>
    </w:p>
    <w:p>
      <w:pPr>
        <w:pStyle w:val="BodyText"/>
        <w:ind w:left="820"/>
      </w:pPr>
      <w:bookmarkStart w:name="(Revised 5/199811/2017)" w:id="74"/>
      <w:bookmarkEnd w:id="74"/>
      <w:r>
        <w:rPr/>
      </w:r>
      <w:r>
        <w:rPr>
          <w:strike/>
          <w:color w:val="2E97D3"/>
        </w:rPr>
        <w:t>(Revised 5/1998</w:t>
      </w:r>
      <w:r>
        <w:rPr>
          <w:strike w:val="0"/>
          <w:color w:val="2E97D3"/>
          <w:u w:val="single" w:color="2E97D3"/>
        </w:rPr>
        <w:t>11/2017</w:t>
      </w:r>
      <w:r>
        <w:rPr>
          <w:strike w:val="0"/>
        </w:rPr>
        <w:t>)</w:t>
      </w:r>
    </w:p>
    <w:p>
      <w:pPr>
        <w:pStyle w:val="BodyText"/>
        <w:spacing w:before="4"/>
        <w:rPr>
          <w:sz w:val="26"/>
        </w:rPr>
      </w:pPr>
    </w:p>
    <w:p>
      <w:pPr>
        <w:pStyle w:val="Heading2"/>
        <w:spacing w:before="93"/>
        <w:ind w:left="820"/>
      </w:pPr>
      <w:r>
        <w:rPr/>
        <w:t>A COBCP (or an updated COBCP) is required for:</w:t>
      </w:r>
    </w:p>
    <w:p>
      <w:pPr>
        <w:pStyle w:val="ListParagraph"/>
        <w:numPr>
          <w:ilvl w:val="1"/>
          <w:numId w:val="64"/>
        </w:numPr>
        <w:tabs>
          <w:tab w:pos="1468" w:val="left" w:leader="none"/>
        </w:tabs>
        <w:spacing w:line="240" w:lineRule="auto" w:before="120" w:after="0"/>
        <w:ind w:left="1468" w:right="116" w:hanging="288"/>
        <w:jc w:val="left"/>
        <w:rPr>
          <w:sz w:val="24"/>
        </w:rPr>
      </w:pPr>
      <w:r>
        <w:rPr/>
        <w:pict>
          <v:line style="position:absolute;mso-position-horizontal-relative:page;mso-position-vertical-relative:paragraph;z-index:23488" from="36.360001pt,47.615883pt" to="36.360001pt,75.215883pt" stroked="true" strokeweight=".72pt" strokecolor="#000000">
            <v:stroke dashstyle="solid"/>
            <w10:wrap type="none"/>
          </v:line>
        </w:pict>
      </w:r>
      <w:r>
        <w:rPr>
          <w:b/>
          <w:sz w:val="24"/>
        </w:rPr>
        <w:t>Any request for a capital outlay appropriation or reappropriation</w:t>
      </w:r>
      <w:r>
        <w:rPr>
          <w:sz w:val="24"/>
        </w:rPr>
        <w:t>, whether for acquisition of land or structures or for construction. (Definitions of what cost elements are classified as capital outlay are provided in Section 6806.) A COBCP is also required for project augmentations which exceed </w:t>
      </w:r>
      <w:r>
        <w:rPr>
          <w:strike/>
          <w:color w:val="2E97D3"/>
          <w:sz w:val="24"/>
        </w:rPr>
        <w:t>PWB’s</w:t>
      </w:r>
      <w:r>
        <w:rPr>
          <w:strike w:val="0"/>
          <w:color w:val="2E97D3"/>
          <w:sz w:val="24"/>
          <w:u w:val="single" w:color="2E97D3"/>
        </w:rPr>
        <w:t>the Public Works Board’s (PWB) </w:t>
      </w:r>
      <w:r>
        <w:rPr>
          <w:strike w:val="0"/>
          <w:sz w:val="24"/>
        </w:rPr>
        <w:t>authority (i.e., </w:t>
      </w:r>
      <w:r>
        <w:rPr>
          <w:strike/>
          <w:color w:val="2E97D3"/>
          <w:sz w:val="24"/>
        </w:rPr>
        <w:t>over</w:t>
      </w:r>
      <w:r>
        <w:rPr>
          <w:strike w:val="0"/>
          <w:color w:val="2E97D3"/>
          <w:sz w:val="24"/>
          <w:u w:val="single" w:color="2E97D3"/>
        </w:rPr>
        <w:t>more than </w:t>
      </w:r>
      <w:r>
        <w:rPr>
          <w:strike w:val="0"/>
          <w:sz w:val="24"/>
        </w:rPr>
        <w:t>20 percent of the original appropriation).  See Section</w:t>
      </w:r>
      <w:r>
        <w:rPr>
          <w:strike w:val="0"/>
          <w:spacing w:val="-16"/>
          <w:sz w:val="24"/>
        </w:rPr>
        <w:t> </w:t>
      </w:r>
      <w:r>
        <w:rPr>
          <w:strike w:val="0"/>
          <w:sz w:val="24"/>
        </w:rPr>
        <w:t>6861.</w:t>
      </w:r>
    </w:p>
    <w:p>
      <w:pPr>
        <w:pStyle w:val="BodyText"/>
        <w:spacing w:before="10"/>
        <w:rPr>
          <w:sz w:val="20"/>
        </w:rPr>
      </w:pPr>
    </w:p>
    <w:p>
      <w:pPr>
        <w:pStyle w:val="ListParagraph"/>
        <w:numPr>
          <w:ilvl w:val="1"/>
          <w:numId w:val="64"/>
        </w:numPr>
        <w:tabs>
          <w:tab w:pos="1468" w:val="left" w:leader="none"/>
        </w:tabs>
        <w:spacing w:line="240" w:lineRule="auto" w:before="0" w:after="0"/>
        <w:ind w:left="1468" w:right="219" w:hanging="288"/>
        <w:jc w:val="left"/>
        <w:rPr>
          <w:sz w:val="24"/>
        </w:rPr>
      </w:pPr>
      <w:r>
        <w:rPr>
          <w:b/>
          <w:sz w:val="24"/>
        </w:rPr>
        <w:t>Requests for Finance Letters </w:t>
      </w:r>
      <w:r>
        <w:rPr>
          <w:sz w:val="24"/>
        </w:rPr>
        <w:t>to adjust an existing project proposal, whether for technical or policy reasons, or to add an urgent new</w:t>
      </w:r>
      <w:r>
        <w:rPr>
          <w:spacing w:val="-29"/>
          <w:sz w:val="24"/>
        </w:rPr>
        <w:t> </w:t>
      </w:r>
      <w:r>
        <w:rPr>
          <w:sz w:val="24"/>
        </w:rPr>
        <w:t>proposal.</w:t>
      </w:r>
    </w:p>
    <w:p>
      <w:pPr>
        <w:pStyle w:val="BodyText"/>
        <w:spacing w:before="10"/>
        <w:rPr>
          <w:sz w:val="20"/>
        </w:rPr>
      </w:pPr>
    </w:p>
    <w:p>
      <w:pPr>
        <w:pStyle w:val="ListParagraph"/>
        <w:numPr>
          <w:ilvl w:val="1"/>
          <w:numId w:val="64"/>
        </w:numPr>
        <w:tabs>
          <w:tab w:pos="1468" w:val="left" w:leader="none"/>
        </w:tabs>
        <w:spacing w:line="240" w:lineRule="auto" w:before="0" w:after="0"/>
        <w:ind w:left="1468" w:right="116" w:hanging="288"/>
        <w:jc w:val="left"/>
        <w:rPr>
          <w:sz w:val="24"/>
        </w:rPr>
      </w:pPr>
      <w:r>
        <w:rPr/>
        <w:pict>
          <v:line style="position:absolute;mso-position-horizontal-relative:page;mso-position-vertical-relative:paragraph;z-index:-449248" from="321.959991pt,104.915855pt" to="325.320991pt,104.915855pt" stroked="true" strokeweight=".6pt" strokecolor="#2e97d3">
            <v:stroke dashstyle="solid"/>
            <w10:wrap type="none"/>
          </v:line>
        </w:pict>
      </w:r>
      <w:r>
        <w:rPr/>
        <w:pict>
          <v:line style="position:absolute;mso-position-horizontal-relative:page;mso-position-vertical-relative:paragraph;z-index:23512" from="36.360001pt,27.815857pt" to="36.360001pt,55.415857pt" stroked="true" strokeweight=".72pt" strokecolor="#000000">
            <v:stroke dashstyle="solid"/>
            <w10:wrap type="none"/>
          </v:line>
        </w:pict>
      </w:r>
      <w:r>
        <w:rPr/>
        <w:pict>
          <v:line style="position:absolute;mso-position-horizontal-relative:page;mso-position-vertical-relative:paragraph;z-index:23536" from="36.360001pt,96.815857pt" to="36.360001pt,110.615857pt" stroked="true" strokeweight=".72pt" strokecolor="#000000">
            <v:stroke dashstyle="solid"/>
            <w10:wrap type="none"/>
          </v:line>
        </w:pict>
      </w:r>
      <w:r>
        <w:rPr/>
        <w:pict>
          <v:line style="position:absolute;mso-position-horizontal-relative:page;mso-position-vertical-relative:paragraph;z-index:23560" from="36.360001pt,138.215851pt" to="36.360001pt,152.015851pt" stroked="true" strokeweight=".72pt" strokecolor="#000000">
            <v:stroke dashstyle="solid"/>
            <w10:wrap type="none"/>
          </v:line>
        </w:pict>
      </w:r>
      <w:r>
        <w:rPr/>
        <w:pict>
          <v:line style="position:absolute;mso-position-horizontal-relative:page;mso-position-vertical-relative:paragraph;z-index:23584" from="36.360001pt,165.815857pt" to="36.360001pt,191.615857pt" stroked="true" strokeweight=".72pt" strokecolor="#000000">
            <v:stroke dashstyle="solid"/>
            <w10:wrap type="none"/>
          </v:line>
        </w:pict>
      </w:r>
      <w:r>
        <w:rPr>
          <w:b/>
          <w:sz w:val="24"/>
        </w:rPr>
        <w:t>Entering into a lease with purchase option</w:t>
      </w:r>
      <w:r>
        <w:rPr>
          <w:sz w:val="24"/>
        </w:rPr>
        <w:t>. Although no capital expenditure is made when entering into a lease with a purchase option, the potential for a capital acquisition is created. At the time the </w:t>
      </w:r>
      <w:r>
        <w:rPr>
          <w:strike/>
          <w:color w:val="2E97D3"/>
          <w:sz w:val="24"/>
        </w:rPr>
        <w:t>client </w:t>
      </w:r>
      <w:r>
        <w:rPr>
          <w:strike w:val="0"/>
          <w:sz w:val="24"/>
        </w:rPr>
        <w:t>department submits a </w:t>
      </w:r>
      <w:r>
        <w:rPr>
          <w:strike/>
          <w:color w:val="2E97D3"/>
          <w:sz w:val="24"/>
          <w:u w:val="single" w:color="2E97D3"/>
        </w:rPr>
        <w:t>STD. 9</w:t>
      </w:r>
      <w:hyperlink r:id="rId248">
        <w:r>
          <w:rPr>
            <w:strike w:val="0"/>
            <w:color w:val="2E97D3"/>
            <w:sz w:val="24"/>
            <w:u w:val="single" w:color="2E97D3"/>
          </w:rPr>
          <w:t>STD. 9 </w:t>
        </w:r>
      </w:hyperlink>
      <w:r>
        <w:rPr>
          <w:strike w:val="0"/>
          <w:sz w:val="24"/>
        </w:rPr>
        <w:t>space action request for </w:t>
      </w:r>
      <w:r>
        <w:rPr>
          <w:strike/>
          <w:color w:val="2E97D3"/>
          <w:sz w:val="24"/>
        </w:rPr>
        <w:t>DOF</w:t>
      </w:r>
      <w:r>
        <w:rPr>
          <w:strike w:val="0"/>
          <w:color w:val="2E97D3"/>
          <w:sz w:val="24"/>
          <w:u w:val="single" w:color="2E97D3"/>
        </w:rPr>
        <w:t>Finance </w:t>
      </w:r>
      <w:r>
        <w:rPr>
          <w:strike w:val="0"/>
          <w:sz w:val="24"/>
        </w:rPr>
        <w:t>review, it must demonstrate that it has analyzed the potential alternatives (state construction, lease-purchase agreement, pure lease) and selected the best alternative. </w:t>
      </w:r>
      <w:r>
        <w:rPr>
          <w:i/>
          <w:strike w:val="0"/>
          <w:sz w:val="24"/>
        </w:rPr>
        <w:t>For projects then seeking statutory </w:t>
      </w:r>
      <w:r>
        <w:rPr>
          <w:i/>
          <w:strike w:val="0"/>
          <w:sz w:val="24"/>
        </w:rPr>
        <w:t>authority for the purchase option through the Budget Act, the cost-benefit or economic analysis must be updated and presented as a COBCP</w:t>
      </w:r>
      <w:r>
        <w:rPr>
          <w:strike w:val="0"/>
          <w:sz w:val="24"/>
        </w:rPr>
        <w:t>. (A COBCP is required whether or not there is a related support BCP for lease costs.) For projects seeking purchase option authority through special legislation, similar information will be required as part of </w:t>
      </w:r>
      <w:r>
        <w:rPr>
          <w:strike/>
          <w:color w:val="2E97D3"/>
          <w:sz w:val="24"/>
        </w:rPr>
        <w:t>DOF’s</w:t>
      </w:r>
      <w:r>
        <w:rPr>
          <w:strike w:val="0"/>
          <w:color w:val="2E97D3"/>
          <w:sz w:val="24"/>
          <w:u w:val="single" w:color="2E97D3"/>
        </w:rPr>
        <w:t>Finance’s </w:t>
      </w:r>
      <w:r>
        <w:rPr>
          <w:strike w:val="0"/>
          <w:sz w:val="24"/>
        </w:rPr>
        <w:t>review of proposed legislation. For projects under $2 million, DGS has general statutory authority for purchase options (Government Code Section</w:t>
      </w:r>
      <w:r>
        <w:rPr>
          <w:strike w:val="0"/>
          <w:spacing w:val="-31"/>
          <w:sz w:val="24"/>
        </w:rPr>
        <w:t> </w:t>
      </w:r>
      <w:r>
        <w:rPr>
          <w:strike/>
          <w:color w:val="2E97D3"/>
          <w:sz w:val="24"/>
        </w:rPr>
        <w:t>14669).</w:t>
      </w:r>
      <w:hyperlink r:id="rId76">
        <w:r>
          <w:rPr>
            <w:strike w:val="0"/>
            <w:color w:val="2E97D3"/>
            <w:sz w:val="24"/>
            <w:u w:val="single" w:color="2E97D3"/>
          </w:rPr>
          <w:t>14669</w:t>
        </w:r>
      </w:hyperlink>
      <w:r>
        <w:rPr>
          <w:strike w:val="0"/>
          <w:color w:val="2E97D3"/>
          <w:sz w:val="24"/>
          <w:u w:val="single" w:color="2E97D3"/>
        </w:rPr>
        <w:t>).</w:t>
      </w:r>
    </w:p>
    <w:p>
      <w:pPr>
        <w:pStyle w:val="BodyText"/>
        <w:spacing w:before="10"/>
        <w:rPr>
          <w:sz w:val="20"/>
        </w:rPr>
      </w:pPr>
    </w:p>
    <w:p>
      <w:pPr>
        <w:pStyle w:val="ListParagraph"/>
        <w:numPr>
          <w:ilvl w:val="1"/>
          <w:numId w:val="64"/>
        </w:numPr>
        <w:tabs>
          <w:tab w:pos="1468" w:val="left" w:leader="none"/>
        </w:tabs>
        <w:spacing w:line="240" w:lineRule="auto" w:before="0" w:after="0"/>
        <w:ind w:left="1468" w:right="198" w:hanging="288"/>
        <w:jc w:val="left"/>
        <w:rPr>
          <w:sz w:val="24"/>
        </w:rPr>
      </w:pPr>
      <w:r>
        <w:rPr/>
        <w:pict>
          <v:line style="position:absolute;mso-position-horizontal-relative:page;mso-position-vertical-relative:paragraph;z-index:-449224" from="205.800003pt,54.395363pt" to="209.160003pt,54.395363pt" stroked="true" strokeweight=".841pt" strokecolor="#2e97d3">
            <v:stroke dashstyle="solid"/>
            <w10:wrap type="none"/>
          </v:line>
        </w:pict>
      </w:r>
      <w:r>
        <w:rPr/>
        <w:pict>
          <v:line style="position:absolute;mso-position-horizontal-relative:page;mso-position-vertical-relative:paragraph;z-index:23608" from="36.360001pt,14.014863pt" to="36.360001pt,69.215863pt" stroked="true" strokeweight=".72pt" strokecolor="#000000">
            <v:stroke dashstyle="solid"/>
            <w10:wrap type="none"/>
          </v:line>
        </w:pict>
      </w:r>
      <w:r>
        <w:rPr>
          <w:b/>
          <w:sz w:val="24"/>
        </w:rPr>
        <w:t>Exercising a purchase option on capital assets. </w:t>
      </w:r>
      <w:r>
        <w:rPr>
          <w:sz w:val="24"/>
        </w:rPr>
        <w:t>Exercising a purchase option (even </w:t>
      </w:r>
      <w:r>
        <w:rPr>
          <w:strike/>
          <w:color w:val="2E97D3"/>
          <w:sz w:val="24"/>
        </w:rPr>
        <w:t>a $1 purchase option</w:t>
      </w:r>
      <w:r>
        <w:rPr>
          <w:strike w:val="0"/>
          <w:color w:val="2E97D3"/>
          <w:sz w:val="24"/>
          <w:u w:val="single" w:color="2E97D3"/>
        </w:rPr>
        <w:t>if a nominal amount</w:t>
      </w:r>
      <w:r>
        <w:rPr>
          <w:strike w:val="0"/>
          <w:sz w:val="24"/>
        </w:rPr>
        <w:t>) requires a capital outlay appropriation. </w:t>
      </w:r>
      <w:r>
        <w:rPr>
          <w:strike/>
          <w:color w:val="2E97D3"/>
          <w:sz w:val="24"/>
        </w:rPr>
        <w:t>(The exception is for</w:t>
      </w:r>
      <w:r>
        <w:rPr>
          <w:strike w:val="0"/>
          <w:color w:val="2E97D3"/>
          <w:sz w:val="24"/>
          <w:u w:val="single" w:color="2E97D3"/>
        </w:rPr>
        <w:t>This also includes </w:t>
      </w:r>
      <w:r>
        <w:rPr>
          <w:strike w:val="0"/>
          <w:sz w:val="24"/>
        </w:rPr>
        <w:t>trailers and relocatable or modular buildings</w:t>
      </w:r>
      <w:r>
        <w:rPr>
          <w:strike/>
          <w:color w:val="2E97D3"/>
          <w:sz w:val="24"/>
        </w:rPr>
        <w:t>.)</w:t>
      </w:r>
      <w:r>
        <w:rPr>
          <w:strike w:val="0"/>
          <w:color w:val="2E97D3"/>
          <w:sz w:val="24"/>
        </w:rPr>
        <w:t>. </w:t>
      </w:r>
      <w:r>
        <w:rPr>
          <w:strike w:val="0"/>
          <w:sz w:val="24"/>
        </w:rPr>
        <w:t>At the time the acquisition appropriation is requested, the </w:t>
      </w:r>
      <w:r>
        <w:rPr>
          <w:strike/>
          <w:color w:val="2E97D3"/>
          <w:sz w:val="24"/>
        </w:rPr>
        <w:t>client </w:t>
      </w:r>
      <w:r>
        <w:rPr>
          <w:strike w:val="0"/>
          <w:sz w:val="24"/>
        </w:rPr>
        <w:t>department submits an updated COBCP with an economic analysis showing that the proposed purchase is still cost-beneficial, considering any changes in program need, lease market conditions, and state construction alternatives.</w:t>
      </w:r>
    </w:p>
    <w:p>
      <w:pPr>
        <w:pStyle w:val="BodyText"/>
        <w:spacing w:before="10"/>
        <w:rPr>
          <w:sz w:val="20"/>
        </w:rPr>
      </w:pPr>
    </w:p>
    <w:p>
      <w:pPr>
        <w:pStyle w:val="ListParagraph"/>
        <w:numPr>
          <w:ilvl w:val="1"/>
          <w:numId w:val="64"/>
        </w:numPr>
        <w:tabs>
          <w:tab w:pos="1468" w:val="left" w:leader="none"/>
        </w:tabs>
        <w:spacing w:line="240" w:lineRule="auto" w:before="0" w:after="0"/>
        <w:ind w:left="1468" w:right="185" w:hanging="288"/>
        <w:jc w:val="left"/>
        <w:rPr>
          <w:sz w:val="24"/>
        </w:rPr>
      </w:pPr>
      <w:r>
        <w:rPr>
          <w:b/>
          <w:sz w:val="24"/>
        </w:rPr>
        <w:t>Entering into a lease-purchase agreement for capital assets. </w:t>
      </w:r>
      <w:r>
        <w:rPr>
          <w:sz w:val="24"/>
        </w:rPr>
        <w:t>Although no capital expenditure is made under a lease-purchase agreement, a capital acquisition occurs. If the authorization for a lease-purchase is sought through the Budget Act, the department must submit a COBCP comparing alternatives to meeting its space requirements and demonstrating that a lease-purchase agreement is the most</w:t>
      </w:r>
      <w:r>
        <w:rPr>
          <w:spacing w:val="-19"/>
          <w:sz w:val="24"/>
        </w:rPr>
        <w:t> </w:t>
      </w:r>
      <w:r>
        <w:rPr>
          <w:sz w:val="24"/>
        </w:rPr>
        <w:t>cost-beneficial.</w:t>
      </w:r>
    </w:p>
    <w:p>
      <w:pPr>
        <w:pStyle w:val="BodyText"/>
        <w:spacing w:before="10"/>
        <w:rPr>
          <w:sz w:val="20"/>
        </w:rPr>
      </w:pPr>
    </w:p>
    <w:p>
      <w:pPr>
        <w:pStyle w:val="BodyText"/>
        <w:ind w:left="820"/>
      </w:pPr>
      <w:r>
        <w:rPr/>
        <w:pict>
          <v:line style="position:absolute;mso-position-horizontal-relative:page;mso-position-vertical-relative:paragraph;z-index:23632" from="36.360001pt,.215858pt" to="36.360001pt,27.815858pt" stroked="true" strokeweight=".72pt" strokecolor="#000000">
            <v:stroke dashstyle="solid"/>
            <w10:wrap type="none"/>
          </v:line>
        </w:pict>
      </w:r>
      <w:r>
        <w:rPr>
          <w:color w:val="2E97D3"/>
          <w:w w:val="100"/>
          <w:u w:val="single" w:color="2E97D3"/>
        </w:rPr>
        <w:t> </w:t>
      </w:r>
      <w:r>
        <w:rPr>
          <w:color w:val="2E97D3"/>
          <w:u w:val="single" w:color="2E97D3"/>
        </w:rPr>
        <w:t>(Continued)</w:t>
      </w:r>
    </w:p>
    <w:p>
      <w:pPr>
        <w:spacing w:after="0"/>
        <w:sectPr>
          <w:pgSz w:w="12240" w:h="15840"/>
          <w:pgMar w:header="724" w:footer="792" w:top="980" w:bottom="980" w:left="620" w:right="1320"/>
        </w:sectPr>
      </w:pPr>
    </w:p>
    <w:p>
      <w:pPr>
        <w:pStyle w:val="BodyText"/>
        <w:rPr>
          <w:sz w:val="20"/>
        </w:rPr>
      </w:pPr>
    </w:p>
    <w:p>
      <w:pPr>
        <w:pStyle w:val="BodyText"/>
        <w:spacing w:before="214"/>
        <w:ind w:left="820"/>
      </w:pPr>
      <w:r>
        <w:rPr/>
        <w:pict>
          <v:line style="position:absolute;mso-position-horizontal-relative:page;mso-position-vertical-relative:paragraph;z-index:23680" from="36.360001pt,10.915881pt" to="36.360001pt,66.115881pt" stroked="true" strokeweight=".72pt" strokecolor="#000000">
            <v:stroke dashstyle="solid"/>
            <w10:wrap type="none"/>
          </v:line>
        </w:pict>
      </w:r>
      <w:r>
        <w:rPr>
          <w:color w:val="2C6234"/>
          <w:u w:val="thick" w:color="2C6234"/>
        </w:rPr>
        <w:t>(Continued)</w:t>
      </w:r>
    </w:p>
    <w:p>
      <w:pPr>
        <w:pStyle w:val="Heading2"/>
        <w:tabs>
          <w:tab w:pos="8646" w:val="left" w:leader="none"/>
        </w:tabs>
        <w:ind w:left="820"/>
        <w:rPr>
          <w:b w:val="0"/>
        </w:rPr>
      </w:pPr>
      <w:r>
        <w:rPr/>
        <w:pict>
          <v:group style="position:absolute;margin-left:71.699997pt;margin-top:11.735832pt;width:468.6pt;height:2.2pt;mso-position-horizontal-relative:page;mso-position-vertical-relative:paragraph;z-index:-449008" coordorigin="1434,235" coordsize="9372,44">
            <v:line style="position:absolute" from="1440,241" to="10800,241" stroked="true" strokeweight=".6pt" strokecolor="#2c6234">
              <v:stroke dashstyle="solid"/>
            </v:line>
            <v:line style="position:absolute" from="1440,272" to="10800,272" stroked="true" strokeweight=".599pt" strokecolor="#2c6234">
              <v:stroke dashstyle="solid"/>
            </v:line>
            <w10:wrap type="none"/>
          </v:group>
        </w:pict>
      </w:r>
      <w:r>
        <w:rPr>
          <w:color w:val="2C6234"/>
        </w:rPr>
        <w:t>CAPITAL OUTLAY BUDGET CHANGE</w:t>
      </w:r>
      <w:r>
        <w:rPr>
          <w:color w:val="2C6234"/>
          <w:spacing w:val="-13"/>
        </w:rPr>
        <w:t> </w:t>
      </w:r>
      <w:r>
        <w:rPr>
          <w:color w:val="2C6234"/>
        </w:rPr>
        <w:t>PROPOSALS</w:t>
      </w:r>
      <w:r>
        <w:rPr>
          <w:color w:val="2C6234"/>
          <w:spacing w:val="-3"/>
        </w:rPr>
        <w:t> </w:t>
      </w:r>
      <w:r>
        <w:rPr>
          <w:color w:val="2C6234"/>
        </w:rPr>
        <w:t>(COBCP)</w:t>
        <w:tab/>
        <w:t>6818 </w:t>
      </w:r>
      <w:r>
        <w:rPr>
          <w:b w:val="0"/>
          <w:color w:val="2C6234"/>
        </w:rPr>
        <w:t>(Cont.</w:t>
      </w:r>
      <w:r>
        <w:rPr>
          <w:b w:val="0"/>
          <w:color w:val="2C6234"/>
          <w:spacing w:val="-6"/>
        </w:rPr>
        <w:t> </w:t>
      </w:r>
      <w:r>
        <w:rPr>
          <w:b w:val="0"/>
          <w:color w:val="2C6234"/>
        </w:rPr>
        <w:t>1)</w:t>
      </w:r>
    </w:p>
    <w:p>
      <w:pPr>
        <w:pStyle w:val="BodyText"/>
        <w:ind w:left="820"/>
      </w:pPr>
      <w:r>
        <w:rPr>
          <w:strike/>
          <w:color w:val="2C6234"/>
        </w:rPr>
        <w:t>(Continued)</w:t>
      </w:r>
    </w:p>
    <w:p>
      <w:pPr>
        <w:spacing w:after="0"/>
        <w:sectPr>
          <w:pgSz w:w="12240" w:h="15840"/>
          <w:pgMar w:header="724" w:footer="792" w:top="980" w:bottom="980" w:left="620" w:right="1320"/>
        </w:sectPr>
      </w:pPr>
    </w:p>
    <w:p>
      <w:pPr>
        <w:pStyle w:val="BodyText"/>
        <w:rPr>
          <w:sz w:val="20"/>
        </w:rPr>
      </w:pPr>
    </w:p>
    <w:p>
      <w:pPr>
        <w:pStyle w:val="BodyText"/>
        <w:spacing w:before="214"/>
        <w:ind w:left="820"/>
      </w:pPr>
      <w:r>
        <w:rPr/>
        <w:pict>
          <v:line style="position:absolute;mso-position-horizontal-relative:page;mso-position-vertical-relative:paragraph;z-index:23752" from="36.360001pt,10.915881pt" to="36.360001pt,58.315881pt" stroked="true" strokeweight=".72pt" strokecolor="#000000">
            <v:stroke dashstyle="solid"/>
            <w10:wrap type="none"/>
          </v:line>
        </w:pict>
      </w:r>
      <w:r>
        <w:rPr>
          <w:strike/>
          <w:color w:val="2C6234"/>
        </w:rPr>
        <w:t>(Continued)</w:t>
      </w:r>
    </w:p>
    <w:p>
      <w:pPr>
        <w:pStyle w:val="Heading2"/>
        <w:tabs>
          <w:tab w:pos="8646" w:val="left" w:leader="none"/>
        </w:tabs>
        <w:ind w:left="820"/>
        <w:rPr>
          <w:b w:val="0"/>
        </w:rPr>
      </w:pPr>
      <w:r>
        <w:rPr/>
        <w:pict>
          <v:group style="position:absolute;margin-left:71.699997pt;margin-top:7.536333pt;width:468.6pt;height:1.8pt;mso-position-horizontal-relative:page;mso-position-vertical-relative:paragraph;z-index:-448960" coordorigin="1434,151" coordsize="9372,36">
            <v:line style="position:absolute" from="1440,181" to="10800,181" stroked="true" strokeweight=".6pt" strokecolor="#2c6234">
              <v:stroke dashstyle="solid"/>
            </v:line>
            <v:line style="position:absolute" from="1440,157" to="10800,157" stroked="true" strokeweight=".599pt" strokecolor="#2c6234">
              <v:stroke dashstyle="solid"/>
            </v:line>
            <w10:wrap type="none"/>
          </v:group>
        </w:pict>
      </w:r>
      <w:r>
        <w:rPr>
          <w:color w:val="2C6234"/>
        </w:rPr>
        <w:t>CAPITAL OUTLAY BUDGET CHANGE</w:t>
      </w:r>
      <w:r>
        <w:rPr>
          <w:color w:val="2C6234"/>
          <w:spacing w:val="-13"/>
        </w:rPr>
        <w:t> </w:t>
      </w:r>
      <w:r>
        <w:rPr>
          <w:color w:val="2C6234"/>
        </w:rPr>
        <w:t>PROPOSALS</w:t>
      </w:r>
      <w:r>
        <w:rPr>
          <w:color w:val="2C6234"/>
          <w:spacing w:val="-3"/>
        </w:rPr>
        <w:t> </w:t>
      </w:r>
      <w:r>
        <w:rPr>
          <w:color w:val="2C6234"/>
        </w:rPr>
        <w:t>(COBCP)</w:t>
        <w:tab/>
        <w:t>6818 </w:t>
      </w:r>
      <w:r>
        <w:rPr>
          <w:b w:val="0"/>
          <w:color w:val="2C6234"/>
        </w:rPr>
        <w:t>(Cont.</w:t>
      </w:r>
      <w:r>
        <w:rPr>
          <w:b w:val="0"/>
          <w:color w:val="2C6234"/>
          <w:spacing w:val="-6"/>
        </w:rPr>
        <w:t> </w:t>
      </w:r>
      <w:r>
        <w:rPr>
          <w:b w:val="0"/>
          <w:color w:val="2C6234"/>
        </w:rPr>
        <w:t>2)</w:t>
      </w:r>
    </w:p>
    <w:p>
      <w:pPr>
        <w:pStyle w:val="BodyText"/>
        <w:ind w:left="820"/>
      </w:pPr>
      <w:bookmarkStart w:name="(Revised 5/199811/2017)" w:id="75"/>
      <w:bookmarkEnd w:id="75"/>
      <w:r>
        <w:rPr/>
      </w:r>
      <w:r>
        <w:rPr/>
        <w:t>(Revised </w:t>
      </w:r>
      <w:r>
        <w:rPr>
          <w:strike/>
          <w:color w:val="2E97D3"/>
        </w:rPr>
        <w:t>5/1998</w:t>
      </w:r>
      <w:r>
        <w:rPr>
          <w:strike w:val="0"/>
          <w:color w:val="2E97D3"/>
          <w:u w:val="single" w:color="2E97D3"/>
        </w:rPr>
        <w:t>11/2017</w:t>
      </w:r>
      <w:r>
        <w:rPr>
          <w:strike w:val="0"/>
        </w:rPr>
        <w:t>)</w:t>
      </w:r>
    </w:p>
    <w:p>
      <w:pPr>
        <w:pStyle w:val="ListParagraph"/>
        <w:numPr>
          <w:ilvl w:val="1"/>
          <w:numId w:val="64"/>
        </w:numPr>
        <w:tabs>
          <w:tab w:pos="1468" w:val="left" w:leader="none"/>
        </w:tabs>
        <w:spacing w:line="240" w:lineRule="auto" w:before="120" w:after="0"/>
        <w:ind w:left="1468" w:right="129" w:hanging="288"/>
        <w:jc w:val="left"/>
        <w:rPr>
          <w:sz w:val="24"/>
        </w:rPr>
      </w:pPr>
      <w:r>
        <w:rPr>
          <w:b/>
          <w:sz w:val="24"/>
        </w:rPr>
        <w:t>Entering into any other lease which meets the definition of </w:t>
      </w:r>
      <w:r>
        <w:rPr>
          <w:b/>
          <w:i/>
          <w:sz w:val="24"/>
        </w:rPr>
        <w:t>capitalized lease, </w:t>
      </w:r>
      <w:r>
        <w:rPr>
          <w:b/>
          <w:sz w:val="24"/>
        </w:rPr>
        <w:t>and where authority is sought through the Budget Act</w:t>
      </w:r>
      <w:r>
        <w:rPr>
          <w:sz w:val="24"/>
        </w:rPr>
        <w:t>.  A lease agreement is a capitalized lease (an “in-substance purchase”) when substantially all of the risks and benefits of ownership are assumed by the lessee.  If a lease meets </w:t>
      </w:r>
      <w:r>
        <w:rPr>
          <w:i/>
          <w:sz w:val="24"/>
        </w:rPr>
        <w:t>any one </w:t>
      </w:r>
      <w:r>
        <w:rPr>
          <w:i/>
          <w:sz w:val="24"/>
        </w:rPr>
        <w:t>of the following condition</w:t>
      </w:r>
      <w:r>
        <w:rPr>
          <w:sz w:val="24"/>
        </w:rPr>
        <w:t>s, it is a capitalized</w:t>
      </w:r>
      <w:r>
        <w:rPr>
          <w:spacing w:val="-21"/>
          <w:sz w:val="24"/>
        </w:rPr>
        <w:t> </w:t>
      </w:r>
      <w:r>
        <w:rPr>
          <w:sz w:val="24"/>
        </w:rPr>
        <w:t>lease:</w:t>
      </w:r>
    </w:p>
    <w:p>
      <w:pPr>
        <w:pStyle w:val="BodyText"/>
        <w:spacing w:before="3"/>
        <w:rPr>
          <w:sz w:val="21"/>
        </w:rPr>
      </w:pPr>
    </w:p>
    <w:p>
      <w:pPr>
        <w:pStyle w:val="BodyText"/>
        <w:tabs>
          <w:tab w:pos="2259" w:val="left" w:leader="none"/>
        </w:tabs>
        <w:spacing w:line="276" w:lineRule="auto"/>
        <w:ind w:left="1180" w:right="283" w:hanging="360"/>
      </w:pPr>
      <w:r>
        <w:rPr>
          <w:strike/>
          <w:color w:val="2E97D3"/>
        </w:rPr>
        <w:t>a.</w:t>
      </w:r>
      <w:r>
        <w:rPr>
          <w:strike w:val="0"/>
          <w:color w:val="2E97D3"/>
          <w:u w:val="single" w:color="2E97D3"/>
        </w:rPr>
        <w:t>1.</w:t>
        <w:tab/>
      </w:r>
      <w:r>
        <w:rPr>
          <w:strike w:val="0"/>
        </w:rPr>
        <w:t>Ownership of the leased asset is transferred to the state at the end</w:t>
      </w:r>
      <w:r>
        <w:rPr>
          <w:strike w:val="0"/>
          <w:spacing w:val="-26"/>
        </w:rPr>
        <w:t> </w:t>
      </w:r>
      <w:r>
        <w:rPr>
          <w:strike w:val="0"/>
        </w:rPr>
        <w:t>of</w:t>
      </w:r>
      <w:r>
        <w:rPr>
          <w:strike w:val="0"/>
          <w:spacing w:val="-2"/>
        </w:rPr>
        <w:t> </w:t>
      </w:r>
      <w:r>
        <w:rPr>
          <w:strike w:val="0"/>
        </w:rPr>
        <w:t>the</w:t>
      </w:r>
      <w:r>
        <w:rPr>
          <w:strike w:val="0"/>
          <w:w w:val="99"/>
        </w:rPr>
        <w:t> </w:t>
      </w:r>
      <w:r>
        <w:rPr>
          <w:strike w:val="0"/>
        </w:rPr>
        <w:t>lease</w:t>
      </w:r>
    </w:p>
    <w:p>
      <w:pPr>
        <w:pStyle w:val="BodyText"/>
        <w:ind w:left="1540"/>
      </w:pPr>
      <w:r>
        <w:rPr/>
        <w:t>period.</w:t>
      </w:r>
    </w:p>
    <w:p>
      <w:pPr>
        <w:pStyle w:val="BodyText"/>
        <w:tabs>
          <w:tab w:pos="2259" w:val="left" w:leader="none"/>
        </w:tabs>
        <w:spacing w:line="276" w:lineRule="auto" w:before="43"/>
        <w:ind w:left="1540" w:right="284" w:hanging="720"/>
      </w:pPr>
      <w:r>
        <w:rPr>
          <w:strike/>
          <w:color w:val="2E97D3"/>
        </w:rPr>
        <w:t>b.</w:t>
      </w:r>
      <w:r>
        <w:rPr>
          <w:strike w:val="0"/>
          <w:color w:val="2E97D3"/>
          <w:u w:val="single" w:color="2E97D3"/>
        </w:rPr>
        <w:t>2.</w:t>
        <w:tab/>
        <w:tab/>
      </w:r>
      <w:r>
        <w:rPr>
          <w:strike w:val="0"/>
        </w:rPr>
        <w:t>The lease gives the lessee the option of purchasing the leased asset</w:t>
      </w:r>
      <w:r>
        <w:rPr>
          <w:strike w:val="0"/>
          <w:spacing w:val="-31"/>
        </w:rPr>
        <w:t> </w:t>
      </w:r>
      <w:r>
        <w:rPr>
          <w:strike w:val="0"/>
        </w:rPr>
        <w:t>at</w:t>
      </w:r>
      <w:r>
        <w:rPr>
          <w:strike w:val="0"/>
          <w:spacing w:val="-2"/>
        </w:rPr>
        <w:t> </w:t>
      </w:r>
      <w:r>
        <w:rPr>
          <w:strike w:val="0"/>
        </w:rPr>
        <w:t>a</w:t>
      </w:r>
      <w:r>
        <w:rPr>
          <w:strike w:val="0"/>
          <w:w w:val="99"/>
        </w:rPr>
        <w:t> </w:t>
      </w:r>
      <w:r>
        <w:rPr>
          <w:strike w:val="0"/>
        </w:rPr>
        <w:t>nominal value at some point during or at the end of the lease</w:t>
      </w:r>
      <w:r>
        <w:rPr>
          <w:strike w:val="0"/>
          <w:spacing w:val="-30"/>
        </w:rPr>
        <w:t> </w:t>
      </w:r>
      <w:r>
        <w:rPr>
          <w:strike w:val="0"/>
        </w:rPr>
        <w:t>period.</w:t>
      </w:r>
    </w:p>
    <w:p>
      <w:pPr>
        <w:pStyle w:val="BodyText"/>
        <w:tabs>
          <w:tab w:pos="2259" w:val="left" w:leader="none"/>
        </w:tabs>
        <w:spacing w:line="278" w:lineRule="auto"/>
        <w:ind w:left="1180" w:right="127" w:hanging="360"/>
      </w:pPr>
      <w:r>
        <w:rPr>
          <w:strike/>
          <w:color w:val="2E97D3"/>
        </w:rPr>
        <w:t>c.</w:t>
      </w:r>
      <w:r>
        <w:rPr>
          <w:strike w:val="0"/>
          <w:color w:val="2E97D3"/>
          <w:u w:val="single" w:color="2E97D3"/>
        </w:rPr>
        <w:t>3.</w:t>
        <w:tab/>
      </w:r>
      <w:r>
        <w:rPr>
          <w:strike w:val="0"/>
        </w:rPr>
        <w:t>The period of the lease (a </w:t>
      </w:r>
      <w:r>
        <w:rPr>
          <w:i/>
          <w:strike w:val="0"/>
        </w:rPr>
        <w:t>single </w:t>
      </w:r>
      <w:r>
        <w:rPr>
          <w:strike w:val="0"/>
        </w:rPr>
        <w:t>term of a lease, not including</w:t>
      </w:r>
      <w:r>
        <w:rPr>
          <w:strike w:val="0"/>
          <w:spacing w:val="-29"/>
        </w:rPr>
        <w:t> </w:t>
      </w:r>
      <w:r>
        <w:rPr>
          <w:strike w:val="0"/>
        </w:rPr>
        <w:t>renewals)</w:t>
      </w:r>
      <w:r>
        <w:rPr>
          <w:strike w:val="0"/>
          <w:spacing w:val="-4"/>
        </w:rPr>
        <w:t> </w:t>
      </w:r>
      <w:r>
        <w:rPr>
          <w:strike w:val="0"/>
        </w:rPr>
        <w:t>is 75 percent or more of the estimated useful life of the leased</w:t>
      </w:r>
      <w:r>
        <w:rPr>
          <w:strike w:val="0"/>
          <w:spacing w:val="-26"/>
        </w:rPr>
        <w:t> </w:t>
      </w:r>
      <w:r>
        <w:rPr>
          <w:strike w:val="0"/>
        </w:rPr>
        <w:t>asset.</w:t>
      </w:r>
    </w:p>
    <w:p>
      <w:pPr>
        <w:pStyle w:val="BodyText"/>
        <w:tabs>
          <w:tab w:pos="2259" w:val="left" w:leader="none"/>
        </w:tabs>
        <w:spacing w:line="273" w:lineRule="auto" w:before="2"/>
        <w:ind w:left="1180" w:right="151" w:hanging="360"/>
      </w:pPr>
      <w:r>
        <w:rPr>
          <w:strike/>
          <w:color w:val="2E97D3"/>
        </w:rPr>
        <w:t>d.</w:t>
      </w:r>
      <w:r>
        <w:rPr>
          <w:strike w:val="0"/>
          <w:color w:val="2E97D3"/>
          <w:u w:val="single" w:color="2E97D3"/>
        </w:rPr>
        <w:t>4.</w:t>
        <w:tab/>
      </w:r>
      <w:r>
        <w:rPr>
          <w:strike w:val="0"/>
        </w:rPr>
        <w:t>The present value of the sum of the minimum lease payments</w:t>
      </w:r>
      <w:r>
        <w:rPr>
          <w:strike w:val="0"/>
          <w:spacing w:val="-25"/>
        </w:rPr>
        <w:t> </w:t>
      </w:r>
      <w:r>
        <w:rPr>
          <w:strike w:val="0"/>
        </w:rPr>
        <w:t>is</w:t>
      </w:r>
      <w:r>
        <w:rPr>
          <w:strike w:val="0"/>
          <w:spacing w:val="-3"/>
        </w:rPr>
        <w:t> </w:t>
      </w:r>
      <w:r>
        <w:rPr>
          <w:strike w:val="0"/>
        </w:rPr>
        <w:t>90</w:t>
      </w:r>
      <w:r>
        <w:rPr>
          <w:strike w:val="0"/>
          <w:w w:val="99"/>
        </w:rPr>
        <w:t> </w:t>
      </w:r>
      <w:r>
        <w:rPr>
          <w:strike w:val="0"/>
        </w:rPr>
        <w:t>percent or more of the fair market value of the leased asset (i.e., the lease payments over a </w:t>
      </w:r>
      <w:r>
        <w:rPr>
          <w:i/>
          <w:strike w:val="0"/>
        </w:rPr>
        <w:t>single </w:t>
      </w:r>
      <w:r>
        <w:rPr>
          <w:strike w:val="0"/>
        </w:rPr>
        <w:t>term of the lease are substantially the same as the purchase</w:t>
      </w:r>
      <w:r>
        <w:rPr>
          <w:strike w:val="0"/>
          <w:spacing w:val="-36"/>
        </w:rPr>
        <w:t> </w:t>
      </w:r>
      <w:r>
        <w:rPr>
          <w:strike w:val="0"/>
        </w:rPr>
        <w:t>price).</w:t>
      </w:r>
    </w:p>
    <w:p>
      <w:pPr>
        <w:pStyle w:val="BodyText"/>
        <w:spacing w:before="1"/>
        <w:rPr>
          <w:sz w:val="21"/>
        </w:rPr>
      </w:pPr>
    </w:p>
    <w:p>
      <w:pPr>
        <w:pStyle w:val="BodyText"/>
        <w:ind w:left="1180" w:right="454"/>
      </w:pPr>
      <w:r>
        <w:rPr/>
        <w:t>Unless existing statute authorizes a capitalized lease (for example, Government Code Section </w:t>
      </w:r>
      <w:hyperlink r:id="rId76">
        <w:r>
          <w:rPr>
            <w:color w:val="0000FF"/>
            <w:u w:val="single" w:color="0000FF"/>
          </w:rPr>
          <w:t>14669 </w:t>
        </w:r>
      </w:hyperlink>
      <w:r>
        <w:rPr/>
        <w:t>for DGS), the lease requires specific authority. If the Budget Act will be used to provide that authority, a COBCP is required whether or not a capital outlay appropriation is needed.</w:t>
      </w:r>
    </w:p>
    <w:p>
      <w:pPr>
        <w:pStyle w:val="ListParagraph"/>
        <w:numPr>
          <w:ilvl w:val="1"/>
          <w:numId w:val="64"/>
        </w:numPr>
        <w:tabs>
          <w:tab w:pos="1468" w:val="left" w:leader="none"/>
        </w:tabs>
        <w:spacing w:line="240" w:lineRule="auto" w:before="198" w:after="0"/>
        <w:ind w:left="1468" w:right="353" w:hanging="288"/>
        <w:jc w:val="left"/>
        <w:rPr>
          <w:sz w:val="24"/>
        </w:rPr>
      </w:pPr>
      <w:r>
        <w:rPr/>
        <w:pict>
          <v:line style="position:absolute;mso-position-horizontal-relative:page;mso-position-vertical-relative:paragraph;z-index:-448936" from="524.880005pt,91.895874pt" to="528.240005pt,91.895874pt" stroked="true" strokeweight=".84pt" strokecolor="#2e97d3">
            <v:stroke dashstyle="solid"/>
            <w10:wrap type="none"/>
          </v:line>
        </w:pict>
      </w:r>
      <w:r>
        <w:rPr/>
        <w:pict>
          <v:line style="position:absolute;mso-position-horizontal-relative:page;mso-position-vertical-relative:paragraph;z-index:23776" from="36.360001pt,23.915874pt" to="36.360001pt,116.675874pt" stroked="true" strokeweight=".72pt" strokecolor="#000000">
            <v:stroke dashstyle="solid"/>
            <w10:wrap type="none"/>
          </v:line>
        </w:pict>
      </w:r>
      <w:r>
        <w:rPr>
          <w:b/>
          <w:sz w:val="24"/>
        </w:rPr>
        <w:t>Minor alterations projects authorized by Section 6.00 of the Budget Act</w:t>
      </w:r>
      <w:r>
        <w:rPr>
          <w:sz w:val="24"/>
        </w:rPr>
        <w:t>. Section 6.00 projects which require </w:t>
      </w:r>
      <w:r>
        <w:rPr>
          <w:strike/>
          <w:color w:val="2E97D3"/>
          <w:sz w:val="24"/>
        </w:rPr>
        <w:t>DOF</w:t>
      </w:r>
      <w:r>
        <w:rPr>
          <w:strike w:val="0"/>
          <w:color w:val="2E97D3"/>
          <w:sz w:val="24"/>
          <w:u w:val="single" w:color="2E97D3"/>
        </w:rPr>
        <w:t>Finance </w:t>
      </w:r>
      <w:r>
        <w:rPr>
          <w:strike w:val="0"/>
          <w:sz w:val="24"/>
        </w:rPr>
        <w:t>approval and legislative notification </w:t>
      </w:r>
      <w:r>
        <w:rPr>
          <w:strike/>
          <w:color w:val="2E97D3"/>
          <w:sz w:val="24"/>
        </w:rPr>
        <w:t>(i.e., those between $35,000 and $250,000) </w:t>
      </w:r>
      <w:r>
        <w:rPr>
          <w:strike w:val="0"/>
          <w:sz w:val="24"/>
        </w:rPr>
        <w:t>must be submitted for review to the </w:t>
      </w:r>
      <w:r>
        <w:rPr>
          <w:strike/>
          <w:color w:val="2E97D3"/>
          <w:sz w:val="24"/>
        </w:rPr>
        <w:t>DOF</w:t>
      </w:r>
      <w:r>
        <w:rPr>
          <w:strike w:val="0"/>
          <w:color w:val="2E97D3"/>
          <w:sz w:val="24"/>
          <w:u w:val="single" w:color="2E97D3"/>
        </w:rPr>
        <w:t>Finance </w:t>
      </w:r>
      <w:r>
        <w:rPr>
          <w:strike w:val="0"/>
          <w:sz w:val="24"/>
        </w:rPr>
        <w:t>Capital Outlay Unit with </w:t>
      </w:r>
      <w:r>
        <w:rPr>
          <w:strike/>
          <w:color w:val="2E97D3"/>
          <w:sz w:val="24"/>
        </w:rPr>
        <w:t>substantially</w:t>
      </w:r>
      <w:r>
        <w:rPr>
          <w:strike w:val="0"/>
          <w:color w:val="2E97D3"/>
          <w:sz w:val="24"/>
          <w:u w:val="single" w:color="2E97D3"/>
        </w:rPr>
        <w:t>a signed letter justifying </w:t>
      </w:r>
      <w:r>
        <w:rPr>
          <w:strike w:val="0"/>
          <w:sz w:val="24"/>
        </w:rPr>
        <w:t>the </w:t>
      </w:r>
      <w:r>
        <w:rPr>
          <w:strike/>
          <w:color w:val="2E97D3"/>
          <w:sz w:val="24"/>
        </w:rPr>
        <w:t>same</w:t>
      </w:r>
      <w:r>
        <w:rPr>
          <w:strike w:val="0"/>
          <w:color w:val="2E97D3"/>
          <w:sz w:val="24"/>
          <w:u w:val="single" w:color="2E97D3"/>
        </w:rPr>
        <w:t>criticality of the project. For more </w:t>
      </w:r>
      <w:r>
        <w:rPr>
          <w:strike w:val="0"/>
          <w:sz w:val="24"/>
        </w:rPr>
        <w:t>information </w:t>
      </w:r>
      <w:r>
        <w:rPr>
          <w:strike/>
          <w:color w:val="2E97D3"/>
          <w:sz w:val="24"/>
        </w:rPr>
        <w:t>as required in a COBCP, and no later than April 30 of the year of appropriation availability. See</w:t>
      </w:r>
      <w:r>
        <w:rPr>
          <w:strike w:val="0"/>
          <w:color w:val="2E97D3"/>
          <w:sz w:val="24"/>
        </w:rPr>
        <w:t>, </w:t>
      </w:r>
      <w:r>
        <w:rPr>
          <w:strike w:val="0"/>
          <w:color w:val="2E97D3"/>
          <w:sz w:val="24"/>
          <w:u w:val="single" w:color="2E97D3"/>
        </w:rPr>
        <w:t>refer to </w:t>
      </w:r>
      <w:r>
        <w:rPr>
          <w:strike w:val="0"/>
          <w:sz w:val="24"/>
        </w:rPr>
        <w:t>Section</w:t>
      </w:r>
      <w:r>
        <w:rPr>
          <w:strike w:val="0"/>
          <w:spacing w:val="-10"/>
          <w:sz w:val="24"/>
        </w:rPr>
        <w:t> </w:t>
      </w:r>
      <w:r>
        <w:rPr>
          <w:strike w:val="0"/>
          <w:sz w:val="24"/>
        </w:rPr>
        <w:t>6806.</w:t>
      </w:r>
    </w:p>
    <w:p>
      <w:pPr>
        <w:pStyle w:val="BodyText"/>
        <w:spacing w:before="196"/>
        <w:ind w:left="820" w:right="295"/>
      </w:pPr>
      <w:r>
        <w:rPr/>
        <w:pict>
          <v:line style="position:absolute;mso-position-horizontal-relative:page;mso-position-vertical-relative:paragraph;z-index:23800" from="36.360001pt,37.61586pt" to="36.360001pt,199.61586pt" stroked="true" strokeweight=".72pt" strokecolor="#000000">
            <v:stroke dashstyle="solid"/>
            <w10:wrap type="none"/>
          </v:line>
        </w:pict>
      </w:r>
      <w:r>
        <w:rPr/>
        <w:t>Additionally, if a support budget increase is needed as a result of a capital outlay project—including for rent increases pursuant to a lease—a support BCP must also be submitted separately to the appropriate </w:t>
      </w:r>
      <w:r>
        <w:rPr>
          <w:strike/>
          <w:color w:val="2E97D3"/>
        </w:rPr>
        <w:t>DOF</w:t>
      </w:r>
      <w:r>
        <w:rPr>
          <w:strike w:val="0"/>
          <w:color w:val="2E97D3"/>
          <w:u w:val="single" w:color="2E97D3"/>
        </w:rPr>
        <w:t>Finance </w:t>
      </w:r>
      <w:r>
        <w:rPr>
          <w:strike w:val="0"/>
        </w:rPr>
        <w:t>support unit.</w:t>
      </w:r>
    </w:p>
    <w:p>
      <w:pPr>
        <w:pStyle w:val="BodyText"/>
        <w:spacing w:before="9"/>
        <w:rPr>
          <w:sz w:val="20"/>
        </w:rPr>
      </w:pPr>
    </w:p>
    <w:p>
      <w:pPr>
        <w:pStyle w:val="BodyText"/>
        <w:ind w:left="820" w:right="402"/>
      </w:pPr>
      <w:r>
        <w:rPr>
          <w:b/>
        </w:rPr>
        <w:t>Timelines for submitting and updating COBCPs. </w:t>
      </w:r>
      <w:r>
        <w:rPr>
          <w:color w:val="2E97D3"/>
          <w:u w:val="single" w:color="2E97D3"/>
        </w:rPr>
        <w:t>The deadline for submitting </w:t>
      </w:r>
      <w:r>
        <w:rPr/>
        <w:t>COBCPs </w:t>
      </w:r>
      <w:r>
        <w:rPr>
          <w:strike/>
          <w:color w:val="2E97D3"/>
        </w:rPr>
        <w:t>are due </w:t>
      </w:r>
      <w:r>
        <w:rPr>
          <w:strike w:val="0"/>
          <w:color w:val="2E97D3"/>
          <w:u w:val="single" w:color="2E97D3"/>
        </w:rPr>
        <w:t>is generally early August for the fall and mid-</w:t>
      </w:r>
      <w:r>
        <w:rPr>
          <w:strike w:val="0"/>
        </w:rPr>
        <w:t>February </w:t>
      </w:r>
      <w:r>
        <w:rPr>
          <w:strike/>
          <w:color w:val="2E97D3"/>
        </w:rPr>
        <w:t>1, seventeen months before the beginning of the budget year, as part of a larger package of documents identified in Section 6816.</w:t>
      </w:r>
    </w:p>
    <w:p>
      <w:pPr>
        <w:pStyle w:val="BodyText"/>
        <w:spacing w:before="9"/>
        <w:rPr>
          <w:sz w:val="20"/>
        </w:rPr>
      </w:pPr>
    </w:p>
    <w:p>
      <w:pPr>
        <w:pStyle w:val="BodyText"/>
        <w:ind w:left="820" w:right="113"/>
      </w:pPr>
      <w:r>
        <w:rPr>
          <w:strike/>
          <w:color w:val="2E97D3"/>
        </w:rPr>
        <w:t>Project plans may be affected in timing or scope by enactment of the budget for the intervening fiscal year (i.e., the year prior to the budget year). Therefore, technical project updates are required for COBCPs by September 1, nine months prior to the budget year. However, new projects </w:t>
      </w:r>
      <w:r>
        <w:rPr>
          <w:strike w:val="0"/>
        </w:rPr>
        <w:t>for the </w:t>
      </w:r>
      <w:r>
        <w:rPr>
          <w:strike/>
          <w:color w:val="2E97D3"/>
        </w:rPr>
        <w:t>budget year are not accepted as part of this update, unless DOF agrees the program need is urgent.  Updated fund condition</w:t>
      </w:r>
    </w:p>
    <w:p>
      <w:pPr>
        <w:spacing w:after="0"/>
        <w:sectPr>
          <w:pgSz w:w="12240" w:h="15840"/>
          <w:pgMar w:header="724" w:footer="792" w:top="980" w:bottom="980" w:left="620" w:right="1320"/>
        </w:sectPr>
      </w:pPr>
    </w:p>
    <w:p>
      <w:pPr>
        <w:pStyle w:val="BodyText"/>
        <w:rPr>
          <w:sz w:val="20"/>
        </w:rPr>
      </w:pPr>
    </w:p>
    <w:p>
      <w:pPr>
        <w:pStyle w:val="BodyText"/>
        <w:spacing w:before="214"/>
        <w:ind w:left="820" w:right="201"/>
      </w:pPr>
      <w:r>
        <w:rPr/>
        <w:pict>
          <v:line style="position:absolute;mso-position-horizontal-relative:page;mso-position-vertical-relative:paragraph;z-index:23824" from="36.360001pt,10.915881pt" to="36.360001pt,78.115881pt" stroked="true" strokeweight=".72pt" strokecolor="#000000">
            <v:stroke dashstyle="solid"/>
            <w10:wrap type="none"/>
          </v:line>
        </w:pict>
      </w:r>
      <w:r>
        <w:rPr>
          <w:strike/>
          <w:color w:val="2E97D3"/>
        </w:rPr>
        <w:t>statements are also due September 1 per Section 6816.</w:t>
      </w:r>
      <w:r>
        <w:rPr>
          <w:strike w:val="0"/>
          <w:color w:val="2E97D3"/>
          <w:u w:val="single" w:color="2E97D3"/>
        </w:rPr>
        <w:t>spring process (the specific dates are published in a Finance Budget Letter).</w:t>
      </w:r>
    </w:p>
    <w:p>
      <w:pPr>
        <w:pStyle w:val="BodyText"/>
        <w:spacing w:before="10"/>
        <w:rPr>
          <w:sz w:val="20"/>
        </w:rPr>
      </w:pPr>
    </w:p>
    <w:p>
      <w:pPr>
        <w:pStyle w:val="BodyText"/>
        <w:ind w:left="820"/>
      </w:pPr>
      <w:r>
        <w:rPr>
          <w:color w:val="2C6234"/>
          <w:u w:val="thick" w:color="2C6234"/>
        </w:rPr>
        <w:t>(Continued)</w:t>
      </w:r>
    </w:p>
    <w:p>
      <w:pPr>
        <w:spacing w:after="0"/>
        <w:sectPr>
          <w:pgSz w:w="12240" w:h="15840"/>
          <w:pgMar w:header="724" w:footer="792" w:top="980" w:bottom="980" w:left="620" w:right="1720"/>
        </w:sectPr>
      </w:pPr>
    </w:p>
    <w:p>
      <w:pPr>
        <w:pStyle w:val="BodyText"/>
        <w:rPr>
          <w:sz w:val="20"/>
        </w:rPr>
      </w:pPr>
    </w:p>
    <w:p>
      <w:pPr>
        <w:pStyle w:val="BodyText"/>
        <w:spacing w:before="214"/>
        <w:ind w:left="820"/>
      </w:pPr>
      <w:r>
        <w:rPr/>
        <w:pict>
          <v:line style="position:absolute;mso-position-horizontal-relative:page;mso-position-vertical-relative:paragraph;z-index:23872" from="36.360001pt,10.915881pt" to="36.360001pt,66.115881pt" stroked="true" strokeweight=".72pt" strokecolor="#000000">
            <v:stroke dashstyle="solid"/>
            <w10:wrap type="none"/>
          </v:line>
        </w:pict>
      </w:r>
      <w:r>
        <w:rPr>
          <w:color w:val="2C6234"/>
          <w:u w:val="thick" w:color="2C6234"/>
        </w:rPr>
        <w:t>(Continued)</w:t>
      </w:r>
    </w:p>
    <w:p>
      <w:pPr>
        <w:pStyle w:val="Heading2"/>
        <w:tabs>
          <w:tab w:pos="8646" w:val="left" w:leader="none"/>
        </w:tabs>
        <w:ind w:left="820"/>
        <w:rPr>
          <w:b w:val="0"/>
        </w:rPr>
      </w:pPr>
      <w:r>
        <w:rPr/>
        <w:pict>
          <v:group style="position:absolute;margin-left:71.699997pt;margin-top:11.735832pt;width:468.6pt;height:2.2pt;mso-position-horizontal-relative:page;mso-position-vertical-relative:paragraph;z-index:-448816" coordorigin="1434,235" coordsize="9372,44">
            <v:line style="position:absolute" from="1440,241" to="10800,241" stroked="true" strokeweight=".6pt" strokecolor="#2c6234">
              <v:stroke dashstyle="solid"/>
            </v:line>
            <v:line style="position:absolute" from="1440,272" to="10800,272" stroked="true" strokeweight=".599pt" strokecolor="#2c6234">
              <v:stroke dashstyle="solid"/>
            </v:line>
            <w10:wrap type="none"/>
          </v:group>
        </w:pict>
      </w:r>
      <w:r>
        <w:rPr>
          <w:color w:val="2C6234"/>
        </w:rPr>
        <w:t>CAPITAL OUTLAY BUDGET CHANGE</w:t>
      </w:r>
      <w:r>
        <w:rPr>
          <w:color w:val="2C6234"/>
          <w:spacing w:val="-13"/>
        </w:rPr>
        <w:t> </w:t>
      </w:r>
      <w:r>
        <w:rPr>
          <w:color w:val="2C6234"/>
        </w:rPr>
        <w:t>PROPOSALS</w:t>
      </w:r>
      <w:r>
        <w:rPr>
          <w:color w:val="2C6234"/>
          <w:spacing w:val="-3"/>
        </w:rPr>
        <w:t> </w:t>
      </w:r>
      <w:r>
        <w:rPr>
          <w:color w:val="2C6234"/>
        </w:rPr>
        <w:t>(COBCP)</w:t>
        <w:tab/>
        <w:t>6818 </w:t>
      </w:r>
      <w:r>
        <w:rPr>
          <w:b w:val="0"/>
          <w:color w:val="2C6234"/>
        </w:rPr>
        <w:t>(Cont.</w:t>
      </w:r>
      <w:r>
        <w:rPr>
          <w:b w:val="0"/>
          <w:color w:val="2C6234"/>
          <w:spacing w:val="-6"/>
        </w:rPr>
        <w:t> </w:t>
      </w:r>
      <w:r>
        <w:rPr>
          <w:b w:val="0"/>
          <w:color w:val="2C6234"/>
        </w:rPr>
        <w:t>2)</w:t>
      </w:r>
    </w:p>
    <w:p>
      <w:pPr>
        <w:pStyle w:val="BodyText"/>
        <w:ind w:left="820"/>
      </w:pPr>
      <w:r>
        <w:rPr>
          <w:strike/>
          <w:color w:val="2C6234"/>
        </w:rPr>
        <w:t>(Continued)</w:t>
      </w:r>
    </w:p>
    <w:p>
      <w:pPr>
        <w:spacing w:after="0"/>
        <w:sectPr>
          <w:pgSz w:w="12240" w:h="15840"/>
          <w:pgMar w:header="724" w:footer="792" w:top="980" w:bottom="980" w:left="620" w:right="1320"/>
        </w:sectPr>
      </w:pPr>
    </w:p>
    <w:p>
      <w:pPr>
        <w:pStyle w:val="BodyText"/>
        <w:rPr>
          <w:sz w:val="20"/>
        </w:rPr>
      </w:pPr>
    </w:p>
    <w:p>
      <w:pPr>
        <w:pStyle w:val="BodyText"/>
        <w:spacing w:before="214"/>
        <w:ind w:left="820"/>
      </w:pPr>
      <w:r>
        <w:rPr/>
        <w:pict>
          <v:line style="position:absolute;mso-position-horizontal-relative:page;mso-position-vertical-relative:paragraph;z-index:23920" from="36.360001pt,10.915881pt" to="36.360001pt,62.275881pt" stroked="true" strokeweight=".72pt" strokecolor="#000000">
            <v:stroke dashstyle="solid"/>
            <w10:wrap type="none"/>
          </v:line>
        </w:pict>
      </w:r>
      <w:r>
        <w:rPr>
          <w:strike/>
          <w:color w:val="2C6234"/>
        </w:rPr>
        <w:t>(Continued)</w:t>
      </w:r>
    </w:p>
    <w:p>
      <w:pPr>
        <w:pStyle w:val="Heading2"/>
        <w:tabs>
          <w:tab w:pos="8646" w:val="left" w:leader="none"/>
        </w:tabs>
        <w:ind w:left="820"/>
        <w:rPr>
          <w:b w:val="0"/>
        </w:rPr>
      </w:pPr>
      <w:r>
        <w:rPr/>
        <w:pict>
          <v:group style="position:absolute;margin-left:71.699997pt;margin-top:7.536333pt;width:468.6pt;height:1.8pt;mso-position-horizontal-relative:page;mso-position-vertical-relative:paragraph;z-index:-448768" coordorigin="1434,151" coordsize="9372,36">
            <v:line style="position:absolute" from="1440,181" to="10800,181" stroked="true" strokeweight=".6pt" strokecolor="#2c6234">
              <v:stroke dashstyle="solid"/>
            </v:line>
            <v:line style="position:absolute" from="1440,157" to="10800,157" stroked="true" strokeweight=".599pt" strokecolor="#2c6234">
              <v:stroke dashstyle="solid"/>
            </v:line>
            <w10:wrap type="none"/>
          </v:group>
        </w:pict>
      </w:r>
      <w:r>
        <w:rPr>
          <w:color w:val="2C6234"/>
        </w:rPr>
        <w:t>CAPITAL OUTLAY BUDGET CHANGE</w:t>
      </w:r>
      <w:r>
        <w:rPr>
          <w:color w:val="2C6234"/>
          <w:spacing w:val="-13"/>
        </w:rPr>
        <w:t> </w:t>
      </w:r>
      <w:r>
        <w:rPr>
          <w:color w:val="2C6234"/>
        </w:rPr>
        <w:t>PROPOSALS</w:t>
      </w:r>
      <w:r>
        <w:rPr>
          <w:color w:val="2C6234"/>
          <w:spacing w:val="-3"/>
        </w:rPr>
        <w:t> </w:t>
      </w:r>
      <w:r>
        <w:rPr>
          <w:color w:val="2C6234"/>
        </w:rPr>
        <w:t>(COBCP)</w:t>
        <w:tab/>
        <w:t>6818 </w:t>
      </w:r>
      <w:r>
        <w:rPr>
          <w:b w:val="0"/>
          <w:color w:val="2C6234"/>
        </w:rPr>
        <w:t>(Cont.</w:t>
      </w:r>
      <w:r>
        <w:rPr>
          <w:b w:val="0"/>
          <w:color w:val="2C6234"/>
          <w:spacing w:val="-6"/>
        </w:rPr>
        <w:t> </w:t>
      </w:r>
      <w:r>
        <w:rPr>
          <w:b w:val="0"/>
          <w:color w:val="2C6234"/>
        </w:rPr>
        <w:t>3)</w:t>
      </w:r>
    </w:p>
    <w:p>
      <w:pPr>
        <w:pStyle w:val="BodyText"/>
        <w:spacing w:before="2"/>
        <w:ind w:left="820"/>
      </w:pPr>
      <w:r>
        <w:rPr/>
        <w:t>(Revised </w:t>
      </w:r>
      <w:r>
        <w:rPr>
          <w:strike/>
          <w:color w:val="2E97D3"/>
        </w:rPr>
        <w:t>5/1998</w:t>
      </w:r>
      <w:r>
        <w:rPr>
          <w:strike w:val="0"/>
          <w:color w:val="2E97D3"/>
          <w:u w:val="single" w:color="2E97D3"/>
        </w:rPr>
        <w:t>11/2017</w:t>
      </w:r>
      <w:r>
        <w:rPr>
          <w:strike w:val="0"/>
        </w:rPr>
        <w:t>)</w:t>
      </w:r>
    </w:p>
    <w:p>
      <w:pPr>
        <w:pStyle w:val="BodyText"/>
        <w:spacing w:before="196"/>
        <w:ind w:left="820" w:right="512"/>
        <w:jc w:val="both"/>
      </w:pPr>
      <w:r>
        <w:rPr/>
        <w:pict>
          <v:line style="position:absolute;mso-position-horizontal-relative:page;mso-position-vertical-relative:paragraph;z-index:23944" from="36.360001pt,23.815834pt" to="36.360001pt,61.495834pt" stroked="true" strokeweight=".72pt" strokecolor="#000000">
            <v:stroke dashstyle="solid"/>
            <w10:wrap type="none"/>
          </v:line>
        </w:pict>
      </w:r>
      <w:r>
        <w:rPr/>
        <w:t>Project costs are adjusted in the fall prior to the budget year, using budget packages prepared by DGS </w:t>
      </w:r>
      <w:r>
        <w:rPr>
          <w:strike/>
          <w:color w:val="2E97D3"/>
        </w:rPr>
        <w:t>at DOF’s request. </w:t>
      </w:r>
      <w:r>
        <w:rPr>
          <w:strike w:val="0"/>
          <w:color w:val="2E97D3"/>
          <w:u w:val="single" w:color="2E97D3"/>
        </w:rPr>
        <w:t>and submitted by the department. </w:t>
      </w:r>
      <w:r>
        <w:rPr>
          <w:strike w:val="0"/>
        </w:rPr>
        <w:t>(See Section 6814 for time-frames.)  This information is given directly to </w:t>
      </w:r>
      <w:r>
        <w:rPr>
          <w:strike/>
          <w:color w:val="2E97D3"/>
        </w:rPr>
        <w:t>DOF</w:t>
      </w:r>
      <w:r>
        <w:rPr>
          <w:strike w:val="0"/>
          <w:color w:val="2E97D3"/>
          <w:u w:val="single" w:color="2E97D3"/>
        </w:rPr>
        <w:t>Finance </w:t>
      </w:r>
      <w:r>
        <w:rPr>
          <w:strike w:val="0"/>
        </w:rPr>
        <w:t>by DGS.</w:t>
      </w:r>
    </w:p>
    <w:p>
      <w:pPr>
        <w:pStyle w:val="BodyText"/>
        <w:spacing w:before="199"/>
        <w:ind w:left="820" w:right="414"/>
      </w:pPr>
      <w:r>
        <w:rPr/>
        <w:pict>
          <v:line style="position:absolute;mso-position-horizontal-relative:page;mso-position-vertical-relative:paragraph;z-index:23968" from="36.360001pt,23.965855pt" to="36.360001pt,79.165855pt" stroked="true" strokeweight=".72pt" strokecolor="#000000">
            <v:stroke dashstyle="solid"/>
            <w10:wrap type="none"/>
          </v:line>
        </w:pict>
      </w:r>
      <w:r>
        <w:rPr/>
        <w:pict>
          <v:line style="position:absolute;mso-position-horizontal-relative:page;mso-position-vertical-relative:paragraph;z-index:23992" from="36.360001pt,92.965851pt" to="36.360001pt,106.765851pt" stroked="true" strokeweight=".72pt" strokecolor="#000000">
            <v:stroke dashstyle="solid"/>
            <w10:wrap type="none"/>
          </v:line>
        </w:pict>
      </w:r>
      <w:r>
        <w:rPr/>
        <w:t>Final budget package estimates are sometimes not available in time to include in the </w:t>
      </w:r>
      <w:r>
        <w:rPr>
          <w:i/>
        </w:rPr>
        <w:t>Governor’s Budget</w:t>
      </w:r>
      <w:r>
        <w:rPr/>
        <w:t>. Therefore, </w:t>
      </w:r>
      <w:r>
        <w:rPr>
          <w:strike/>
          <w:color w:val="2E97D3"/>
        </w:rPr>
        <w:t>DOF</w:t>
      </w:r>
      <w:r>
        <w:rPr>
          <w:strike w:val="0"/>
          <w:color w:val="2E97D3"/>
          <w:u w:val="single" w:color="2E97D3"/>
        </w:rPr>
        <w:t>Finance </w:t>
      </w:r>
      <w:r>
        <w:rPr>
          <w:strike w:val="0"/>
        </w:rPr>
        <w:t>annually prepares a Finance Letter for technical adjustments to capital outlay projects which is due to the Legislature by </w:t>
      </w:r>
      <w:r>
        <w:rPr>
          <w:strike/>
          <w:color w:val="2E97D3"/>
        </w:rPr>
        <w:t>the </w:t>
      </w:r>
      <w:r>
        <w:rPr>
          <w:strike w:val="0"/>
        </w:rPr>
        <w:t>May 1 before the budget year. </w:t>
      </w:r>
      <w:r>
        <w:rPr>
          <w:strike/>
          <w:color w:val="2E97D3"/>
        </w:rPr>
        <w:t>Client</w:t>
      </w:r>
      <w:r>
        <w:rPr>
          <w:strike w:val="0"/>
          <w:color w:val="2E97D3"/>
          <w:u w:val="single" w:color="2E97D3"/>
        </w:rPr>
        <w:t>However, Finance generally will include such adjustments as part of the April 1 Finance Letter. The </w:t>
      </w:r>
      <w:r>
        <w:rPr>
          <w:strike w:val="0"/>
        </w:rPr>
        <w:t>departments must request technical changes in writing, using a COBCP format, generally no later than mid- February (the specific date is published in a </w:t>
      </w:r>
      <w:r>
        <w:rPr>
          <w:strike/>
          <w:color w:val="2E97D3"/>
        </w:rPr>
        <w:t>DOF</w:t>
      </w:r>
      <w:r>
        <w:rPr>
          <w:strike w:val="0"/>
          <w:color w:val="2E97D3"/>
          <w:u w:val="single" w:color="2E97D3"/>
        </w:rPr>
        <w:t>Finance </w:t>
      </w:r>
      <w:r>
        <w:rPr>
          <w:strike w:val="0"/>
        </w:rPr>
        <w:t>Budget Letter). Finance Letters proposed by the Administration are reviewed by the Legislature in conjunction with the </w:t>
      </w:r>
      <w:r>
        <w:rPr>
          <w:i/>
          <w:strike w:val="0"/>
        </w:rPr>
        <w:t>Governor’s Budget</w:t>
      </w:r>
      <w:r>
        <w:rPr>
          <w:strike w:val="0"/>
        </w:rPr>
        <w:t>.</w:t>
      </w:r>
    </w:p>
    <w:p>
      <w:pPr>
        <w:pStyle w:val="BodyText"/>
        <w:spacing w:before="199"/>
        <w:ind w:left="820" w:right="281"/>
      </w:pPr>
      <w:r>
        <w:rPr/>
        <w:t>The Finance Letter process may also be used to propose scope changes to projects in the </w:t>
      </w:r>
      <w:r>
        <w:rPr>
          <w:i/>
        </w:rPr>
        <w:t>Governor’s Budget</w:t>
      </w:r>
      <w:r>
        <w:rPr/>
        <w:t>, to add new (urgent) projects, or to accelerate project phases. These are termed “policy changes” and are due to the Legislature by April 1. The due date for requests from departments is the same as for technical changes (i.e., mid- February).  An updated or new COBCP is required for policy Finance Letters.</w:t>
      </w:r>
    </w:p>
    <w:p>
      <w:pPr>
        <w:pStyle w:val="BodyText"/>
        <w:spacing w:before="9"/>
        <w:rPr>
          <w:sz w:val="20"/>
        </w:rPr>
      </w:pPr>
    </w:p>
    <w:p>
      <w:pPr>
        <w:pStyle w:val="BodyText"/>
        <w:ind w:left="820" w:right="107"/>
      </w:pPr>
      <w:r>
        <w:rPr/>
        <w:t>An overview of the project phases—including the budget approval phase—is provided in Section 6809. A timetable for budget preparation and enactment is provided in Section 6814.</w:t>
      </w:r>
    </w:p>
    <w:p>
      <w:pPr>
        <w:pStyle w:val="BodyText"/>
        <w:spacing w:before="9"/>
        <w:rPr>
          <w:sz w:val="20"/>
        </w:rPr>
      </w:pPr>
    </w:p>
    <w:p>
      <w:pPr>
        <w:pStyle w:val="BodyText"/>
        <w:ind w:left="820" w:right="233"/>
      </w:pPr>
      <w:r>
        <w:rPr/>
        <w:pict>
          <v:line style="position:absolute;mso-position-horizontal-relative:page;mso-position-vertical-relative:paragraph;z-index:24016" from="36.360001pt,.215857pt" to="36.360001pt,174.215857pt" stroked="true" strokeweight=".72pt" strokecolor="#000000">
            <v:stroke dashstyle="solid"/>
            <w10:wrap type="none"/>
          </v:line>
        </w:pict>
      </w:r>
      <w:r>
        <w:rPr>
          <w:b/>
        </w:rPr>
        <w:t>Instructions to complete a COBCP. </w:t>
      </w:r>
      <w:r>
        <w:rPr>
          <w:strike/>
          <w:color w:val="2E97D3"/>
        </w:rPr>
        <w:t>Information required to complete a COBCP is presented as follows in the same order as required on the COBCP (see 6818 Illustration.) </w:t>
      </w:r>
      <w:r>
        <w:rPr>
          <w:strike w:val="0"/>
          <w:color w:val="2E97D3"/>
          <w:u w:val="single" w:color="2E97D3"/>
        </w:rPr>
        <w:t>The COBCP form can be found on Finance’s website: </w:t>
      </w:r>
      <w:hyperlink r:id="rId250">
        <w:r>
          <w:rPr>
            <w:strike w:val="0"/>
            <w:color w:val="2E97D3"/>
            <w:u w:val="single" w:color="2E97D3"/>
          </w:rPr>
          <w:t>http://www.dof.ca.gov/Budget/Resources_for_Departments/Budget_Forms/Documents/</w:t>
        </w:r>
      </w:hyperlink>
      <w:r>
        <w:rPr>
          <w:strike w:val="0"/>
          <w:color w:val="2E97D3"/>
          <w:u w:val="single" w:color="2E97D3"/>
        </w:rPr>
        <w:t> </w:t>
      </w:r>
      <w:hyperlink r:id="rId250">
        <w:r>
          <w:rPr>
            <w:strike w:val="0"/>
            <w:color w:val="2E97D3"/>
            <w:u w:val="single" w:color="2E97D3"/>
          </w:rPr>
          <w:t>DF-151_Capital_Outlay_Budget_Change_Proposal-COBCP.docx</w:t>
        </w:r>
      </w:hyperlink>
    </w:p>
    <w:p>
      <w:pPr>
        <w:pStyle w:val="BodyText"/>
        <w:spacing w:before="9"/>
        <w:rPr>
          <w:sz w:val="20"/>
        </w:rPr>
      </w:pPr>
    </w:p>
    <w:p>
      <w:pPr>
        <w:pStyle w:val="BodyText"/>
        <w:ind w:left="820" w:right="548"/>
      </w:pPr>
      <w:r>
        <w:rPr>
          <w:color w:val="2E97D3"/>
          <w:u w:val="single" w:color="2E97D3"/>
        </w:rPr>
        <w:t>Additionally, helpful resources for writing effective Budget Change Proposals can be found here: </w:t>
      </w:r>
      <w:hyperlink r:id="rId251">
        <w:r>
          <w:rPr>
            <w:color w:val="2E97D3"/>
            <w:u w:val="single" w:color="2E97D3"/>
          </w:rPr>
          <w:t>http://www.dof.ca.gov/budget/budget_details/good_BCPs.html</w:t>
        </w:r>
      </w:hyperlink>
    </w:p>
    <w:p>
      <w:pPr>
        <w:pStyle w:val="BodyText"/>
        <w:rPr>
          <w:sz w:val="20"/>
        </w:rPr>
      </w:pPr>
    </w:p>
    <w:p>
      <w:pPr>
        <w:pStyle w:val="BodyText"/>
        <w:rPr>
          <w:sz w:val="20"/>
        </w:rPr>
      </w:pPr>
    </w:p>
    <w:p>
      <w:pPr>
        <w:pStyle w:val="BodyText"/>
        <w:spacing w:before="7"/>
        <w:rPr>
          <w:sz w:val="17"/>
        </w:rPr>
      </w:pPr>
    </w:p>
    <w:p>
      <w:pPr>
        <w:pStyle w:val="BodyText"/>
        <w:spacing w:before="93"/>
        <w:ind w:left="820"/>
      </w:pPr>
      <w:r>
        <w:rPr>
          <w:color w:val="2C6234"/>
          <w:u w:val="thick" w:color="2C6234"/>
        </w:rPr>
        <w:t>(Continued)</w:t>
      </w:r>
    </w:p>
    <w:p>
      <w:pPr>
        <w:spacing w:after="0"/>
        <w:sectPr>
          <w:headerReference w:type="default" r:id="rId249"/>
          <w:pgSz w:w="12240" w:h="15840"/>
          <w:pgMar w:header="724" w:footer="792" w:top="980" w:bottom="980" w:left="620" w:right="1320"/>
        </w:sectPr>
      </w:pPr>
    </w:p>
    <w:p>
      <w:pPr>
        <w:pStyle w:val="BodyText"/>
        <w:rPr>
          <w:sz w:val="20"/>
        </w:rPr>
      </w:pPr>
    </w:p>
    <w:p>
      <w:pPr>
        <w:pStyle w:val="BodyText"/>
        <w:spacing w:before="214"/>
        <w:ind w:left="820"/>
      </w:pPr>
      <w:r>
        <w:rPr/>
        <w:pict>
          <v:line style="position:absolute;mso-position-horizontal-relative:page;mso-position-vertical-relative:paragraph;z-index:24064" from="36.360001pt,10.915881pt" to="36.360001pt,232.555881pt" stroked="true" strokeweight=".72pt" strokecolor="#000000">
            <v:stroke dashstyle="solid"/>
            <w10:wrap type="none"/>
          </v:line>
        </w:pict>
      </w:r>
      <w:r>
        <w:rPr>
          <w:color w:val="2C6234"/>
          <w:u w:val="thick" w:color="2C6234"/>
        </w:rPr>
        <w:t>(Continued)</w:t>
      </w:r>
    </w:p>
    <w:p>
      <w:pPr>
        <w:pStyle w:val="Heading2"/>
        <w:tabs>
          <w:tab w:pos="8646" w:val="left" w:leader="none"/>
        </w:tabs>
        <w:ind w:left="820"/>
        <w:rPr>
          <w:b w:val="0"/>
        </w:rPr>
      </w:pPr>
      <w:r>
        <w:rPr/>
        <w:pict>
          <v:group style="position:absolute;margin-left:71.699997pt;margin-top:11.735832pt;width:468.6pt;height:2.2pt;mso-position-horizontal-relative:page;mso-position-vertical-relative:paragraph;z-index:-448624" coordorigin="1434,235" coordsize="9372,44">
            <v:line style="position:absolute" from="1440,241" to="10800,241" stroked="true" strokeweight=".6pt" strokecolor="#2c6234">
              <v:stroke dashstyle="solid"/>
            </v:line>
            <v:line style="position:absolute" from="1440,272" to="10800,272" stroked="true" strokeweight=".599pt" strokecolor="#2c6234">
              <v:stroke dashstyle="solid"/>
            </v:line>
            <w10:wrap type="none"/>
          </v:group>
        </w:pict>
      </w:r>
      <w:r>
        <w:rPr>
          <w:color w:val="2C6234"/>
        </w:rPr>
        <w:t>CAPITAL OUTLAY BUDGET CHANGE</w:t>
      </w:r>
      <w:r>
        <w:rPr>
          <w:color w:val="2C6234"/>
          <w:spacing w:val="-13"/>
        </w:rPr>
        <w:t> </w:t>
      </w:r>
      <w:r>
        <w:rPr>
          <w:color w:val="2C6234"/>
        </w:rPr>
        <w:t>PROPOSALS</w:t>
      </w:r>
      <w:r>
        <w:rPr>
          <w:color w:val="2C6234"/>
          <w:spacing w:val="-3"/>
        </w:rPr>
        <w:t> </w:t>
      </w:r>
      <w:r>
        <w:rPr>
          <w:color w:val="2C6234"/>
        </w:rPr>
        <w:t>(COBCP)</w:t>
        <w:tab/>
        <w:t>6818 </w:t>
      </w:r>
      <w:r>
        <w:rPr>
          <w:b w:val="0"/>
          <w:color w:val="2C6234"/>
        </w:rPr>
        <w:t>(Cont.</w:t>
      </w:r>
      <w:r>
        <w:rPr>
          <w:b w:val="0"/>
          <w:color w:val="2C6234"/>
          <w:spacing w:val="-6"/>
        </w:rPr>
        <w:t> </w:t>
      </w:r>
      <w:r>
        <w:rPr>
          <w:b w:val="0"/>
          <w:color w:val="2C6234"/>
        </w:rPr>
        <w:t>3)</w:t>
      </w:r>
    </w:p>
    <w:p>
      <w:pPr>
        <w:spacing w:before="0"/>
        <w:ind w:left="820" w:right="0" w:firstLine="0"/>
        <w:jc w:val="left"/>
        <w:rPr>
          <w:b/>
          <w:sz w:val="24"/>
        </w:rPr>
      </w:pPr>
      <w:r>
        <w:rPr>
          <w:b/>
          <w:strike/>
          <w:color w:val="2E97D3"/>
          <w:sz w:val="24"/>
        </w:rPr>
        <w:t>Page 1 of COBCP form:</w:t>
      </w:r>
    </w:p>
    <w:p>
      <w:pPr>
        <w:pStyle w:val="BodyText"/>
        <w:spacing w:before="11"/>
        <w:rPr>
          <w:b/>
          <w:sz w:val="15"/>
        </w:rPr>
      </w:pPr>
    </w:p>
    <w:p>
      <w:pPr>
        <w:pStyle w:val="ListParagraph"/>
        <w:numPr>
          <w:ilvl w:val="0"/>
          <w:numId w:val="65"/>
        </w:numPr>
        <w:tabs>
          <w:tab w:pos="1180" w:val="left" w:leader="none"/>
        </w:tabs>
        <w:spacing w:line="240" w:lineRule="auto" w:before="92" w:after="0"/>
        <w:ind w:left="1180" w:right="0" w:hanging="360"/>
        <w:jc w:val="left"/>
        <w:rPr>
          <w:color w:val="2E97D3"/>
          <w:sz w:val="24"/>
        </w:rPr>
      </w:pPr>
      <w:r>
        <w:rPr>
          <w:strike/>
          <w:color w:val="2E97D3"/>
          <w:sz w:val="24"/>
        </w:rPr>
        <w:t>COBCP #:  Assigned by</w:t>
      </w:r>
      <w:r>
        <w:rPr>
          <w:strike/>
          <w:color w:val="2E97D3"/>
          <w:spacing w:val="-15"/>
          <w:sz w:val="24"/>
        </w:rPr>
        <w:t> </w:t>
      </w:r>
      <w:r>
        <w:rPr>
          <w:strike/>
          <w:color w:val="2E97D3"/>
          <w:sz w:val="24"/>
        </w:rPr>
        <w:t>department.</w:t>
      </w:r>
    </w:p>
    <w:p>
      <w:pPr>
        <w:pStyle w:val="ListParagraph"/>
        <w:numPr>
          <w:ilvl w:val="0"/>
          <w:numId w:val="65"/>
        </w:numPr>
        <w:tabs>
          <w:tab w:pos="1180" w:val="left" w:leader="none"/>
        </w:tabs>
        <w:spacing w:line="274" w:lineRule="exact" w:before="125" w:after="0"/>
        <w:ind w:left="1180" w:right="138" w:hanging="360"/>
        <w:jc w:val="left"/>
        <w:rPr>
          <w:i/>
          <w:color w:val="2E97D3"/>
          <w:sz w:val="24"/>
        </w:rPr>
      </w:pPr>
      <w:r>
        <w:rPr>
          <w:strike/>
          <w:color w:val="2E97D3"/>
          <w:sz w:val="24"/>
        </w:rPr>
        <w:t>Priority #: This is the ranking the client department assigns the COBCP in relation to all its other COBCPs.  </w:t>
      </w:r>
      <w:r>
        <w:rPr>
          <w:i/>
          <w:strike/>
          <w:color w:val="2E97D3"/>
          <w:sz w:val="24"/>
        </w:rPr>
        <w:t>Only one project per rank is</w:t>
      </w:r>
      <w:r>
        <w:rPr>
          <w:i/>
          <w:strike/>
          <w:color w:val="2E97D3"/>
          <w:spacing w:val="-29"/>
          <w:sz w:val="24"/>
        </w:rPr>
        <w:t> </w:t>
      </w:r>
      <w:r>
        <w:rPr>
          <w:i/>
          <w:strike/>
          <w:color w:val="2E97D3"/>
          <w:sz w:val="24"/>
        </w:rPr>
        <w:t>allowed.</w:t>
      </w:r>
    </w:p>
    <w:p>
      <w:pPr>
        <w:pStyle w:val="ListParagraph"/>
        <w:numPr>
          <w:ilvl w:val="0"/>
          <w:numId w:val="65"/>
        </w:numPr>
        <w:tabs>
          <w:tab w:pos="1180" w:val="left" w:leader="none"/>
        </w:tabs>
        <w:spacing w:line="240" w:lineRule="auto" w:before="118" w:after="0"/>
        <w:ind w:left="1180" w:right="672" w:hanging="360"/>
        <w:jc w:val="left"/>
        <w:rPr>
          <w:color w:val="2E97D3"/>
          <w:sz w:val="24"/>
        </w:rPr>
      </w:pPr>
      <w:r>
        <w:rPr>
          <w:strike/>
          <w:color w:val="2E97D3"/>
          <w:sz w:val="24"/>
        </w:rPr>
        <w:t>Organization code: Use the department’s organization code per the Governor’s Budget.</w:t>
      </w:r>
    </w:p>
    <w:p>
      <w:pPr>
        <w:pStyle w:val="ListParagraph"/>
        <w:numPr>
          <w:ilvl w:val="0"/>
          <w:numId w:val="65"/>
        </w:numPr>
        <w:tabs>
          <w:tab w:pos="1180" w:val="left" w:leader="none"/>
        </w:tabs>
        <w:spacing w:line="240" w:lineRule="auto" w:before="120" w:after="0"/>
        <w:ind w:left="1180" w:right="0" w:hanging="360"/>
        <w:jc w:val="left"/>
        <w:rPr>
          <w:color w:val="2E97D3"/>
          <w:sz w:val="24"/>
        </w:rPr>
      </w:pPr>
      <w:r>
        <w:rPr>
          <w:strike/>
          <w:color w:val="2E97D3"/>
          <w:sz w:val="24"/>
        </w:rPr>
        <w:t>Department:  Use the organization title per the Governor’s</w:t>
      </w:r>
      <w:r>
        <w:rPr>
          <w:strike/>
          <w:color w:val="2E97D3"/>
          <w:spacing w:val="-33"/>
          <w:sz w:val="24"/>
        </w:rPr>
        <w:t> </w:t>
      </w:r>
      <w:r>
        <w:rPr>
          <w:strike/>
          <w:color w:val="2E97D3"/>
          <w:sz w:val="24"/>
        </w:rPr>
        <w:t>Budget.</w:t>
      </w:r>
    </w:p>
    <w:p>
      <w:pPr>
        <w:pStyle w:val="BodyText"/>
        <w:rPr>
          <w:sz w:val="20"/>
        </w:rPr>
      </w:pPr>
    </w:p>
    <w:p>
      <w:pPr>
        <w:pStyle w:val="BodyText"/>
        <w:spacing w:before="3"/>
        <w:rPr>
          <w:sz w:val="17"/>
        </w:rPr>
      </w:pPr>
    </w:p>
    <w:p>
      <w:pPr>
        <w:pStyle w:val="BodyText"/>
        <w:spacing w:before="92"/>
        <w:ind w:left="820"/>
      </w:pPr>
      <w:r>
        <w:rPr>
          <w:strike/>
          <w:color w:val="2C6234"/>
        </w:rPr>
        <w:t>(Continued)</w:t>
      </w:r>
    </w:p>
    <w:p>
      <w:pPr>
        <w:spacing w:after="0"/>
        <w:sectPr>
          <w:pgSz w:w="12240" w:h="15840"/>
          <w:pgMar w:header="724" w:footer="792" w:top="980" w:bottom="980" w:left="620" w:right="1320"/>
        </w:sectPr>
      </w:pPr>
    </w:p>
    <w:p>
      <w:pPr>
        <w:pStyle w:val="BodyText"/>
        <w:rPr>
          <w:sz w:val="20"/>
        </w:rPr>
      </w:pPr>
    </w:p>
    <w:p>
      <w:pPr>
        <w:pStyle w:val="BodyText"/>
        <w:spacing w:before="214"/>
        <w:ind w:left="820"/>
      </w:pPr>
      <w:r>
        <w:rPr/>
        <w:pict>
          <v:line style="position:absolute;mso-position-horizontal-relative:page;mso-position-vertical-relative:paragraph;z-index:24112" from="36.360001pt,10.915881pt" to="36.360001pt,620.515881pt" stroked="true" strokeweight=".72pt" strokecolor="#000000">
            <v:stroke dashstyle="solid"/>
            <w10:wrap type="none"/>
          </v:line>
        </w:pict>
      </w:r>
      <w:r>
        <w:rPr>
          <w:strike/>
          <w:color w:val="2C6234"/>
        </w:rPr>
        <w:t>(Continued)</w:t>
      </w:r>
    </w:p>
    <w:p>
      <w:pPr>
        <w:pStyle w:val="Heading2"/>
        <w:tabs>
          <w:tab w:pos="8646" w:val="left" w:leader="none"/>
        </w:tabs>
        <w:ind w:left="820"/>
        <w:rPr>
          <w:b w:val="0"/>
        </w:rPr>
      </w:pPr>
      <w:r>
        <w:rPr/>
        <w:pict>
          <v:line style="position:absolute;mso-position-horizontal-relative:page;mso-position-vertical-relative:paragraph;z-index:-448576" from="72pt,8.435833pt" to="540pt,8.435833pt" stroked="true" strokeweight=".6pt" strokecolor="#2e97d3">
            <v:stroke dashstyle="solid"/>
            <w10:wrap type="none"/>
          </v:line>
        </w:pict>
      </w:r>
      <w:r>
        <w:rPr>
          <w:color w:val="2E97D3"/>
        </w:rPr>
        <w:t>CAPITAL OUTLAY BUDGET CHANGE</w:t>
      </w:r>
      <w:r>
        <w:rPr>
          <w:color w:val="2E97D3"/>
          <w:spacing w:val="-13"/>
        </w:rPr>
        <w:t> </w:t>
      </w:r>
      <w:r>
        <w:rPr>
          <w:color w:val="2E97D3"/>
        </w:rPr>
        <w:t>PROPOSALS</w:t>
      </w:r>
      <w:r>
        <w:rPr>
          <w:color w:val="2E97D3"/>
          <w:spacing w:val="-3"/>
        </w:rPr>
        <w:t> </w:t>
      </w:r>
      <w:r>
        <w:rPr>
          <w:color w:val="2E97D3"/>
        </w:rPr>
        <w:t>(COBCP)</w:t>
        <w:tab/>
        <w:t>6818 </w:t>
      </w:r>
      <w:r>
        <w:rPr>
          <w:b w:val="0"/>
          <w:color w:val="2E97D3"/>
        </w:rPr>
        <w:t>(Cont.</w:t>
      </w:r>
      <w:r>
        <w:rPr>
          <w:b w:val="0"/>
          <w:color w:val="2E97D3"/>
          <w:spacing w:val="-6"/>
        </w:rPr>
        <w:t> </w:t>
      </w:r>
      <w:r>
        <w:rPr>
          <w:b w:val="0"/>
          <w:color w:val="2E97D3"/>
        </w:rPr>
        <w:t>4)</w:t>
      </w:r>
    </w:p>
    <w:p>
      <w:pPr>
        <w:pStyle w:val="BodyText"/>
        <w:ind w:left="820"/>
      </w:pPr>
      <w:r>
        <w:rPr/>
        <w:t>(Revised </w:t>
      </w:r>
      <w:r>
        <w:rPr>
          <w:strike/>
          <w:color w:val="2E97D3"/>
        </w:rPr>
        <w:t>5/1998</w:t>
      </w:r>
      <w:r>
        <w:rPr>
          <w:strike w:val="0"/>
          <w:color w:val="2E97D3"/>
          <w:u w:val="single" w:color="2E97D3"/>
        </w:rPr>
        <w:t>11/2017</w:t>
      </w:r>
      <w:r>
        <w:rPr>
          <w:strike w:val="0"/>
        </w:rPr>
        <w:t>)</w:t>
      </w:r>
    </w:p>
    <w:p>
      <w:pPr>
        <w:pStyle w:val="BodyText"/>
        <w:spacing w:before="10"/>
        <w:rPr>
          <w:sz w:val="20"/>
        </w:rPr>
      </w:pPr>
    </w:p>
    <w:p>
      <w:pPr>
        <w:pStyle w:val="ListParagraph"/>
        <w:numPr>
          <w:ilvl w:val="0"/>
          <w:numId w:val="65"/>
        </w:numPr>
        <w:tabs>
          <w:tab w:pos="1180" w:val="left" w:leader="none"/>
        </w:tabs>
        <w:spacing w:line="240" w:lineRule="auto" w:before="0" w:after="0"/>
        <w:ind w:left="1180" w:right="337" w:hanging="360"/>
        <w:jc w:val="left"/>
        <w:rPr>
          <w:color w:val="2E97D3"/>
          <w:sz w:val="24"/>
        </w:rPr>
      </w:pPr>
      <w:r>
        <w:rPr>
          <w:strike/>
          <w:color w:val="2E97D3"/>
          <w:sz w:val="24"/>
        </w:rPr>
        <w:t>Project Title: If the COBCP is for a continuing phase of an existing project, use the same project title as in previous</w:t>
      </w:r>
      <w:r>
        <w:rPr>
          <w:strike/>
          <w:color w:val="2E97D3"/>
          <w:spacing w:val="-18"/>
          <w:sz w:val="24"/>
        </w:rPr>
        <w:t> </w:t>
      </w:r>
      <w:r>
        <w:rPr>
          <w:strike/>
          <w:color w:val="2E97D3"/>
          <w:sz w:val="24"/>
        </w:rPr>
        <w:t>phases.</w:t>
      </w:r>
    </w:p>
    <w:p>
      <w:pPr>
        <w:pStyle w:val="BodyText"/>
        <w:spacing w:before="10"/>
        <w:rPr>
          <w:sz w:val="20"/>
        </w:rPr>
      </w:pPr>
    </w:p>
    <w:p>
      <w:pPr>
        <w:pStyle w:val="ListParagraph"/>
        <w:numPr>
          <w:ilvl w:val="0"/>
          <w:numId w:val="65"/>
        </w:numPr>
        <w:tabs>
          <w:tab w:pos="1180" w:val="left" w:leader="none"/>
        </w:tabs>
        <w:spacing w:line="240" w:lineRule="auto" w:before="0" w:after="0"/>
        <w:ind w:left="1180" w:right="404" w:hanging="360"/>
        <w:jc w:val="left"/>
        <w:rPr>
          <w:color w:val="2E97D3"/>
          <w:sz w:val="24"/>
        </w:rPr>
      </w:pPr>
      <w:r>
        <w:rPr>
          <w:strike/>
          <w:color w:val="2E97D3"/>
          <w:sz w:val="24"/>
        </w:rPr>
        <w:t>Phases Funded With This Request: </w:t>
      </w:r>
      <w:r>
        <w:rPr>
          <w:strike w:val="0"/>
          <w:sz w:val="24"/>
        </w:rPr>
        <w:t>The </w:t>
      </w:r>
      <w:r>
        <w:rPr>
          <w:strike/>
          <w:color w:val="2E97D3"/>
          <w:sz w:val="24"/>
        </w:rPr>
        <w:t>phase(s) to be funded in the budget year by the COBCP.  Use the phase codes as defined in Section</w:t>
      </w:r>
      <w:r>
        <w:rPr>
          <w:strike/>
          <w:color w:val="2E97D3"/>
          <w:spacing w:val="-25"/>
          <w:sz w:val="24"/>
        </w:rPr>
        <w:t> </w:t>
      </w:r>
      <w:r>
        <w:rPr>
          <w:strike/>
          <w:color w:val="2E97D3"/>
          <w:sz w:val="24"/>
        </w:rPr>
        <w:t>6839.</w:t>
      </w:r>
    </w:p>
    <w:p>
      <w:pPr>
        <w:pStyle w:val="BodyText"/>
        <w:spacing w:before="10"/>
        <w:rPr>
          <w:sz w:val="20"/>
        </w:rPr>
      </w:pPr>
    </w:p>
    <w:p>
      <w:pPr>
        <w:pStyle w:val="ListParagraph"/>
        <w:numPr>
          <w:ilvl w:val="0"/>
          <w:numId w:val="65"/>
        </w:numPr>
        <w:tabs>
          <w:tab w:pos="1180" w:val="left" w:leader="none"/>
        </w:tabs>
        <w:spacing w:line="240" w:lineRule="auto" w:before="0" w:after="0"/>
        <w:ind w:left="1180" w:right="150" w:hanging="360"/>
        <w:jc w:val="left"/>
        <w:rPr>
          <w:color w:val="2E97D3"/>
          <w:sz w:val="24"/>
        </w:rPr>
      </w:pPr>
      <w:r>
        <w:rPr>
          <w:strike/>
          <w:color w:val="2E97D3"/>
          <w:sz w:val="24"/>
        </w:rPr>
        <w:t>Project Identification Code: See Section 6839 for instructions. If the COBCP is for a continuing phase of an existing project, use the same project ID as in previous phases.</w:t>
      </w:r>
    </w:p>
    <w:p>
      <w:pPr>
        <w:pStyle w:val="BodyText"/>
        <w:spacing w:before="7"/>
        <w:rPr>
          <w:sz w:val="20"/>
        </w:rPr>
      </w:pPr>
    </w:p>
    <w:p>
      <w:pPr>
        <w:pStyle w:val="ListParagraph"/>
        <w:numPr>
          <w:ilvl w:val="0"/>
          <w:numId w:val="65"/>
        </w:numPr>
        <w:tabs>
          <w:tab w:pos="1180" w:val="left" w:leader="none"/>
        </w:tabs>
        <w:spacing w:line="242" w:lineRule="auto" w:before="0" w:after="0"/>
        <w:ind w:left="1180" w:right="419" w:hanging="360"/>
        <w:jc w:val="left"/>
        <w:rPr>
          <w:color w:val="2E97D3"/>
          <w:sz w:val="24"/>
        </w:rPr>
      </w:pPr>
      <w:r>
        <w:rPr>
          <w:strike/>
          <w:color w:val="2E97D3"/>
          <w:sz w:val="24"/>
        </w:rPr>
        <w:t>Project Category: See Section 6839 for project category codes. Only </w:t>
      </w:r>
      <w:r>
        <w:rPr>
          <w:i/>
          <w:strike/>
          <w:color w:val="2E97D3"/>
          <w:sz w:val="24"/>
        </w:rPr>
        <w:t>one </w:t>
      </w:r>
      <w:r>
        <w:rPr>
          <w:strike/>
          <w:color w:val="2E97D3"/>
          <w:sz w:val="24"/>
        </w:rPr>
        <w:t>code is permitted.  Use the code which is most descriptive of the overall</w:t>
      </w:r>
      <w:r>
        <w:rPr>
          <w:strike/>
          <w:color w:val="2E97D3"/>
          <w:spacing w:val="-30"/>
          <w:sz w:val="24"/>
        </w:rPr>
        <w:t> </w:t>
      </w:r>
      <w:r>
        <w:rPr>
          <w:strike/>
          <w:color w:val="2E97D3"/>
          <w:sz w:val="24"/>
        </w:rPr>
        <w:t>project.</w:t>
      </w:r>
    </w:p>
    <w:p>
      <w:pPr>
        <w:pStyle w:val="BodyText"/>
        <w:spacing w:before="6"/>
        <w:rPr>
          <w:sz w:val="20"/>
        </w:rPr>
      </w:pPr>
    </w:p>
    <w:p>
      <w:pPr>
        <w:pStyle w:val="ListParagraph"/>
        <w:numPr>
          <w:ilvl w:val="0"/>
          <w:numId w:val="65"/>
        </w:numPr>
        <w:tabs>
          <w:tab w:pos="1180" w:val="left" w:leader="none"/>
        </w:tabs>
        <w:spacing w:line="240" w:lineRule="auto" w:before="0" w:after="0"/>
        <w:ind w:left="1180" w:right="386" w:hanging="360"/>
        <w:jc w:val="left"/>
        <w:rPr>
          <w:color w:val="2E97D3"/>
          <w:sz w:val="24"/>
        </w:rPr>
      </w:pPr>
      <w:r>
        <w:rPr>
          <w:strike/>
          <w:color w:val="2E97D3"/>
          <w:sz w:val="24"/>
        </w:rPr>
        <w:t>Location: The city, county, or other location description typically used by the client department for its capital outlay</w:t>
      </w:r>
      <w:r>
        <w:rPr>
          <w:strike/>
          <w:color w:val="2E97D3"/>
          <w:spacing w:val="-21"/>
          <w:sz w:val="24"/>
        </w:rPr>
        <w:t> </w:t>
      </w:r>
      <w:r>
        <w:rPr>
          <w:strike/>
          <w:color w:val="2E97D3"/>
          <w:sz w:val="24"/>
        </w:rPr>
        <w:t>projects.</w:t>
      </w:r>
    </w:p>
    <w:p>
      <w:pPr>
        <w:pStyle w:val="BodyText"/>
        <w:spacing w:before="9"/>
        <w:rPr>
          <w:sz w:val="20"/>
        </w:rPr>
      </w:pPr>
    </w:p>
    <w:p>
      <w:pPr>
        <w:pStyle w:val="ListParagraph"/>
        <w:numPr>
          <w:ilvl w:val="0"/>
          <w:numId w:val="65"/>
        </w:numPr>
        <w:tabs>
          <w:tab w:pos="1180" w:val="left" w:leader="none"/>
        </w:tabs>
        <w:spacing w:line="240" w:lineRule="auto" w:before="0" w:after="0"/>
        <w:ind w:left="1180" w:right="821" w:hanging="360"/>
        <w:jc w:val="left"/>
        <w:rPr>
          <w:color w:val="2E97D3"/>
          <w:sz w:val="24"/>
        </w:rPr>
      </w:pPr>
      <w:r>
        <w:rPr>
          <w:strike/>
          <w:color w:val="2E97D3"/>
          <w:sz w:val="24"/>
        </w:rPr>
        <w:t>Congressional, Senate, and Assembly district numbers for the project: District </w:t>
      </w:r>
      <w:r>
        <w:rPr>
          <w:strike w:val="0"/>
          <w:sz w:val="24"/>
        </w:rPr>
        <w:t>information </w:t>
      </w:r>
      <w:r>
        <w:rPr>
          <w:strike/>
          <w:color w:val="2E97D3"/>
          <w:sz w:val="24"/>
        </w:rPr>
        <w:t>is available from the client department’s legislative</w:t>
      </w:r>
      <w:r>
        <w:rPr>
          <w:strike/>
          <w:color w:val="2E97D3"/>
          <w:spacing w:val="-40"/>
          <w:sz w:val="24"/>
        </w:rPr>
        <w:t> </w:t>
      </w:r>
      <w:r>
        <w:rPr>
          <w:strike/>
          <w:color w:val="2E97D3"/>
          <w:sz w:val="24"/>
        </w:rPr>
        <w:t>office.</w:t>
      </w:r>
    </w:p>
    <w:p>
      <w:pPr>
        <w:pStyle w:val="BodyText"/>
        <w:spacing w:before="9"/>
        <w:rPr>
          <w:sz w:val="20"/>
        </w:rPr>
      </w:pPr>
    </w:p>
    <w:p>
      <w:pPr>
        <w:pStyle w:val="ListParagraph"/>
        <w:numPr>
          <w:ilvl w:val="0"/>
          <w:numId w:val="65"/>
        </w:numPr>
        <w:tabs>
          <w:tab w:pos="1180" w:val="left" w:leader="none"/>
        </w:tabs>
        <w:spacing w:line="240" w:lineRule="auto" w:before="0" w:after="0"/>
        <w:ind w:left="1180" w:right="203" w:hanging="360"/>
        <w:jc w:val="left"/>
        <w:rPr>
          <w:color w:val="2E97D3"/>
          <w:sz w:val="24"/>
        </w:rPr>
      </w:pPr>
      <w:r>
        <w:rPr>
          <w:strike/>
          <w:color w:val="2E97D3"/>
          <w:sz w:val="24"/>
        </w:rPr>
        <w:t>Problem Statement: A brief synopsis of the problem the department needs to solve, taken from the information provided on Page 4, Part A of the</w:t>
      </w:r>
      <w:r>
        <w:rPr>
          <w:strike/>
          <w:color w:val="2E97D3"/>
          <w:spacing w:val="-28"/>
          <w:sz w:val="24"/>
        </w:rPr>
        <w:t> </w:t>
      </w:r>
      <w:r>
        <w:rPr>
          <w:strike/>
          <w:color w:val="2E97D3"/>
          <w:sz w:val="24"/>
        </w:rPr>
        <w:t>COBCP.</w:t>
      </w:r>
    </w:p>
    <w:p>
      <w:pPr>
        <w:pStyle w:val="BodyText"/>
        <w:spacing w:before="9"/>
        <w:rPr>
          <w:sz w:val="20"/>
        </w:rPr>
      </w:pPr>
    </w:p>
    <w:p>
      <w:pPr>
        <w:pStyle w:val="ListParagraph"/>
        <w:numPr>
          <w:ilvl w:val="0"/>
          <w:numId w:val="65"/>
        </w:numPr>
        <w:tabs>
          <w:tab w:pos="1180" w:val="left" w:leader="none"/>
        </w:tabs>
        <w:spacing w:line="240" w:lineRule="auto" w:before="0" w:after="0"/>
        <w:ind w:left="1180" w:right="444" w:hanging="360"/>
        <w:jc w:val="left"/>
        <w:rPr>
          <w:color w:val="2E97D3"/>
          <w:sz w:val="24"/>
        </w:rPr>
      </w:pPr>
      <w:r>
        <w:rPr>
          <w:strike/>
          <w:color w:val="2E97D3"/>
          <w:sz w:val="24"/>
        </w:rPr>
        <w:t>Proposal: A brief description of the recommended alternative, taken from Page 4, Part D of the</w:t>
      </w:r>
      <w:r>
        <w:rPr>
          <w:strike/>
          <w:color w:val="2E97D3"/>
          <w:spacing w:val="-5"/>
          <w:sz w:val="24"/>
        </w:rPr>
        <w:t> </w:t>
      </w:r>
      <w:r>
        <w:rPr>
          <w:strike/>
          <w:color w:val="2E97D3"/>
          <w:sz w:val="24"/>
        </w:rPr>
        <w:t>COBCP.</w:t>
      </w:r>
    </w:p>
    <w:p>
      <w:pPr>
        <w:pStyle w:val="BodyText"/>
        <w:spacing w:before="9"/>
        <w:rPr>
          <w:sz w:val="20"/>
        </w:rPr>
      </w:pPr>
    </w:p>
    <w:p>
      <w:pPr>
        <w:pStyle w:val="Heading2"/>
        <w:ind w:left="820"/>
      </w:pPr>
      <w:r>
        <w:rPr>
          <w:strike/>
          <w:color w:val="2E97D3"/>
        </w:rPr>
        <w:t>Page 2 of COBCP form:</w:t>
      </w:r>
    </w:p>
    <w:p>
      <w:pPr>
        <w:pStyle w:val="BodyText"/>
        <w:spacing w:before="10"/>
        <w:rPr>
          <w:b/>
          <w:sz w:val="15"/>
        </w:rPr>
      </w:pPr>
    </w:p>
    <w:p>
      <w:pPr>
        <w:pStyle w:val="ListParagraph"/>
        <w:numPr>
          <w:ilvl w:val="0"/>
          <w:numId w:val="66"/>
        </w:numPr>
        <w:tabs>
          <w:tab w:pos="1180" w:val="left" w:leader="none"/>
        </w:tabs>
        <w:spacing w:line="240" w:lineRule="auto" w:before="93" w:after="0"/>
        <w:ind w:left="1180" w:right="243" w:hanging="360"/>
        <w:jc w:val="left"/>
        <w:rPr>
          <w:sz w:val="24"/>
        </w:rPr>
      </w:pPr>
      <w:r>
        <w:rPr>
          <w:strike/>
          <w:color w:val="2E97D3"/>
          <w:sz w:val="24"/>
        </w:rPr>
        <w:t>Heading: The following fields should match Page 1: COBCP #, organization code, Department, Project ID code and Project</w:t>
      </w:r>
      <w:r>
        <w:rPr>
          <w:strike/>
          <w:color w:val="2E97D3"/>
          <w:spacing w:val="-21"/>
          <w:sz w:val="24"/>
        </w:rPr>
        <w:t> </w:t>
      </w:r>
      <w:r>
        <w:rPr>
          <w:strike/>
          <w:color w:val="2E97D3"/>
          <w:sz w:val="24"/>
        </w:rPr>
        <w:t>Title.</w:t>
      </w:r>
    </w:p>
    <w:p>
      <w:pPr>
        <w:pStyle w:val="BodyText"/>
        <w:spacing w:before="10"/>
        <w:rPr>
          <w:sz w:val="20"/>
        </w:rPr>
      </w:pPr>
    </w:p>
    <w:p>
      <w:pPr>
        <w:pStyle w:val="ListParagraph"/>
        <w:numPr>
          <w:ilvl w:val="0"/>
          <w:numId w:val="66"/>
        </w:numPr>
        <w:tabs>
          <w:tab w:pos="1180" w:val="left" w:leader="none"/>
        </w:tabs>
        <w:spacing w:line="240" w:lineRule="auto" w:before="0" w:after="0"/>
        <w:ind w:left="1180" w:right="0" w:hanging="360"/>
        <w:jc w:val="left"/>
        <w:rPr>
          <w:sz w:val="24"/>
        </w:rPr>
      </w:pPr>
      <w:r>
        <w:rPr>
          <w:strike/>
          <w:color w:val="2E97D3"/>
          <w:sz w:val="24"/>
        </w:rPr>
        <w:t>Date:  The date this page was</w:t>
      </w:r>
      <w:r>
        <w:rPr>
          <w:strike/>
          <w:color w:val="2E97D3"/>
          <w:spacing w:val="-17"/>
          <w:sz w:val="24"/>
        </w:rPr>
        <w:t> </w:t>
      </w:r>
      <w:r>
        <w:rPr>
          <w:strike/>
          <w:color w:val="2E97D3"/>
          <w:sz w:val="24"/>
        </w:rPr>
        <w:t>prepared.</w:t>
      </w:r>
    </w:p>
    <w:p>
      <w:pPr>
        <w:pStyle w:val="BodyText"/>
        <w:spacing w:before="9"/>
        <w:rPr>
          <w:sz w:val="20"/>
        </w:rPr>
      </w:pPr>
    </w:p>
    <w:p>
      <w:pPr>
        <w:pStyle w:val="ListParagraph"/>
        <w:numPr>
          <w:ilvl w:val="0"/>
          <w:numId w:val="66"/>
        </w:numPr>
        <w:tabs>
          <w:tab w:pos="1180" w:val="left" w:leader="none"/>
        </w:tabs>
        <w:spacing w:line="240" w:lineRule="auto" w:before="1" w:after="0"/>
        <w:ind w:left="1180" w:right="550" w:hanging="360"/>
        <w:jc w:val="left"/>
        <w:rPr>
          <w:sz w:val="24"/>
        </w:rPr>
      </w:pPr>
      <w:r>
        <w:rPr>
          <w:strike/>
          <w:color w:val="2E97D3"/>
          <w:sz w:val="24"/>
        </w:rPr>
        <w:t>DGS Estimate: DGS job number for budget package, if applicable. This number may not be available for new projects at the time of initial COBCP</w:t>
      </w:r>
      <w:r>
        <w:rPr>
          <w:strike/>
          <w:color w:val="2E97D3"/>
          <w:spacing w:val="-34"/>
          <w:sz w:val="24"/>
        </w:rPr>
        <w:t> </w:t>
      </w:r>
      <w:r>
        <w:rPr>
          <w:strike/>
          <w:color w:val="2E97D3"/>
          <w:sz w:val="24"/>
        </w:rPr>
        <w:t>submittal.</w:t>
      </w:r>
    </w:p>
    <w:p>
      <w:pPr>
        <w:pStyle w:val="BodyText"/>
        <w:ind w:left="1180" w:right="1068"/>
      </w:pPr>
      <w:r>
        <w:rPr>
          <w:strike/>
          <w:color w:val="2E97D3"/>
        </w:rPr>
        <w:t>However, it should be available for all continuing phases of existing projects managed by DGS.</w:t>
      </w:r>
    </w:p>
    <w:p>
      <w:pPr>
        <w:pStyle w:val="BodyText"/>
        <w:spacing w:before="9"/>
        <w:rPr>
          <w:sz w:val="20"/>
        </w:rPr>
      </w:pPr>
    </w:p>
    <w:p>
      <w:pPr>
        <w:pStyle w:val="ListParagraph"/>
        <w:numPr>
          <w:ilvl w:val="0"/>
          <w:numId w:val="66"/>
        </w:numPr>
        <w:tabs>
          <w:tab w:pos="1180" w:val="left" w:leader="none"/>
        </w:tabs>
        <w:spacing w:line="448" w:lineRule="auto" w:before="1" w:after="0"/>
        <w:ind w:left="820" w:right="123" w:firstLine="0"/>
        <w:jc w:val="left"/>
        <w:rPr>
          <w:sz w:val="24"/>
        </w:rPr>
      </w:pPr>
      <w:r>
        <w:rPr>
          <w:strike/>
          <w:color w:val="2E97D3"/>
          <w:sz w:val="24"/>
        </w:rPr>
        <w:t>Costs: Provide actual or estimated cost for each phase of the project (in thousands). </w:t>
      </w:r>
      <w:r>
        <w:rPr>
          <w:strike/>
          <w:color w:val="2C6234"/>
          <w:sz w:val="24"/>
        </w:rPr>
        <w:t>(Continued)</w:t>
      </w:r>
    </w:p>
    <w:p>
      <w:pPr>
        <w:spacing w:after="0" w:line="448" w:lineRule="auto"/>
        <w:jc w:val="left"/>
        <w:rPr>
          <w:sz w:val="24"/>
        </w:rPr>
        <w:sectPr>
          <w:pgSz w:w="12240" w:h="15840"/>
          <w:pgMar w:header="724" w:footer="792" w:top="980" w:bottom="980" w:left="620" w:right="1320"/>
        </w:sectPr>
      </w:pPr>
    </w:p>
    <w:p>
      <w:pPr>
        <w:pStyle w:val="BodyText"/>
        <w:rPr>
          <w:sz w:val="20"/>
        </w:rPr>
      </w:pPr>
      <w:r>
        <w:rPr/>
        <w:pict>
          <v:line style="position:absolute;mso-position-horizontal-relative:page;mso-position-vertical-relative:page;z-index:24184" from="36.360001pt,72pt" to="36.360001pt,726.12pt" stroked="true" strokeweight=".72pt" strokecolor="#000000">
            <v:stroke dashstyle="solid"/>
            <w10:wrap type="none"/>
          </v:line>
        </w:pict>
      </w:r>
    </w:p>
    <w:p>
      <w:pPr>
        <w:pStyle w:val="BodyText"/>
        <w:spacing w:before="214"/>
        <w:ind w:left="820"/>
      </w:pPr>
      <w:r>
        <w:rPr>
          <w:strike/>
          <w:color w:val="2C6234"/>
        </w:rPr>
        <w:t>(Continued)</w:t>
      </w:r>
    </w:p>
    <w:p>
      <w:pPr>
        <w:pStyle w:val="Heading2"/>
        <w:tabs>
          <w:tab w:pos="8658" w:val="left" w:leader="none"/>
        </w:tabs>
        <w:ind w:left="820"/>
        <w:rPr>
          <w:rFonts w:ascii="Times New Roman"/>
          <w:sz w:val="20"/>
        </w:rPr>
      </w:pPr>
      <w:r>
        <w:rPr/>
        <w:pict>
          <v:group style="position:absolute;margin-left:71.699997pt;margin-top:7.536333pt;width:468.55pt;height:2.2pt;mso-position-horizontal-relative:page;mso-position-vertical-relative:paragraph;z-index:-448528" coordorigin="1434,151" coordsize="9371,44">
            <v:line style="position:absolute" from="1440,181" to="10735,181" stroked="true" strokeweight=".6pt" strokecolor="#2c6234">
              <v:stroke dashstyle="solid"/>
            </v:line>
            <v:line style="position:absolute" from="1440,157" to="10735,157" stroked="true" strokeweight=".599pt" strokecolor="#2c6234">
              <v:stroke dashstyle="solid"/>
            </v:line>
            <v:line style="position:absolute" from="10735,189" to="10800,189" stroked="true" strokeweight=".481pt" strokecolor="#2c6234">
              <v:stroke dashstyle="solid"/>
            </v:line>
            <v:line style="position:absolute" from="10735,170" to="10800,170" stroked="true" strokeweight=".48pt" strokecolor="#2c6234">
              <v:stroke dashstyle="solid"/>
            </v:line>
            <w10:wrap type="none"/>
          </v:group>
        </w:pict>
      </w:r>
      <w:r>
        <w:rPr>
          <w:color w:val="2C6234"/>
        </w:rPr>
        <w:t>CAPITAL OUTLAY BUDGET CHANGE</w:t>
      </w:r>
      <w:r>
        <w:rPr>
          <w:color w:val="2C6234"/>
          <w:spacing w:val="-13"/>
        </w:rPr>
        <w:t> </w:t>
      </w:r>
      <w:r>
        <w:rPr>
          <w:color w:val="2C6234"/>
        </w:rPr>
        <w:t>PROPOSALS</w:t>
      </w:r>
      <w:r>
        <w:rPr>
          <w:color w:val="2C6234"/>
          <w:spacing w:val="-3"/>
        </w:rPr>
        <w:t> </w:t>
      </w:r>
      <w:r>
        <w:rPr>
          <w:color w:val="2C6234"/>
        </w:rPr>
        <w:t>(COBCP)</w:t>
        <w:tab/>
        <w:t>6818 </w:t>
      </w:r>
      <w:r>
        <w:rPr>
          <w:b w:val="0"/>
          <w:color w:val="2C6234"/>
        </w:rPr>
        <w:t>(Cont.</w:t>
      </w:r>
      <w:r>
        <w:rPr>
          <w:b w:val="0"/>
          <w:color w:val="2C6234"/>
          <w:spacing w:val="-6"/>
        </w:rPr>
        <w:t> </w:t>
      </w:r>
      <w:r>
        <w:rPr>
          <w:b w:val="0"/>
          <w:color w:val="2C6234"/>
        </w:rPr>
        <w:t>5</w:t>
      </w:r>
      <w:r>
        <w:rPr>
          <w:rFonts w:ascii="Times New Roman"/>
          <w:color w:val="2C6234"/>
          <w:sz w:val="20"/>
        </w:rPr>
        <w:t>)</w:t>
      </w:r>
    </w:p>
    <w:p>
      <w:pPr>
        <w:pStyle w:val="BodyText"/>
        <w:ind w:left="820"/>
      </w:pPr>
      <w:bookmarkStart w:name="(Revised 5/1998)" w:id="76"/>
      <w:bookmarkEnd w:id="76"/>
      <w:r>
        <w:rPr/>
      </w:r>
      <w:r>
        <w:rPr>
          <w:strike/>
          <w:color w:val="2E97D3"/>
        </w:rPr>
        <w:t>(Revised 5/1998)</w:t>
      </w:r>
    </w:p>
    <w:p>
      <w:pPr>
        <w:pStyle w:val="BodyText"/>
        <w:spacing w:before="4"/>
        <w:rPr>
          <w:sz w:val="26"/>
        </w:rPr>
      </w:pPr>
    </w:p>
    <w:p>
      <w:pPr>
        <w:pStyle w:val="BodyText"/>
        <w:spacing w:before="93"/>
        <w:ind w:left="820"/>
      </w:pPr>
      <w:r>
        <w:rPr>
          <w:strike/>
          <w:color w:val="2E97D3"/>
        </w:rPr>
        <w:t>5. </w:t>
      </w:r>
      <w:r>
        <w:rPr>
          <w:strike w:val="0"/>
        </w:rPr>
        <w:t>....................................................................................................................................... </w:t>
      </w:r>
      <w:r>
        <w:rPr>
          <w:strike/>
          <w:color w:val="2E97D3"/>
        </w:rPr>
        <w:t>F</w:t>
      </w:r>
    </w:p>
    <w:p>
      <w:pPr>
        <w:pStyle w:val="BodyText"/>
        <w:ind w:left="820" w:right="281"/>
      </w:pPr>
      <w:r>
        <w:rPr>
          <w:strike/>
          <w:color w:val="2E97D3"/>
        </w:rPr>
        <w:t>unding Data:  Provide the project’s funding history by item of appropriation (or by chapter reference if funded through special legislation).  Future year funding must include the balance of the funding necessary </w:t>
      </w:r>
      <w:r>
        <w:rPr>
          <w:strike w:val="0"/>
          <w:color w:val="2E97D3"/>
          <w:u w:val="single" w:color="2E97D3"/>
        </w:rPr>
        <w:t>required </w:t>
      </w:r>
      <w:r>
        <w:rPr>
          <w:strike w:val="0"/>
        </w:rPr>
        <w:t>to complete </w:t>
      </w:r>
      <w:r>
        <w:rPr>
          <w:strike/>
          <w:color w:val="2E97D3"/>
        </w:rPr>
        <w:t>the project, not simply the level of funding required for the following year. Costs and funding totals must tie for each column.</w:t>
      </w:r>
      <w:r>
        <w:rPr>
          <w:strike w:val="0"/>
          <w:color w:val="2E97D3"/>
          <w:u w:val="single" w:color="2E97D3"/>
        </w:rPr>
        <w:t>a COBCP can be found</w:t>
      </w:r>
      <w:r>
        <w:rPr>
          <w:strike w:val="0"/>
          <w:color w:val="2E97D3"/>
          <w:spacing w:val="-22"/>
          <w:u w:val="single" w:color="2E97D3"/>
        </w:rPr>
        <w:t> </w:t>
      </w:r>
      <w:r>
        <w:rPr>
          <w:strike w:val="0"/>
          <w:color w:val="2E97D3"/>
          <w:u w:val="single" w:color="2E97D3"/>
        </w:rPr>
        <w:t>below.</w:t>
      </w:r>
    </w:p>
    <w:p>
      <w:pPr>
        <w:pStyle w:val="BodyText"/>
        <w:spacing w:before="10"/>
        <w:rPr>
          <w:sz w:val="20"/>
        </w:rPr>
      </w:pPr>
    </w:p>
    <w:p>
      <w:pPr>
        <w:pStyle w:val="BodyText"/>
        <w:ind w:left="1180" w:right="642" w:hanging="360"/>
      </w:pPr>
      <w:r>
        <w:rPr>
          <w:strike/>
          <w:color w:val="2E97D3"/>
        </w:rPr>
        <w:t>6. Schedule: The actual or estimated start or completion date as applicable for each phase of the project.</w:t>
      </w:r>
    </w:p>
    <w:p>
      <w:pPr>
        <w:pStyle w:val="BodyText"/>
        <w:spacing w:before="10"/>
        <w:rPr>
          <w:sz w:val="20"/>
        </w:rPr>
      </w:pPr>
    </w:p>
    <w:p>
      <w:pPr>
        <w:pStyle w:val="Heading2"/>
        <w:ind w:left="820"/>
      </w:pPr>
      <w:r>
        <w:rPr>
          <w:strike/>
          <w:color w:val="2E97D3"/>
        </w:rPr>
        <w:t>Page 3 of COBCP form:</w:t>
      </w:r>
    </w:p>
    <w:p>
      <w:pPr>
        <w:pStyle w:val="BodyText"/>
        <w:spacing w:before="11"/>
        <w:rPr>
          <w:b/>
          <w:sz w:val="15"/>
        </w:rPr>
      </w:pPr>
    </w:p>
    <w:p>
      <w:pPr>
        <w:pStyle w:val="ListParagraph"/>
        <w:numPr>
          <w:ilvl w:val="0"/>
          <w:numId w:val="67"/>
        </w:numPr>
        <w:tabs>
          <w:tab w:pos="1180" w:val="left" w:leader="none"/>
        </w:tabs>
        <w:spacing w:line="240" w:lineRule="auto" w:before="92" w:after="0"/>
        <w:ind w:left="1180" w:right="514" w:hanging="360"/>
        <w:jc w:val="left"/>
        <w:rPr>
          <w:sz w:val="24"/>
        </w:rPr>
      </w:pPr>
      <w:r>
        <w:rPr>
          <w:strike/>
          <w:color w:val="2E97D3"/>
          <w:sz w:val="24"/>
        </w:rPr>
        <w:t>Heading: The following fields should match Page 1: COBCP #, organization code, Department, Project ID code and Project</w:t>
      </w:r>
      <w:r>
        <w:rPr>
          <w:strike/>
          <w:color w:val="2E97D3"/>
          <w:spacing w:val="-21"/>
          <w:sz w:val="24"/>
        </w:rPr>
        <w:t> </w:t>
      </w:r>
      <w:r>
        <w:rPr>
          <w:strike/>
          <w:color w:val="2E97D3"/>
          <w:sz w:val="24"/>
        </w:rPr>
        <w:t>Title.</w:t>
      </w:r>
    </w:p>
    <w:p>
      <w:pPr>
        <w:pStyle w:val="BodyText"/>
        <w:spacing w:before="9"/>
        <w:rPr>
          <w:sz w:val="20"/>
        </w:rPr>
      </w:pPr>
    </w:p>
    <w:p>
      <w:pPr>
        <w:pStyle w:val="ListParagraph"/>
        <w:numPr>
          <w:ilvl w:val="0"/>
          <w:numId w:val="67"/>
        </w:numPr>
        <w:tabs>
          <w:tab w:pos="1180" w:val="left" w:leader="none"/>
        </w:tabs>
        <w:spacing w:line="240" w:lineRule="auto" w:before="0" w:after="0"/>
        <w:ind w:left="1180" w:right="0" w:hanging="360"/>
        <w:jc w:val="left"/>
        <w:rPr>
          <w:sz w:val="24"/>
        </w:rPr>
      </w:pPr>
      <w:r>
        <w:rPr>
          <w:strike/>
          <w:color w:val="2E97D3"/>
          <w:sz w:val="24"/>
        </w:rPr>
        <w:t>Date:  The date this page was</w:t>
      </w:r>
      <w:r>
        <w:rPr>
          <w:strike/>
          <w:color w:val="2E97D3"/>
          <w:spacing w:val="-17"/>
          <w:sz w:val="24"/>
        </w:rPr>
        <w:t> </w:t>
      </w:r>
      <w:r>
        <w:rPr>
          <w:strike/>
          <w:color w:val="2E97D3"/>
          <w:sz w:val="24"/>
        </w:rPr>
        <w:t>prepared.</w:t>
      </w:r>
    </w:p>
    <w:p>
      <w:pPr>
        <w:pStyle w:val="BodyText"/>
        <w:spacing w:before="9"/>
        <w:rPr>
          <w:sz w:val="20"/>
        </w:rPr>
      </w:pPr>
    </w:p>
    <w:p>
      <w:pPr>
        <w:pStyle w:val="ListParagraph"/>
        <w:numPr>
          <w:ilvl w:val="0"/>
          <w:numId w:val="67"/>
        </w:numPr>
        <w:tabs>
          <w:tab w:pos="1180" w:val="left" w:leader="none"/>
        </w:tabs>
        <w:spacing w:line="240" w:lineRule="auto" w:before="0" w:after="0"/>
        <w:ind w:left="1180" w:right="301" w:hanging="360"/>
        <w:jc w:val="left"/>
        <w:rPr>
          <w:sz w:val="24"/>
        </w:rPr>
      </w:pPr>
      <w:r>
        <w:rPr>
          <w:strike/>
          <w:color w:val="2E97D3"/>
          <w:sz w:val="24"/>
        </w:rPr>
        <w:t>Project Related: If the COBCP requests funding for any of the following costs in the budget year, attach a detailed list identifying each item and associated cost. If the funding is to be requested in future years provide a descriptive narrative establishing estimated needs. These totals should match the corresponding lines on Page</w:t>
      </w:r>
      <w:r>
        <w:rPr>
          <w:strike/>
          <w:color w:val="2E97D3"/>
          <w:spacing w:val="-35"/>
          <w:sz w:val="24"/>
        </w:rPr>
        <w:t> </w:t>
      </w:r>
      <w:r>
        <w:rPr>
          <w:strike/>
          <w:color w:val="2E97D3"/>
          <w:sz w:val="24"/>
        </w:rPr>
        <w:t>2.</w:t>
      </w:r>
    </w:p>
    <w:p>
      <w:pPr>
        <w:pStyle w:val="BodyText"/>
        <w:spacing w:before="9"/>
        <w:rPr>
          <w:sz w:val="20"/>
        </w:rPr>
      </w:pPr>
    </w:p>
    <w:p>
      <w:pPr>
        <w:pStyle w:val="ListParagraph"/>
        <w:numPr>
          <w:ilvl w:val="1"/>
          <w:numId w:val="67"/>
        </w:numPr>
        <w:tabs>
          <w:tab w:pos="1540" w:val="left" w:leader="none"/>
        </w:tabs>
        <w:spacing w:line="240" w:lineRule="auto" w:before="0" w:after="0"/>
        <w:ind w:left="1540" w:right="0" w:hanging="360"/>
        <w:jc w:val="left"/>
        <w:rPr>
          <w:sz w:val="24"/>
        </w:rPr>
      </w:pPr>
      <w:r>
        <w:rPr>
          <w:strike/>
          <w:color w:val="2E97D3"/>
          <w:sz w:val="24"/>
        </w:rPr>
        <w:t>Construction Detail - Agency</w:t>
      </w:r>
      <w:r>
        <w:rPr>
          <w:strike/>
          <w:color w:val="2E97D3"/>
          <w:spacing w:val="-18"/>
          <w:sz w:val="24"/>
        </w:rPr>
        <w:t> </w:t>
      </w:r>
      <w:r>
        <w:rPr>
          <w:strike/>
          <w:color w:val="2E97D3"/>
          <w:sz w:val="24"/>
        </w:rPr>
        <w:t>Retained;</w:t>
      </w:r>
    </w:p>
    <w:p>
      <w:pPr>
        <w:pStyle w:val="ListParagraph"/>
        <w:numPr>
          <w:ilvl w:val="1"/>
          <w:numId w:val="67"/>
        </w:numPr>
        <w:tabs>
          <w:tab w:pos="1540" w:val="left" w:leader="none"/>
        </w:tabs>
        <w:spacing w:line="240" w:lineRule="auto" w:before="119" w:after="0"/>
        <w:ind w:left="1540" w:right="730" w:hanging="360"/>
        <w:jc w:val="left"/>
        <w:rPr>
          <w:sz w:val="24"/>
        </w:rPr>
      </w:pPr>
      <w:r>
        <w:rPr>
          <w:strike/>
          <w:color w:val="2E97D3"/>
          <w:sz w:val="24"/>
        </w:rPr>
        <w:t>Construction Detail - Group 2 Equipment (equipment included in construction funding);</w:t>
      </w:r>
      <w:r>
        <w:rPr>
          <w:strike/>
          <w:color w:val="2E97D3"/>
          <w:spacing w:val="-6"/>
          <w:sz w:val="24"/>
        </w:rPr>
        <w:t> </w:t>
      </w:r>
      <w:r>
        <w:rPr>
          <w:strike/>
          <w:color w:val="2E97D3"/>
          <w:sz w:val="24"/>
        </w:rPr>
        <w:t>and</w:t>
      </w:r>
    </w:p>
    <w:p>
      <w:pPr>
        <w:pStyle w:val="ListParagraph"/>
        <w:numPr>
          <w:ilvl w:val="1"/>
          <w:numId w:val="67"/>
        </w:numPr>
        <w:tabs>
          <w:tab w:pos="1540" w:val="left" w:leader="none"/>
        </w:tabs>
        <w:spacing w:line="240" w:lineRule="auto" w:before="119" w:after="0"/>
        <w:ind w:left="1540" w:right="798" w:hanging="360"/>
        <w:jc w:val="left"/>
        <w:rPr>
          <w:sz w:val="24"/>
        </w:rPr>
      </w:pPr>
      <w:r>
        <w:rPr>
          <w:strike/>
          <w:color w:val="2E97D3"/>
          <w:sz w:val="24"/>
        </w:rPr>
        <w:t>Equipment (Group 2) Phase: (equipment which is to be funded in a separate phase).</w:t>
      </w:r>
    </w:p>
    <w:p>
      <w:pPr>
        <w:pStyle w:val="BodyText"/>
        <w:spacing w:before="4"/>
        <w:rPr>
          <w:sz w:val="26"/>
        </w:rPr>
      </w:pPr>
    </w:p>
    <w:p>
      <w:pPr>
        <w:pStyle w:val="ListParagraph"/>
        <w:numPr>
          <w:ilvl w:val="0"/>
          <w:numId w:val="67"/>
        </w:numPr>
        <w:tabs>
          <w:tab w:pos="1180" w:val="left" w:leader="none"/>
        </w:tabs>
        <w:spacing w:line="240" w:lineRule="auto" w:before="92" w:after="0"/>
        <w:ind w:left="1180" w:right="356" w:hanging="360"/>
        <w:jc w:val="left"/>
        <w:rPr>
          <w:sz w:val="24"/>
        </w:rPr>
      </w:pPr>
      <w:r>
        <w:rPr>
          <w:strike/>
          <w:color w:val="2E97D3"/>
          <w:sz w:val="24"/>
        </w:rPr>
        <w:t>Impact on State Operations: If the project will cause/necessitate changes to the department’s State Operations budget, provide narrative, associated dollars and the fiscal year of impact in each of the following categories: One-time Costs, Future Costs, Future Savings, and</w:t>
      </w:r>
      <w:r>
        <w:rPr>
          <w:strike/>
          <w:color w:val="2E97D3"/>
          <w:spacing w:val="-14"/>
          <w:sz w:val="24"/>
        </w:rPr>
        <w:t> </w:t>
      </w:r>
      <w:r>
        <w:rPr>
          <w:strike/>
          <w:color w:val="2E97D3"/>
          <w:sz w:val="24"/>
        </w:rPr>
        <w:t>Revenue.</w:t>
      </w:r>
    </w:p>
    <w:p>
      <w:pPr>
        <w:pStyle w:val="BodyText"/>
        <w:spacing w:before="10"/>
        <w:rPr>
          <w:sz w:val="15"/>
        </w:rPr>
      </w:pPr>
    </w:p>
    <w:p>
      <w:pPr>
        <w:pStyle w:val="Heading2"/>
        <w:spacing w:before="93"/>
        <w:ind w:left="820"/>
      </w:pPr>
      <w:r>
        <w:rPr>
          <w:strike/>
          <w:color w:val="2E97D3"/>
        </w:rPr>
        <w:t>Page 4 of COBCP form:</w:t>
      </w:r>
    </w:p>
    <w:p>
      <w:pPr>
        <w:pStyle w:val="BodyText"/>
        <w:spacing w:before="11"/>
        <w:rPr>
          <w:b/>
          <w:sz w:val="15"/>
        </w:rPr>
      </w:pPr>
    </w:p>
    <w:p>
      <w:pPr>
        <w:pStyle w:val="ListParagraph"/>
        <w:numPr>
          <w:ilvl w:val="0"/>
          <w:numId w:val="68"/>
        </w:numPr>
        <w:tabs>
          <w:tab w:pos="1180" w:val="left" w:leader="none"/>
        </w:tabs>
        <w:spacing w:line="240" w:lineRule="auto" w:before="92" w:after="0"/>
        <w:ind w:left="1180" w:right="386" w:hanging="360"/>
        <w:jc w:val="left"/>
        <w:rPr>
          <w:color w:val="2E97D3"/>
          <w:sz w:val="24"/>
        </w:rPr>
      </w:pPr>
      <w:r>
        <w:rPr>
          <w:strike/>
          <w:color w:val="2E97D3"/>
          <w:sz w:val="24"/>
        </w:rPr>
        <w:t>Heading: The following fields should match Page 1: COBCP #, organization code, Department, Project ID code and Project Title. The heading should appear on each page of the analysis narrative.  (a blank form is</w:t>
      </w:r>
      <w:r>
        <w:rPr>
          <w:strike/>
          <w:color w:val="2E97D3"/>
          <w:spacing w:val="-31"/>
          <w:sz w:val="24"/>
        </w:rPr>
        <w:t> </w:t>
      </w:r>
      <w:r>
        <w:rPr>
          <w:strike/>
          <w:color w:val="2E97D3"/>
          <w:sz w:val="24"/>
        </w:rPr>
        <w:t>attached.)</w:t>
      </w:r>
    </w:p>
    <w:p>
      <w:pPr>
        <w:pStyle w:val="BodyText"/>
        <w:spacing w:before="9"/>
        <w:rPr>
          <w:sz w:val="20"/>
        </w:rPr>
      </w:pPr>
    </w:p>
    <w:p>
      <w:pPr>
        <w:pStyle w:val="ListParagraph"/>
        <w:numPr>
          <w:ilvl w:val="0"/>
          <w:numId w:val="68"/>
        </w:numPr>
        <w:tabs>
          <w:tab w:pos="2768" w:val="left" w:leader="none"/>
          <w:tab w:pos="2769" w:val="left" w:leader="none"/>
        </w:tabs>
        <w:spacing w:line="240" w:lineRule="auto" w:before="0" w:after="0"/>
        <w:ind w:left="820" w:right="3382" w:firstLine="825"/>
        <w:jc w:val="left"/>
        <w:rPr>
          <w:color w:val="2C6234"/>
          <w:sz w:val="24"/>
        </w:rPr>
      </w:pPr>
      <w:r>
        <w:rPr/>
        <w:pict>
          <v:group style="position:absolute;margin-left:112.980003pt;margin-top:7.53586pt;width:271pt;height:1.8pt;mso-position-horizontal-relative:page;mso-position-vertical-relative:paragraph;z-index:-448504" coordorigin="2260,151" coordsize="5420,36">
            <v:line style="position:absolute" from="2266,181" to="3389,181" stroked="true" strokeweight=".599pt" strokecolor="#2c6234">
              <v:stroke dashstyle="solid"/>
            </v:line>
            <v:line style="position:absolute" from="2266,157" to="3389,157" stroked="true" strokeweight=".6pt" strokecolor="#2c6234">
              <v:stroke dashstyle="solid"/>
            </v:line>
            <v:line style="position:absolute" from="3389,169" to="7673,169" stroked="true" strokeweight=".6pt" strokecolor="#2e97d3">
              <v:stroke dashstyle="solid"/>
            </v:line>
            <w10:wrap type="none"/>
          </v:group>
        </w:pict>
      </w:r>
      <w:r>
        <w:rPr>
          <w:color w:val="2E97D3"/>
          <w:sz w:val="24"/>
        </w:rPr>
        <w:t>Date: The date this page was prepared. </w:t>
      </w:r>
      <w:r>
        <w:rPr>
          <w:strike/>
          <w:color w:val="2C6234"/>
          <w:sz w:val="24"/>
        </w:rPr>
        <w:t>(Continued)</w:t>
      </w:r>
    </w:p>
    <w:p>
      <w:pPr>
        <w:spacing w:after="0" w:line="240" w:lineRule="auto"/>
        <w:jc w:val="left"/>
        <w:rPr>
          <w:sz w:val="24"/>
        </w:rPr>
        <w:sectPr>
          <w:pgSz w:w="12240" w:h="15840"/>
          <w:pgMar w:header="724" w:footer="792" w:top="980" w:bottom="980" w:left="620" w:right="1180"/>
        </w:sectPr>
      </w:pPr>
    </w:p>
    <w:p>
      <w:pPr>
        <w:pStyle w:val="BodyText"/>
        <w:rPr>
          <w:sz w:val="20"/>
        </w:rPr>
      </w:pPr>
    </w:p>
    <w:p>
      <w:pPr>
        <w:pStyle w:val="BodyText"/>
        <w:spacing w:before="214"/>
        <w:ind w:left="820"/>
      </w:pPr>
      <w:r>
        <w:rPr/>
        <w:pict>
          <v:line style="position:absolute;mso-position-horizontal-relative:page;mso-position-vertical-relative:paragraph;z-index:24232" from="36.360001pt,10.915881pt" to="36.360001pt,64.315881pt" stroked="true" strokeweight=".72pt" strokecolor="#000000">
            <v:stroke dashstyle="solid"/>
            <w10:wrap type="none"/>
          </v:line>
        </w:pict>
      </w:r>
      <w:r>
        <w:rPr>
          <w:strike/>
          <w:color w:val="2C6234"/>
        </w:rPr>
        <w:t>(Continued)</w:t>
      </w:r>
    </w:p>
    <w:p>
      <w:pPr>
        <w:pStyle w:val="Heading2"/>
        <w:tabs>
          <w:tab w:pos="8646" w:val="left" w:leader="none"/>
        </w:tabs>
        <w:ind w:left="820"/>
        <w:rPr>
          <w:b w:val="0"/>
        </w:rPr>
      </w:pPr>
      <w:r>
        <w:rPr/>
        <w:pict>
          <v:line style="position:absolute;mso-position-horizontal-relative:page;mso-position-vertical-relative:paragraph;z-index:-448456" from="72pt,8.435833pt" to="540pt,8.435833pt" stroked="true" strokeweight=".6pt" strokecolor="#2e97d3">
            <v:stroke dashstyle="solid"/>
            <w10:wrap type="none"/>
          </v:line>
        </w:pict>
      </w:r>
      <w:r>
        <w:rPr>
          <w:color w:val="2E97D3"/>
        </w:rPr>
        <w:t>CAPITAL OUTLAY BUDGET CHANGE</w:t>
      </w:r>
      <w:r>
        <w:rPr>
          <w:color w:val="2E97D3"/>
          <w:spacing w:val="-13"/>
        </w:rPr>
        <w:t> </w:t>
      </w:r>
      <w:r>
        <w:rPr>
          <w:color w:val="2E97D3"/>
        </w:rPr>
        <w:t>PROPOSALS</w:t>
      </w:r>
      <w:r>
        <w:rPr>
          <w:color w:val="2E97D3"/>
          <w:spacing w:val="-3"/>
        </w:rPr>
        <w:t> </w:t>
      </w:r>
      <w:r>
        <w:rPr>
          <w:color w:val="2E97D3"/>
        </w:rPr>
        <w:t>(COBCP)</w:t>
        <w:tab/>
        <w:t>6818 </w:t>
      </w:r>
      <w:r>
        <w:rPr>
          <w:b w:val="0"/>
          <w:color w:val="2E97D3"/>
        </w:rPr>
        <w:t>(Cont.</w:t>
      </w:r>
      <w:r>
        <w:rPr>
          <w:b w:val="0"/>
          <w:color w:val="2E97D3"/>
          <w:spacing w:val="-6"/>
        </w:rPr>
        <w:t> </w:t>
      </w:r>
      <w:r>
        <w:rPr>
          <w:b w:val="0"/>
          <w:color w:val="2E97D3"/>
        </w:rPr>
        <w:t>6)</w:t>
      </w:r>
    </w:p>
    <w:p>
      <w:pPr>
        <w:pStyle w:val="BodyText"/>
        <w:ind w:left="820"/>
      </w:pPr>
      <w:r>
        <w:rPr>
          <w:strike/>
          <w:color w:val="2E97D3"/>
        </w:rPr>
        <w:t>(Revised 5/1998)</w:t>
      </w:r>
    </w:p>
    <w:p>
      <w:pPr>
        <w:pStyle w:val="BodyText"/>
        <w:spacing w:before="10"/>
        <w:rPr>
          <w:sz w:val="20"/>
        </w:rPr>
      </w:pPr>
    </w:p>
    <w:p>
      <w:pPr>
        <w:pStyle w:val="BodyText"/>
        <w:ind w:left="820"/>
      </w:pPr>
      <w:r>
        <w:rPr>
          <w:b/>
        </w:rPr>
        <w:t>Purpose of project: </w:t>
      </w:r>
      <w:r>
        <w:rPr/>
        <w:t>What is the problem? What is the underlying program need or infrastructure deficiency?</w:t>
      </w:r>
    </w:p>
    <w:p>
      <w:pPr>
        <w:pStyle w:val="BodyText"/>
        <w:spacing w:before="10"/>
        <w:rPr>
          <w:sz w:val="20"/>
        </w:rPr>
      </w:pPr>
    </w:p>
    <w:p>
      <w:pPr>
        <w:pStyle w:val="ListParagraph"/>
        <w:numPr>
          <w:ilvl w:val="0"/>
          <w:numId w:val="69"/>
        </w:numPr>
        <w:tabs>
          <w:tab w:pos="1540" w:val="left" w:leader="none"/>
        </w:tabs>
        <w:spacing w:line="240" w:lineRule="auto" w:before="0" w:after="0"/>
        <w:ind w:left="1540" w:right="569" w:hanging="360"/>
        <w:jc w:val="left"/>
        <w:rPr>
          <w:sz w:val="24"/>
        </w:rPr>
      </w:pPr>
      <w:r>
        <w:rPr/>
        <w:pict>
          <v:line style="position:absolute;mso-position-horizontal-relative:page;mso-position-vertical-relative:paragraph;z-index:24256" from="36.360001pt,14.016881pt" to="36.360001pt,41.615881pt" stroked="true" strokeweight=".72pt" strokecolor="#000000">
            <v:stroke dashstyle="solid"/>
            <w10:wrap type="none"/>
          </v:line>
        </w:pict>
      </w:r>
      <w:r>
        <w:rPr>
          <w:b/>
          <w:sz w:val="24"/>
        </w:rPr>
        <w:t>Explain a program-based need </w:t>
      </w:r>
      <w:r>
        <w:rPr>
          <w:sz w:val="24"/>
        </w:rPr>
        <w:t>by relating the infrastructure request to the program that the real property serves. (The Capital Outlay Unit of </w:t>
      </w:r>
      <w:r>
        <w:rPr>
          <w:strike/>
          <w:color w:val="2E97D3"/>
          <w:sz w:val="24"/>
        </w:rPr>
        <w:t>DOF</w:t>
      </w:r>
      <w:r>
        <w:rPr>
          <w:strike w:val="0"/>
          <w:color w:val="2E97D3"/>
          <w:sz w:val="24"/>
          <w:u w:val="single" w:color="2E97D3"/>
        </w:rPr>
        <w:t>Finance </w:t>
      </w:r>
      <w:r>
        <w:rPr>
          <w:strike w:val="0"/>
          <w:sz w:val="24"/>
        </w:rPr>
        <w:t>will verify program-driven needs with the </w:t>
      </w:r>
      <w:r>
        <w:rPr>
          <w:strike/>
          <w:color w:val="2E97D3"/>
          <w:sz w:val="24"/>
        </w:rPr>
        <w:t>client </w:t>
      </w:r>
      <w:r>
        <w:rPr>
          <w:strike w:val="0"/>
          <w:sz w:val="24"/>
        </w:rPr>
        <w:t>department’s </w:t>
      </w:r>
      <w:r>
        <w:rPr>
          <w:strike/>
          <w:color w:val="2E97D3"/>
          <w:sz w:val="24"/>
        </w:rPr>
        <w:t>DOF</w:t>
      </w:r>
      <w:r>
        <w:rPr>
          <w:strike w:val="0"/>
          <w:color w:val="2E97D3"/>
          <w:sz w:val="24"/>
          <w:u w:val="single" w:color="2E97D3"/>
        </w:rPr>
        <w:t>Finance </w:t>
      </w:r>
      <w:r>
        <w:rPr>
          <w:strike w:val="0"/>
          <w:sz w:val="24"/>
        </w:rPr>
        <w:t>support analyst.)  At a minimum,</w:t>
      </w:r>
      <w:r>
        <w:rPr>
          <w:strike w:val="0"/>
          <w:spacing w:val="-14"/>
          <w:sz w:val="24"/>
        </w:rPr>
        <w:t> </w:t>
      </w:r>
      <w:r>
        <w:rPr>
          <w:strike w:val="0"/>
          <w:sz w:val="24"/>
        </w:rPr>
        <w:t>address:</w:t>
      </w:r>
    </w:p>
    <w:p>
      <w:pPr>
        <w:pStyle w:val="BodyText"/>
        <w:spacing w:before="10"/>
        <w:rPr>
          <w:sz w:val="20"/>
        </w:rPr>
      </w:pPr>
    </w:p>
    <w:p>
      <w:pPr>
        <w:pStyle w:val="BodyText"/>
        <w:ind w:left="1180"/>
      </w:pPr>
      <w:r>
        <w:rPr>
          <w:strike/>
          <w:color w:val="2E97D3"/>
        </w:rPr>
        <w:t>a.</w:t>
      </w:r>
      <w:r>
        <w:rPr>
          <w:strike w:val="0"/>
          <w:color w:val="2E97D3"/>
          <w:u w:val="single" w:color="2E97D3"/>
        </w:rPr>
        <w:t>1................................................................................................................................ </w:t>
      </w:r>
      <w:r>
        <w:rPr>
          <w:strike w:val="0"/>
        </w:rPr>
        <w:t>T</w:t>
      </w:r>
    </w:p>
    <w:p>
      <w:pPr>
        <w:pStyle w:val="BodyText"/>
        <w:ind w:left="1540"/>
      </w:pPr>
      <w:r>
        <w:rPr/>
        <w:t>he program change.</w:t>
      </w:r>
    </w:p>
    <w:p>
      <w:pPr>
        <w:pStyle w:val="BodyText"/>
        <w:spacing w:before="120"/>
        <w:ind w:left="1180"/>
      </w:pPr>
      <w:r>
        <w:rPr>
          <w:strike/>
          <w:color w:val="2E97D3"/>
        </w:rPr>
        <w:t>b.</w:t>
      </w:r>
      <w:r>
        <w:rPr>
          <w:strike w:val="0"/>
          <w:color w:val="2E97D3"/>
          <w:u w:val="single" w:color="2E97D3"/>
        </w:rPr>
        <w:t>2................................................................................................................................ </w:t>
      </w:r>
      <w:r>
        <w:rPr>
          <w:strike w:val="0"/>
        </w:rPr>
        <w:t>T</w:t>
      </w:r>
    </w:p>
    <w:p>
      <w:pPr>
        <w:pStyle w:val="BodyText"/>
        <w:ind w:left="1540"/>
      </w:pPr>
      <w:r>
        <w:rPr/>
        <w:t>he overall infrastructure requirement related to that change.</w:t>
      </w:r>
    </w:p>
    <w:p>
      <w:pPr>
        <w:pStyle w:val="ListParagraph"/>
        <w:numPr>
          <w:ilvl w:val="1"/>
          <w:numId w:val="69"/>
        </w:numPr>
        <w:tabs>
          <w:tab w:pos="1900" w:val="left" w:leader="none"/>
        </w:tabs>
        <w:spacing w:line="240" w:lineRule="auto" w:before="117" w:after="0"/>
        <w:ind w:left="1900" w:right="361" w:hanging="360"/>
        <w:jc w:val="left"/>
        <w:rPr>
          <w:sz w:val="24"/>
        </w:rPr>
      </w:pPr>
      <w:r>
        <w:rPr/>
        <w:pict>
          <v:line style="position:absolute;mso-position-horizontal-relative:page;mso-position-vertical-relative:paragraph;z-index:24280" from="36.360001pt,47.586853pt" to="36.360001pt,75.185853pt" stroked="true" strokeweight=".72pt" strokecolor="#000000">
            <v:stroke dashstyle="solid"/>
            <w10:wrap type="none"/>
          </v:line>
        </w:pict>
      </w:r>
      <w:r>
        <w:rPr>
          <w:i/>
          <w:sz w:val="24"/>
        </w:rPr>
        <w:t>Capacity requirements</w:t>
      </w:r>
      <w:r>
        <w:rPr>
          <w:sz w:val="24"/>
        </w:rPr>
        <w:t>:  Express capacity (total size) needs in terms of patients housed, inmates, full-time equivalents (FTEs), office space requirements, or other accepted “units” for the program. Some programs are required to use specific </w:t>
      </w:r>
      <w:r>
        <w:rPr>
          <w:strike/>
          <w:color w:val="2E97D3"/>
          <w:sz w:val="24"/>
        </w:rPr>
        <w:t>DOF</w:t>
      </w:r>
      <w:r>
        <w:rPr>
          <w:strike w:val="0"/>
          <w:color w:val="2E97D3"/>
          <w:sz w:val="24"/>
          <w:u w:val="single" w:color="2E97D3"/>
        </w:rPr>
        <w:t>Finance</w:t>
      </w:r>
      <w:r>
        <w:rPr>
          <w:strike w:val="0"/>
          <w:sz w:val="24"/>
        </w:rPr>
        <w:t>-generated data for enrollment or</w:t>
      </w:r>
      <w:r>
        <w:rPr>
          <w:strike w:val="0"/>
          <w:spacing w:val="-41"/>
          <w:sz w:val="24"/>
        </w:rPr>
        <w:t> </w:t>
      </w:r>
      <w:r>
        <w:rPr>
          <w:strike w:val="0"/>
          <w:sz w:val="24"/>
        </w:rPr>
        <w:t>growth, or to use “capacity” measurements approved by </w:t>
      </w:r>
      <w:r>
        <w:rPr>
          <w:strike/>
          <w:color w:val="2E97D3"/>
          <w:sz w:val="24"/>
        </w:rPr>
        <w:t>DOF</w:t>
      </w:r>
      <w:r>
        <w:rPr>
          <w:strike w:val="0"/>
          <w:color w:val="2E97D3"/>
          <w:sz w:val="24"/>
          <w:u w:val="single" w:color="2E97D3"/>
        </w:rPr>
        <w:t>Finance </w:t>
      </w:r>
      <w:r>
        <w:rPr>
          <w:strike w:val="0"/>
          <w:sz w:val="24"/>
        </w:rPr>
        <w:t>and/or the Legislature.  If reference is made to any space or cost studies, append these to the</w:t>
      </w:r>
      <w:r>
        <w:rPr>
          <w:strike w:val="0"/>
          <w:spacing w:val="-4"/>
          <w:sz w:val="24"/>
        </w:rPr>
        <w:t> </w:t>
      </w:r>
      <w:r>
        <w:rPr>
          <w:strike w:val="0"/>
          <w:sz w:val="24"/>
        </w:rPr>
        <w:t>COBCP.</w:t>
      </w:r>
    </w:p>
    <w:p>
      <w:pPr>
        <w:pStyle w:val="BodyText"/>
        <w:spacing w:before="8"/>
        <w:rPr>
          <w:sz w:val="23"/>
        </w:rPr>
      </w:pPr>
    </w:p>
    <w:p>
      <w:pPr>
        <w:pStyle w:val="ListParagraph"/>
        <w:numPr>
          <w:ilvl w:val="1"/>
          <w:numId w:val="69"/>
        </w:numPr>
        <w:tabs>
          <w:tab w:pos="1900" w:val="left" w:leader="none"/>
        </w:tabs>
        <w:spacing w:line="240" w:lineRule="auto" w:before="0" w:after="0"/>
        <w:ind w:left="1900" w:right="556" w:hanging="360"/>
        <w:jc w:val="left"/>
        <w:rPr>
          <w:sz w:val="24"/>
        </w:rPr>
      </w:pPr>
      <w:r>
        <w:rPr>
          <w:i/>
          <w:sz w:val="24"/>
        </w:rPr>
        <w:t>Special space requirements</w:t>
      </w:r>
      <w:r>
        <w:rPr>
          <w:sz w:val="24"/>
        </w:rPr>
        <w:t>: All special purpose rooms and offices must be fully described by purpose, square footage, and need (based on program requirements).</w:t>
      </w:r>
    </w:p>
    <w:p>
      <w:pPr>
        <w:pStyle w:val="BodyText"/>
        <w:spacing w:before="11"/>
        <w:rPr>
          <w:sz w:val="23"/>
        </w:rPr>
      </w:pPr>
    </w:p>
    <w:p>
      <w:pPr>
        <w:pStyle w:val="BodyText"/>
        <w:ind w:left="1180"/>
      </w:pPr>
      <w:r>
        <w:rPr>
          <w:strike/>
          <w:color w:val="2E97D3"/>
        </w:rPr>
        <w:t>c.</w:t>
      </w:r>
      <w:r>
        <w:rPr>
          <w:strike w:val="0"/>
          <w:color w:val="2E97D3"/>
          <w:u w:val="single" w:color="2E97D3"/>
        </w:rPr>
        <w:t>3.</w:t>
      </w:r>
      <w:r>
        <w:rPr>
          <w:strike w:val="0"/>
          <w:color w:val="2E97D3"/>
          <w:spacing w:val="-52"/>
          <w:u w:val="single" w:color="2E97D3"/>
        </w:rPr>
        <w:t> </w:t>
      </w:r>
      <w:r>
        <w:rPr>
          <w:strike w:val="0"/>
          <w:color w:val="2E97D3"/>
          <w:u w:val="single" w:color="2E97D3"/>
        </w:rPr>
        <w:t>............................................................................................................................... </w:t>
      </w:r>
      <w:r>
        <w:rPr>
          <w:strike w:val="0"/>
        </w:rPr>
        <w:t>W</w:t>
      </w:r>
    </w:p>
    <w:p>
      <w:pPr>
        <w:pStyle w:val="BodyText"/>
        <w:ind w:left="1540" w:right="395"/>
      </w:pPr>
      <w:r>
        <w:rPr/>
        <w:t>hat the project accomplishes towards that infrastructure requirement.  For projects providing an increment towards an overall goal (such as total acreage of wetlands) specify:</w:t>
      </w:r>
    </w:p>
    <w:p>
      <w:pPr>
        <w:pStyle w:val="BodyText"/>
      </w:pPr>
    </w:p>
    <w:p>
      <w:pPr>
        <w:pStyle w:val="BodyText"/>
        <w:ind w:left="820"/>
      </w:pPr>
      <w:r>
        <w:rPr>
          <w:strike/>
          <w:color w:val="2E97D3"/>
        </w:rPr>
        <w:t>(1)</w:t>
      </w:r>
      <w:r>
        <w:rPr>
          <w:strike w:val="0"/>
          <w:color w:val="2E97D3"/>
          <w:u w:val="single" w:color="2E97D3"/>
        </w:rPr>
        <w:t>1.................................................................................................................................... </w:t>
      </w:r>
      <w:r>
        <w:rPr>
          <w:strike w:val="0"/>
        </w:rPr>
        <w:t>W</w:t>
      </w:r>
    </w:p>
    <w:p>
      <w:pPr>
        <w:pStyle w:val="BodyText"/>
        <w:ind w:left="1180"/>
      </w:pPr>
      <w:r>
        <w:rPr/>
        <w:t>hat portion of the requirement has already been met;</w:t>
      </w:r>
    </w:p>
    <w:p>
      <w:pPr>
        <w:pStyle w:val="BodyText"/>
      </w:pPr>
    </w:p>
    <w:p>
      <w:pPr>
        <w:pStyle w:val="BodyText"/>
        <w:ind w:left="820"/>
      </w:pPr>
      <w:r>
        <w:rPr>
          <w:strike/>
          <w:color w:val="2E97D3"/>
        </w:rPr>
        <w:t>(2)</w:t>
      </w:r>
      <w:r>
        <w:rPr>
          <w:strike w:val="0"/>
          <w:color w:val="2E97D3"/>
          <w:u w:val="single" w:color="2E97D3"/>
        </w:rPr>
        <w:t>2.................................................................................................................................... </w:t>
      </w:r>
      <w:r>
        <w:rPr>
          <w:strike w:val="0"/>
        </w:rPr>
        <w:t>H</w:t>
      </w:r>
    </w:p>
    <w:p>
      <w:pPr>
        <w:pStyle w:val="BodyText"/>
        <w:ind w:left="1180"/>
      </w:pPr>
      <w:r>
        <w:rPr/>
        <w:t>ow much the project would add; and</w:t>
      </w:r>
    </w:p>
    <w:p>
      <w:pPr>
        <w:pStyle w:val="BodyText"/>
      </w:pPr>
    </w:p>
    <w:p>
      <w:pPr>
        <w:pStyle w:val="ListParagraph"/>
        <w:numPr>
          <w:ilvl w:val="1"/>
          <w:numId w:val="69"/>
        </w:numPr>
        <w:tabs>
          <w:tab w:pos="1900" w:val="left" w:leader="none"/>
        </w:tabs>
        <w:spacing w:line="240" w:lineRule="auto" w:before="0" w:after="0"/>
        <w:ind w:left="1900" w:right="623" w:hanging="360"/>
        <w:jc w:val="left"/>
        <w:rPr>
          <w:sz w:val="24"/>
        </w:rPr>
      </w:pPr>
      <w:r>
        <w:rPr>
          <w:sz w:val="24"/>
        </w:rPr>
        <w:t>What the remaining need will be and how the department proposes to meet that</w:t>
      </w:r>
      <w:r>
        <w:rPr>
          <w:spacing w:val="-5"/>
          <w:sz w:val="24"/>
        </w:rPr>
        <w:t> </w:t>
      </w:r>
      <w:r>
        <w:rPr>
          <w:sz w:val="24"/>
        </w:rPr>
        <w:t>need.</w:t>
      </w:r>
    </w:p>
    <w:p>
      <w:pPr>
        <w:pStyle w:val="BodyText"/>
        <w:spacing w:before="9"/>
        <w:rPr>
          <w:sz w:val="20"/>
        </w:rPr>
      </w:pPr>
    </w:p>
    <w:p>
      <w:pPr>
        <w:pStyle w:val="BodyText"/>
        <w:spacing w:before="1"/>
        <w:ind w:left="820"/>
      </w:pPr>
      <w:r>
        <w:rPr/>
        <w:t>(Continued)</w:t>
      </w:r>
    </w:p>
    <w:p>
      <w:pPr>
        <w:spacing w:after="0"/>
        <w:sectPr>
          <w:pgSz w:w="12240" w:h="15840"/>
          <w:pgMar w:header="724" w:footer="792" w:top="980" w:bottom="980" w:left="620" w:right="1100"/>
        </w:sectPr>
      </w:pPr>
    </w:p>
    <w:p>
      <w:pPr>
        <w:pStyle w:val="BodyText"/>
        <w:rPr>
          <w:sz w:val="20"/>
        </w:rPr>
      </w:pPr>
    </w:p>
    <w:p>
      <w:pPr>
        <w:pStyle w:val="BodyText"/>
        <w:spacing w:before="214"/>
        <w:ind w:left="819"/>
      </w:pPr>
      <w:r>
        <w:rPr/>
        <w:pict>
          <v:line style="position:absolute;mso-position-horizontal-relative:page;mso-position-vertical-relative:paragraph;z-index:24304" from="36.360001pt,24.715881pt" to="36.360001pt,55.315881pt" stroked="true" strokeweight=".72pt" strokecolor="#000000">
            <v:stroke dashstyle="solid"/>
            <w10:wrap type="none"/>
          </v:line>
        </w:pict>
      </w:r>
      <w:r>
        <w:rPr/>
        <w:t>(Continued)</w:t>
      </w:r>
    </w:p>
    <w:p>
      <w:pPr>
        <w:pStyle w:val="Heading2"/>
        <w:tabs>
          <w:tab w:pos="8511" w:val="left" w:leader="none"/>
        </w:tabs>
        <w:ind w:left="820"/>
        <w:rPr>
          <w:b w:val="0"/>
        </w:rPr>
      </w:pPr>
      <w:r>
        <w:rPr/>
        <w:t>CAPITAL OUTLAY BUDGET CHANGE</w:t>
      </w:r>
      <w:r>
        <w:rPr>
          <w:spacing w:val="-13"/>
        </w:rPr>
        <w:t> </w:t>
      </w:r>
      <w:r>
        <w:rPr/>
        <w:t>PROPOSALS</w:t>
      </w:r>
      <w:r>
        <w:rPr>
          <w:spacing w:val="-3"/>
        </w:rPr>
        <w:t> </w:t>
      </w:r>
      <w:r>
        <w:rPr/>
        <w:t>(COBCP)</w:t>
        <w:tab/>
        <w:t>6818 </w:t>
      </w:r>
      <w:r>
        <w:rPr>
          <w:b w:val="0"/>
        </w:rPr>
        <w:t>(Cont.</w:t>
      </w:r>
      <w:r>
        <w:rPr>
          <w:b w:val="0"/>
          <w:spacing w:val="-6"/>
        </w:rPr>
        <w:t> </w:t>
      </w:r>
      <w:r>
        <w:rPr>
          <w:b w:val="0"/>
          <w:strike/>
          <w:color w:val="2E97D3"/>
        </w:rPr>
        <w:t>7</w:t>
      </w:r>
      <w:r>
        <w:rPr>
          <w:b w:val="0"/>
          <w:strike w:val="0"/>
          <w:color w:val="2E97D3"/>
          <w:u w:val="single" w:color="2E97D3"/>
        </w:rPr>
        <w:t>4</w:t>
      </w:r>
      <w:r>
        <w:rPr>
          <w:b w:val="0"/>
          <w:strike w:val="0"/>
        </w:rPr>
        <w:t>)</w:t>
      </w:r>
    </w:p>
    <w:p>
      <w:pPr>
        <w:pStyle w:val="BodyText"/>
        <w:ind w:left="820"/>
      </w:pPr>
      <w:bookmarkStart w:name="(Revised 5/199811/2017)" w:id="77"/>
      <w:bookmarkEnd w:id="77"/>
      <w:r>
        <w:rPr/>
      </w:r>
      <w:r>
        <w:rPr/>
        <w:t>(Revised </w:t>
      </w:r>
      <w:r>
        <w:rPr>
          <w:strike/>
          <w:color w:val="2E97D3"/>
        </w:rPr>
        <w:t>5/1998</w:t>
      </w:r>
      <w:r>
        <w:rPr>
          <w:strike w:val="0"/>
          <w:color w:val="2E97D3"/>
          <w:u w:val="single" w:color="2E97D3"/>
        </w:rPr>
        <w:t>11/2017</w:t>
      </w:r>
      <w:r>
        <w:rPr>
          <w:strike w:val="0"/>
        </w:rPr>
        <w:t>)</w:t>
      </w:r>
    </w:p>
    <w:p>
      <w:pPr>
        <w:pStyle w:val="BodyText"/>
        <w:rPr>
          <w:sz w:val="20"/>
        </w:rPr>
      </w:pPr>
    </w:p>
    <w:p>
      <w:pPr>
        <w:pStyle w:val="ListParagraph"/>
        <w:numPr>
          <w:ilvl w:val="0"/>
          <w:numId w:val="69"/>
        </w:numPr>
        <w:tabs>
          <w:tab w:pos="1180" w:val="left" w:leader="none"/>
        </w:tabs>
        <w:spacing w:line="240" w:lineRule="auto" w:before="226" w:after="0"/>
        <w:ind w:left="1180" w:right="455" w:hanging="360"/>
        <w:jc w:val="left"/>
        <w:rPr>
          <w:sz w:val="24"/>
        </w:rPr>
      </w:pPr>
      <w:r>
        <w:rPr/>
        <w:pict>
          <v:line style="position:absolute;mso-position-horizontal-relative:page;mso-position-vertical-relative:paragraph;z-index:24328" from="36.360001pt,39.115868pt" to="36.360001pt,66.715868pt" stroked="true" strokeweight=".72pt" strokecolor="#000000">
            <v:stroke dashstyle="solid"/>
            <w10:wrap type="none"/>
          </v:line>
        </w:pict>
      </w:r>
      <w:r>
        <w:rPr>
          <w:b/>
          <w:sz w:val="24"/>
        </w:rPr>
        <w:t>If the need is not program related, explain the real property deficiency </w:t>
      </w:r>
      <w:r>
        <w:rPr>
          <w:sz w:val="24"/>
        </w:rPr>
        <w:t>in terms of specific mechanical/electrical system inadequacies, code requirements, maintenance/repair difficulties, etc. Include copies of </w:t>
      </w:r>
      <w:r>
        <w:rPr>
          <w:color w:val="2E97D3"/>
          <w:sz w:val="24"/>
          <w:u w:val="single" w:color="2E97D3"/>
        </w:rPr>
        <w:t>the </w:t>
      </w:r>
      <w:r>
        <w:rPr>
          <w:sz w:val="24"/>
        </w:rPr>
        <w:t>State Fire Marshal citations, </w:t>
      </w:r>
      <w:r>
        <w:rPr>
          <w:color w:val="2E97D3"/>
          <w:sz w:val="24"/>
          <w:u w:val="single" w:color="2E97D3"/>
        </w:rPr>
        <w:t>the </w:t>
      </w:r>
      <w:r>
        <w:rPr>
          <w:sz w:val="24"/>
        </w:rPr>
        <w:t>Department of Health Services citations, surveys, or other documents to substantiate</w:t>
      </w:r>
      <w:r>
        <w:rPr>
          <w:spacing w:val="-8"/>
          <w:sz w:val="24"/>
        </w:rPr>
        <w:t> </w:t>
      </w:r>
      <w:r>
        <w:rPr>
          <w:sz w:val="24"/>
        </w:rPr>
        <w:t>need.</w:t>
      </w:r>
    </w:p>
    <w:p>
      <w:pPr>
        <w:pStyle w:val="BodyText"/>
        <w:spacing w:before="120"/>
        <w:ind w:left="820"/>
      </w:pPr>
      <w:r>
        <w:rPr>
          <w:b/>
        </w:rPr>
        <w:t>Relationship of Project to Strategic Plan</w:t>
      </w:r>
      <w:r>
        <w:rPr/>
        <w:t>: Explain the project’s relevancy to the department’s strategic plan. Projects which lack a clear supporting relationship to the department’s strategic plan will be returned.</w:t>
      </w:r>
    </w:p>
    <w:p>
      <w:pPr>
        <w:pStyle w:val="BodyText"/>
        <w:spacing w:before="10"/>
        <w:rPr>
          <w:sz w:val="20"/>
        </w:rPr>
      </w:pPr>
    </w:p>
    <w:p>
      <w:pPr>
        <w:pStyle w:val="BodyText"/>
        <w:ind w:left="820"/>
      </w:pPr>
      <w:r>
        <w:rPr>
          <w:b/>
        </w:rPr>
        <w:t>Alternatives: </w:t>
      </w:r>
      <w:r>
        <w:rPr/>
        <w:t>Present all reasonable alternatives to solve the problem. In developing potential alternatives, address the following questions:</w:t>
      </w:r>
    </w:p>
    <w:p>
      <w:pPr>
        <w:pStyle w:val="BodyText"/>
        <w:spacing w:before="10"/>
        <w:rPr>
          <w:sz w:val="20"/>
        </w:rPr>
      </w:pPr>
    </w:p>
    <w:p>
      <w:pPr>
        <w:pStyle w:val="BodyText"/>
        <w:ind w:left="1180"/>
      </w:pPr>
      <w:r>
        <w:rPr>
          <w:strike/>
          <w:color w:val="2E97D3"/>
        </w:rPr>
        <w:t>1.</w:t>
      </w:r>
      <w:r>
        <w:rPr>
          <w:strike w:val="0"/>
          <w:color w:val="2E97D3"/>
          <w:u w:val="single" w:color="2E97D3"/>
        </w:rPr>
        <w:t>a................................................................................................................................ </w:t>
      </w:r>
      <w:r>
        <w:rPr>
          <w:strike w:val="0"/>
        </w:rPr>
        <w:t>P</w:t>
      </w:r>
    </w:p>
    <w:p>
      <w:pPr>
        <w:pStyle w:val="BodyText"/>
        <w:ind w:left="1540" w:right="395"/>
      </w:pPr>
      <w:r>
        <w:rPr/>
        <w:t>rogram delivery: are there different ways to achieve the same program outcomes?</w:t>
      </w:r>
    </w:p>
    <w:p>
      <w:pPr>
        <w:pStyle w:val="BodyText"/>
        <w:tabs>
          <w:tab w:pos="10246" w:val="right" w:leader="dot"/>
        </w:tabs>
        <w:spacing w:before="240"/>
        <w:ind w:left="1180"/>
      </w:pPr>
      <w:r>
        <w:rPr>
          <w:strike/>
          <w:color w:val="2E97D3"/>
        </w:rPr>
        <w:t>2.</w:t>
      </w:r>
      <w:r>
        <w:rPr>
          <w:strike w:val="0"/>
          <w:color w:val="2E97D3"/>
          <w:u w:val="single" w:color="2E97D3"/>
        </w:rPr>
        <w:t>b</w:t>
      </w:r>
      <w:r>
        <w:rPr>
          <w:strike w:val="0"/>
        </w:rPr>
        <w:tab/>
        <w:t>I</w:t>
      </w:r>
    </w:p>
    <w:p>
      <w:pPr>
        <w:pStyle w:val="BodyText"/>
        <w:ind w:left="1540"/>
      </w:pPr>
      <w:r>
        <w:rPr/>
        <w:t>s there more than one potential site?  What are the required site characteristics?</w:t>
      </w:r>
    </w:p>
    <w:p>
      <w:pPr>
        <w:pStyle w:val="BodyText"/>
        <w:spacing w:before="10"/>
        <w:rPr>
          <w:sz w:val="20"/>
        </w:rPr>
      </w:pPr>
    </w:p>
    <w:p>
      <w:pPr>
        <w:pStyle w:val="BodyText"/>
        <w:ind w:left="1180"/>
      </w:pPr>
      <w:r>
        <w:rPr>
          <w:strike/>
          <w:color w:val="2E97D3"/>
        </w:rPr>
        <w:t>3.</w:t>
      </w:r>
      <w:r>
        <w:rPr>
          <w:strike w:val="0"/>
          <w:color w:val="2E97D3"/>
          <w:u w:val="single" w:color="2E97D3"/>
        </w:rPr>
        <w:t>c.</w:t>
      </w:r>
      <w:r>
        <w:rPr>
          <w:strike w:val="0"/>
          <w:color w:val="2E97D3"/>
          <w:spacing w:val="-52"/>
          <w:u w:val="single" w:color="2E97D3"/>
        </w:rPr>
        <w:t> </w:t>
      </w:r>
      <w:r>
        <w:rPr>
          <w:strike w:val="0"/>
          <w:color w:val="2E97D3"/>
          <w:u w:val="single" w:color="2E97D3"/>
        </w:rPr>
        <w:t>............................................................................................................................... </w:t>
      </w:r>
      <w:r>
        <w:rPr>
          <w:strike w:val="0"/>
        </w:rPr>
        <w:t>G</w:t>
      </w:r>
    </w:p>
    <w:p>
      <w:pPr>
        <w:pStyle w:val="BodyText"/>
        <w:ind w:left="1540" w:right="503"/>
        <w:jc w:val="both"/>
      </w:pPr>
      <w:r>
        <w:rPr/>
        <w:t>iven a specific site, are there alternative facility solutions? For new construction or capitalized leasing proposals, submit an economic analysis comparing facility alternatives over a 25-year period (i.e., compare straight lease, lease-purchase, new building construction, renovation of existing facility, etc.).</w:t>
      </w:r>
    </w:p>
    <w:p>
      <w:pPr>
        <w:pStyle w:val="BodyText"/>
        <w:spacing w:before="10"/>
        <w:rPr>
          <w:sz w:val="20"/>
        </w:rPr>
      </w:pPr>
    </w:p>
    <w:p>
      <w:pPr>
        <w:pStyle w:val="BodyText"/>
        <w:ind w:left="1180"/>
      </w:pPr>
      <w:r>
        <w:rPr>
          <w:strike/>
          <w:color w:val="2E97D3"/>
        </w:rPr>
        <w:t>4.</w:t>
      </w:r>
      <w:r>
        <w:rPr>
          <w:strike w:val="0"/>
          <w:color w:val="2E97D3"/>
          <w:u w:val="single" w:color="2E97D3"/>
        </w:rPr>
        <w:t>d................................................................................................................................ </w:t>
      </w:r>
      <w:r>
        <w:rPr>
          <w:strike w:val="0"/>
        </w:rPr>
        <w:t>W</w:t>
      </w:r>
    </w:p>
    <w:p>
      <w:pPr>
        <w:pStyle w:val="BodyText"/>
        <w:ind w:left="1540" w:right="395"/>
      </w:pPr>
      <w:r>
        <w:rPr/>
        <w:t>hat are the alternative funding solutions? Which state funds sources are available? Are funding partnerships feasible with other state agencies or other levels of government?</w:t>
      </w:r>
    </w:p>
    <w:p>
      <w:pPr>
        <w:pStyle w:val="BodyText"/>
        <w:spacing w:before="10"/>
        <w:rPr>
          <w:sz w:val="20"/>
        </w:rPr>
      </w:pPr>
    </w:p>
    <w:p>
      <w:pPr>
        <w:pStyle w:val="BodyText"/>
        <w:ind w:left="1180"/>
      </w:pPr>
      <w:r>
        <w:rPr>
          <w:strike/>
          <w:color w:val="2E97D3"/>
        </w:rPr>
        <w:t>5.</w:t>
      </w:r>
      <w:r>
        <w:rPr>
          <w:strike w:val="0"/>
          <w:color w:val="2E97D3"/>
          <w:u w:val="single" w:color="2E97D3"/>
        </w:rPr>
        <w:t>e................................................................................................................................ </w:t>
      </w:r>
      <w:r>
        <w:rPr>
          <w:strike w:val="0"/>
        </w:rPr>
        <w:t>W</w:t>
      </w:r>
    </w:p>
    <w:p>
      <w:pPr>
        <w:pStyle w:val="BodyText"/>
        <w:ind w:left="1540"/>
      </w:pPr>
      <w:r>
        <w:rPr/>
        <w:t>hat other management factors are critical in selecting an alternative?</w:t>
      </w:r>
    </w:p>
    <w:p>
      <w:pPr>
        <w:pStyle w:val="BodyText"/>
        <w:spacing w:before="7"/>
        <w:rPr>
          <w:sz w:val="20"/>
        </w:rPr>
      </w:pPr>
    </w:p>
    <w:p>
      <w:pPr>
        <w:pStyle w:val="BodyText"/>
        <w:ind w:left="1180"/>
      </w:pPr>
      <w:r>
        <w:rPr>
          <w:strike/>
          <w:color w:val="2E97D3"/>
        </w:rPr>
        <w:t>6.</w:t>
      </w:r>
      <w:r>
        <w:rPr>
          <w:strike w:val="0"/>
          <w:color w:val="2E97D3"/>
          <w:u w:val="single" w:color="2E97D3"/>
        </w:rPr>
        <w:t>f. </w:t>
      </w:r>
      <w:r>
        <w:rPr>
          <w:strike w:val="0"/>
        </w:rPr>
        <w:t>For each alternative, provide the following information </w:t>
      </w:r>
      <w:r>
        <w:rPr>
          <w:i/>
          <w:strike w:val="0"/>
        </w:rPr>
        <w:t>in brief</w:t>
      </w:r>
      <w:r>
        <w:rPr>
          <w:strike w:val="0"/>
        </w:rPr>
        <w:t>:</w:t>
      </w:r>
    </w:p>
    <w:p>
      <w:pPr>
        <w:pStyle w:val="BodyText"/>
        <w:rPr>
          <w:sz w:val="21"/>
        </w:rPr>
      </w:pPr>
    </w:p>
    <w:p>
      <w:pPr>
        <w:pStyle w:val="ListParagraph"/>
        <w:numPr>
          <w:ilvl w:val="0"/>
          <w:numId w:val="70"/>
        </w:numPr>
        <w:tabs>
          <w:tab w:pos="1540" w:val="left" w:leader="none"/>
        </w:tabs>
        <w:spacing w:line="240" w:lineRule="auto" w:before="0" w:after="0"/>
        <w:ind w:left="1540" w:right="0" w:hanging="360"/>
        <w:jc w:val="left"/>
        <w:rPr>
          <w:sz w:val="24"/>
        </w:rPr>
      </w:pPr>
      <w:r>
        <w:rPr>
          <w:sz w:val="24"/>
        </w:rPr>
        <w:t>Description of</w:t>
      </w:r>
      <w:r>
        <w:rPr>
          <w:spacing w:val="-15"/>
          <w:sz w:val="24"/>
        </w:rPr>
        <w:t> </w:t>
      </w:r>
      <w:r>
        <w:rPr>
          <w:sz w:val="24"/>
        </w:rPr>
        <w:t>alternative;</w:t>
      </w:r>
    </w:p>
    <w:p>
      <w:pPr>
        <w:pStyle w:val="ListParagraph"/>
        <w:numPr>
          <w:ilvl w:val="0"/>
          <w:numId w:val="70"/>
        </w:numPr>
        <w:tabs>
          <w:tab w:pos="1540" w:val="left" w:leader="none"/>
        </w:tabs>
        <w:spacing w:line="240" w:lineRule="auto" w:before="119" w:after="0"/>
        <w:ind w:left="1540" w:right="0" w:hanging="360"/>
        <w:jc w:val="left"/>
        <w:rPr>
          <w:sz w:val="24"/>
        </w:rPr>
      </w:pPr>
      <w:r>
        <w:rPr>
          <w:sz w:val="24"/>
        </w:rPr>
        <w:t>Overview of</w:t>
      </w:r>
      <w:r>
        <w:rPr>
          <w:spacing w:val="-9"/>
          <w:sz w:val="24"/>
        </w:rPr>
        <w:t> </w:t>
      </w:r>
      <w:r>
        <w:rPr>
          <w:sz w:val="24"/>
        </w:rPr>
        <w:t>scope;</w:t>
      </w:r>
    </w:p>
    <w:p>
      <w:pPr>
        <w:pStyle w:val="ListParagraph"/>
        <w:numPr>
          <w:ilvl w:val="0"/>
          <w:numId w:val="70"/>
        </w:numPr>
        <w:tabs>
          <w:tab w:pos="1540" w:val="left" w:leader="none"/>
        </w:tabs>
        <w:spacing w:line="240" w:lineRule="auto" w:before="119" w:after="0"/>
        <w:ind w:left="1540" w:right="1104" w:hanging="360"/>
        <w:jc w:val="left"/>
        <w:rPr>
          <w:sz w:val="24"/>
        </w:rPr>
      </w:pPr>
      <w:r>
        <w:rPr>
          <w:sz w:val="24"/>
        </w:rPr>
        <w:t>Total cost of all phases of the project (use only approved cost indices, and identify both short term and life-cycle</w:t>
      </w:r>
      <w:r>
        <w:rPr>
          <w:spacing w:val="-21"/>
          <w:sz w:val="24"/>
        </w:rPr>
        <w:t> </w:t>
      </w:r>
      <w:r>
        <w:rPr>
          <w:sz w:val="24"/>
        </w:rPr>
        <w:t>costs);</w:t>
      </w:r>
    </w:p>
    <w:p>
      <w:pPr>
        <w:pStyle w:val="ListParagraph"/>
        <w:numPr>
          <w:ilvl w:val="0"/>
          <w:numId w:val="70"/>
        </w:numPr>
        <w:tabs>
          <w:tab w:pos="1540" w:val="left" w:leader="none"/>
        </w:tabs>
        <w:spacing w:line="240" w:lineRule="auto" w:before="119" w:after="0"/>
        <w:ind w:left="1540" w:right="0" w:hanging="360"/>
        <w:jc w:val="left"/>
        <w:rPr>
          <w:sz w:val="24"/>
        </w:rPr>
      </w:pPr>
      <w:r>
        <w:rPr>
          <w:sz w:val="24"/>
        </w:rPr>
        <w:t>Funding source, including project eligibility for that</w:t>
      </w:r>
      <w:r>
        <w:rPr>
          <w:spacing w:val="-29"/>
          <w:sz w:val="24"/>
        </w:rPr>
        <w:t> </w:t>
      </w:r>
      <w:r>
        <w:rPr>
          <w:sz w:val="24"/>
        </w:rPr>
        <w:t>source;</w:t>
      </w:r>
    </w:p>
    <w:p>
      <w:pPr>
        <w:spacing w:after="0" w:line="240" w:lineRule="auto"/>
        <w:jc w:val="left"/>
        <w:rPr>
          <w:sz w:val="24"/>
        </w:rPr>
        <w:sectPr>
          <w:pgSz w:w="12240" w:h="15840"/>
          <w:pgMar w:header="724" w:footer="792" w:top="980" w:bottom="980" w:left="620" w:right="1100"/>
        </w:sectPr>
      </w:pPr>
    </w:p>
    <w:p>
      <w:pPr>
        <w:pStyle w:val="BodyText"/>
        <w:rPr>
          <w:sz w:val="20"/>
        </w:rPr>
      </w:pPr>
    </w:p>
    <w:p>
      <w:pPr>
        <w:pStyle w:val="ListParagraph"/>
        <w:numPr>
          <w:ilvl w:val="0"/>
          <w:numId w:val="70"/>
        </w:numPr>
        <w:tabs>
          <w:tab w:pos="1540" w:val="left" w:leader="none"/>
        </w:tabs>
        <w:spacing w:line="240" w:lineRule="auto" w:before="214" w:after="0"/>
        <w:ind w:left="1540" w:right="458" w:hanging="360"/>
        <w:jc w:val="left"/>
        <w:rPr>
          <w:sz w:val="24"/>
        </w:rPr>
      </w:pPr>
      <w:r>
        <w:rPr>
          <w:sz w:val="24"/>
        </w:rPr>
        <w:t>Summary of related program benefits and costs (include impacts on the support budget such as personnel years and operating costs specific to the</w:t>
      </w:r>
      <w:r>
        <w:rPr>
          <w:spacing w:val="-34"/>
          <w:sz w:val="24"/>
        </w:rPr>
        <w:t> </w:t>
      </w:r>
      <w:r>
        <w:rPr>
          <w:sz w:val="24"/>
        </w:rPr>
        <w:t>program).</w:t>
      </w:r>
    </w:p>
    <w:p>
      <w:pPr>
        <w:pStyle w:val="BodyText"/>
        <w:ind w:left="1539"/>
      </w:pPr>
      <w:r>
        <w:rPr/>
        <w:t>Indicate if a support BCP will be required, and when; and</w:t>
      </w:r>
    </w:p>
    <w:p>
      <w:pPr>
        <w:pStyle w:val="ListParagraph"/>
        <w:numPr>
          <w:ilvl w:val="0"/>
          <w:numId w:val="70"/>
        </w:numPr>
        <w:tabs>
          <w:tab w:pos="1539" w:val="left" w:leader="none"/>
          <w:tab w:pos="1540" w:val="left" w:leader="none"/>
        </w:tabs>
        <w:spacing w:line="240" w:lineRule="auto" w:before="120" w:after="0"/>
        <w:ind w:left="1540" w:right="592" w:hanging="360"/>
        <w:jc w:val="left"/>
        <w:rPr>
          <w:sz w:val="24"/>
        </w:rPr>
      </w:pPr>
      <w:r>
        <w:rPr>
          <w:sz w:val="24"/>
        </w:rPr>
        <w:t>Summary of facility management benefits, such as impact on the department’s maintenance budget, extension of the facility’s design life,</w:t>
      </w:r>
      <w:r>
        <w:rPr>
          <w:spacing w:val="-29"/>
          <w:sz w:val="24"/>
        </w:rPr>
        <w:t> </w:t>
      </w:r>
      <w:r>
        <w:rPr>
          <w:sz w:val="24"/>
        </w:rPr>
        <w:t>etc.</w:t>
      </w:r>
    </w:p>
    <w:p>
      <w:pPr>
        <w:pStyle w:val="BodyText"/>
        <w:spacing w:line="550" w:lineRule="atLeast" w:before="122"/>
        <w:ind w:left="820" w:right="8365"/>
      </w:pPr>
      <w:r>
        <w:rPr/>
        <w:pict>
          <v:line style="position:absolute;mso-position-horizontal-relative:page;mso-position-vertical-relative:paragraph;z-index:24400" from="36.360001pt,6.217004pt" to="36.360001pt,20.017004pt" stroked="true" strokeweight=".72pt" strokecolor="#000000">
            <v:stroke dashstyle="solid"/>
            <w10:wrap type="none"/>
          </v:line>
        </w:pict>
      </w:r>
      <w:r>
        <w:rPr/>
        <w:pict>
          <v:line style="position:absolute;mso-position-horizontal-relative:page;mso-position-vertical-relative:paragraph;z-index:24424" from="36.360001pt,33.818005pt" to="36.360001pt,122.617005pt" stroked="true" strokeweight=".72pt" strokecolor="#000000">
            <v:stroke dashstyle="solid"/>
            <w10:wrap type="none"/>
          </v:line>
        </w:pict>
      </w:r>
      <w:r>
        <w:rPr/>
        <w:t>(Continued) </w:t>
      </w:r>
      <w:r>
        <w:rPr>
          <w:color w:val="2C6234"/>
          <w:u w:val="thick" w:color="2C6234"/>
        </w:rPr>
        <w:t>(Continued)</w:t>
      </w:r>
    </w:p>
    <w:p>
      <w:pPr>
        <w:pStyle w:val="Heading2"/>
        <w:tabs>
          <w:tab w:pos="8646" w:val="left" w:leader="none"/>
        </w:tabs>
        <w:ind w:left="820"/>
        <w:rPr>
          <w:b w:val="0"/>
        </w:rPr>
      </w:pPr>
      <w:r>
        <w:rPr/>
        <w:pict>
          <v:group style="position:absolute;margin-left:71.699997pt;margin-top:11.735869pt;width:468.6pt;height:2.2pt;mso-position-horizontal-relative:page;mso-position-vertical-relative:paragraph;z-index:-448312" coordorigin="1434,235" coordsize="9372,44">
            <v:line style="position:absolute" from="1440,241" to="10800,241" stroked="true" strokeweight=".6pt" strokecolor="#2c6234">
              <v:stroke dashstyle="solid"/>
            </v:line>
            <v:line style="position:absolute" from="1440,272" to="10800,272" stroked="true" strokeweight=".599pt" strokecolor="#2c6234">
              <v:stroke dashstyle="solid"/>
            </v:line>
            <w10:wrap type="none"/>
          </v:group>
        </w:pict>
      </w:r>
      <w:r>
        <w:rPr>
          <w:color w:val="2C6234"/>
        </w:rPr>
        <w:t>CAPITAL OUTLAY BUDGET CHANGE</w:t>
      </w:r>
      <w:r>
        <w:rPr>
          <w:color w:val="2C6234"/>
          <w:spacing w:val="-13"/>
        </w:rPr>
        <w:t> </w:t>
      </w:r>
      <w:r>
        <w:rPr>
          <w:color w:val="2C6234"/>
        </w:rPr>
        <w:t>PROPOSALS</w:t>
      </w:r>
      <w:r>
        <w:rPr>
          <w:color w:val="2C6234"/>
          <w:spacing w:val="-3"/>
        </w:rPr>
        <w:t> </w:t>
      </w:r>
      <w:r>
        <w:rPr>
          <w:color w:val="2C6234"/>
        </w:rPr>
        <w:t>(COBCP)</w:t>
        <w:tab/>
        <w:t>6818 </w:t>
      </w:r>
      <w:r>
        <w:rPr>
          <w:b w:val="0"/>
          <w:color w:val="2C6234"/>
        </w:rPr>
        <w:t>(Cont.</w:t>
      </w:r>
      <w:r>
        <w:rPr>
          <w:b w:val="0"/>
          <w:color w:val="2C6234"/>
          <w:spacing w:val="-6"/>
        </w:rPr>
        <w:t> </w:t>
      </w:r>
      <w:r>
        <w:rPr>
          <w:b w:val="0"/>
          <w:color w:val="2C6234"/>
        </w:rPr>
        <w:t>5)</w:t>
      </w:r>
    </w:p>
    <w:p>
      <w:pPr>
        <w:pStyle w:val="BodyText"/>
        <w:ind w:left="820"/>
      </w:pPr>
      <w:r>
        <w:rPr>
          <w:strike/>
          <w:color w:val="2C6234"/>
        </w:rPr>
        <w:t>(Continued)</w:t>
      </w:r>
    </w:p>
    <w:p>
      <w:pPr>
        <w:pStyle w:val="Heading2"/>
        <w:tabs>
          <w:tab w:pos="8646" w:val="left" w:leader="none"/>
        </w:tabs>
        <w:ind w:left="820"/>
        <w:rPr>
          <w:b w:val="0"/>
        </w:rPr>
      </w:pPr>
      <w:r>
        <w:rPr/>
        <w:pict>
          <v:group style="position:absolute;margin-left:71.699997pt;margin-top:7.535832pt;width:468.6pt;height:1.8pt;mso-position-horizontal-relative:page;mso-position-vertical-relative:paragraph;z-index:-448288" coordorigin="1434,151" coordsize="9372,36">
            <v:line style="position:absolute" from="1440,181" to="10800,181" stroked="true" strokeweight=".599pt" strokecolor="#2c6234">
              <v:stroke dashstyle="solid"/>
            </v:line>
            <v:line style="position:absolute" from="1440,157" to="10800,157" stroked="true" strokeweight=".6pt" strokecolor="#2c6234">
              <v:stroke dashstyle="solid"/>
            </v:line>
            <w10:wrap type="none"/>
          </v:group>
        </w:pict>
      </w:r>
      <w:r>
        <w:rPr>
          <w:color w:val="2C6234"/>
        </w:rPr>
        <w:t>CAPITAL OUTLAY BUDGET CHANGE</w:t>
      </w:r>
      <w:r>
        <w:rPr>
          <w:color w:val="2C6234"/>
          <w:spacing w:val="-13"/>
        </w:rPr>
        <w:t> </w:t>
      </w:r>
      <w:r>
        <w:rPr>
          <w:color w:val="2C6234"/>
        </w:rPr>
        <w:t>PROPOSALS</w:t>
      </w:r>
      <w:r>
        <w:rPr>
          <w:color w:val="2C6234"/>
          <w:spacing w:val="-3"/>
        </w:rPr>
        <w:t> </w:t>
      </w:r>
      <w:r>
        <w:rPr>
          <w:color w:val="2C6234"/>
        </w:rPr>
        <w:t>(COBCP)</w:t>
        <w:tab/>
        <w:t>6818 </w:t>
      </w:r>
      <w:r>
        <w:rPr>
          <w:b w:val="0"/>
          <w:color w:val="2C6234"/>
        </w:rPr>
        <w:t>(Cont.</w:t>
      </w:r>
      <w:r>
        <w:rPr>
          <w:b w:val="0"/>
          <w:color w:val="2C6234"/>
          <w:spacing w:val="-6"/>
        </w:rPr>
        <w:t> </w:t>
      </w:r>
      <w:r>
        <w:rPr>
          <w:b w:val="0"/>
          <w:color w:val="2C6234"/>
        </w:rPr>
        <w:t>8)</w:t>
      </w:r>
    </w:p>
    <w:p>
      <w:pPr>
        <w:pStyle w:val="BodyText"/>
        <w:ind w:left="820"/>
      </w:pPr>
      <w:r>
        <w:rPr/>
        <w:t>(Revised </w:t>
      </w:r>
      <w:r>
        <w:rPr>
          <w:strike/>
          <w:color w:val="2E97D3"/>
        </w:rPr>
        <w:t>5/1998</w:t>
      </w:r>
      <w:r>
        <w:rPr>
          <w:strike w:val="0"/>
          <w:color w:val="2E97D3"/>
          <w:u w:val="single" w:color="2E97D3"/>
        </w:rPr>
        <w:t>11/2017</w:t>
      </w:r>
      <w:r>
        <w:rPr>
          <w:strike w:val="0"/>
        </w:rPr>
        <w:t>)</w:t>
      </w:r>
    </w:p>
    <w:p>
      <w:pPr>
        <w:pStyle w:val="Heading2"/>
        <w:spacing w:before="120"/>
        <w:ind w:left="820"/>
        <w:rPr>
          <w:b w:val="0"/>
        </w:rPr>
      </w:pPr>
      <w:r>
        <w:rPr/>
        <w:t>Recommended Solution and Why</w:t>
      </w:r>
      <w:r>
        <w:rPr>
          <w:b w:val="0"/>
        </w:rPr>
        <w:t>:</w:t>
      </w:r>
    </w:p>
    <w:p>
      <w:pPr>
        <w:pStyle w:val="BodyText"/>
        <w:spacing w:line="274" w:lineRule="exact" w:before="126"/>
        <w:ind w:left="820" w:right="561"/>
      </w:pPr>
      <w:r>
        <w:rPr/>
        <w:t>Which is the best alternative, and why? Describe the recommended alternative in detail</w:t>
      </w:r>
      <w:r>
        <w:rPr>
          <w:i/>
        </w:rPr>
        <w:t>.  </w:t>
      </w:r>
      <w:r>
        <w:rPr/>
        <w:t>This description is the basis on which initial scope will be defined.</w:t>
      </w:r>
    </w:p>
    <w:p>
      <w:pPr>
        <w:pStyle w:val="BodyText"/>
        <w:spacing w:before="8"/>
        <w:rPr>
          <w:sz w:val="20"/>
        </w:rPr>
      </w:pPr>
    </w:p>
    <w:p>
      <w:pPr>
        <w:pStyle w:val="ListParagraph"/>
        <w:numPr>
          <w:ilvl w:val="0"/>
          <w:numId w:val="71"/>
        </w:numPr>
        <w:tabs>
          <w:tab w:pos="1180" w:val="left" w:leader="none"/>
        </w:tabs>
        <w:spacing w:line="240" w:lineRule="auto" w:before="0" w:after="0"/>
        <w:ind w:left="1180" w:right="361" w:hanging="360"/>
        <w:jc w:val="left"/>
        <w:rPr>
          <w:sz w:val="24"/>
        </w:rPr>
      </w:pPr>
      <w:r>
        <w:rPr>
          <w:sz w:val="24"/>
        </w:rPr>
        <w:t>All factors influencing site selection must be fully justified</w:t>
      </w:r>
      <w:r>
        <w:rPr>
          <w:b/>
          <w:sz w:val="24"/>
        </w:rPr>
        <w:t>. For land acquisition projects where a specific site is already selected</w:t>
      </w:r>
      <w:r>
        <w:rPr>
          <w:sz w:val="24"/>
        </w:rPr>
        <w:t>, identify why that site is critical. Address landscape character; existing resource values; existing access, utilities and structures (and how they would be used); and statewide</w:t>
      </w:r>
      <w:r>
        <w:rPr>
          <w:spacing w:val="-33"/>
          <w:sz w:val="24"/>
        </w:rPr>
        <w:t> </w:t>
      </w:r>
      <w:r>
        <w:rPr>
          <w:sz w:val="24"/>
        </w:rPr>
        <w:t>significance.</w:t>
      </w:r>
    </w:p>
    <w:p>
      <w:pPr>
        <w:pStyle w:val="BodyText"/>
        <w:spacing w:before="9"/>
        <w:rPr>
          <w:sz w:val="20"/>
        </w:rPr>
      </w:pPr>
    </w:p>
    <w:p>
      <w:pPr>
        <w:pStyle w:val="ListParagraph"/>
        <w:numPr>
          <w:ilvl w:val="0"/>
          <w:numId w:val="71"/>
        </w:numPr>
        <w:tabs>
          <w:tab w:pos="1180" w:val="left" w:leader="none"/>
        </w:tabs>
        <w:spacing w:line="240" w:lineRule="auto" w:before="0" w:after="0"/>
        <w:ind w:left="1180" w:right="336" w:hanging="360"/>
        <w:jc w:val="both"/>
        <w:rPr>
          <w:sz w:val="24"/>
        </w:rPr>
      </w:pPr>
      <w:r>
        <w:rPr>
          <w:sz w:val="24"/>
        </w:rPr>
        <w:t>If the recommended solution is not the least expensive, describe the factors/benefits that justify the extra cost. (This justification could address life cycle savings, support budget offsets, or other program/management</w:t>
      </w:r>
      <w:r>
        <w:rPr>
          <w:spacing w:val="-31"/>
          <w:sz w:val="24"/>
        </w:rPr>
        <w:t> </w:t>
      </w:r>
      <w:r>
        <w:rPr>
          <w:sz w:val="24"/>
        </w:rPr>
        <w:t>factors.)</w:t>
      </w:r>
    </w:p>
    <w:p>
      <w:pPr>
        <w:pStyle w:val="BodyText"/>
        <w:spacing w:before="9"/>
        <w:rPr>
          <w:sz w:val="20"/>
        </w:rPr>
      </w:pPr>
    </w:p>
    <w:p>
      <w:pPr>
        <w:pStyle w:val="ListParagraph"/>
        <w:numPr>
          <w:ilvl w:val="0"/>
          <w:numId w:val="71"/>
        </w:numPr>
        <w:tabs>
          <w:tab w:pos="1180" w:val="left" w:leader="none"/>
        </w:tabs>
        <w:spacing w:line="240" w:lineRule="auto" w:before="0" w:after="0"/>
        <w:ind w:left="1180" w:right="0" w:hanging="360"/>
        <w:jc w:val="left"/>
        <w:rPr>
          <w:sz w:val="24"/>
        </w:rPr>
      </w:pPr>
      <w:r>
        <w:rPr>
          <w:sz w:val="24"/>
        </w:rPr>
        <w:t>Provide a detailed scope description.</w:t>
      </w:r>
      <w:r>
        <w:rPr>
          <w:spacing w:val="45"/>
          <w:sz w:val="24"/>
        </w:rPr>
        <w:t> </w:t>
      </w:r>
      <w:r>
        <w:rPr>
          <w:sz w:val="24"/>
        </w:rPr>
        <w:t>Include:</w:t>
      </w:r>
    </w:p>
    <w:p>
      <w:pPr>
        <w:pStyle w:val="BodyText"/>
        <w:spacing w:before="9"/>
        <w:rPr>
          <w:sz w:val="20"/>
        </w:rPr>
      </w:pPr>
    </w:p>
    <w:p>
      <w:pPr>
        <w:pStyle w:val="BodyText"/>
        <w:ind w:left="820"/>
      </w:pPr>
      <w:r>
        <w:rPr>
          <w:strike/>
          <w:color w:val="2E97D3"/>
        </w:rPr>
        <w:t>a.</w:t>
      </w:r>
      <w:r>
        <w:rPr>
          <w:strike w:val="0"/>
          <w:color w:val="2E97D3"/>
          <w:u w:val="single" w:color="2E97D3"/>
        </w:rPr>
        <w:t>6. .................................................................................................................................... </w:t>
      </w:r>
      <w:r>
        <w:rPr>
          <w:strike w:val="0"/>
        </w:rPr>
        <w:t>S</w:t>
      </w:r>
    </w:p>
    <w:p>
      <w:pPr>
        <w:pStyle w:val="BodyText"/>
        <w:ind w:left="1180" w:right="334"/>
      </w:pPr>
      <w:r>
        <w:rPr/>
        <w:t>pecific program needs to be addressed through the project, including: proposed size (number of stories, gross and usable/assignable square feet, etc.); special features (food service, auditoriums, child care facilities, etc.); special Group 1 or Group 2 equipment needs; types of basic materials to be used if known; and any other items that will allow full understanding of the proposed project. Include any project drawings or renderings if available.</w:t>
      </w:r>
    </w:p>
    <w:p>
      <w:pPr>
        <w:pStyle w:val="BodyText"/>
        <w:spacing w:before="120"/>
        <w:ind w:left="820"/>
      </w:pPr>
      <w:r>
        <w:rPr>
          <w:strike/>
          <w:color w:val="2E97D3"/>
        </w:rPr>
        <w:t>b.</w:t>
      </w:r>
      <w:r>
        <w:rPr>
          <w:strike w:val="0"/>
          <w:color w:val="2E97D3"/>
          <w:u w:val="single" w:color="2E97D3"/>
        </w:rPr>
        <w:t>7. .................................................................................................................................... </w:t>
      </w:r>
      <w:r>
        <w:rPr>
          <w:strike w:val="0"/>
        </w:rPr>
        <w:t>S</w:t>
      </w:r>
    </w:p>
    <w:p>
      <w:pPr>
        <w:pStyle w:val="BodyText"/>
        <w:ind w:left="1180" w:right="268"/>
      </w:pPr>
      <w:r>
        <w:rPr/>
        <w:t>pecific location of the project, including a vicinity map that describes the area served. If the project is for a replacement facility, explain how Group 2 replacement equipment will be funded.</w:t>
      </w:r>
    </w:p>
    <w:p>
      <w:pPr>
        <w:pStyle w:val="BodyText"/>
        <w:spacing w:before="120"/>
        <w:ind w:left="820"/>
      </w:pPr>
      <w:r>
        <w:rPr>
          <w:strike/>
          <w:color w:val="2E97D3"/>
        </w:rPr>
        <w:t>c.</w:t>
      </w:r>
      <w:r>
        <w:rPr>
          <w:strike w:val="0"/>
          <w:color w:val="2E97D3"/>
          <w:u w:val="single" w:color="2E97D3"/>
        </w:rPr>
        <w:t>8. .................................................................................................................................... </w:t>
      </w:r>
      <w:r>
        <w:rPr>
          <w:strike w:val="0"/>
        </w:rPr>
        <w:t>F</w:t>
      </w:r>
    </w:p>
    <w:p>
      <w:pPr>
        <w:pStyle w:val="BodyText"/>
        <w:ind w:left="1180" w:right="455"/>
      </w:pPr>
      <w:r>
        <w:rPr/>
        <w:t>or land acquisition projects, an inventory of existing structures and the approximate appraised value of each parcel (or group of parcels), including the basis for the appraisal (staff appraisals, previous sales, AIA appraisal, etc.). Upon formal request, DGS will assist departments in preparing this information (specifically, parcel values, site selection factors and the economic analysis).</w:t>
      </w:r>
    </w:p>
    <w:p>
      <w:pPr>
        <w:spacing w:after="0"/>
        <w:sectPr>
          <w:pgSz w:w="12240" w:h="15840"/>
          <w:pgMar w:header="724" w:footer="792" w:top="980" w:bottom="980" w:left="620" w:right="1160"/>
        </w:sectPr>
      </w:pPr>
    </w:p>
    <w:p>
      <w:pPr>
        <w:pStyle w:val="BodyText"/>
        <w:rPr>
          <w:sz w:val="20"/>
        </w:rPr>
      </w:pPr>
    </w:p>
    <w:p>
      <w:pPr>
        <w:pStyle w:val="ListParagraph"/>
        <w:numPr>
          <w:ilvl w:val="0"/>
          <w:numId w:val="71"/>
        </w:numPr>
        <w:tabs>
          <w:tab w:pos="480" w:val="left" w:leader="none"/>
        </w:tabs>
        <w:spacing w:line="240" w:lineRule="auto" w:before="214" w:after="0"/>
        <w:ind w:left="480" w:right="685" w:hanging="360"/>
        <w:jc w:val="left"/>
        <w:rPr>
          <w:sz w:val="24"/>
        </w:rPr>
      </w:pPr>
      <w:r>
        <w:rPr>
          <w:sz w:val="24"/>
        </w:rPr>
        <w:t>Provide a proposed project time schedule that takes into consideration the environmental review process.  Section 6846 describes the required</w:t>
      </w:r>
      <w:r>
        <w:rPr>
          <w:spacing w:val="-35"/>
          <w:sz w:val="24"/>
        </w:rPr>
        <w:t> </w:t>
      </w:r>
      <w:r>
        <w:rPr>
          <w:sz w:val="24"/>
        </w:rPr>
        <w:t>format.</w:t>
      </w:r>
    </w:p>
    <w:p>
      <w:pPr>
        <w:pStyle w:val="BodyText"/>
        <w:rPr>
          <w:sz w:val="21"/>
        </w:rPr>
      </w:pPr>
    </w:p>
    <w:p>
      <w:pPr>
        <w:pStyle w:val="BodyText"/>
        <w:spacing w:before="1"/>
        <w:ind w:left="119"/>
      </w:pPr>
      <w:r>
        <w:rPr/>
        <w:t>(Continued)</w:t>
      </w:r>
    </w:p>
    <w:p>
      <w:pPr>
        <w:spacing w:after="0"/>
        <w:sectPr>
          <w:pgSz w:w="12240" w:h="15840"/>
          <w:pgMar w:header="724" w:footer="792" w:top="980" w:bottom="980" w:left="1320" w:right="1720"/>
        </w:sectPr>
      </w:pPr>
    </w:p>
    <w:p>
      <w:pPr>
        <w:pStyle w:val="BodyText"/>
        <w:rPr>
          <w:sz w:val="20"/>
        </w:rPr>
      </w:pPr>
    </w:p>
    <w:p>
      <w:pPr>
        <w:pStyle w:val="BodyText"/>
        <w:spacing w:before="214"/>
        <w:ind w:left="819"/>
      </w:pPr>
      <w:r>
        <w:rPr/>
        <w:pict>
          <v:line style="position:absolute;mso-position-horizontal-relative:page;mso-position-vertical-relative:paragraph;z-index:24472" from="36.360001pt,24.715881pt" to="36.360001pt,64.315881pt" stroked="true" strokeweight=".72pt" strokecolor="#000000">
            <v:stroke dashstyle="solid"/>
            <w10:wrap type="none"/>
          </v:line>
        </w:pict>
      </w:r>
      <w:r>
        <w:rPr/>
        <w:t>(Continued)</w:t>
      </w:r>
    </w:p>
    <w:p>
      <w:pPr>
        <w:pStyle w:val="Heading2"/>
        <w:tabs>
          <w:tab w:pos="8511" w:val="left" w:leader="none"/>
        </w:tabs>
        <w:ind w:left="820"/>
        <w:rPr>
          <w:b w:val="0"/>
        </w:rPr>
      </w:pPr>
      <w:r>
        <w:rPr/>
        <w:t>CAPITAL OUTLAY BUDGET CHANGE</w:t>
      </w:r>
      <w:r>
        <w:rPr>
          <w:spacing w:val="-13"/>
        </w:rPr>
        <w:t> </w:t>
      </w:r>
      <w:r>
        <w:rPr/>
        <w:t>PROPOSALS</w:t>
      </w:r>
      <w:r>
        <w:rPr>
          <w:spacing w:val="-3"/>
        </w:rPr>
        <w:t> </w:t>
      </w:r>
      <w:r>
        <w:rPr/>
        <w:t>(COBCP)</w:t>
        <w:tab/>
        <w:t>6818 </w:t>
      </w:r>
      <w:r>
        <w:rPr>
          <w:b w:val="0"/>
        </w:rPr>
        <w:t>(Cont.</w:t>
      </w:r>
      <w:r>
        <w:rPr>
          <w:b w:val="0"/>
          <w:spacing w:val="-6"/>
        </w:rPr>
        <w:t> </w:t>
      </w:r>
      <w:r>
        <w:rPr>
          <w:b w:val="0"/>
          <w:strike/>
          <w:color w:val="2E97D3"/>
        </w:rPr>
        <w:t>9</w:t>
      </w:r>
      <w:r>
        <w:rPr>
          <w:b w:val="0"/>
          <w:strike w:val="0"/>
          <w:color w:val="2E97D3"/>
          <w:u w:val="single" w:color="2E97D3"/>
        </w:rPr>
        <w:t>6</w:t>
      </w:r>
      <w:r>
        <w:rPr>
          <w:b w:val="0"/>
          <w:strike w:val="0"/>
        </w:rPr>
        <w:t>)</w:t>
      </w:r>
    </w:p>
    <w:p>
      <w:pPr>
        <w:pStyle w:val="BodyText"/>
        <w:ind w:left="820"/>
      </w:pPr>
      <w:r>
        <w:rPr/>
        <w:t>(Revised </w:t>
      </w:r>
      <w:r>
        <w:rPr>
          <w:strike/>
          <w:color w:val="2E97D3"/>
        </w:rPr>
        <w:t>5/1998</w:t>
      </w:r>
      <w:r>
        <w:rPr>
          <w:strike w:val="0"/>
          <w:color w:val="2E97D3"/>
          <w:u w:val="single" w:color="2E97D3"/>
        </w:rPr>
        <w:t>11/2017</w:t>
      </w:r>
      <w:r>
        <w:rPr>
          <w:strike w:val="0"/>
        </w:rPr>
        <w:t>)</w:t>
      </w:r>
    </w:p>
    <w:p>
      <w:pPr>
        <w:pStyle w:val="BodyText"/>
        <w:spacing w:before="10"/>
        <w:rPr>
          <w:sz w:val="20"/>
        </w:rPr>
      </w:pPr>
    </w:p>
    <w:p>
      <w:pPr>
        <w:pStyle w:val="BodyText"/>
        <w:ind w:left="820"/>
      </w:pPr>
      <w:r>
        <w:rPr>
          <w:strike/>
          <w:color w:val="2E97D3"/>
        </w:rPr>
        <w:t>5.</w:t>
      </w:r>
      <w:r>
        <w:rPr>
          <w:strike w:val="0"/>
          <w:color w:val="2E97D3"/>
          <w:u w:val="single" w:color="2E97D3"/>
        </w:rPr>
        <w:t>9. .................................................................................................................................... </w:t>
      </w:r>
      <w:r>
        <w:rPr>
          <w:strike w:val="0"/>
        </w:rPr>
        <w:t>P</w:t>
      </w:r>
    </w:p>
    <w:p>
      <w:pPr>
        <w:pStyle w:val="BodyText"/>
        <w:ind w:left="1180"/>
      </w:pPr>
      <w:r>
        <w:rPr/>
        <w:t>rovide full cost information.</w:t>
      </w:r>
    </w:p>
    <w:p>
      <w:pPr>
        <w:pStyle w:val="BodyText"/>
        <w:spacing w:before="10"/>
        <w:rPr>
          <w:sz w:val="20"/>
        </w:rPr>
      </w:pPr>
    </w:p>
    <w:p>
      <w:pPr>
        <w:pStyle w:val="BodyText"/>
        <w:ind w:left="820"/>
      </w:pPr>
      <w:r>
        <w:rPr>
          <w:strike/>
          <w:color w:val="2E97D3"/>
        </w:rPr>
        <w:t>a.</w:t>
      </w:r>
      <w:r>
        <w:rPr>
          <w:strike w:val="0"/>
          <w:color w:val="2E97D3"/>
          <w:u w:val="single" w:color="2E97D3"/>
        </w:rPr>
        <w:t>1. .................................................................................................................................... </w:t>
      </w:r>
      <w:r>
        <w:rPr>
          <w:strike w:val="0"/>
        </w:rPr>
        <w:t>A</w:t>
      </w:r>
    </w:p>
    <w:p>
      <w:pPr>
        <w:pStyle w:val="BodyText"/>
        <w:ind w:left="1180" w:right="360"/>
      </w:pPr>
      <w:r>
        <w:rPr/>
        <w:t>pproximate cost by phase, indicating the basis on which the estimate was prepared. If costs are based on a previously developed budget package, append that package to the COBCP.  Note if costs have been adjusted for inflation and on what basis, (i.e., which specific CCCI).</w:t>
      </w:r>
    </w:p>
    <w:p>
      <w:pPr>
        <w:pStyle w:val="BodyText"/>
        <w:spacing w:before="120"/>
        <w:ind w:left="820"/>
      </w:pPr>
      <w:r>
        <w:rPr>
          <w:strike/>
          <w:color w:val="2E97D3"/>
        </w:rPr>
        <w:t>b.</w:t>
      </w:r>
      <w:r>
        <w:rPr>
          <w:strike w:val="0"/>
          <w:color w:val="2E97D3"/>
          <w:u w:val="single" w:color="2E97D3"/>
        </w:rPr>
        <w:t>2. .................................................................................................................................... </w:t>
      </w:r>
      <w:r>
        <w:rPr>
          <w:strike w:val="0"/>
        </w:rPr>
        <w:t>A</w:t>
      </w:r>
    </w:p>
    <w:p>
      <w:pPr>
        <w:pStyle w:val="BodyText"/>
        <w:ind w:left="1180" w:right="907"/>
      </w:pPr>
      <w:r>
        <w:rPr/>
        <w:t>proposed funding source for each phase, including identification of any funding partners at the federal, state or local level.</w:t>
      </w:r>
    </w:p>
    <w:p>
      <w:pPr>
        <w:pStyle w:val="BodyText"/>
        <w:spacing w:before="120"/>
        <w:ind w:left="820"/>
      </w:pPr>
      <w:r>
        <w:rPr>
          <w:strike/>
          <w:color w:val="2E97D3"/>
        </w:rPr>
        <w:t>c.</w:t>
      </w:r>
      <w:r>
        <w:rPr>
          <w:strike w:val="0"/>
          <w:color w:val="2E97D3"/>
          <w:u w:val="single" w:color="2E97D3"/>
        </w:rPr>
        <w:t>3. .................................................................................................................................... </w:t>
      </w:r>
      <w:r>
        <w:rPr>
          <w:strike w:val="0"/>
        </w:rPr>
        <w:t>A</w:t>
      </w:r>
    </w:p>
    <w:p>
      <w:pPr>
        <w:pStyle w:val="BodyText"/>
        <w:ind w:left="1180" w:right="590"/>
        <w:jc w:val="both"/>
      </w:pPr>
      <w:r>
        <w:rPr/>
        <w:t>complete funding history, including all previous submissions and any other data to completely describe past project history and future funding requirements. Section 6845 Illustration 2 describes the required format.</w:t>
      </w:r>
    </w:p>
    <w:p>
      <w:pPr>
        <w:pStyle w:val="BodyText"/>
        <w:spacing w:before="120"/>
        <w:ind w:left="820"/>
      </w:pPr>
      <w:r>
        <w:rPr>
          <w:strike/>
          <w:color w:val="2E97D3"/>
        </w:rPr>
        <w:t>6.</w:t>
      </w:r>
      <w:r>
        <w:rPr>
          <w:strike w:val="0"/>
          <w:color w:val="2E97D3"/>
          <w:u w:val="single" w:color="2E97D3"/>
        </w:rPr>
        <w:t>10.   </w:t>
      </w:r>
      <w:r>
        <w:rPr>
          <w:strike w:val="0"/>
        </w:rPr>
        <w:t>Describe the impacts on the support budget.</w:t>
      </w:r>
    </w:p>
    <w:p>
      <w:pPr>
        <w:pStyle w:val="BodyText"/>
        <w:spacing w:before="10"/>
        <w:rPr>
          <w:sz w:val="20"/>
        </w:rPr>
      </w:pPr>
    </w:p>
    <w:p>
      <w:pPr>
        <w:pStyle w:val="BodyText"/>
        <w:tabs>
          <w:tab w:pos="1539" w:val="left" w:leader="none"/>
        </w:tabs>
        <w:ind w:left="1180" w:right="643" w:hanging="360"/>
      </w:pPr>
      <w:r>
        <w:rPr>
          <w:strike/>
          <w:color w:val="2E97D3"/>
        </w:rPr>
        <w:t>a.</w:t>
      </w:r>
      <w:r>
        <w:rPr>
          <w:strike w:val="0"/>
          <w:color w:val="2E97D3"/>
          <w:u w:val="single" w:color="2E97D3"/>
        </w:rPr>
        <w:t>1.</w:t>
        <w:tab/>
      </w:r>
      <w:r>
        <w:rPr>
          <w:strike w:val="0"/>
        </w:rPr>
        <w:t>Include an analysis that identifies future maintenance and operation</w:t>
      </w:r>
      <w:r>
        <w:rPr>
          <w:strike w:val="0"/>
          <w:spacing w:val="-37"/>
        </w:rPr>
        <w:t> </w:t>
      </w:r>
      <w:r>
        <w:rPr>
          <w:strike w:val="0"/>
        </w:rPr>
        <w:t>costs</w:t>
      </w:r>
      <w:r>
        <w:rPr>
          <w:strike w:val="0"/>
          <w:spacing w:val="-4"/>
        </w:rPr>
        <w:t> </w:t>
      </w:r>
      <w:r>
        <w:rPr>
          <w:strike w:val="0"/>
        </w:rPr>
        <w:t>(in</w:t>
      </w:r>
      <w:r>
        <w:rPr>
          <w:strike w:val="0"/>
          <w:w w:val="99"/>
        </w:rPr>
        <w:t> </w:t>
      </w:r>
      <w:r>
        <w:rPr>
          <w:strike w:val="0"/>
        </w:rPr>
        <w:t>operating expenses and personnel years). Identify the proposed source of funds. Note whether a support BCP will be needed concurrently or in the</w:t>
      </w:r>
      <w:r>
        <w:rPr>
          <w:strike w:val="0"/>
          <w:spacing w:val="-33"/>
        </w:rPr>
        <w:t> </w:t>
      </w:r>
      <w:r>
        <w:rPr>
          <w:strike w:val="0"/>
        </w:rPr>
        <w:t>future.</w:t>
      </w:r>
    </w:p>
    <w:p>
      <w:pPr>
        <w:pStyle w:val="BodyText"/>
        <w:tabs>
          <w:tab w:pos="10246" w:val="right" w:leader="dot"/>
        </w:tabs>
        <w:spacing w:before="120"/>
        <w:ind w:left="820"/>
      </w:pPr>
      <w:r>
        <w:rPr>
          <w:strike/>
          <w:color w:val="2E97D3"/>
        </w:rPr>
        <w:t>b.</w:t>
      </w:r>
      <w:r>
        <w:rPr>
          <w:strike w:val="0"/>
          <w:color w:val="2E97D3"/>
          <w:u w:val="single" w:color="2E97D3"/>
        </w:rPr>
        <w:t>2</w:t>
      </w:r>
      <w:r>
        <w:rPr>
          <w:strike w:val="0"/>
        </w:rPr>
        <w:tab/>
        <w:t>I</w:t>
      </w:r>
    </w:p>
    <w:p>
      <w:pPr>
        <w:pStyle w:val="BodyText"/>
        <w:ind w:left="1180" w:right="855"/>
      </w:pPr>
      <w:r>
        <w:rPr/>
        <w:t>dentify potential cost savings and/or potential revenues or reimbursements with proposed disposition and the basis for calculation.</w:t>
      </w:r>
    </w:p>
    <w:p>
      <w:pPr>
        <w:pStyle w:val="BodyText"/>
        <w:tabs>
          <w:tab w:pos="10246" w:val="right" w:leader="dot"/>
        </w:tabs>
        <w:spacing w:before="120"/>
        <w:ind w:left="820"/>
      </w:pPr>
      <w:r>
        <w:rPr>
          <w:strike/>
          <w:color w:val="2E97D3"/>
        </w:rPr>
        <w:t>7.</w:t>
      </w:r>
      <w:r>
        <w:rPr>
          <w:strike w:val="0"/>
          <w:color w:val="2E97D3"/>
          <w:u w:val="single" w:color="2E97D3"/>
        </w:rPr>
        <w:t>11</w:t>
      </w:r>
      <w:r>
        <w:rPr>
          <w:strike w:val="0"/>
        </w:rPr>
        <w:tab/>
        <w:t>I</w:t>
      </w:r>
    </w:p>
    <w:p>
      <w:pPr>
        <w:pStyle w:val="BodyText"/>
        <w:ind w:left="1180" w:right="268"/>
      </w:pPr>
      <w:r>
        <w:rPr/>
        <w:t>dentify and explain any project risks. If the project was previously rejected by either the Administration or the Legislature for any reason other than lack of funding, explain the basis of the rejection and any significant project changes from the previous submission.</w:t>
      </w:r>
    </w:p>
    <w:p>
      <w:pPr>
        <w:pStyle w:val="BodyText"/>
        <w:spacing w:before="4"/>
        <w:rPr>
          <w:sz w:val="21"/>
        </w:rPr>
      </w:pPr>
    </w:p>
    <w:p>
      <w:pPr>
        <w:spacing w:line="274" w:lineRule="exact" w:before="0"/>
        <w:ind w:left="1180" w:right="268" w:hanging="360"/>
        <w:jc w:val="left"/>
        <w:rPr>
          <w:sz w:val="24"/>
        </w:rPr>
      </w:pPr>
      <w:r>
        <w:rPr>
          <w:strike/>
          <w:color w:val="2E97D3"/>
          <w:sz w:val="24"/>
        </w:rPr>
        <w:t>8.</w:t>
      </w:r>
      <w:r>
        <w:rPr>
          <w:strike w:val="0"/>
          <w:color w:val="2E97D3"/>
          <w:sz w:val="24"/>
          <w:u w:val="single" w:color="2E97D3"/>
        </w:rPr>
        <w:t>12. </w:t>
      </w:r>
      <w:r>
        <w:rPr>
          <w:strike w:val="0"/>
          <w:sz w:val="24"/>
        </w:rPr>
        <w:t>List coordination responsibilities with other state agencies and levels of government, including any </w:t>
      </w:r>
      <w:r>
        <w:rPr>
          <w:i/>
          <w:strike w:val="0"/>
          <w:sz w:val="24"/>
        </w:rPr>
        <w:t>mandatory reviews and approvals</w:t>
      </w:r>
      <w:r>
        <w:rPr>
          <w:strike w:val="0"/>
          <w:sz w:val="24"/>
        </w:rPr>
        <w:t>.</w:t>
      </w:r>
    </w:p>
    <w:p>
      <w:pPr>
        <w:pStyle w:val="BodyText"/>
        <w:spacing w:before="8"/>
        <w:rPr>
          <w:sz w:val="20"/>
        </w:rPr>
      </w:pPr>
    </w:p>
    <w:p>
      <w:pPr>
        <w:pStyle w:val="ListParagraph"/>
        <w:numPr>
          <w:ilvl w:val="0"/>
          <w:numId w:val="72"/>
        </w:numPr>
        <w:tabs>
          <w:tab w:pos="1540" w:val="left" w:leader="none"/>
        </w:tabs>
        <w:spacing w:line="240" w:lineRule="auto" w:before="0" w:after="0"/>
        <w:ind w:left="1540" w:right="0" w:hanging="360"/>
        <w:jc w:val="left"/>
        <w:rPr>
          <w:sz w:val="24"/>
        </w:rPr>
      </w:pPr>
      <w:r>
        <w:rPr>
          <w:sz w:val="24"/>
        </w:rPr>
        <w:t>Impacts on other</w:t>
      </w:r>
      <w:r>
        <w:rPr>
          <w:spacing w:val="-14"/>
          <w:sz w:val="24"/>
        </w:rPr>
        <w:t> </w:t>
      </w:r>
      <w:r>
        <w:rPr>
          <w:sz w:val="24"/>
        </w:rPr>
        <w:t>departments.</w:t>
      </w:r>
    </w:p>
    <w:p>
      <w:pPr>
        <w:pStyle w:val="ListParagraph"/>
        <w:numPr>
          <w:ilvl w:val="0"/>
          <w:numId w:val="72"/>
        </w:numPr>
        <w:tabs>
          <w:tab w:pos="1540" w:val="left" w:leader="none"/>
        </w:tabs>
        <w:spacing w:line="240" w:lineRule="auto" w:before="120" w:after="0"/>
        <w:ind w:left="1540" w:right="589" w:hanging="360"/>
        <w:jc w:val="left"/>
        <w:rPr>
          <w:sz w:val="24"/>
        </w:rPr>
      </w:pPr>
      <w:r>
        <w:rPr>
          <w:sz w:val="24"/>
        </w:rPr>
        <w:t>Required coordination with the State Historic Preservation Officer (see Section 6822).</w:t>
      </w:r>
    </w:p>
    <w:p>
      <w:pPr>
        <w:pStyle w:val="ListParagraph"/>
        <w:numPr>
          <w:ilvl w:val="0"/>
          <w:numId w:val="72"/>
        </w:numPr>
        <w:tabs>
          <w:tab w:pos="1540" w:val="left" w:leader="none"/>
        </w:tabs>
        <w:spacing w:line="240" w:lineRule="auto" w:before="120" w:after="0"/>
        <w:ind w:left="1540" w:right="298" w:hanging="360"/>
        <w:jc w:val="left"/>
        <w:rPr>
          <w:sz w:val="24"/>
        </w:rPr>
      </w:pPr>
      <w:r>
        <w:rPr/>
        <w:pict>
          <v:line style="position:absolute;mso-position-horizontal-relative:page;mso-position-vertical-relative:paragraph;z-index:-448216" from="210.720001pt,28.235853pt" to="214.081001pt,28.235853pt" stroked="true" strokeweight=".6pt" strokecolor="#2e97d3">
            <v:stroke dashstyle="solid"/>
            <w10:wrap type="none"/>
          </v:line>
        </w:pict>
      </w:r>
      <w:r>
        <w:rPr/>
        <w:pict>
          <v:line style="position:absolute;mso-position-horizontal-relative:page;mso-position-vertical-relative:paragraph;z-index:24496" from="36.360001pt,20.015854pt" to="36.360001pt,39.815854pt" stroked="true" strokeweight=".72pt" strokecolor="#000000">
            <v:stroke dashstyle="solid"/>
            <w10:wrap type="none"/>
          </v:line>
        </w:pict>
      </w:r>
      <w:r>
        <w:rPr>
          <w:sz w:val="24"/>
        </w:rPr>
        <w:t>CEQA requirements as described in Section 6850. Note any probable opposition to CEQA approvals</w:t>
      </w:r>
      <w:r>
        <w:rPr>
          <w:color w:val="2E97D3"/>
          <w:sz w:val="24"/>
        </w:rPr>
        <w:t>. </w:t>
      </w:r>
      <w:r>
        <w:rPr>
          <w:color w:val="2E97D3"/>
          <w:sz w:val="24"/>
          <w:u w:val="single" w:color="2E97D3"/>
        </w:rPr>
        <w:t>(SAM sections</w:t>
      </w:r>
      <w:r>
        <w:rPr>
          <w:color w:val="2E97D3"/>
          <w:spacing w:val="-24"/>
          <w:sz w:val="24"/>
          <w:u w:val="single" w:color="2E97D3"/>
        </w:rPr>
        <w:t> </w:t>
      </w:r>
      <w:r>
        <w:rPr>
          <w:color w:val="2E97D3"/>
          <w:sz w:val="24"/>
          <w:u w:val="single" w:color="2E97D3"/>
        </w:rPr>
        <w:t>1000–1099).</w:t>
      </w:r>
    </w:p>
    <w:p>
      <w:pPr>
        <w:pStyle w:val="ListParagraph"/>
        <w:numPr>
          <w:ilvl w:val="0"/>
          <w:numId w:val="72"/>
        </w:numPr>
        <w:tabs>
          <w:tab w:pos="1540" w:val="left" w:leader="none"/>
        </w:tabs>
        <w:spacing w:line="240" w:lineRule="auto" w:before="120" w:after="0"/>
        <w:ind w:left="1540" w:right="768" w:hanging="360"/>
        <w:jc w:val="left"/>
        <w:rPr>
          <w:sz w:val="24"/>
        </w:rPr>
      </w:pPr>
      <w:r>
        <w:rPr>
          <w:sz w:val="24"/>
        </w:rPr>
        <w:t>Clearances required from planning or review agencies such as the State</w:t>
      </w:r>
      <w:r>
        <w:rPr>
          <w:spacing w:val="-41"/>
          <w:sz w:val="24"/>
        </w:rPr>
        <w:t> </w:t>
      </w:r>
      <w:r>
        <w:rPr>
          <w:sz w:val="24"/>
        </w:rPr>
        <w:t>Fire Marshal, the State Coastal Commission, local jurisdiction general plans,</w:t>
      </w:r>
      <w:r>
        <w:rPr>
          <w:spacing w:val="-35"/>
          <w:sz w:val="24"/>
        </w:rPr>
        <w:t> </w:t>
      </w:r>
      <w:r>
        <w:rPr>
          <w:sz w:val="24"/>
        </w:rPr>
        <w:t>etc.</w:t>
      </w:r>
    </w:p>
    <w:p>
      <w:pPr>
        <w:pStyle w:val="BodyText"/>
        <w:spacing w:before="10"/>
        <w:rPr>
          <w:sz w:val="20"/>
        </w:rPr>
      </w:pPr>
    </w:p>
    <w:p>
      <w:pPr>
        <w:pStyle w:val="BodyText"/>
        <w:ind w:left="820"/>
      </w:pPr>
      <w:r>
        <w:rPr/>
        <w:t>(Continued)</w:t>
      </w:r>
    </w:p>
    <w:p>
      <w:pPr>
        <w:spacing w:after="0"/>
        <w:sectPr>
          <w:pgSz w:w="12240" w:h="15840"/>
          <w:pgMar w:header="724" w:footer="792" w:top="980" w:bottom="980" w:left="620" w:right="1160"/>
        </w:sectPr>
      </w:pPr>
    </w:p>
    <w:p>
      <w:pPr>
        <w:pStyle w:val="BodyText"/>
        <w:spacing w:before="4"/>
        <w:rPr>
          <w:rFonts w:ascii="Times New Roman"/>
          <w:sz w:val="17"/>
        </w:rPr>
      </w:pPr>
    </w:p>
    <w:p>
      <w:pPr>
        <w:spacing w:after="0"/>
        <w:rPr>
          <w:rFonts w:ascii="Times New Roman"/>
          <w:sz w:val="17"/>
        </w:rPr>
        <w:sectPr>
          <w:pgSz w:w="12240" w:h="15840"/>
          <w:pgMar w:header="724" w:footer="792" w:top="980" w:bottom="980" w:left="1720" w:right="1720"/>
        </w:sectPr>
      </w:pPr>
    </w:p>
    <w:p>
      <w:pPr>
        <w:pStyle w:val="BodyText"/>
        <w:rPr>
          <w:rFonts w:ascii="Times New Roman"/>
          <w:sz w:val="20"/>
        </w:rPr>
      </w:pPr>
    </w:p>
    <w:p>
      <w:pPr>
        <w:pStyle w:val="BodyText"/>
        <w:spacing w:before="214"/>
        <w:ind w:left="819"/>
      </w:pPr>
      <w:r>
        <w:rPr/>
        <w:pict>
          <v:line style="position:absolute;mso-position-horizontal-relative:page;mso-position-vertical-relative:paragraph;z-index:24544" from="36.360001pt,24.714882pt" to="36.360001pt,78.115882pt" stroked="true" strokeweight=".72pt" strokecolor="#000000">
            <v:stroke dashstyle="solid"/>
            <w10:wrap type="none"/>
          </v:line>
        </w:pict>
      </w:r>
      <w:r>
        <w:rPr/>
        <w:t>(Continued)</w:t>
      </w:r>
    </w:p>
    <w:p>
      <w:pPr>
        <w:pStyle w:val="Heading2"/>
        <w:tabs>
          <w:tab w:pos="8377" w:val="left" w:leader="none"/>
        </w:tabs>
        <w:ind w:left="820"/>
        <w:rPr>
          <w:b w:val="0"/>
        </w:rPr>
      </w:pPr>
      <w:r>
        <w:rPr/>
        <w:t>CAPITAL OUTLAY BUDGET CHANGE</w:t>
      </w:r>
      <w:r>
        <w:rPr>
          <w:spacing w:val="-13"/>
        </w:rPr>
        <w:t> </w:t>
      </w:r>
      <w:r>
        <w:rPr/>
        <w:t>PROPOSALS</w:t>
      </w:r>
      <w:r>
        <w:rPr>
          <w:spacing w:val="-3"/>
        </w:rPr>
        <w:t> </w:t>
      </w:r>
      <w:r>
        <w:rPr/>
        <w:t>(COBCP)</w:t>
        <w:tab/>
        <w:t>6818 </w:t>
      </w:r>
      <w:r>
        <w:rPr>
          <w:b w:val="0"/>
        </w:rPr>
        <w:t>(Cont.</w:t>
      </w:r>
      <w:r>
        <w:rPr>
          <w:b w:val="0"/>
          <w:spacing w:val="-8"/>
        </w:rPr>
        <w:t> </w:t>
      </w:r>
      <w:r>
        <w:rPr>
          <w:b w:val="0"/>
          <w:strike/>
          <w:color w:val="2E97D3"/>
        </w:rPr>
        <w:t>10</w:t>
      </w:r>
      <w:r>
        <w:rPr>
          <w:b w:val="0"/>
          <w:strike w:val="0"/>
          <w:color w:val="2E97D3"/>
          <w:u w:val="single" w:color="2E97D3"/>
        </w:rPr>
        <w:t>7</w:t>
      </w:r>
      <w:r>
        <w:rPr>
          <w:b w:val="0"/>
          <w:strike w:val="0"/>
        </w:rPr>
        <w:t>)</w:t>
      </w:r>
    </w:p>
    <w:p>
      <w:pPr>
        <w:pStyle w:val="BodyText"/>
        <w:ind w:left="820"/>
      </w:pPr>
      <w:r>
        <w:rPr/>
        <w:t>(Revised </w:t>
      </w:r>
      <w:r>
        <w:rPr>
          <w:strike/>
          <w:color w:val="2E97D3"/>
        </w:rPr>
        <w:t>5/1998)</w:t>
      </w:r>
      <w:r>
        <w:rPr>
          <w:strike w:val="0"/>
          <w:color w:val="2E97D3"/>
          <w:u w:val="single" w:color="2E97D3"/>
        </w:rPr>
        <w:t>11/2017)</w:t>
      </w:r>
    </w:p>
    <w:p>
      <w:pPr>
        <w:pStyle w:val="BodyText"/>
        <w:rPr>
          <w:sz w:val="20"/>
        </w:rPr>
      </w:pPr>
    </w:p>
    <w:p>
      <w:pPr>
        <w:pStyle w:val="BodyText"/>
        <w:spacing w:before="7"/>
        <w:rPr>
          <w:sz w:val="16"/>
        </w:rPr>
      </w:pPr>
    </w:p>
    <w:p>
      <w:pPr>
        <w:pStyle w:val="BodyText"/>
        <w:spacing w:before="92"/>
        <w:ind w:left="1179" w:right="303" w:hanging="360"/>
      </w:pPr>
      <w:r>
        <w:rPr/>
        <w:pict>
          <v:line style="position:absolute;mso-position-horizontal-relative:page;mso-position-vertical-relative:paragraph;z-index:24568" from="36.360001pt,46.335865pt" to="36.360001pt,60.135865pt" stroked="true" strokeweight=".72pt" strokecolor="#000000">
            <v:stroke dashstyle="solid"/>
            <w10:wrap type="none"/>
          </v:line>
        </w:pict>
      </w:r>
      <w:r>
        <w:rPr/>
        <w:t>9. List all items proposed for agency retention. </w:t>
      </w:r>
      <w:r>
        <w:rPr>
          <w:i/>
        </w:rPr>
        <w:t>Agency-retained items </w:t>
      </w:r>
      <w:r>
        <w:rPr/>
        <w:t>are project elements which the department rather than the architect/engineer or contractor provides. Typical examples include movable equipment, installation, resource protection, etc. </w:t>
      </w:r>
      <w:r>
        <w:rPr>
          <w:strike/>
          <w:color w:val="2E97D3"/>
        </w:rPr>
        <w:t>DOF</w:t>
      </w:r>
      <w:r>
        <w:rPr>
          <w:strike w:val="0"/>
          <w:color w:val="2E97D3"/>
          <w:u w:val="single" w:color="2E97D3"/>
        </w:rPr>
        <w:t>Finance </w:t>
      </w:r>
      <w:r>
        <w:rPr>
          <w:strike w:val="0"/>
        </w:rPr>
        <w:t>approval of a DF-14D (Section 6845, Illustration 1) is required before the department may commence these activities. Identify whether this includes department personnel costs.</w:t>
      </w:r>
    </w:p>
    <w:p>
      <w:pPr>
        <w:pStyle w:val="BodyText"/>
        <w:spacing w:before="9"/>
        <w:rPr>
          <w:sz w:val="20"/>
        </w:rPr>
      </w:pPr>
    </w:p>
    <w:p>
      <w:pPr>
        <w:pStyle w:val="Heading2"/>
        <w:ind w:left="820"/>
      </w:pPr>
      <w:r>
        <w:rPr/>
        <w:t>Technical Notes:</w:t>
      </w:r>
    </w:p>
    <w:p>
      <w:pPr>
        <w:pStyle w:val="ListParagraph"/>
        <w:numPr>
          <w:ilvl w:val="0"/>
          <w:numId w:val="73"/>
        </w:numPr>
        <w:tabs>
          <w:tab w:pos="1180" w:val="left" w:leader="none"/>
        </w:tabs>
        <w:spacing w:line="240" w:lineRule="auto" w:before="119" w:after="0"/>
        <w:ind w:left="1180" w:right="136" w:hanging="360"/>
        <w:jc w:val="left"/>
        <w:rPr>
          <w:sz w:val="24"/>
        </w:rPr>
      </w:pPr>
      <w:r>
        <w:rPr/>
        <w:pict>
          <v:line style="position:absolute;mso-position-horizontal-relative:page;mso-position-vertical-relative:paragraph;z-index:24592" from="36.360001pt,19.965832pt" to="36.360001pt,47.565832pt" stroked="true" strokeweight=".72pt" strokecolor="#000000">
            <v:stroke dashstyle="solid"/>
            <w10:wrap type="none"/>
          </v:line>
        </w:pict>
      </w:r>
      <w:r>
        <w:rPr/>
        <w:pict>
          <v:line style="position:absolute;mso-position-horizontal-relative:page;mso-position-vertical-relative:paragraph;z-index:24616" from="36.360001pt,130.365829pt" to="36.360001pt,144.165829pt" stroked="true" strokeweight=".72pt" strokecolor="#000000">
            <v:stroke dashstyle="solid"/>
            <w10:wrap type="none"/>
          </v:line>
        </w:pict>
      </w:r>
      <w:r>
        <w:rPr>
          <w:sz w:val="24"/>
        </w:rPr>
        <w:t>Capital outlay projects which include an information technology (IT) component must also comply with the IT reporting requirements contained in Sections </w:t>
      </w:r>
      <w:r>
        <w:rPr>
          <w:strike/>
          <w:color w:val="2E97D3"/>
          <w:sz w:val="24"/>
          <w:u w:val="single" w:color="2E97D3"/>
        </w:rPr>
        <w:t>4800– 5953</w:t>
      </w:r>
      <w:r>
        <w:rPr>
          <w:strike w:val="0"/>
          <w:color w:val="2E97D3"/>
          <w:sz w:val="24"/>
          <w:u w:val="single" w:color="2E97D3"/>
        </w:rPr>
        <w:t>4800–5953 </w:t>
      </w:r>
      <w:r>
        <w:rPr>
          <w:strike w:val="0"/>
          <w:sz w:val="24"/>
        </w:rPr>
        <w:t>and Sections </w:t>
      </w:r>
      <w:r>
        <w:rPr>
          <w:strike/>
          <w:color w:val="2E97D3"/>
          <w:sz w:val="24"/>
          <w:u w:val="single" w:color="2E97D3"/>
        </w:rPr>
        <w:t>6000–6965</w:t>
      </w:r>
      <w:r>
        <w:rPr>
          <w:strike w:val="0"/>
          <w:color w:val="2E97D3"/>
          <w:sz w:val="24"/>
          <w:u w:val="single" w:color="2E97D3"/>
        </w:rPr>
        <w:t>6000–6965 </w:t>
      </w:r>
      <w:r>
        <w:rPr>
          <w:strike w:val="0"/>
          <w:sz w:val="24"/>
        </w:rPr>
        <w:t>of the State Administrative Manual. Examples of IT activities typically included in capital outlay projects include: the purchase and/or upgrade of IT equipment or software; the installation and/or upgrade of telecommunications equipment (excluding voice only); or the installation and/or upgrade of local area network equipment or software. The Department of Information Technology (DOIT) is responsible for the review and approval of IT activities from a technology feasibility perspective; the Technology Investment Review Unit of </w:t>
      </w:r>
      <w:r>
        <w:rPr>
          <w:strike/>
          <w:color w:val="2E97D3"/>
          <w:sz w:val="24"/>
        </w:rPr>
        <w:t>DOF</w:t>
      </w:r>
      <w:r>
        <w:rPr>
          <w:strike w:val="0"/>
          <w:color w:val="2E97D3"/>
          <w:sz w:val="24"/>
          <w:u w:val="single" w:color="2E97D3"/>
        </w:rPr>
        <w:t>Finance </w:t>
      </w:r>
      <w:r>
        <w:rPr>
          <w:strike w:val="0"/>
          <w:sz w:val="24"/>
        </w:rPr>
        <w:t>reviews IT proposals from a business cost/benefits perspective. In both cases, the review vehicle is the feasibility study report (FSR). Questions regarding DOIT’s IT reporting requirements should be directed to DOIT. </w:t>
      </w:r>
      <w:r>
        <w:rPr>
          <w:i/>
          <w:strike w:val="0"/>
          <w:sz w:val="24"/>
        </w:rPr>
        <w:t>All IT reporting requirements must be met before the IT component of a capital </w:t>
      </w:r>
      <w:r>
        <w:rPr>
          <w:i/>
          <w:strike w:val="0"/>
          <w:sz w:val="24"/>
        </w:rPr>
        <w:t>outlay project may be</w:t>
      </w:r>
      <w:r>
        <w:rPr>
          <w:i/>
          <w:strike w:val="0"/>
          <w:spacing w:val="-17"/>
          <w:sz w:val="24"/>
        </w:rPr>
        <w:t> </w:t>
      </w:r>
      <w:r>
        <w:rPr>
          <w:i/>
          <w:strike w:val="0"/>
          <w:sz w:val="24"/>
        </w:rPr>
        <w:t>approved</w:t>
      </w:r>
      <w:r>
        <w:rPr>
          <w:strike w:val="0"/>
          <w:sz w:val="24"/>
        </w:rPr>
        <w:t>.</w:t>
      </w:r>
    </w:p>
    <w:p>
      <w:pPr>
        <w:pStyle w:val="BodyText"/>
        <w:rPr>
          <w:sz w:val="21"/>
        </w:rPr>
      </w:pPr>
    </w:p>
    <w:p>
      <w:pPr>
        <w:pStyle w:val="ListParagraph"/>
        <w:numPr>
          <w:ilvl w:val="0"/>
          <w:numId w:val="73"/>
        </w:numPr>
        <w:tabs>
          <w:tab w:pos="1180" w:val="left" w:leader="none"/>
        </w:tabs>
        <w:spacing w:line="240" w:lineRule="auto" w:before="0" w:after="0"/>
        <w:ind w:left="1180" w:right="122" w:hanging="360"/>
        <w:jc w:val="left"/>
        <w:rPr>
          <w:sz w:val="24"/>
        </w:rPr>
      </w:pPr>
      <w:r>
        <w:rPr>
          <w:b/>
          <w:sz w:val="24"/>
        </w:rPr>
        <w:t>Group 2 equipment phases of projects</w:t>
      </w:r>
      <w:r>
        <w:rPr>
          <w:sz w:val="24"/>
        </w:rPr>
        <w:t>. Group 1, fixed equipment, is incorporated into or attached to the facility and therefore is included in the construction phase of a project. Group 2, movable equipment, is budgeted as a separate phase. For a COBCP requesting the Group 2 equipment phase of a project, provide the project appropriation history, including the project name, budget act items, and project code. Definitions of Group 1 and Group 2 equipment are provided in Section</w:t>
      </w:r>
      <w:r>
        <w:rPr>
          <w:spacing w:val="-34"/>
          <w:sz w:val="24"/>
        </w:rPr>
        <w:t> </w:t>
      </w:r>
      <w:r>
        <w:rPr>
          <w:sz w:val="24"/>
        </w:rPr>
        <w:t>6855.</w:t>
      </w:r>
    </w:p>
    <w:p>
      <w:pPr>
        <w:pStyle w:val="BodyText"/>
        <w:spacing w:before="117"/>
        <w:ind w:left="1180" w:right="175"/>
      </w:pPr>
      <w:r>
        <w:rPr/>
        <w:t>For Group 2 equipment, identify how funding needs were determined.  Show </w:t>
      </w:r>
      <w:r>
        <w:rPr>
          <w:i/>
        </w:rPr>
        <w:t>all </w:t>
      </w:r>
      <w:r>
        <w:rPr/>
        <w:t>items of equipment to be placed in a room, indicating whether the item is to be purchased by the agency or transferred from another building or location. Account for all equipment currently available in buildings to be replaced by the new structure. Final approval of equipment lists generally follows approval of preliminary plans.</w:t>
      </w:r>
    </w:p>
    <w:p>
      <w:pPr>
        <w:pStyle w:val="BodyText"/>
        <w:ind w:left="1180"/>
      </w:pPr>
      <w:r>
        <w:rPr/>
        <w:t>Exceptions to this rule are discussed in Section 6855.</w:t>
      </w:r>
    </w:p>
    <w:p>
      <w:pPr>
        <w:pStyle w:val="BodyText"/>
        <w:spacing w:before="120"/>
        <w:ind w:left="1180" w:right="134"/>
      </w:pPr>
      <w:r>
        <w:rPr/>
        <w:pict>
          <v:line style="position:absolute;mso-position-horizontal-relative:page;mso-position-vertical-relative:paragraph;z-index:-448144" from="275.519989pt,46.59536pt" to="278.880989pt,46.59536pt" stroked="true" strokeweight=".841pt" strokecolor="#2e97d3">
            <v:stroke dashstyle="solid"/>
            <w10:wrap type="none"/>
          </v:line>
        </w:pict>
      </w:r>
      <w:r>
        <w:rPr/>
        <w:pict>
          <v:line style="position:absolute;mso-position-horizontal-relative:page;mso-position-vertical-relative:paragraph;z-index:24640" from="36.360001pt,33.815861pt" to="36.360001pt,59.615861pt" stroked="true" strokeweight=".72pt" strokecolor="#000000">
            <v:stroke dashstyle="solid"/>
            <w10:wrap type="none"/>
          </v:line>
        </w:pict>
      </w:r>
      <w:r>
        <w:rPr/>
        <w:t>Movable equipment which does not meet the definition of capital outlay per Section 6806 is not proposed in a COBCP.  These costs are proposed and funded in the state operations appropriation (i.e</w:t>
      </w:r>
      <w:r>
        <w:rPr>
          <w:strike/>
          <w:color w:val="2E97D3"/>
        </w:rPr>
        <w:t>.,</w:t>
      </w:r>
      <w:r>
        <w:rPr>
          <w:strike w:val="0"/>
          <w:color w:val="2E97D3"/>
        </w:rPr>
        <w:t>. </w:t>
      </w:r>
      <w:r>
        <w:rPr>
          <w:strike w:val="0"/>
        </w:rPr>
        <w:t>they require a support budget change proposal).</w:t>
      </w:r>
    </w:p>
    <w:p>
      <w:pPr>
        <w:pStyle w:val="BodyText"/>
        <w:spacing w:before="9"/>
        <w:rPr>
          <w:sz w:val="20"/>
        </w:rPr>
      </w:pPr>
    </w:p>
    <w:p>
      <w:pPr>
        <w:pStyle w:val="BodyText"/>
        <w:ind w:left="820"/>
      </w:pPr>
      <w:r>
        <w:rPr/>
        <w:pict>
          <v:line style="position:absolute;mso-position-horizontal-relative:page;mso-position-vertical-relative:paragraph;z-index:24664" from="36.360001pt,14.015859pt" to="36.360001pt,39.815859pt" stroked="true" strokeweight=".72pt" strokecolor="#000000">
            <v:stroke dashstyle="solid"/>
            <w10:wrap type="none"/>
          </v:line>
        </w:pict>
      </w:r>
      <w:r>
        <w:rPr/>
        <w:t>(Continued)</w:t>
      </w:r>
    </w:p>
    <w:p>
      <w:pPr>
        <w:spacing w:after="0"/>
        <w:sectPr>
          <w:pgSz w:w="12240" w:h="15840"/>
          <w:pgMar w:header="724" w:footer="792" w:top="980" w:bottom="980" w:left="620" w:right="1320"/>
        </w:sectPr>
      </w:pPr>
    </w:p>
    <w:p>
      <w:pPr>
        <w:pStyle w:val="BodyText"/>
        <w:rPr>
          <w:sz w:val="20"/>
        </w:rPr>
      </w:pPr>
    </w:p>
    <w:p>
      <w:pPr>
        <w:pStyle w:val="BodyText"/>
        <w:spacing w:before="214"/>
        <w:ind w:left="820"/>
      </w:pPr>
      <w:r>
        <w:rPr/>
        <w:pict>
          <v:line style="position:absolute;mso-position-horizontal-relative:page;mso-position-vertical-relative:paragraph;z-index:24712" from="36.360001pt,10.915881pt" to="36.360001pt,52.315881pt" stroked="true" strokeweight=".72pt" strokecolor="#000000">
            <v:stroke dashstyle="solid"/>
            <w10:wrap type="none"/>
          </v:line>
        </w:pict>
      </w:r>
      <w:r>
        <w:rPr>
          <w:color w:val="2C6234"/>
          <w:u w:val="thick" w:color="2C6234"/>
        </w:rPr>
        <w:t>(Continued)</w:t>
      </w:r>
    </w:p>
    <w:p>
      <w:pPr>
        <w:pStyle w:val="Heading2"/>
        <w:tabs>
          <w:tab w:pos="8646" w:val="left" w:leader="none"/>
        </w:tabs>
        <w:ind w:left="820"/>
        <w:rPr>
          <w:b w:val="0"/>
        </w:rPr>
      </w:pPr>
      <w:r>
        <w:rPr/>
        <w:pict>
          <v:group style="position:absolute;margin-left:71.699997pt;margin-top:11.735832pt;width:468.6pt;height:2.2pt;mso-position-horizontal-relative:page;mso-position-vertical-relative:paragraph;z-index:-447976" coordorigin="1434,235" coordsize="9372,44">
            <v:line style="position:absolute" from="1440,241" to="10800,241" stroked="true" strokeweight=".6pt" strokecolor="#2c6234">
              <v:stroke dashstyle="solid"/>
            </v:line>
            <v:line style="position:absolute" from="1440,272" to="10800,272" stroked="true" strokeweight=".599pt" strokecolor="#2c6234">
              <v:stroke dashstyle="solid"/>
            </v:line>
            <w10:wrap type="none"/>
          </v:group>
        </w:pict>
      </w:r>
      <w:r>
        <w:rPr>
          <w:color w:val="2C6234"/>
        </w:rPr>
        <w:t>CAPITAL OUTLAY BUDGET CHANGE</w:t>
      </w:r>
      <w:r>
        <w:rPr>
          <w:color w:val="2C6234"/>
          <w:spacing w:val="-13"/>
        </w:rPr>
        <w:t> </w:t>
      </w:r>
      <w:r>
        <w:rPr>
          <w:color w:val="2C6234"/>
        </w:rPr>
        <w:t>PROPOSALS</w:t>
      </w:r>
      <w:r>
        <w:rPr>
          <w:color w:val="2C6234"/>
          <w:spacing w:val="-3"/>
        </w:rPr>
        <w:t> </w:t>
      </w:r>
      <w:r>
        <w:rPr>
          <w:color w:val="2C6234"/>
        </w:rPr>
        <w:t>(COBCP)</w:t>
        <w:tab/>
        <w:t>6818 </w:t>
      </w:r>
      <w:r>
        <w:rPr>
          <w:b w:val="0"/>
          <w:color w:val="2C6234"/>
        </w:rPr>
        <w:t>(Cont.</w:t>
      </w:r>
      <w:r>
        <w:rPr>
          <w:b w:val="0"/>
          <w:color w:val="2C6234"/>
          <w:spacing w:val="-6"/>
        </w:rPr>
        <w:t> </w:t>
      </w:r>
      <w:r>
        <w:rPr>
          <w:b w:val="0"/>
          <w:color w:val="2C6234"/>
        </w:rPr>
        <w:t>8)</w:t>
      </w:r>
    </w:p>
    <w:p>
      <w:pPr>
        <w:spacing w:after="0"/>
        <w:sectPr>
          <w:pgSz w:w="12240" w:h="15840"/>
          <w:pgMar w:header="724" w:footer="792" w:top="980" w:bottom="980" w:left="620" w:right="1320"/>
        </w:sectPr>
      </w:pPr>
    </w:p>
    <w:p>
      <w:pPr>
        <w:pStyle w:val="BodyText"/>
        <w:rPr>
          <w:sz w:val="20"/>
        </w:rPr>
      </w:pPr>
    </w:p>
    <w:p>
      <w:pPr>
        <w:pStyle w:val="BodyText"/>
        <w:spacing w:before="214"/>
        <w:ind w:left="820"/>
      </w:pPr>
      <w:r>
        <w:rPr/>
        <w:pict>
          <v:line style="position:absolute;mso-position-horizontal-relative:page;mso-position-vertical-relative:paragraph;z-index:24760" from="36.360001pt,10.915881pt" to="36.360001pt,64.315881pt" stroked="true" strokeweight=".72pt" strokecolor="#000000">
            <v:stroke dashstyle="solid"/>
            <w10:wrap type="none"/>
          </v:line>
        </w:pict>
      </w:r>
      <w:r>
        <w:rPr>
          <w:strike/>
          <w:color w:val="2C6234"/>
        </w:rPr>
        <w:t>(Continued)</w:t>
      </w:r>
    </w:p>
    <w:p>
      <w:pPr>
        <w:pStyle w:val="Heading2"/>
        <w:tabs>
          <w:tab w:pos="8511" w:val="left" w:leader="none"/>
        </w:tabs>
        <w:ind w:left="820"/>
        <w:rPr>
          <w:b w:val="0"/>
        </w:rPr>
      </w:pPr>
      <w:r>
        <w:rPr/>
        <w:pict>
          <v:line style="position:absolute;mso-position-horizontal-relative:page;mso-position-vertical-relative:paragraph;z-index:-447928" from="72pt,8.435833pt" to="540pt,8.435833pt" stroked="true" strokeweight=".6pt" strokecolor="#2e97d3">
            <v:stroke dashstyle="solid"/>
            <w10:wrap type="none"/>
          </v:line>
        </w:pict>
      </w:r>
      <w:r>
        <w:rPr>
          <w:color w:val="2E97D3"/>
        </w:rPr>
        <w:t>CAPITAL OUTLAY BUDGET CHANGE</w:t>
      </w:r>
      <w:r>
        <w:rPr>
          <w:color w:val="2E97D3"/>
          <w:spacing w:val="-13"/>
        </w:rPr>
        <w:t> </w:t>
      </w:r>
      <w:r>
        <w:rPr>
          <w:color w:val="2E97D3"/>
        </w:rPr>
        <w:t>PROPOSALS</w:t>
      </w:r>
      <w:r>
        <w:rPr>
          <w:color w:val="2E97D3"/>
          <w:spacing w:val="-3"/>
        </w:rPr>
        <w:t> </w:t>
      </w:r>
      <w:r>
        <w:rPr>
          <w:color w:val="2E97D3"/>
        </w:rPr>
        <w:t>(COBCP)</w:t>
        <w:tab/>
        <w:t>6818 </w:t>
      </w:r>
      <w:r>
        <w:rPr>
          <w:b w:val="0"/>
          <w:color w:val="2E97D3"/>
        </w:rPr>
        <w:t>(Cont.</w:t>
      </w:r>
      <w:r>
        <w:rPr>
          <w:b w:val="0"/>
          <w:color w:val="2E97D3"/>
          <w:spacing w:val="-6"/>
        </w:rPr>
        <w:t> </w:t>
      </w:r>
      <w:r>
        <w:rPr>
          <w:b w:val="0"/>
          <w:color w:val="2E97D3"/>
        </w:rPr>
        <w:t>11)</w:t>
      </w:r>
    </w:p>
    <w:p>
      <w:pPr>
        <w:pStyle w:val="BodyText"/>
        <w:ind w:left="820"/>
      </w:pPr>
      <w:r>
        <w:rPr/>
        <w:t>(Revised </w:t>
      </w:r>
      <w:r>
        <w:rPr>
          <w:strike/>
          <w:color w:val="2E97D3"/>
        </w:rPr>
        <w:t>5/1998</w:t>
      </w:r>
      <w:r>
        <w:rPr>
          <w:strike w:val="0"/>
          <w:color w:val="2E97D3"/>
          <w:u w:val="single" w:color="2E97D3"/>
        </w:rPr>
        <w:t>11/2017</w:t>
      </w:r>
      <w:r>
        <w:rPr>
          <w:strike w:val="0"/>
        </w:rPr>
        <w:t>)</w:t>
      </w:r>
    </w:p>
    <w:p>
      <w:pPr>
        <w:pStyle w:val="BodyText"/>
        <w:spacing w:before="10"/>
        <w:rPr>
          <w:sz w:val="20"/>
        </w:rPr>
      </w:pPr>
    </w:p>
    <w:p>
      <w:pPr>
        <w:pStyle w:val="ListParagraph"/>
        <w:numPr>
          <w:ilvl w:val="0"/>
          <w:numId w:val="73"/>
        </w:numPr>
        <w:tabs>
          <w:tab w:pos="1180" w:val="left" w:leader="none"/>
        </w:tabs>
        <w:spacing w:line="240" w:lineRule="auto" w:before="0" w:after="0"/>
        <w:ind w:left="1180" w:right="514" w:hanging="360"/>
        <w:jc w:val="left"/>
        <w:rPr>
          <w:sz w:val="24"/>
        </w:rPr>
      </w:pPr>
      <w:r>
        <w:rPr/>
        <w:pict>
          <v:line style="position:absolute;mso-position-horizontal-relative:page;mso-position-vertical-relative:paragraph;z-index:24784" from="36.360001pt,14.015857pt" to="36.360001pt,33.815857pt" stroked="true" strokeweight=".72pt" strokecolor="#000000">
            <v:stroke dashstyle="solid"/>
            <w10:wrap type="none"/>
          </v:line>
        </w:pict>
      </w:r>
      <w:r>
        <w:rPr>
          <w:b/>
          <w:sz w:val="24"/>
        </w:rPr>
        <w:t>Coordination of STD. 9s with COBCPs and BCPs</w:t>
      </w:r>
      <w:r>
        <w:rPr>
          <w:sz w:val="24"/>
        </w:rPr>
        <w:t>: Departments submit space action requests (</w:t>
      </w:r>
      <w:r>
        <w:rPr>
          <w:strike/>
          <w:color w:val="2E97D3"/>
          <w:sz w:val="24"/>
          <w:u w:val="single" w:color="2E97D3"/>
        </w:rPr>
        <w:t>STD. 9</w:t>
      </w:r>
      <w:hyperlink r:id="rId248">
        <w:r>
          <w:rPr>
            <w:strike w:val="0"/>
            <w:color w:val="2E97D3"/>
            <w:sz w:val="24"/>
            <w:u w:val="single" w:color="2E97D3"/>
          </w:rPr>
          <w:t>STD. 9s</w:t>
        </w:r>
      </w:hyperlink>
      <w:r>
        <w:rPr>
          <w:strike w:val="0"/>
          <w:sz w:val="24"/>
        </w:rPr>
        <w:t>)</w:t>
      </w:r>
      <w:r>
        <w:rPr>
          <w:strike w:val="0"/>
          <w:spacing w:val="-15"/>
          <w:sz w:val="24"/>
        </w:rPr>
        <w:t> </w:t>
      </w:r>
      <w:r>
        <w:rPr>
          <w:strike w:val="0"/>
          <w:sz w:val="24"/>
        </w:rPr>
        <w:t>for:</w:t>
      </w:r>
    </w:p>
    <w:p>
      <w:pPr>
        <w:pStyle w:val="ListParagraph"/>
        <w:numPr>
          <w:ilvl w:val="1"/>
          <w:numId w:val="73"/>
        </w:numPr>
        <w:tabs>
          <w:tab w:pos="1540" w:val="left" w:leader="none"/>
        </w:tabs>
        <w:spacing w:line="240" w:lineRule="auto" w:before="120" w:after="0"/>
        <w:ind w:left="1540" w:right="338" w:hanging="360"/>
        <w:jc w:val="left"/>
        <w:rPr>
          <w:sz w:val="24"/>
        </w:rPr>
      </w:pPr>
      <w:r>
        <w:rPr>
          <w:sz w:val="24"/>
        </w:rPr>
        <w:t>New or additional space (including swing space), lease extensions, or renewals desired by an agency in noninstitutional buildings—whether state-owned or leased,</w:t>
      </w:r>
      <w:r>
        <w:rPr>
          <w:spacing w:val="-5"/>
          <w:sz w:val="24"/>
        </w:rPr>
        <w:t> </w:t>
      </w:r>
      <w:r>
        <w:rPr>
          <w:sz w:val="24"/>
        </w:rPr>
        <w:t>and</w:t>
      </w:r>
    </w:p>
    <w:p>
      <w:pPr>
        <w:pStyle w:val="ListParagraph"/>
        <w:numPr>
          <w:ilvl w:val="1"/>
          <w:numId w:val="73"/>
        </w:numPr>
        <w:tabs>
          <w:tab w:pos="1540" w:val="left" w:leader="none"/>
        </w:tabs>
        <w:spacing w:line="240" w:lineRule="auto" w:before="120" w:after="0"/>
        <w:ind w:left="1540" w:right="0" w:hanging="360"/>
        <w:jc w:val="left"/>
        <w:rPr>
          <w:sz w:val="24"/>
        </w:rPr>
      </w:pPr>
      <w:r>
        <w:rPr>
          <w:sz w:val="24"/>
        </w:rPr>
        <w:t>Relocatable buildings and</w:t>
      </w:r>
      <w:r>
        <w:rPr>
          <w:spacing w:val="-19"/>
          <w:sz w:val="24"/>
        </w:rPr>
        <w:t> </w:t>
      </w:r>
      <w:r>
        <w:rPr>
          <w:sz w:val="24"/>
        </w:rPr>
        <w:t>trailers.</w:t>
      </w:r>
    </w:p>
    <w:p>
      <w:pPr>
        <w:pStyle w:val="BodyText"/>
        <w:spacing w:before="120"/>
        <w:ind w:left="1540" w:right="303"/>
      </w:pPr>
      <w:r>
        <w:rPr/>
        <w:pict>
          <v:line style="position:absolute;mso-position-horizontal-relative:page;mso-position-vertical-relative:paragraph;z-index:24808" from="36.360001pt,6.214869pt" to="36.360001pt,20.015869pt" stroked="true" strokeweight=".72pt" strokecolor="#000000">
            <v:stroke dashstyle="solid"/>
            <w10:wrap type="none"/>
          </v:line>
        </w:pict>
      </w:r>
      <w:r>
        <w:rPr/>
        <w:pict>
          <v:line style="position:absolute;mso-position-horizontal-relative:page;mso-position-vertical-relative:paragraph;z-index:24832" from="36.360001pt,61.415871pt" to="36.360001pt,75.215871pt" stroked="true" strokeweight=".72pt" strokecolor="#000000">
            <v:stroke dashstyle="solid"/>
            <w10:wrap type="none"/>
          </v:line>
        </w:pict>
      </w:r>
      <w:r>
        <w:rPr>
          <w:strike/>
          <w:color w:val="2E97D3"/>
        </w:rPr>
        <w:t>DOF</w:t>
      </w:r>
      <w:r>
        <w:rPr>
          <w:strike w:val="0"/>
          <w:color w:val="2E97D3"/>
          <w:u w:val="single" w:color="2E97D3"/>
        </w:rPr>
        <w:t>Finance </w:t>
      </w:r>
      <w:r>
        <w:rPr>
          <w:strike w:val="0"/>
        </w:rPr>
        <w:t>approval of a STD. 9 does not constitute approval for a support budget increase or a capital outlay appropriation, or approval to include authorization language for a lease-purchase, purchase option, or option execution in the Budget Act. If any of these is required, either a support BCP or a COBCP (or both) must be submitted to </w:t>
      </w:r>
      <w:r>
        <w:rPr>
          <w:strike/>
          <w:color w:val="2E97D3"/>
        </w:rPr>
        <w:t>DOF</w:t>
      </w:r>
      <w:r>
        <w:rPr>
          <w:strike w:val="0"/>
          <w:color w:val="2E97D3"/>
          <w:u w:val="single" w:color="2E97D3"/>
        </w:rPr>
        <w:t>Finance</w:t>
      </w:r>
      <w:r>
        <w:rPr>
          <w:strike w:val="0"/>
        </w:rPr>
        <w:t>. SAM Section 6453 provides additional information.</w:t>
      </w:r>
    </w:p>
    <w:p>
      <w:pPr>
        <w:pStyle w:val="BodyText"/>
      </w:pPr>
    </w:p>
    <w:p>
      <w:pPr>
        <w:pStyle w:val="BodyText"/>
        <w:tabs>
          <w:tab w:pos="2259" w:val="left" w:leader="none"/>
        </w:tabs>
        <w:ind w:left="1540" w:right="133" w:hanging="360"/>
      </w:pPr>
      <w:r>
        <w:rPr>
          <w:strike/>
          <w:color w:val="2E97D3"/>
        </w:rPr>
        <w:t>4.</w:t>
      </w:r>
      <w:r>
        <w:rPr>
          <w:strike w:val="0"/>
          <w:color w:val="2E97D3"/>
          <w:u w:val="single" w:color="2E97D3"/>
        </w:rPr>
        <w:t>a.</w:t>
        <w:tab/>
      </w:r>
      <w:r>
        <w:rPr>
          <w:b/>
          <w:strike w:val="0"/>
        </w:rPr>
        <w:t>Architectural and engineering (A&amp;E) fees:  </w:t>
      </w:r>
      <w:r>
        <w:rPr>
          <w:strike w:val="0"/>
        </w:rPr>
        <w:t>A&amp;E fees</w:t>
      </w:r>
      <w:r>
        <w:rPr>
          <w:strike w:val="0"/>
          <w:spacing w:val="-26"/>
        </w:rPr>
        <w:t> </w:t>
      </w:r>
      <w:r>
        <w:rPr>
          <w:strike w:val="0"/>
        </w:rPr>
        <w:t>(basic</w:t>
      </w:r>
      <w:r>
        <w:rPr>
          <w:strike w:val="0"/>
          <w:spacing w:val="-5"/>
        </w:rPr>
        <w:t> </w:t>
      </w:r>
      <w:r>
        <w:rPr>
          <w:strike w:val="0"/>
        </w:rPr>
        <w:t>and</w:t>
      </w:r>
      <w:r>
        <w:rPr>
          <w:strike w:val="0"/>
          <w:w w:val="99"/>
        </w:rPr>
        <w:t> </w:t>
      </w:r>
      <w:r>
        <w:rPr>
          <w:strike w:val="0"/>
        </w:rPr>
        <w:t>nonbasic) are charged for architectural and engineering work performed either by the department or by consulting professionals. Expenses may also include project-related construction management support, such as construction inspection, travel, bidding expenses, and drawings. Generally, A&amp;E fees do not exceed 13 percent of the proposed construction contract amounts (excluding construction contingencies)</w:t>
      </w:r>
      <w:r>
        <w:rPr>
          <w:i/>
          <w:strike w:val="0"/>
        </w:rPr>
        <w:t>. Special items exceeding 13 percent </w:t>
      </w:r>
      <w:r>
        <w:rPr>
          <w:strike w:val="0"/>
        </w:rPr>
        <w:t>(such as services related to asbestos or seismic) should be separately identified in the COBCPs</w:t>
      </w:r>
      <w:r>
        <w:rPr>
          <w:i/>
          <w:strike w:val="0"/>
        </w:rPr>
        <w:t>. </w:t>
      </w:r>
      <w:r>
        <w:rPr>
          <w:strike w:val="0"/>
        </w:rPr>
        <w:t>Contact the DGS Customer Account Management Branch for assistance with budgeting A&amp;E</w:t>
      </w:r>
      <w:r>
        <w:rPr>
          <w:strike w:val="0"/>
          <w:spacing w:val="-15"/>
        </w:rPr>
        <w:t> </w:t>
      </w:r>
      <w:r>
        <w:rPr>
          <w:strike w:val="0"/>
        </w:rPr>
        <w:t>fees.</w:t>
      </w:r>
    </w:p>
    <w:p>
      <w:pPr>
        <w:pStyle w:val="BodyText"/>
        <w:spacing w:before="10"/>
        <w:rPr>
          <w:sz w:val="20"/>
        </w:rPr>
      </w:pPr>
    </w:p>
    <w:p>
      <w:pPr>
        <w:pStyle w:val="BodyText"/>
        <w:tabs>
          <w:tab w:pos="2259" w:val="left" w:leader="none"/>
        </w:tabs>
        <w:ind w:left="1540" w:right="367" w:hanging="360"/>
      </w:pPr>
      <w:r>
        <w:rPr>
          <w:strike/>
          <w:color w:val="2E97D3"/>
        </w:rPr>
        <w:t>5.</w:t>
      </w:r>
      <w:r>
        <w:rPr>
          <w:strike w:val="0"/>
          <w:color w:val="2E97D3"/>
          <w:u w:val="single" w:color="2E97D3"/>
        </w:rPr>
        <w:t>b.</w:t>
        <w:tab/>
      </w:r>
      <w:r>
        <w:rPr>
          <w:b/>
          <w:strike w:val="0"/>
        </w:rPr>
        <w:t>Swing space for capital outlay projects</w:t>
      </w:r>
      <w:r>
        <w:rPr>
          <w:strike w:val="0"/>
        </w:rPr>
        <w:t>:  Swing space,</w:t>
      </w:r>
      <w:r>
        <w:rPr>
          <w:strike w:val="0"/>
          <w:spacing w:val="-28"/>
        </w:rPr>
        <w:t> </w:t>
      </w:r>
      <w:r>
        <w:rPr>
          <w:strike w:val="0"/>
        </w:rPr>
        <w:t>i.e.,</w:t>
      </w:r>
      <w:r>
        <w:rPr>
          <w:strike w:val="0"/>
          <w:spacing w:val="-2"/>
        </w:rPr>
        <w:t> </w:t>
      </w:r>
      <w:r>
        <w:rPr>
          <w:strike w:val="0"/>
        </w:rPr>
        <w:t>temporary accommodations during a facility remodel, is a state operations cost which should be noted informationally on the COBCP but requested separately as a support</w:t>
      </w:r>
      <w:r>
        <w:rPr>
          <w:strike w:val="0"/>
          <w:spacing w:val="-4"/>
        </w:rPr>
        <w:t> </w:t>
      </w:r>
      <w:r>
        <w:rPr>
          <w:strike w:val="0"/>
        </w:rPr>
        <w:t>BCP.</w:t>
      </w:r>
    </w:p>
    <w:p>
      <w:pPr>
        <w:pStyle w:val="ListParagraph"/>
        <w:numPr>
          <w:ilvl w:val="0"/>
          <w:numId w:val="74"/>
        </w:numPr>
        <w:tabs>
          <w:tab w:pos="1539" w:val="left" w:leader="none"/>
          <w:tab w:pos="1540" w:val="left" w:leader="none"/>
        </w:tabs>
        <w:spacing w:line="276" w:lineRule="auto" w:before="122" w:after="0"/>
        <w:ind w:left="820" w:right="415" w:firstLine="0"/>
        <w:jc w:val="left"/>
        <w:rPr>
          <w:sz w:val="24"/>
        </w:rPr>
      </w:pPr>
      <w:r>
        <w:rPr/>
        <w:pict>
          <v:line style="position:absolute;mso-position-horizontal-relative:page;mso-position-vertical-relative:paragraph;z-index:24856" from="36.360001pt,22.035856pt" to="36.360001pt,53.715856pt" stroked="true" strokeweight=".72pt" strokecolor="#000000">
            <v:stroke dashstyle="solid"/>
            <w10:wrap type="none"/>
          </v:line>
        </w:pict>
      </w:r>
      <w:r>
        <w:rPr/>
        <w:pict>
          <v:line style="position:absolute;mso-position-horizontal-relative:page;mso-position-vertical-relative:paragraph;z-index:24880" from="36.360001pt,105.555855pt" to="36.360001pt,131.355855pt" stroked="true" strokeweight=".72pt" strokecolor="#000000">
            <v:stroke dashstyle="solid"/>
            <w10:wrap type="none"/>
          </v:line>
        </w:pict>
      </w:r>
      <w:r>
        <w:rPr>
          <w:b/>
          <w:strike w:val="0"/>
          <w:sz w:val="24"/>
        </w:rPr>
        <w:t>Allowable cost indices: </w:t>
      </w:r>
      <w:r>
        <w:rPr>
          <w:strike w:val="0"/>
          <w:sz w:val="24"/>
        </w:rPr>
        <w:t>Departments must use the California Construction Cost Index (CCCI). Use of any other index requires </w:t>
      </w:r>
      <w:r>
        <w:rPr>
          <w:strike/>
          <w:color w:val="2E97D3"/>
          <w:sz w:val="24"/>
        </w:rPr>
        <w:t>DOF</w:t>
      </w:r>
      <w:r>
        <w:rPr>
          <w:strike w:val="0"/>
          <w:color w:val="2E97D3"/>
          <w:sz w:val="24"/>
          <w:u w:val="single" w:color="2E97D3"/>
        </w:rPr>
        <w:t>Finance </w:t>
      </w:r>
      <w:r>
        <w:rPr>
          <w:strike w:val="0"/>
          <w:sz w:val="24"/>
        </w:rPr>
        <w:t>concurrence. Each July, </w:t>
      </w:r>
      <w:r>
        <w:rPr>
          <w:strike/>
          <w:color w:val="2E97D3"/>
          <w:sz w:val="24"/>
        </w:rPr>
        <w:t>DOF</w:t>
      </w:r>
      <w:r>
        <w:rPr>
          <w:strike w:val="0"/>
          <w:color w:val="2E97D3"/>
          <w:sz w:val="24"/>
          <w:u w:val="single" w:color="2E97D3"/>
        </w:rPr>
        <w:t>Finance </w:t>
      </w:r>
      <w:r>
        <w:rPr>
          <w:strike w:val="0"/>
          <w:sz w:val="24"/>
        </w:rPr>
        <w:t>releases a Budget Letter identifying the approved CCCI to be used when updating COBCPs for the following fiscal year (Section</w:t>
      </w:r>
      <w:r>
        <w:rPr>
          <w:strike w:val="0"/>
          <w:spacing w:val="-32"/>
          <w:sz w:val="24"/>
        </w:rPr>
        <w:t> </w:t>
      </w:r>
      <w:r>
        <w:rPr>
          <w:strike w:val="0"/>
          <w:sz w:val="24"/>
        </w:rPr>
        <w:t>6812).</w:t>
      </w:r>
    </w:p>
    <w:p>
      <w:pPr>
        <w:spacing w:after="0" w:line="276" w:lineRule="auto"/>
        <w:jc w:val="left"/>
        <w:rPr>
          <w:sz w:val="24"/>
        </w:rPr>
        <w:sectPr>
          <w:pgSz w:w="12240" w:h="15840"/>
          <w:pgMar w:header="724" w:footer="792" w:top="980" w:bottom="980" w:left="620" w:right="1320"/>
        </w:sectPr>
      </w:pPr>
    </w:p>
    <w:p>
      <w:pPr>
        <w:pStyle w:val="BodyText"/>
        <w:rPr>
          <w:sz w:val="20"/>
        </w:rPr>
      </w:pPr>
    </w:p>
    <w:p>
      <w:pPr>
        <w:pStyle w:val="BodyText"/>
        <w:spacing w:before="1"/>
        <w:rPr>
          <w:sz w:val="22"/>
        </w:rPr>
      </w:pPr>
    </w:p>
    <w:p>
      <w:pPr>
        <w:pStyle w:val="BodyText"/>
        <w:spacing w:before="1"/>
        <w:ind w:left="820"/>
      </w:pPr>
      <w:r>
        <w:rPr/>
        <w:pict>
          <v:line style="position:absolute;mso-position-horizontal-relative:page;mso-position-vertical-relative:paragraph;z-index:24904" from="36.360001pt,20.066843pt" to="36.360001pt,45.865843pt" stroked="true" strokeweight=".72pt" strokecolor="#000000">
            <v:stroke dashstyle="solid"/>
            <w10:wrap type="none"/>
          </v:line>
        </w:pict>
      </w:r>
      <w:r>
        <w:rPr/>
        <w:t>(Continued)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pStyle w:val="Heading2"/>
        <w:spacing w:before="92"/>
        <w:ind w:left="4411" w:right="3311"/>
        <w:jc w:val="center"/>
      </w:pPr>
      <w:r>
        <w:rPr/>
        <w:pict>
          <v:line style="position:absolute;mso-position-horizontal-relative:page;mso-position-vertical-relative:paragraph;z-index:24928" from="36.360001pt,4.815861pt" to="36.360001pt,32.415861pt" stroked="true" strokeweight=".72pt" strokecolor="#000000">
            <v:stroke dashstyle="solid"/>
            <w10:wrap type="none"/>
          </v:line>
        </w:pict>
      </w:r>
      <w:r>
        <w:rPr/>
        <w:t>Rev. 364</w:t>
      </w:r>
    </w:p>
    <w:p>
      <w:pPr>
        <w:spacing w:before="0"/>
        <w:ind w:left="4411" w:right="3311" w:firstLine="0"/>
        <w:jc w:val="center"/>
        <w:rPr>
          <w:b/>
          <w:i/>
          <w:sz w:val="24"/>
        </w:rPr>
      </w:pPr>
      <w:r>
        <w:rPr>
          <w:b/>
          <w:i/>
          <w:strike/>
          <w:color w:val="2E97D3"/>
          <w:sz w:val="24"/>
        </w:rPr>
        <w:t>(6818 Illustration)</w:t>
      </w:r>
    </w:p>
    <w:p>
      <w:pPr>
        <w:spacing w:after="0"/>
        <w:jc w:val="center"/>
        <w:rPr>
          <w:sz w:val="24"/>
        </w:rPr>
        <w:sectPr>
          <w:headerReference w:type="default" r:id="rId252"/>
          <w:footerReference w:type="default" r:id="rId253"/>
          <w:pgSz w:w="12240" w:h="15840"/>
          <w:pgMar w:header="724" w:footer="0" w:top="980" w:bottom="280" w:left="620" w:right="1720"/>
        </w:sectPr>
      </w:pPr>
    </w:p>
    <w:p>
      <w:pPr>
        <w:pStyle w:val="BodyText"/>
        <w:rPr>
          <w:b/>
          <w:i/>
          <w:sz w:val="20"/>
        </w:rPr>
      </w:pPr>
      <w:r>
        <w:rPr/>
        <w:pict>
          <v:line style="position:absolute;mso-position-horizontal-relative:page;mso-position-vertical-relative:page;z-index:25120" from="36.360001pt,72pt" to="36.360001pt,724.44pt" stroked="true" strokeweight=".72pt" strokecolor="#000000">
            <v:stroke dashstyle="solid"/>
            <w10:wrap type="none"/>
          </v:line>
        </w:pict>
      </w:r>
    </w:p>
    <w:p>
      <w:pPr>
        <w:spacing w:before="214"/>
        <w:ind w:left="856" w:right="0" w:firstLine="0"/>
        <w:jc w:val="left"/>
        <w:rPr>
          <w:b/>
          <w:sz w:val="24"/>
        </w:rPr>
      </w:pPr>
      <w:r>
        <w:rPr/>
        <w:pict>
          <v:shape style="position:absolute;margin-left:383.399994pt;margin-top:10.915881pt;width:162.15pt;height:82.8pt;mso-position-horizontal-relative:page;mso-position-vertical-relative:paragraph;z-index:2514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42"/>
                  </w:tblGrid>
                  <w:tr>
                    <w:trPr>
                      <w:trHeight w:val="276" w:hRule="exact"/>
                    </w:trPr>
                    <w:tc>
                      <w:tcPr>
                        <w:tcW w:w="3242" w:type="dxa"/>
                        <w:shd w:val="clear" w:color="auto" w:fill="000000"/>
                      </w:tcPr>
                      <w:p>
                        <w:pPr>
                          <w:pStyle w:val="TableParagraph"/>
                          <w:spacing w:line="272" w:lineRule="exact"/>
                          <w:ind w:left="108"/>
                          <w:rPr>
                            <w:sz w:val="24"/>
                          </w:rPr>
                        </w:pPr>
                        <w:r>
                          <w:rPr>
                            <w:strike/>
                            <w:color w:val="2E97D3"/>
                            <w:sz w:val="24"/>
                          </w:rPr>
                          <w:t>Department of Finance</w:t>
                        </w:r>
                      </w:p>
                    </w:tc>
                  </w:tr>
                  <w:tr>
                    <w:trPr>
                      <w:trHeight w:val="414" w:hRule="exact"/>
                    </w:trPr>
                    <w:tc>
                      <w:tcPr>
                        <w:tcW w:w="3242" w:type="dxa"/>
                        <w:shd w:val="clear" w:color="auto" w:fill="000000"/>
                      </w:tcPr>
                      <w:p>
                        <w:pPr>
                          <w:pStyle w:val="TableParagraph"/>
                          <w:spacing w:line="272" w:lineRule="exact"/>
                          <w:ind w:left="108"/>
                          <w:rPr>
                            <w:sz w:val="24"/>
                          </w:rPr>
                        </w:pPr>
                        <w:r>
                          <w:rPr>
                            <w:strike/>
                            <w:color w:val="2E97D3"/>
                            <w:sz w:val="24"/>
                          </w:rPr>
                          <w:t>915 L Street</w:t>
                        </w:r>
                      </w:p>
                    </w:tc>
                  </w:tr>
                  <w:tr>
                    <w:trPr>
                      <w:trHeight w:val="414" w:hRule="exact"/>
                    </w:trPr>
                    <w:tc>
                      <w:tcPr>
                        <w:tcW w:w="3242" w:type="dxa"/>
                        <w:shd w:val="clear" w:color="auto" w:fill="000000"/>
                      </w:tcPr>
                      <w:p>
                        <w:pPr>
                          <w:pStyle w:val="TableParagraph"/>
                          <w:spacing w:before="134"/>
                          <w:ind w:left="108"/>
                          <w:rPr>
                            <w:sz w:val="24"/>
                          </w:rPr>
                        </w:pPr>
                        <w:r>
                          <w:rPr>
                            <w:strike/>
                            <w:color w:val="2E97D3"/>
                            <w:sz w:val="24"/>
                          </w:rPr>
                          <w:t>Sacramento, CA</w:t>
                        </w:r>
                        <w:r>
                          <w:rPr>
                            <w:strike/>
                            <w:color w:val="2E97D3"/>
                            <w:spacing w:val="57"/>
                            <w:sz w:val="24"/>
                          </w:rPr>
                          <w:t> </w:t>
                        </w:r>
                        <w:r>
                          <w:rPr>
                            <w:strike/>
                            <w:color w:val="2E97D3"/>
                            <w:sz w:val="24"/>
                          </w:rPr>
                          <w:t>95814</w:t>
                        </w:r>
                      </w:p>
                    </w:tc>
                  </w:tr>
                  <w:tr>
                    <w:trPr>
                      <w:trHeight w:val="552" w:hRule="exact"/>
                    </w:trPr>
                    <w:tc>
                      <w:tcPr>
                        <w:tcW w:w="3242" w:type="dxa"/>
                        <w:shd w:val="clear" w:color="auto" w:fill="000000"/>
                      </w:tcPr>
                      <w:p>
                        <w:pPr>
                          <w:pStyle w:val="TableParagraph"/>
                          <w:spacing w:line="272" w:lineRule="exact"/>
                          <w:ind w:left="108"/>
                          <w:rPr>
                            <w:sz w:val="24"/>
                          </w:rPr>
                        </w:pPr>
                        <w:r>
                          <w:rPr>
                            <w:strike/>
                            <w:color w:val="2E97D3"/>
                            <w:sz w:val="24"/>
                          </w:rPr>
                          <w:t>IMS Mail Code: </w:t>
                        </w:r>
                        <w:r>
                          <w:rPr>
                            <w:strike/>
                            <w:color w:val="2E97D3"/>
                            <w:spacing w:val="57"/>
                            <w:sz w:val="24"/>
                          </w:rPr>
                          <w:t> </w:t>
                        </w:r>
                        <w:r>
                          <w:rPr>
                            <w:strike/>
                            <w:color w:val="2E97D3"/>
                            <w:sz w:val="24"/>
                          </w:rPr>
                          <w:t>A-15</w:t>
                        </w:r>
                      </w:p>
                    </w:tc>
                  </w:tr>
                </w:tbl>
                <w:p>
                  <w:pPr>
                    <w:pStyle w:val="BodyText"/>
                  </w:pPr>
                </w:p>
              </w:txbxContent>
            </v:textbox>
            <w10:wrap type="none"/>
          </v:shape>
        </w:pict>
      </w:r>
      <w:r>
        <w:rPr>
          <w:b/>
          <w:strike/>
          <w:color w:val="2E97D3"/>
          <w:sz w:val="24"/>
        </w:rPr>
        <w:t>STATE OF CALIFORNIA</w:t>
      </w:r>
    </w:p>
    <w:p>
      <w:pPr>
        <w:spacing w:before="0"/>
        <w:ind w:left="856" w:right="2884" w:firstLine="0"/>
        <w:jc w:val="left"/>
        <w:rPr>
          <w:b/>
          <w:sz w:val="24"/>
        </w:rPr>
      </w:pPr>
      <w:r>
        <w:rPr>
          <w:b/>
          <w:strike/>
          <w:color w:val="2E97D3"/>
          <w:sz w:val="24"/>
        </w:rPr>
        <w:t>CAPITAL OUTLAY BUDGET CHANGE PROPOSAL (COBCP)</w:t>
      </w:r>
    </w:p>
    <w:p>
      <w:pPr>
        <w:spacing w:before="0"/>
        <w:ind w:left="856" w:right="0" w:firstLine="0"/>
        <w:jc w:val="left"/>
        <w:rPr>
          <w:b/>
          <w:sz w:val="24"/>
        </w:rPr>
      </w:pPr>
      <w:r>
        <w:rPr>
          <w:b/>
          <w:strike/>
          <w:color w:val="2E97D3"/>
          <w:sz w:val="24"/>
        </w:rPr>
        <w:t>COVER SHEET</w:t>
      </w:r>
    </w:p>
    <w:p>
      <w:pPr>
        <w:pStyle w:val="BodyText"/>
        <w:spacing w:line="275" w:lineRule="exact"/>
        <w:ind w:left="856"/>
      </w:pPr>
      <w:r>
        <w:rPr>
          <w:strike/>
          <w:color w:val="2E97D3"/>
        </w:rPr>
        <w:t>(REV 11/97)</w:t>
      </w:r>
    </w:p>
    <w:p>
      <w:pPr>
        <w:spacing w:line="275" w:lineRule="exact" w:before="0" w:after="7"/>
        <w:ind w:left="856" w:right="0" w:firstLine="0"/>
        <w:jc w:val="left"/>
        <w:rPr>
          <w:i/>
          <w:sz w:val="24"/>
        </w:rPr>
      </w:pPr>
      <w:r>
        <w:rPr/>
        <w:pict>
          <v:group style="position:absolute;margin-left:82.5pt;margin-top:255.261459pt;width:41.05pt;height:12.3pt;mso-position-horizontal-relative:page;mso-position-vertical-relative:paragraph;z-index:-447712" coordorigin="1650,5105" coordsize="821,246">
            <v:rect style="position:absolute;left:2210;top:5113;width:230;height:230" filled="false" stroked="true" strokeweight=".72pt" strokecolor="#2e97d3">
              <v:stroke dashstyle="solid"/>
            </v:rect>
            <v:shape style="position:absolute;left:1656;top:5258;width:809;height:2" coordorigin="1656,5258" coordsize="809,0" path="m2189,5258l2465,5258m1656,5258l2189,5258e" filled="false" stroked="true" strokeweight=".6pt" strokecolor="#2e97d3">
              <v:path arrowok="t"/>
              <v:stroke dashstyle="solid"/>
            </v:shape>
            <w10:wrap type="none"/>
          </v:group>
        </w:pict>
      </w:r>
      <w:r>
        <w:rPr/>
        <w:pict>
          <v:group style="position:absolute;margin-left:82.5pt;margin-top:282.86145pt;width:41.05pt;height:12.3pt;mso-position-horizontal-relative:page;mso-position-vertical-relative:paragraph;z-index:-447688" coordorigin="1650,5657" coordsize="821,246">
            <v:rect style="position:absolute;left:2210;top:5665;width:230;height:230" filled="false" stroked="true" strokeweight=".72pt" strokecolor="#2e97d3">
              <v:stroke dashstyle="solid"/>
            </v:rect>
            <v:shape style="position:absolute;left:1656;top:5810;width:809;height:2" coordorigin="1656,5810" coordsize="809,0" path="m2189,5810l2465,5810m1656,5810l2189,5810e" filled="false" stroked="true" strokeweight=".6pt" strokecolor="#2e97d3">
              <v:path arrowok="t"/>
              <v:stroke dashstyle="solid"/>
            </v:shape>
            <w10:wrap type="none"/>
          </v:group>
        </w:pict>
      </w:r>
      <w:r>
        <w:rPr/>
        <w:pict>
          <v:group style="position:absolute;margin-left:303.179993pt;margin-top:241.461456pt;width:217pt;height:12.3pt;mso-position-horizontal-relative:page;mso-position-vertical-relative:paragraph;z-index:-447664" coordorigin="6064,4829" coordsize="4340,246">
            <v:rect style="position:absolute;left:6091;top:4837;width:230;height:230" filled="false" stroked="true" strokeweight=".72pt" strokecolor="#2e97d3">
              <v:stroke dashstyle="solid"/>
            </v:rect>
            <v:line style="position:absolute" from="6070,4982" to="6346,4982" stroked="true" strokeweight=".6pt" strokecolor="#2e97d3">
              <v:stroke dashstyle="solid"/>
            </v:line>
            <v:rect style="position:absolute;left:8966;top:4837;width:230;height:230" filled="false" stroked="true" strokeweight=".72pt" strokecolor="#2e97d3">
              <v:stroke dashstyle="solid"/>
            </v:rect>
            <v:shape style="position:absolute;left:6346;top:4982;width:4052;height:2" coordorigin="6346,4982" coordsize="4052,0" path="m8945,4982l9221,4982m6346,4982l8945,4982m9221,4982l10397,4982e" filled="false" stroked="true" strokeweight=".6pt" strokecolor="#2e97d3">
              <v:path arrowok="t"/>
              <v:stroke dashstyle="solid"/>
            </v:shape>
            <w10:wrap type="none"/>
          </v:group>
        </w:pict>
      </w:r>
      <w:r>
        <w:rPr/>
        <w:pict>
          <v:group style="position:absolute;margin-left:303.179993pt;margin-top:269.061462pt;width:229.6pt;height:12.3pt;mso-position-horizontal-relative:page;mso-position-vertical-relative:paragraph;z-index:-447640" coordorigin="6064,5381" coordsize="4592,246">
            <v:rect style="position:absolute;left:6091;top:5389;width:230;height:230" filled="false" stroked="true" strokeweight=".72pt" strokecolor="#2e97d3">
              <v:stroke dashstyle="solid"/>
            </v:rect>
            <v:line style="position:absolute" from="6070,5534" to="6346,5534" stroked="true" strokeweight=".599pt" strokecolor="#2e97d3">
              <v:stroke dashstyle="solid"/>
            </v:line>
            <v:rect style="position:absolute;left:8966;top:5389;width:230;height:230" filled="false" stroked="true" strokeweight=".72pt" strokecolor="#2e97d3">
              <v:stroke dashstyle="solid"/>
            </v:rect>
            <v:shape style="position:absolute;left:6346;top:5534;width:4304;height:2" coordorigin="6346,5534" coordsize="4304,0" path="m8945,5534l9221,5534m6346,5534l8945,5534m9221,5534l10649,5534e" filled="false" stroked="true" strokeweight=".599pt" strokecolor="#2e97d3">
              <v:path arrowok="t"/>
              <v:stroke dashstyle="solid"/>
            </v:shape>
            <w10:wrap type="none"/>
          </v:group>
        </w:pict>
      </w:r>
      <w:r>
        <w:rPr>
          <w:i/>
          <w:strike/>
          <w:color w:val="2E97D3"/>
          <w:sz w:val="24"/>
        </w:rPr>
        <w:t>Please report dollars in thousands</w:t>
      </w:r>
    </w:p>
    <w:tbl>
      <w:tblPr>
        <w:tblW w:w="0" w:type="auto"/>
        <w:jc w:val="left"/>
        <w:tblInd w:w="90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565"/>
        <w:gridCol w:w="118"/>
        <w:gridCol w:w="523"/>
        <w:gridCol w:w="797"/>
        <w:gridCol w:w="420"/>
        <w:gridCol w:w="283"/>
        <w:gridCol w:w="708"/>
        <w:gridCol w:w="254"/>
        <w:gridCol w:w="1452"/>
        <w:gridCol w:w="1778"/>
        <w:gridCol w:w="1464"/>
      </w:tblGrid>
      <w:tr>
        <w:trPr>
          <w:trHeight w:val="583" w:hRule="exact"/>
        </w:trPr>
        <w:tc>
          <w:tcPr>
            <w:tcW w:w="1565" w:type="dxa"/>
            <w:tcBorders>
              <w:left w:val="single" w:sz="6" w:space="0" w:color="000000"/>
              <w:bottom w:val="single" w:sz="6" w:space="0" w:color="000000"/>
              <w:right w:val="single" w:sz="6" w:space="0" w:color="000000"/>
            </w:tcBorders>
          </w:tcPr>
          <w:p>
            <w:pPr>
              <w:pStyle w:val="TableParagraph"/>
              <w:spacing w:line="274" w:lineRule="exact"/>
              <w:ind w:left="100"/>
              <w:rPr>
                <w:sz w:val="24"/>
              </w:rPr>
            </w:pPr>
            <w:r>
              <w:rPr>
                <w:strike/>
                <w:color w:val="2E97D3"/>
                <w:sz w:val="24"/>
              </w:rPr>
              <w:t>COBCP #</w:t>
            </w:r>
          </w:p>
        </w:tc>
        <w:tc>
          <w:tcPr>
            <w:tcW w:w="1438" w:type="dxa"/>
            <w:gridSpan w:val="3"/>
            <w:tcBorders>
              <w:left w:val="single" w:sz="6" w:space="0" w:color="000000"/>
              <w:bottom w:val="single" w:sz="6" w:space="0" w:color="000000"/>
              <w:right w:val="single" w:sz="6" w:space="0" w:color="000000"/>
            </w:tcBorders>
          </w:tcPr>
          <w:p>
            <w:pPr>
              <w:pStyle w:val="TableParagraph"/>
              <w:spacing w:line="274" w:lineRule="exact"/>
              <w:ind w:left="100"/>
              <w:rPr>
                <w:sz w:val="24"/>
              </w:rPr>
            </w:pPr>
            <w:r>
              <w:rPr>
                <w:strike/>
                <w:color w:val="2E97D3"/>
                <w:sz w:val="24"/>
              </w:rPr>
              <w:t>PRIORITY</w:t>
            </w:r>
          </w:p>
          <w:p>
            <w:pPr>
              <w:pStyle w:val="TableParagraph"/>
              <w:ind w:left="100"/>
              <w:rPr>
                <w:sz w:val="24"/>
              </w:rPr>
            </w:pPr>
            <w:r>
              <w:rPr>
                <w:strike/>
                <w:color w:val="2E97D3"/>
                <w:w w:val="99"/>
                <w:sz w:val="24"/>
              </w:rPr>
              <w:t>#</w:t>
            </w:r>
          </w:p>
        </w:tc>
        <w:tc>
          <w:tcPr>
            <w:tcW w:w="1666" w:type="dxa"/>
            <w:gridSpan w:val="4"/>
            <w:tcBorders>
              <w:left w:val="single" w:sz="6" w:space="0" w:color="000000"/>
              <w:bottom w:val="single" w:sz="6" w:space="0" w:color="000000"/>
              <w:right w:val="single" w:sz="6" w:space="0" w:color="000000"/>
            </w:tcBorders>
          </w:tcPr>
          <w:p>
            <w:pPr>
              <w:pStyle w:val="TableParagraph"/>
              <w:spacing w:line="274" w:lineRule="exact"/>
              <w:ind w:left="100"/>
              <w:rPr>
                <w:sz w:val="24"/>
              </w:rPr>
            </w:pPr>
            <w:r>
              <w:rPr>
                <w:strike/>
                <w:color w:val="2E97D3"/>
                <w:sz w:val="24"/>
              </w:rPr>
              <w:t>ORG CODE</w:t>
            </w:r>
          </w:p>
        </w:tc>
        <w:tc>
          <w:tcPr>
            <w:tcW w:w="4694" w:type="dxa"/>
            <w:gridSpan w:val="3"/>
            <w:tcBorders>
              <w:top w:val="single" w:sz="6" w:space="0" w:color="000000"/>
              <w:left w:val="single" w:sz="6" w:space="0" w:color="000000"/>
              <w:bottom w:val="single" w:sz="6" w:space="0" w:color="000000"/>
              <w:right w:val="single" w:sz="6" w:space="0" w:color="000000"/>
            </w:tcBorders>
          </w:tcPr>
          <w:p>
            <w:pPr>
              <w:pStyle w:val="TableParagraph"/>
              <w:spacing w:before="12"/>
              <w:ind w:left="100"/>
              <w:rPr>
                <w:sz w:val="24"/>
              </w:rPr>
            </w:pPr>
            <w:r>
              <w:rPr>
                <w:strike/>
                <w:color w:val="2E97D3"/>
                <w:sz w:val="24"/>
              </w:rPr>
              <w:t>DEPARTMENT</w:t>
            </w:r>
          </w:p>
        </w:tc>
      </w:tr>
      <w:tr>
        <w:trPr>
          <w:trHeight w:val="842" w:hRule="exact"/>
        </w:trPr>
        <w:tc>
          <w:tcPr>
            <w:tcW w:w="6120" w:type="dxa"/>
            <w:gridSpan w:val="9"/>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100"/>
              <w:rPr>
                <w:sz w:val="24"/>
              </w:rPr>
            </w:pPr>
            <w:r>
              <w:rPr>
                <w:strike/>
                <w:color w:val="2E97D3"/>
                <w:sz w:val="24"/>
              </w:rPr>
              <w:t>PROJECT TITLE</w:t>
            </w:r>
          </w:p>
        </w:tc>
        <w:tc>
          <w:tcPr>
            <w:tcW w:w="3242" w:type="dxa"/>
            <w:gridSpan w:val="2"/>
            <w:tcBorders>
              <w:top w:val="single" w:sz="6" w:space="0" w:color="000000"/>
              <w:left w:val="single" w:sz="6" w:space="0" w:color="000000"/>
              <w:bottom w:val="single" w:sz="6" w:space="0" w:color="000000"/>
              <w:right w:val="single" w:sz="6" w:space="0" w:color="000000"/>
            </w:tcBorders>
          </w:tcPr>
          <w:p>
            <w:pPr>
              <w:pStyle w:val="TableParagraph"/>
              <w:ind w:left="100" w:right="279" w:firstLine="108"/>
              <w:rPr>
                <w:sz w:val="24"/>
              </w:rPr>
            </w:pPr>
            <w:r>
              <w:rPr>
                <w:strike/>
                <w:color w:val="2E97D3"/>
                <w:sz w:val="24"/>
              </w:rPr>
              <w:t>PHASES FUNDED WITH THIS REQUEST:</w:t>
            </w:r>
          </w:p>
        </w:tc>
      </w:tr>
      <w:tr>
        <w:trPr>
          <w:trHeight w:val="1118" w:hRule="exact"/>
        </w:trPr>
        <w:tc>
          <w:tcPr>
            <w:tcW w:w="2206" w:type="dxa"/>
            <w:gridSpan w:val="3"/>
            <w:tcBorders>
              <w:top w:val="single" w:sz="6" w:space="0" w:color="000000"/>
              <w:left w:val="single" w:sz="6" w:space="0" w:color="000000"/>
              <w:bottom w:val="single" w:sz="6" w:space="0" w:color="000000"/>
              <w:right w:val="single" w:sz="6" w:space="0" w:color="000000"/>
            </w:tcBorders>
          </w:tcPr>
          <w:p>
            <w:pPr>
              <w:pStyle w:val="TableParagraph"/>
              <w:ind w:left="100" w:right="644"/>
              <w:rPr>
                <w:sz w:val="24"/>
              </w:rPr>
            </w:pPr>
            <w:r>
              <w:rPr>
                <w:strike/>
                <w:color w:val="2E97D3"/>
                <w:sz w:val="24"/>
              </w:rPr>
              <w:t>PROJECT ID CODE</w:t>
            </w:r>
          </w:p>
        </w:tc>
        <w:tc>
          <w:tcPr>
            <w:tcW w:w="1500" w:type="dxa"/>
            <w:gridSpan w:val="3"/>
            <w:tcBorders>
              <w:top w:val="single" w:sz="6" w:space="0" w:color="000000"/>
              <w:left w:val="single" w:sz="6" w:space="0" w:color="000000"/>
              <w:bottom w:val="single" w:sz="6" w:space="0" w:color="000000"/>
              <w:right w:val="single" w:sz="6" w:space="0" w:color="000000"/>
            </w:tcBorders>
          </w:tcPr>
          <w:p>
            <w:pPr>
              <w:pStyle w:val="TableParagraph"/>
              <w:ind w:left="100" w:right="194"/>
              <w:jc w:val="both"/>
              <w:rPr>
                <w:sz w:val="24"/>
              </w:rPr>
            </w:pPr>
            <w:r>
              <w:rPr>
                <w:strike/>
                <w:color w:val="2E97D3"/>
                <w:sz w:val="24"/>
              </w:rPr>
              <w:t>PROJECT CATEGOR Y</w:t>
            </w:r>
          </w:p>
        </w:tc>
        <w:tc>
          <w:tcPr>
            <w:tcW w:w="2414" w:type="dxa"/>
            <w:gridSpan w:val="3"/>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100"/>
              <w:rPr>
                <w:sz w:val="24"/>
              </w:rPr>
            </w:pPr>
            <w:r>
              <w:rPr>
                <w:strike/>
                <w:color w:val="2E97D3"/>
                <w:sz w:val="24"/>
              </w:rPr>
              <w:t>LOCATION</w:t>
            </w:r>
          </w:p>
        </w:tc>
        <w:tc>
          <w:tcPr>
            <w:tcW w:w="3242" w:type="dxa"/>
            <w:gridSpan w:val="2"/>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100"/>
              <w:rPr>
                <w:sz w:val="24"/>
              </w:rPr>
            </w:pPr>
            <w:r>
              <w:rPr>
                <w:strike/>
                <w:color w:val="2E97D3"/>
                <w:sz w:val="24"/>
              </w:rPr>
              <w:t>LEGISLATIVE DISTRICTS</w:t>
            </w:r>
          </w:p>
          <w:p>
            <w:pPr>
              <w:pStyle w:val="TableParagraph"/>
              <w:tabs>
                <w:tab w:pos="503" w:val="left" w:leader="none"/>
              </w:tabs>
              <w:ind w:left="100"/>
              <w:rPr>
                <w:sz w:val="24"/>
              </w:rPr>
            </w:pPr>
            <w:r>
              <w:rPr>
                <w:strike/>
                <w:color w:val="2E97D3"/>
                <w:w w:val="100"/>
                <w:sz w:val="24"/>
              </w:rPr>
              <w:t> </w:t>
            </w:r>
            <w:r>
              <w:rPr>
                <w:strike/>
                <w:color w:val="2E97D3"/>
                <w:sz w:val="24"/>
              </w:rPr>
              <w:tab/>
              <w:t>Congress:</w:t>
            </w:r>
          </w:p>
          <w:p>
            <w:pPr>
              <w:pStyle w:val="TableParagraph"/>
              <w:tabs>
                <w:tab w:pos="501" w:val="left" w:leader="none"/>
              </w:tabs>
              <w:ind w:left="100"/>
              <w:rPr>
                <w:sz w:val="24"/>
              </w:rPr>
            </w:pPr>
            <w:r>
              <w:rPr>
                <w:strike/>
                <w:color w:val="2E97D3"/>
                <w:w w:val="100"/>
                <w:sz w:val="24"/>
              </w:rPr>
              <w:t> </w:t>
            </w:r>
            <w:r>
              <w:rPr>
                <w:strike/>
                <w:color w:val="2E97D3"/>
                <w:sz w:val="24"/>
              </w:rPr>
              <w:tab/>
              <w:t>Senate:</w:t>
            </w:r>
          </w:p>
          <w:p>
            <w:pPr>
              <w:pStyle w:val="TableParagraph"/>
              <w:tabs>
                <w:tab w:pos="501" w:val="left" w:leader="none"/>
              </w:tabs>
              <w:ind w:left="100"/>
              <w:rPr>
                <w:sz w:val="24"/>
              </w:rPr>
            </w:pPr>
            <w:r>
              <w:rPr>
                <w:strike/>
                <w:color w:val="2E97D3"/>
                <w:w w:val="100"/>
                <w:sz w:val="24"/>
              </w:rPr>
              <w:t> </w:t>
            </w:r>
            <w:r>
              <w:rPr>
                <w:strike/>
                <w:color w:val="2E97D3"/>
                <w:sz w:val="24"/>
              </w:rPr>
              <w:tab/>
              <w:t>Assembly:</w:t>
            </w:r>
          </w:p>
        </w:tc>
      </w:tr>
      <w:tr>
        <w:trPr>
          <w:trHeight w:val="566" w:hRule="exact"/>
        </w:trPr>
        <w:tc>
          <w:tcPr>
            <w:tcW w:w="9362" w:type="dxa"/>
            <w:gridSpan w:val="11"/>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100"/>
              <w:rPr>
                <w:sz w:val="24"/>
              </w:rPr>
            </w:pPr>
            <w:r>
              <w:rPr>
                <w:strike/>
                <w:color w:val="2E97D3"/>
                <w:sz w:val="24"/>
              </w:rPr>
              <w:t>PROBLEM STATEMENT</w:t>
            </w:r>
          </w:p>
        </w:tc>
      </w:tr>
      <w:tr>
        <w:trPr>
          <w:trHeight w:val="569" w:hRule="exact"/>
        </w:trPr>
        <w:tc>
          <w:tcPr>
            <w:tcW w:w="9362" w:type="dxa"/>
            <w:gridSpan w:val="11"/>
            <w:tcBorders>
              <w:top w:val="single" w:sz="6" w:space="0" w:color="000000"/>
              <w:left w:val="single" w:sz="6" w:space="0" w:color="000000"/>
              <w:bottom w:val="single" w:sz="6" w:space="0" w:color="000000"/>
              <w:right w:val="single" w:sz="6" w:space="0" w:color="000000"/>
            </w:tcBorders>
          </w:tcPr>
          <w:p>
            <w:pPr>
              <w:pStyle w:val="TableParagraph"/>
              <w:spacing w:line="274" w:lineRule="exact"/>
              <w:ind w:left="100"/>
              <w:rPr>
                <w:sz w:val="24"/>
              </w:rPr>
            </w:pPr>
            <w:r>
              <w:rPr>
                <w:strike/>
                <w:color w:val="2E97D3"/>
                <w:sz w:val="24"/>
              </w:rPr>
              <w:t>SUMMARY OF PROPOSAL</w:t>
            </w:r>
          </w:p>
        </w:tc>
      </w:tr>
      <w:tr>
        <w:trPr>
          <w:trHeight w:val="2237" w:hRule="exact"/>
        </w:trPr>
        <w:tc>
          <w:tcPr>
            <w:tcW w:w="1682" w:type="dxa"/>
            <w:gridSpan w:val="2"/>
            <w:tcBorders>
              <w:top w:val="single" w:sz="6" w:space="0" w:color="000000"/>
              <w:left w:val="single" w:sz="6" w:space="0" w:color="000000"/>
              <w:bottom w:val="single" w:sz="17" w:space="0" w:color="000000"/>
              <w:right w:val="single" w:sz="6" w:space="0" w:color="000000"/>
            </w:tcBorders>
          </w:tcPr>
          <w:p>
            <w:pPr>
              <w:pStyle w:val="TableParagraph"/>
              <w:ind w:left="100" w:right="147"/>
              <w:rPr>
                <w:sz w:val="24"/>
              </w:rPr>
            </w:pPr>
            <w:r>
              <w:rPr>
                <w:strike/>
                <w:color w:val="2E97D3"/>
                <w:sz w:val="24"/>
              </w:rPr>
              <w:t>REQUIRES LEGISLATIO N</w:t>
            </w:r>
          </w:p>
          <w:p>
            <w:pPr>
              <w:pStyle w:val="TableParagraph"/>
              <w:spacing w:before="6"/>
              <w:rPr>
                <w:i/>
                <w:sz w:val="24"/>
              </w:rPr>
            </w:pPr>
          </w:p>
          <w:p>
            <w:pPr>
              <w:pStyle w:val="TableParagraph"/>
              <w:spacing w:line="550" w:lineRule="atLeast"/>
              <w:ind w:left="100" w:right="1067"/>
              <w:rPr>
                <w:sz w:val="24"/>
              </w:rPr>
            </w:pPr>
            <w:r>
              <w:rPr>
                <w:strike/>
                <w:color w:val="2E97D3"/>
                <w:sz w:val="24"/>
              </w:rPr>
              <w:t>YES NO</w:t>
            </w:r>
          </w:p>
        </w:tc>
        <w:tc>
          <w:tcPr>
            <w:tcW w:w="2731" w:type="dxa"/>
            <w:gridSpan w:val="5"/>
            <w:tcBorders>
              <w:top w:val="single" w:sz="6" w:space="0" w:color="000000"/>
              <w:left w:val="single" w:sz="6" w:space="0" w:color="000000"/>
              <w:bottom w:val="single" w:sz="17" w:space="0" w:color="000000"/>
              <w:right w:val="single" w:sz="6" w:space="0" w:color="000000"/>
            </w:tcBorders>
          </w:tcPr>
          <w:p>
            <w:pPr>
              <w:pStyle w:val="TableParagraph"/>
              <w:ind w:left="100" w:right="450"/>
              <w:rPr>
                <w:sz w:val="24"/>
              </w:rPr>
            </w:pPr>
            <w:r>
              <w:rPr>
                <w:strike/>
                <w:color w:val="2E97D3"/>
                <w:sz w:val="24"/>
              </w:rPr>
              <w:t>CODE SECTION(S) TO BE AMENDED/ADDED</w:t>
            </w:r>
          </w:p>
        </w:tc>
        <w:tc>
          <w:tcPr>
            <w:tcW w:w="4949" w:type="dxa"/>
            <w:gridSpan w:val="4"/>
            <w:tcBorders>
              <w:top w:val="single" w:sz="6" w:space="0" w:color="000000"/>
              <w:left w:val="single" w:sz="6" w:space="0" w:color="000000"/>
              <w:bottom w:val="single" w:sz="17" w:space="0" w:color="000000"/>
              <w:right w:val="single" w:sz="6" w:space="0" w:color="000000"/>
            </w:tcBorders>
          </w:tcPr>
          <w:p>
            <w:pPr>
              <w:pStyle w:val="TableParagraph"/>
              <w:ind w:left="100" w:right="800"/>
              <w:rPr>
                <w:sz w:val="24"/>
              </w:rPr>
            </w:pPr>
            <w:r>
              <w:rPr>
                <w:strike/>
                <w:color w:val="2E97D3"/>
                <w:sz w:val="24"/>
              </w:rPr>
              <w:t>IMPACT ON STATE OPERATIONS – MARK IF APPLICABLE</w:t>
            </w:r>
          </w:p>
          <w:p>
            <w:pPr>
              <w:pStyle w:val="TableParagraph"/>
              <w:spacing w:before="4"/>
              <w:rPr>
                <w:i/>
                <w:sz w:val="24"/>
              </w:rPr>
            </w:pPr>
          </w:p>
          <w:p>
            <w:pPr>
              <w:pStyle w:val="TableParagraph"/>
              <w:tabs>
                <w:tab w:pos="3453" w:val="left" w:leader="none"/>
              </w:tabs>
              <w:ind w:left="100" w:right="505" w:firstLine="477"/>
              <w:rPr>
                <w:sz w:val="24"/>
              </w:rPr>
            </w:pPr>
            <w:r>
              <w:rPr>
                <w:color w:val="2E97D3"/>
                <w:sz w:val="24"/>
              </w:rPr>
              <w:t>ONE-TIME</w:t>
            </w:r>
            <w:r>
              <w:rPr>
                <w:color w:val="2E97D3"/>
                <w:spacing w:val="63"/>
                <w:sz w:val="24"/>
              </w:rPr>
              <w:t> </w:t>
            </w:r>
            <w:r>
              <w:rPr>
                <w:color w:val="2E97D3"/>
                <w:sz w:val="24"/>
              </w:rPr>
              <w:t>COSTS</w:t>
              <w:tab/>
              <w:t>FUTURE </w:t>
            </w:r>
            <w:r>
              <w:rPr>
                <w:strike/>
                <w:color w:val="2E97D3"/>
                <w:sz w:val="24"/>
              </w:rPr>
              <w:t>SAVINGS</w:t>
            </w:r>
          </w:p>
          <w:p>
            <w:pPr>
              <w:pStyle w:val="TableParagraph"/>
              <w:tabs>
                <w:tab w:pos="3520" w:val="left" w:leader="none"/>
              </w:tabs>
              <w:ind w:left="645"/>
              <w:rPr>
                <w:sz w:val="24"/>
              </w:rPr>
            </w:pPr>
            <w:r>
              <w:rPr>
                <w:color w:val="2E97D3"/>
                <w:sz w:val="24"/>
              </w:rPr>
              <w:t>FUTURE</w:t>
            </w:r>
            <w:r>
              <w:rPr>
                <w:color w:val="2E97D3"/>
                <w:spacing w:val="-3"/>
                <w:sz w:val="24"/>
              </w:rPr>
              <w:t> </w:t>
            </w:r>
            <w:r>
              <w:rPr>
                <w:color w:val="2E97D3"/>
                <w:sz w:val="24"/>
              </w:rPr>
              <w:t>COSTS</w:t>
              <w:tab/>
              <w:t>REVENUE</w:t>
            </w:r>
          </w:p>
        </w:tc>
      </w:tr>
      <w:tr>
        <w:trPr>
          <w:trHeight w:val="857" w:hRule="exact"/>
        </w:trPr>
        <w:tc>
          <w:tcPr>
            <w:tcW w:w="3422" w:type="dxa"/>
            <w:gridSpan w:val="5"/>
            <w:tcBorders>
              <w:top w:val="single" w:sz="17" w:space="0" w:color="000000"/>
              <w:left w:val="single" w:sz="17" w:space="0" w:color="000000"/>
              <w:bottom w:val="single" w:sz="6" w:space="0" w:color="000000"/>
              <w:right w:val="single" w:sz="6" w:space="0" w:color="000000"/>
            </w:tcBorders>
          </w:tcPr>
          <w:p>
            <w:pPr>
              <w:pStyle w:val="TableParagraph"/>
              <w:spacing w:line="272" w:lineRule="exact"/>
              <w:ind w:left="86"/>
              <w:rPr>
                <w:sz w:val="24"/>
              </w:rPr>
            </w:pPr>
            <w:r>
              <w:rPr>
                <w:strike/>
                <w:color w:val="2E97D3"/>
                <w:sz w:val="24"/>
              </w:rPr>
              <w:t>PREPARED BY</w:t>
            </w:r>
          </w:p>
        </w:tc>
        <w:tc>
          <w:tcPr>
            <w:tcW w:w="991" w:type="dxa"/>
            <w:gridSpan w:val="2"/>
            <w:tcBorders>
              <w:top w:val="single" w:sz="17" w:space="0" w:color="000000"/>
              <w:left w:val="single" w:sz="6" w:space="0" w:color="000000"/>
              <w:bottom w:val="single" w:sz="6" w:space="0" w:color="000000"/>
              <w:right w:val="single" w:sz="6" w:space="0" w:color="000000"/>
            </w:tcBorders>
          </w:tcPr>
          <w:p>
            <w:pPr>
              <w:pStyle w:val="TableParagraph"/>
              <w:spacing w:line="272" w:lineRule="exact"/>
              <w:ind w:left="100"/>
              <w:rPr>
                <w:sz w:val="24"/>
              </w:rPr>
            </w:pPr>
            <w:r>
              <w:rPr>
                <w:strike/>
                <w:color w:val="2E97D3"/>
                <w:sz w:val="24"/>
              </w:rPr>
              <w:t>DATE</w:t>
            </w:r>
          </w:p>
        </w:tc>
        <w:tc>
          <w:tcPr>
            <w:tcW w:w="3485" w:type="dxa"/>
            <w:gridSpan w:val="3"/>
            <w:tcBorders>
              <w:top w:val="single" w:sz="17" w:space="0" w:color="000000"/>
              <w:left w:val="single" w:sz="6" w:space="0" w:color="000000"/>
              <w:bottom w:val="single" w:sz="6" w:space="0" w:color="000000"/>
              <w:right w:val="single" w:sz="6" w:space="0" w:color="000000"/>
            </w:tcBorders>
          </w:tcPr>
          <w:p>
            <w:pPr>
              <w:pStyle w:val="TableParagraph"/>
              <w:spacing w:line="272" w:lineRule="exact"/>
              <w:ind w:left="100"/>
              <w:rPr>
                <w:sz w:val="24"/>
              </w:rPr>
            </w:pPr>
            <w:r>
              <w:rPr>
                <w:strike/>
                <w:color w:val="2E97D3"/>
                <w:sz w:val="24"/>
              </w:rPr>
              <w:t>REVIEWED BY</w:t>
            </w:r>
          </w:p>
        </w:tc>
        <w:tc>
          <w:tcPr>
            <w:tcW w:w="1464" w:type="dxa"/>
            <w:tcBorders>
              <w:top w:val="single" w:sz="17" w:space="0" w:color="000000"/>
              <w:left w:val="single" w:sz="6" w:space="0" w:color="000000"/>
              <w:bottom w:val="single" w:sz="6" w:space="0" w:color="000000"/>
              <w:right w:val="single" w:sz="17" w:space="0" w:color="000000"/>
            </w:tcBorders>
          </w:tcPr>
          <w:p>
            <w:pPr>
              <w:pStyle w:val="TableParagraph"/>
              <w:spacing w:line="272" w:lineRule="exact"/>
              <w:ind w:left="100"/>
              <w:rPr>
                <w:sz w:val="24"/>
              </w:rPr>
            </w:pPr>
            <w:r>
              <w:rPr>
                <w:strike/>
                <w:color w:val="2E97D3"/>
                <w:sz w:val="24"/>
              </w:rPr>
              <w:t>DATE</w:t>
            </w:r>
          </w:p>
        </w:tc>
      </w:tr>
      <w:tr>
        <w:trPr>
          <w:trHeight w:val="859" w:hRule="exact"/>
        </w:trPr>
        <w:tc>
          <w:tcPr>
            <w:tcW w:w="3422" w:type="dxa"/>
            <w:gridSpan w:val="5"/>
            <w:tcBorders>
              <w:top w:val="single" w:sz="6" w:space="0" w:color="000000"/>
              <w:left w:val="single" w:sz="17" w:space="0" w:color="000000"/>
              <w:bottom w:val="single" w:sz="17" w:space="0" w:color="000000"/>
              <w:right w:val="single" w:sz="6" w:space="0" w:color="000000"/>
            </w:tcBorders>
          </w:tcPr>
          <w:p>
            <w:pPr>
              <w:pStyle w:val="TableParagraph"/>
              <w:spacing w:line="274" w:lineRule="exact"/>
              <w:ind w:left="86"/>
              <w:rPr>
                <w:sz w:val="24"/>
              </w:rPr>
            </w:pPr>
            <w:r>
              <w:rPr>
                <w:strike/>
                <w:color w:val="2E97D3"/>
                <w:sz w:val="24"/>
              </w:rPr>
              <w:t>DEPARTMENT DIRECTOR</w:t>
            </w:r>
          </w:p>
        </w:tc>
        <w:tc>
          <w:tcPr>
            <w:tcW w:w="991" w:type="dxa"/>
            <w:gridSpan w:val="2"/>
            <w:tcBorders>
              <w:top w:val="single" w:sz="6" w:space="0" w:color="000000"/>
              <w:left w:val="single" w:sz="6" w:space="0" w:color="000000"/>
              <w:bottom w:val="single" w:sz="17" w:space="0" w:color="000000"/>
              <w:right w:val="single" w:sz="6" w:space="0" w:color="000000"/>
            </w:tcBorders>
          </w:tcPr>
          <w:p>
            <w:pPr>
              <w:pStyle w:val="TableParagraph"/>
              <w:spacing w:line="274" w:lineRule="exact"/>
              <w:ind w:left="100"/>
              <w:rPr>
                <w:sz w:val="24"/>
              </w:rPr>
            </w:pPr>
            <w:r>
              <w:rPr>
                <w:strike/>
                <w:color w:val="2E97D3"/>
                <w:sz w:val="24"/>
              </w:rPr>
              <w:t>DATE</w:t>
            </w:r>
          </w:p>
        </w:tc>
        <w:tc>
          <w:tcPr>
            <w:tcW w:w="3485" w:type="dxa"/>
            <w:gridSpan w:val="3"/>
            <w:tcBorders>
              <w:top w:val="single" w:sz="6" w:space="0" w:color="000000"/>
              <w:left w:val="single" w:sz="6" w:space="0" w:color="000000"/>
              <w:bottom w:val="single" w:sz="17" w:space="0" w:color="000000"/>
              <w:right w:val="single" w:sz="6" w:space="0" w:color="000000"/>
            </w:tcBorders>
          </w:tcPr>
          <w:p>
            <w:pPr>
              <w:pStyle w:val="TableParagraph"/>
              <w:spacing w:line="274" w:lineRule="exact"/>
              <w:ind w:left="100"/>
              <w:rPr>
                <w:sz w:val="24"/>
              </w:rPr>
            </w:pPr>
            <w:r>
              <w:rPr>
                <w:strike/>
                <w:color w:val="2E97D3"/>
                <w:sz w:val="24"/>
              </w:rPr>
              <w:t>AGENCY SECRETARY</w:t>
            </w:r>
          </w:p>
        </w:tc>
        <w:tc>
          <w:tcPr>
            <w:tcW w:w="1464" w:type="dxa"/>
            <w:tcBorders>
              <w:top w:val="single" w:sz="6" w:space="0" w:color="000000"/>
              <w:left w:val="single" w:sz="6" w:space="0" w:color="000000"/>
              <w:bottom w:val="single" w:sz="17" w:space="0" w:color="000000"/>
              <w:right w:val="single" w:sz="17" w:space="0" w:color="000000"/>
            </w:tcBorders>
          </w:tcPr>
          <w:p>
            <w:pPr>
              <w:pStyle w:val="TableParagraph"/>
              <w:spacing w:line="274" w:lineRule="exact"/>
              <w:ind w:left="100"/>
              <w:rPr>
                <w:sz w:val="24"/>
              </w:rPr>
            </w:pPr>
            <w:r>
              <w:rPr>
                <w:strike/>
                <w:color w:val="2E97D3"/>
                <w:sz w:val="24"/>
              </w:rPr>
              <w:t>DATE</w:t>
            </w:r>
          </w:p>
        </w:tc>
      </w:tr>
      <w:tr>
        <w:trPr>
          <w:trHeight w:val="711" w:hRule="exact"/>
        </w:trPr>
        <w:tc>
          <w:tcPr>
            <w:tcW w:w="9362" w:type="dxa"/>
            <w:gridSpan w:val="11"/>
            <w:tcBorders>
              <w:top w:val="single" w:sz="17" w:space="0" w:color="000000"/>
              <w:left w:val="single" w:sz="6" w:space="0" w:color="000000"/>
              <w:bottom w:val="nil"/>
              <w:right w:val="single" w:sz="6" w:space="0" w:color="000000"/>
            </w:tcBorders>
          </w:tcPr>
          <w:p>
            <w:pPr>
              <w:pStyle w:val="TableParagraph"/>
              <w:ind w:left="100" w:right="1240"/>
              <w:rPr>
                <w:sz w:val="24"/>
              </w:rPr>
            </w:pPr>
            <w:r>
              <w:rPr>
                <w:strike/>
                <w:color w:val="2E97D3"/>
                <w:sz w:val="24"/>
              </w:rPr>
              <w:t>IF PROPOSAL AFFECTS ANOTHER DEPARTMENT, DOES THE OTHER DEPARTMENT CONCUR?</w:t>
            </w:r>
          </w:p>
        </w:tc>
      </w:tr>
      <w:tr>
        <w:trPr>
          <w:trHeight w:val="988" w:hRule="exact"/>
        </w:trPr>
        <w:tc>
          <w:tcPr>
            <w:tcW w:w="1565" w:type="dxa"/>
            <w:tcBorders>
              <w:top w:val="nil"/>
              <w:left w:val="single" w:sz="6" w:space="0" w:color="000000"/>
              <w:right w:val="nil"/>
            </w:tcBorders>
          </w:tcPr>
          <w:p>
            <w:pPr>
              <w:pStyle w:val="TableParagraph"/>
              <w:spacing w:before="134"/>
              <w:ind w:left="777" w:right="280"/>
              <w:rPr>
                <w:sz w:val="24"/>
              </w:rPr>
            </w:pPr>
            <w:r>
              <w:rPr>
                <w:color w:val="2E97D3"/>
                <w:sz w:val="24"/>
              </w:rPr>
              <w:t>YES</w:t>
            </w:r>
            <w:r>
              <w:rPr>
                <w:color w:val="2E97D3"/>
                <w:w w:val="100"/>
                <w:sz w:val="24"/>
              </w:rPr>
              <w:t> </w:t>
            </w:r>
            <w:r>
              <w:rPr>
                <w:color w:val="2E97D3"/>
                <w:sz w:val="24"/>
              </w:rPr>
              <w:t>NO</w:t>
            </w:r>
          </w:p>
        </w:tc>
        <w:tc>
          <w:tcPr>
            <w:tcW w:w="118" w:type="dxa"/>
            <w:tcBorders>
              <w:top w:val="nil"/>
              <w:left w:val="nil"/>
              <w:right w:val="nil"/>
            </w:tcBorders>
          </w:tcPr>
          <w:p>
            <w:pPr/>
          </w:p>
        </w:tc>
        <w:tc>
          <w:tcPr>
            <w:tcW w:w="6216" w:type="dxa"/>
            <w:gridSpan w:val="8"/>
            <w:tcBorders>
              <w:top w:val="nil"/>
              <w:left w:val="nil"/>
              <w:right w:val="nil"/>
            </w:tcBorders>
          </w:tcPr>
          <w:p>
            <w:pPr>
              <w:pStyle w:val="TableParagraph"/>
              <w:spacing w:before="134"/>
              <w:ind w:left="108" w:right="131"/>
              <w:jc w:val="both"/>
              <w:rPr>
                <w:sz w:val="24"/>
              </w:rPr>
            </w:pPr>
            <w:r>
              <w:rPr>
                <w:strike/>
                <w:color w:val="2E97D3"/>
                <w:sz w:val="24"/>
              </w:rPr>
              <w:t>ATTACH COMMENTS OF AFFECTED DEPARTMENT. COMMENTS MUST BE SIGNED AND DATED BY THE DEPARTMENT DIRECTOR OR DESIGNEE.</w:t>
            </w:r>
          </w:p>
        </w:tc>
        <w:tc>
          <w:tcPr>
            <w:tcW w:w="1464" w:type="dxa"/>
            <w:tcBorders>
              <w:top w:val="nil"/>
              <w:left w:val="nil"/>
              <w:right w:val="single" w:sz="6" w:space="0" w:color="000000"/>
            </w:tcBorders>
          </w:tcPr>
          <w:p>
            <w:pPr/>
          </w:p>
        </w:tc>
      </w:tr>
      <w:tr>
        <w:trPr>
          <w:trHeight w:val="300" w:hRule="exact"/>
        </w:trPr>
        <w:tc>
          <w:tcPr>
            <w:tcW w:w="9362" w:type="dxa"/>
            <w:gridSpan w:val="11"/>
            <w:tcBorders>
              <w:bottom w:val="nil"/>
            </w:tcBorders>
          </w:tcPr>
          <w:p>
            <w:pPr>
              <w:pStyle w:val="TableParagraph"/>
              <w:spacing w:line="274" w:lineRule="exact"/>
              <w:ind w:left="86"/>
              <w:rPr>
                <w:b/>
                <w:sz w:val="24"/>
              </w:rPr>
            </w:pPr>
            <w:r>
              <w:rPr>
                <w:b/>
                <w:strike/>
                <w:color w:val="2E97D3"/>
                <w:sz w:val="24"/>
              </w:rPr>
              <w:t>DOF ANALYST USE</w:t>
            </w:r>
          </w:p>
        </w:tc>
      </w:tr>
      <w:tr>
        <w:trPr>
          <w:trHeight w:val="552" w:hRule="exact"/>
        </w:trPr>
        <w:tc>
          <w:tcPr>
            <w:tcW w:w="9362" w:type="dxa"/>
            <w:gridSpan w:val="11"/>
            <w:tcBorders>
              <w:top w:val="nil"/>
              <w:bottom w:val="nil"/>
            </w:tcBorders>
          </w:tcPr>
          <w:p>
            <w:pPr>
              <w:pStyle w:val="TableParagraph"/>
              <w:tabs>
                <w:tab w:pos="2315" w:val="left" w:leader="none"/>
                <w:tab w:pos="4276" w:val="left" w:leader="none"/>
                <w:tab w:pos="6477" w:val="left" w:leader="none"/>
              </w:tabs>
              <w:ind w:left="86" w:right="520"/>
              <w:rPr>
                <w:sz w:val="24"/>
              </w:rPr>
            </w:pPr>
            <w:r>
              <w:rPr>
                <w:color w:val="2E97D3"/>
                <w:sz w:val="24"/>
              </w:rPr>
              <w:t>DOF</w:t>
            </w:r>
            <w:r>
              <w:rPr>
                <w:color w:val="2E97D3"/>
                <w:spacing w:val="-1"/>
                <w:sz w:val="24"/>
              </w:rPr>
              <w:t> </w:t>
            </w:r>
            <w:r>
              <w:rPr>
                <w:color w:val="2E97D3"/>
                <w:sz w:val="24"/>
              </w:rPr>
              <w:t>ISSUE</w:t>
            </w:r>
            <w:r>
              <w:rPr>
                <w:color w:val="2E97D3"/>
                <w:spacing w:val="-3"/>
                <w:sz w:val="24"/>
              </w:rPr>
              <w:t> </w:t>
            </w:r>
            <w:r>
              <w:rPr>
                <w:color w:val="2E97D3"/>
                <w:sz w:val="24"/>
              </w:rPr>
              <w:t>#:</w:t>
              <w:tab/>
              <w:t>POLICY</w:t>
            </w:r>
            <w:r>
              <w:rPr>
                <w:color w:val="2E97D3"/>
                <w:spacing w:val="-3"/>
                <w:sz w:val="24"/>
              </w:rPr>
              <w:t> </w:t>
            </w:r>
            <w:r>
              <w:rPr>
                <w:color w:val="2E97D3"/>
                <w:sz w:val="24"/>
              </w:rPr>
              <w:t>CAT:</w:t>
              <w:tab/>
              <w:t>PROJECT CAT:</w:t>
              <w:tab/>
              <w:t>REQUIRES</w:t>
            </w:r>
            <w:r>
              <w:rPr>
                <w:color w:val="2E97D3"/>
                <w:spacing w:val="-8"/>
                <w:sz w:val="24"/>
              </w:rPr>
              <w:t> </w:t>
            </w:r>
            <w:r>
              <w:rPr>
                <w:color w:val="2E97D3"/>
                <w:sz w:val="24"/>
              </w:rPr>
              <w:t>BUDGET</w:t>
            </w:r>
            <w:r>
              <w:rPr>
                <w:color w:val="2E97D3"/>
                <w:w w:val="100"/>
                <w:sz w:val="24"/>
              </w:rPr>
              <w:t> </w:t>
            </w:r>
            <w:r>
              <w:rPr>
                <w:strike/>
                <w:color w:val="2E97D3"/>
                <w:sz w:val="24"/>
              </w:rPr>
              <w:t>PACKAGE:</w:t>
            </w:r>
          </w:p>
        </w:tc>
      </w:tr>
      <w:tr>
        <w:trPr>
          <w:trHeight w:val="576" w:hRule="exact"/>
        </w:trPr>
        <w:tc>
          <w:tcPr>
            <w:tcW w:w="9362" w:type="dxa"/>
            <w:gridSpan w:val="11"/>
            <w:tcBorders>
              <w:top w:val="nil"/>
            </w:tcBorders>
          </w:tcPr>
          <w:p>
            <w:pPr>
              <w:pStyle w:val="TableParagraph"/>
              <w:tabs>
                <w:tab w:pos="5575" w:val="left" w:leader="none"/>
                <w:tab w:pos="6746" w:val="left" w:leader="none"/>
                <w:tab w:pos="8008" w:val="left" w:leader="none"/>
              </w:tabs>
              <w:ind w:left="86" w:right="638"/>
              <w:rPr>
                <w:sz w:val="24"/>
              </w:rPr>
            </w:pPr>
            <w:r>
              <w:rPr>
                <w:color w:val="2E97D3"/>
                <w:sz w:val="24"/>
              </w:rPr>
              <w:t>ADDITIONAL REVIEW :</w:t>
            </w:r>
            <w:r>
              <w:rPr>
                <w:color w:val="2E97D3"/>
                <w:spacing w:val="60"/>
                <w:sz w:val="24"/>
              </w:rPr>
              <w:t> </w:t>
            </w:r>
            <w:r>
              <w:rPr>
                <w:color w:val="2E97D3"/>
                <w:sz w:val="24"/>
              </w:rPr>
              <w:t>SUPPORT</w:t>
            </w:r>
            <w:r>
              <w:rPr>
                <w:color w:val="2E97D3"/>
                <w:spacing w:val="-3"/>
                <w:sz w:val="24"/>
              </w:rPr>
              <w:t> </w:t>
            </w:r>
            <w:r>
              <w:rPr>
                <w:color w:val="2E97D3"/>
                <w:sz w:val="24"/>
              </w:rPr>
              <w:t>BUDGET</w:t>
              <w:tab/>
              <w:t>TIRU</w:t>
              <w:tab/>
              <w:t>FSCU</w:t>
              <w:tab/>
              <w:t>OSAE CALSTARS</w:t>
            </w:r>
          </w:p>
        </w:tc>
      </w:tr>
    </w:tbl>
    <w:p>
      <w:pPr>
        <w:spacing w:before="233"/>
        <w:ind w:left="820" w:right="0" w:firstLine="0"/>
        <w:jc w:val="left"/>
        <w:rPr>
          <w:rFonts w:ascii="Times New Roman"/>
          <w:sz w:val="20"/>
        </w:rPr>
      </w:pPr>
      <w:r>
        <w:rPr/>
        <w:pict>
          <v:group style="position:absolute;margin-left:82.5pt;margin-top:-114.389061pt;width:58.45pt;height:26.1pt;mso-position-horizontal-relative:page;mso-position-vertical-relative:paragraph;z-index:-447616" coordorigin="1650,-2288" coordsize="1169,522">
            <v:rect style="position:absolute;left:1944;top:-2280;width:230;height:230" filled="false" stroked="true" strokeweight=".72pt" strokecolor="#2e97d3">
              <v:stroke dashstyle="solid"/>
            </v:rect>
            <v:shape style="position:absolute;left:1656;top:-2135;width:1157;height:2" coordorigin="1656,-2135" coordsize="1157,0" path="m1922,-2135l2198,-2135m1656,-2135l1922,-2135m2198,-2135l2813,-2135e" filled="false" stroked="true" strokeweight=".6pt" strokecolor="#2e97d3">
              <v:path arrowok="t"/>
              <v:stroke dashstyle="solid"/>
            </v:shape>
            <v:rect style="position:absolute;left:1944;top:-2004;width:230;height:230" filled="false" stroked="true" strokeweight=".72pt" strokecolor="#2e97d3">
              <v:stroke dashstyle="solid"/>
            </v:rect>
            <v:shape style="position:absolute;left:1656;top:-1859;width:1037;height:2" coordorigin="1656,-1859" coordsize="1037,0" path="m1922,-1859l2198,-1859m1656,-1859l1922,-1859m2198,-1859l2693,-1859e" filled="false" stroked="true" strokeweight=".6pt" strokecolor="#2e97d3">
              <v:path arrowok="t"/>
              <v:stroke dashstyle="solid"/>
            </v:shape>
            <w10:wrap type="none"/>
          </v:group>
        </w:pict>
      </w:r>
      <w:r>
        <w:rPr/>
        <w:pict>
          <v:line style="position:absolute;mso-position-horizontal-relative:page;mso-position-vertical-relative:paragraph;z-index:-447592" from="82.800003pt,-49.27356pt" to="518.400003pt,-49.27356pt" stroked="true" strokeweight=".599pt" strokecolor="#2e97d3">
            <v:stroke dashstyle="solid"/>
            <w10:wrap type="none"/>
          </v:line>
        </w:pict>
      </w:r>
      <w:r>
        <w:rPr/>
        <w:pict>
          <v:group style="position:absolute;margin-left:82.5pt;margin-top:-29.309061pt;width:443.9pt;height:26.1pt;mso-position-horizontal-relative:page;mso-position-vertical-relative:paragraph;z-index:-447568" coordorigin="1650,-586" coordsize="8878,522">
            <v:rect style="position:absolute;left:6624;top:-579;width:230;height:230" filled="false" stroked="true" strokeweight=".72pt" strokecolor="#2e97d3">
              <v:stroke dashstyle="solid"/>
            </v:rect>
            <v:shape style="position:absolute;left:1656;top:-433;width:5223;height:2" coordorigin="1656,-433" coordsize="5223,0" path="m6602,-433l6878,-433m1656,-433l6602,-433e" filled="false" stroked="true" strokeweight=".6pt" strokecolor="#2e97d3">
              <v:path arrowok="t"/>
              <v:stroke dashstyle="solid"/>
            </v:shape>
            <v:rect style="position:absolute;left:7728;top:-579;width:230;height:230" filled="false" stroked="true" strokeweight=".72pt" strokecolor="#2e97d3">
              <v:stroke dashstyle="solid"/>
            </v:rect>
            <v:shape style="position:absolute;left:6878;top:-433;width:1104;height:2" coordorigin="6878,-433" coordsize="1104,0" path="m7706,-433l7982,-433m6878,-433l7706,-433e" filled="false" stroked="true" strokeweight=".6pt" strokecolor="#2e97d3">
              <v:path arrowok="t"/>
              <v:stroke dashstyle="solid"/>
            </v:shape>
            <v:rect style="position:absolute;left:8990;top:-579;width:230;height:230" filled="false" stroked="true" strokeweight=".72pt" strokecolor="#2e97d3">
              <v:stroke dashstyle="solid"/>
            </v:rect>
            <v:shape style="position:absolute;left:7982;top:-433;width:1263;height:2" coordorigin="7982,-433" coordsize="1263,0" path="m8969,-433l9245,-433m7982,-433l8969,-433e" filled="false" stroked="true" strokeweight=".6pt" strokecolor="#2e97d3">
              <v:path arrowok="t"/>
              <v:stroke dashstyle="solid"/>
            </v:shape>
            <v:rect style="position:absolute;left:10267;top:-579;width:230;height:230" filled="false" stroked="true" strokeweight=".72pt" strokecolor="#2e97d3">
              <v:stroke dashstyle="solid"/>
            </v:rect>
            <v:shape style="position:absolute;left:9245;top:-433;width:1277;height:2" coordorigin="9245,-433" coordsize="1277,0" path="m10246,-433l10522,-433m9245,-433l10246,-433e" filled="false" stroked="true" strokeweight=".6pt" strokecolor="#2e97d3">
              <v:path arrowok="t"/>
              <v:stroke dashstyle="solid"/>
            </v:shape>
            <v:rect style="position:absolute;left:3079;top:-303;width:230;height:230" filled="false" stroked="true" strokeweight=".72pt" strokecolor="#2e97d3">
              <v:stroke dashstyle="solid"/>
            </v:rect>
            <v:shape style="position:absolute;left:1656;top:-157;width:1678;height:2" coordorigin="1656,-157" coordsize="1678,0" path="m3058,-157l3334,-157m1656,-157l3058,-157e" filled="false" stroked="true" strokeweight=".599pt" strokecolor="#2e97d3">
              <v:path arrowok="t"/>
              <v:stroke dashstyle="solid"/>
            </v:shape>
            <w10:wrap type="none"/>
          </v:group>
        </w:pict>
      </w:r>
      <w:r>
        <w:rPr>
          <w:rFonts w:ascii="Times New Roman"/>
          <w:strike/>
          <w:color w:val="2C6234"/>
          <w:sz w:val="20"/>
        </w:rPr>
        <w:t>(Continued)</w:t>
      </w:r>
    </w:p>
    <w:p>
      <w:pPr>
        <w:spacing w:after="0"/>
        <w:jc w:val="left"/>
        <w:rPr>
          <w:rFonts w:ascii="Times New Roman"/>
          <w:sz w:val="20"/>
        </w:rPr>
        <w:sectPr>
          <w:footerReference w:type="default" r:id="rId254"/>
          <w:pgSz w:w="12240" w:h="15840"/>
          <w:pgMar w:footer="1068" w:header="724" w:top="980" w:bottom="1260" w:left="620" w:right="1180"/>
        </w:sectPr>
      </w:pPr>
    </w:p>
    <w:p>
      <w:pPr>
        <w:pStyle w:val="BodyText"/>
        <w:rPr>
          <w:rFonts w:ascii="Times New Roman"/>
          <w:sz w:val="20"/>
        </w:rPr>
      </w:pPr>
    </w:p>
    <w:p>
      <w:pPr>
        <w:pStyle w:val="BodyText"/>
        <w:spacing w:before="214" w:after="4"/>
        <w:ind w:left="820"/>
      </w:pPr>
      <w:r>
        <w:rPr/>
        <w:pict>
          <v:line style="position:absolute;mso-position-horizontal-relative:page;mso-position-vertical-relative:paragraph;z-index:25168" from="36.360001pt,10.915881pt" to="36.360001pt,545.635881pt" stroked="true" strokeweight=".72pt" strokecolor="#000000">
            <v:stroke dashstyle="solid"/>
            <w10:wrap type="none"/>
          </v:line>
        </w:pict>
      </w:r>
      <w:r>
        <w:rPr>
          <w:strike/>
          <w:color w:val="2C6234"/>
        </w:rPr>
        <w:t>(Continued)</w:t>
      </w:r>
    </w:p>
    <w:tbl>
      <w:tblPr>
        <w:tblW w:w="0" w:type="auto"/>
        <w:jc w:val="left"/>
        <w:tblInd w:w="7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0"/>
        <w:gridCol w:w="948"/>
        <w:gridCol w:w="312"/>
        <w:gridCol w:w="540"/>
        <w:gridCol w:w="898"/>
        <w:gridCol w:w="314"/>
        <w:gridCol w:w="1210"/>
        <w:gridCol w:w="98"/>
        <w:gridCol w:w="137"/>
        <w:gridCol w:w="974"/>
        <w:gridCol w:w="240"/>
        <w:gridCol w:w="970"/>
        <w:gridCol w:w="509"/>
        <w:gridCol w:w="1490"/>
      </w:tblGrid>
      <w:tr>
        <w:trPr>
          <w:trHeight w:val="290" w:hRule="exact"/>
        </w:trPr>
        <w:tc>
          <w:tcPr>
            <w:tcW w:w="5897" w:type="dxa"/>
            <w:gridSpan w:val="9"/>
            <w:tcBorders>
              <w:right w:val="nil"/>
            </w:tcBorders>
          </w:tcPr>
          <w:p>
            <w:pPr>
              <w:pStyle w:val="TableParagraph"/>
              <w:spacing w:line="272" w:lineRule="exact"/>
              <w:ind w:left="100"/>
              <w:rPr>
                <w:b/>
                <w:sz w:val="24"/>
              </w:rPr>
            </w:pPr>
            <w:r>
              <w:rPr>
                <w:b/>
                <w:strike/>
                <w:color w:val="2E97D3"/>
                <w:sz w:val="24"/>
              </w:rPr>
              <w:t>STATE OF CALIFORNIA</w:t>
            </w:r>
          </w:p>
        </w:tc>
        <w:tc>
          <w:tcPr>
            <w:tcW w:w="4183" w:type="dxa"/>
            <w:gridSpan w:val="5"/>
            <w:tcBorders>
              <w:top w:val="nil"/>
              <w:left w:val="nil"/>
              <w:bottom w:val="nil"/>
              <w:right w:val="nil"/>
            </w:tcBorders>
            <w:shd w:val="clear" w:color="auto" w:fill="000000"/>
          </w:tcPr>
          <w:p>
            <w:pPr>
              <w:pStyle w:val="TableParagraph"/>
              <w:spacing w:before="3"/>
              <w:ind w:left="115"/>
              <w:rPr>
                <w:b/>
                <w:sz w:val="24"/>
              </w:rPr>
            </w:pPr>
            <w:r>
              <w:rPr>
                <w:b/>
                <w:strike/>
                <w:color w:val="2E97D3"/>
                <w:sz w:val="24"/>
              </w:rPr>
              <w:t>Department of Finance</w:t>
            </w:r>
          </w:p>
        </w:tc>
      </w:tr>
      <w:tr>
        <w:trPr>
          <w:trHeight w:val="568" w:hRule="exact"/>
        </w:trPr>
        <w:tc>
          <w:tcPr>
            <w:tcW w:w="5897" w:type="dxa"/>
            <w:gridSpan w:val="9"/>
            <w:tcBorders>
              <w:right w:val="nil"/>
            </w:tcBorders>
          </w:tcPr>
          <w:p>
            <w:pPr>
              <w:pStyle w:val="TableParagraph"/>
              <w:ind w:left="100" w:right="76"/>
              <w:rPr>
                <w:b/>
                <w:sz w:val="24"/>
              </w:rPr>
            </w:pPr>
            <w:r>
              <w:rPr>
                <w:b/>
                <w:strike/>
                <w:color w:val="2E97D3"/>
                <w:sz w:val="24"/>
              </w:rPr>
              <w:t>CAPITAL OUTLAY BUDGET CHANGE PROPOSAL (COBCP)</w:t>
            </w:r>
          </w:p>
        </w:tc>
        <w:tc>
          <w:tcPr>
            <w:tcW w:w="4183" w:type="dxa"/>
            <w:gridSpan w:val="5"/>
            <w:tcBorders>
              <w:top w:val="nil"/>
              <w:left w:val="nil"/>
              <w:bottom w:val="nil"/>
              <w:right w:val="nil"/>
            </w:tcBorders>
            <w:shd w:val="clear" w:color="auto" w:fill="000000"/>
          </w:tcPr>
          <w:p>
            <w:pPr>
              <w:pStyle w:val="TableParagraph"/>
              <w:spacing w:before="3"/>
              <w:ind w:left="115"/>
              <w:rPr>
                <w:b/>
                <w:sz w:val="24"/>
              </w:rPr>
            </w:pPr>
            <w:r>
              <w:rPr>
                <w:b/>
                <w:strike/>
                <w:color w:val="2E97D3"/>
                <w:sz w:val="24"/>
              </w:rPr>
              <w:t>915 L Street</w:t>
            </w:r>
          </w:p>
        </w:tc>
      </w:tr>
      <w:tr>
        <w:trPr>
          <w:trHeight w:val="292" w:hRule="exact"/>
        </w:trPr>
        <w:tc>
          <w:tcPr>
            <w:tcW w:w="5897" w:type="dxa"/>
            <w:gridSpan w:val="9"/>
            <w:tcBorders>
              <w:right w:val="nil"/>
            </w:tcBorders>
          </w:tcPr>
          <w:p>
            <w:pPr>
              <w:pStyle w:val="TableParagraph"/>
              <w:spacing w:line="273" w:lineRule="exact"/>
              <w:ind w:left="100"/>
              <w:rPr>
                <w:b/>
                <w:sz w:val="24"/>
              </w:rPr>
            </w:pPr>
            <w:r>
              <w:rPr>
                <w:b/>
                <w:strike/>
                <w:color w:val="2E97D3"/>
                <w:sz w:val="24"/>
              </w:rPr>
              <w:t>PAGE 2 - FISCAL DETAIL</w:t>
            </w:r>
          </w:p>
        </w:tc>
        <w:tc>
          <w:tcPr>
            <w:tcW w:w="4183" w:type="dxa"/>
            <w:gridSpan w:val="5"/>
            <w:tcBorders>
              <w:top w:val="nil"/>
              <w:left w:val="nil"/>
              <w:bottom w:val="nil"/>
              <w:right w:val="nil"/>
            </w:tcBorders>
            <w:shd w:val="clear" w:color="auto" w:fill="000000"/>
          </w:tcPr>
          <w:p>
            <w:pPr>
              <w:pStyle w:val="TableParagraph"/>
              <w:spacing w:before="4"/>
              <w:ind w:left="115"/>
              <w:rPr>
                <w:b/>
                <w:sz w:val="24"/>
              </w:rPr>
            </w:pPr>
            <w:r>
              <w:rPr>
                <w:b/>
                <w:strike/>
                <w:color w:val="2E97D3"/>
                <w:sz w:val="24"/>
              </w:rPr>
              <w:t>Sacramento, CA</w:t>
            </w:r>
            <w:r>
              <w:rPr>
                <w:b/>
                <w:strike/>
                <w:color w:val="2E97D3"/>
                <w:spacing w:val="55"/>
                <w:sz w:val="24"/>
              </w:rPr>
              <w:t> </w:t>
            </w:r>
            <w:r>
              <w:rPr>
                <w:b/>
                <w:strike/>
                <w:color w:val="2E97D3"/>
                <w:sz w:val="24"/>
              </w:rPr>
              <w:t>95814</w:t>
            </w:r>
          </w:p>
        </w:tc>
      </w:tr>
      <w:tr>
        <w:trPr>
          <w:trHeight w:val="290" w:hRule="exact"/>
        </w:trPr>
        <w:tc>
          <w:tcPr>
            <w:tcW w:w="5897" w:type="dxa"/>
            <w:gridSpan w:val="9"/>
            <w:tcBorders>
              <w:right w:val="nil"/>
            </w:tcBorders>
          </w:tcPr>
          <w:p>
            <w:pPr>
              <w:pStyle w:val="TableParagraph"/>
              <w:spacing w:line="272" w:lineRule="exact"/>
              <w:ind w:left="100"/>
              <w:rPr>
                <w:sz w:val="24"/>
              </w:rPr>
            </w:pPr>
            <w:r>
              <w:rPr>
                <w:strike/>
                <w:color w:val="2E97D3"/>
                <w:sz w:val="24"/>
              </w:rPr>
              <w:t>(REV 11/97)</w:t>
            </w:r>
          </w:p>
        </w:tc>
        <w:tc>
          <w:tcPr>
            <w:tcW w:w="4183" w:type="dxa"/>
            <w:gridSpan w:val="5"/>
            <w:tcBorders>
              <w:top w:val="nil"/>
              <w:left w:val="nil"/>
              <w:bottom w:val="nil"/>
              <w:right w:val="nil"/>
            </w:tcBorders>
            <w:shd w:val="clear" w:color="auto" w:fill="000000"/>
          </w:tcPr>
          <w:p>
            <w:pPr>
              <w:pStyle w:val="TableParagraph"/>
              <w:tabs>
                <w:tab w:pos="2027" w:val="left" w:leader="none"/>
              </w:tabs>
              <w:spacing w:before="3"/>
              <w:ind w:left="115"/>
              <w:rPr>
                <w:b/>
                <w:sz w:val="24"/>
              </w:rPr>
            </w:pPr>
            <w:r>
              <w:rPr>
                <w:b/>
                <w:strike/>
                <w:color w:val="2E97D3"/>
                <w:sz w:val="24"/>
              </w:rPr>
              <w:t>IMS</w:t>
            </w:r>
            <w:r>
              <w:rPr>
                <w:b/>
                <w:strike/>
                <w:color w:val="2E97D3"/>
                <w:spacing w:val="-1"/>
                <w:sz w:val="24"/>
              </w:rPr>
              <w:t> </w:t>
            </w:r>
            <w:r>
              <w:rPr>
                <w:b/>
                <w:strike/>
                <w:color w:val="2E97D3"/>
                <w:sz w:val="24"/>
              </w:rPr>
              <w:t>Mail</w:t>
            </w:r>
            <w:r>
              <w:rPr>
                <w:b/>
                <w:strike/>
                <w:color w:val="2E97D3"/>
                <w:spacing w:val="-1"/>
                <w:sz w:val="24"/>
              </w:rPr>
              <w:t> </w:t>
            </w:r>
            <w:r>
              <w:rPr>
                <w:b/>
                <w:strike/>
                <w:color w:val="2E97D3"/>
                <w:sz w:val="24"/>
              </w:rPr>
              <w:t>Code:</w:t>
              <w:tab/>
            </w:r>
            <w:r>
              <w:rPr>
                <w:b/>
                <w:strike/>
                <w:color w:val="2E97D3"/>
                <w:spacing w:val="-3"/>
                <w:sz w:val="24"/>
              </w:rPr>
              <w:t>A-15</w:t>
            </w:r>
          </w:p>
        </w:tc>
      </w:tr>
      <w:tr>
        <w:trPr>
          <w:trHeight w:val="290" w:hRule="exact"/>
        </w:trPr>
        <w:tc>
          <w:tcPr>
            <w:tcW w:w="5897" w:type="dxa"/>
            <w:gridSpan w:val="9"/>
            <w:tcBorders>
              <w:right w:val="nil"/>
            </w:tcBorders>
          </w:tcPr>
          <w:p>
            <w:pPr>
              <w:pStyle w:val="TableParagraph"/>
              <w:spacing w:line="269" w:lineRule="exact"/>
              <w:ind w:left="100"/>
              <w:rPr>
                <w:i/>
                <w:sz w:val="24"/>
              </w:rPr>
            </w:pPr>
            <w:r>
              <w:rPr>
                <w:i/>
                <w:strike/>
                <w:color w:val="2E97D3"/>
                <w:sz w:val="24"/>
              </w:rPr>
              <w:t>Please report dollars in thousands</w:t>
            </w:r>
          </w:p>
        </w:tc>
        <w:tc>
          <w:tcPr>
            <w:tcW w:w="4183" w:type="dxa"/>
            <w:gridSpan w:val="5"/>
            <w:tcBorders>
              <w:top w:val="nil"/>
              <w:left w:val="nil"/>
              <w:bottom w:val="nil"/>
              <w:right w:val="nil"/>
            </w:tcBorders>
            <w:shd w:val="clear" w:color="auto" w:fill="000000"/>
          </w:tcPr>
          <w:p>
            <w:pPr/>
          </w:p>
        </w:tc>
      </w:tr>
      <w:tr>
        <w:trPr>
          <w:trHeight w:val="566" w:hRule="exact"/>
        </w:trPr>
        <w:tc>
          <w:tcPr>
            <w:tcW w:w="1440" w:type="dxa"/>
          </w:tcPr>
          <w:p>
            <w:pPr>
              <w:pStyle w:val="TableParagraph"/>
              <w:spacing w:line="272" w:lineRule="exact"/>
              <w:ind w:left="100"/>
              <w:rPr>
                <w:sz w:val="24"/>
              </w:rPr>
            </w:pPr>
            <w:r>
              <w:rPr>
                <w:strike/>
                <w:color w:val="2E97D3"/>
                <w:sz w:val="24"/>
              </w:rPr>
              <w:t>COBCP #</w:t>
            </w:r>
          </w:p>
        </w:tc>
        <w:tc>
          <w:tcPr>
            <w:tcW w:w="1260" w:type="dxa"/>
            <w:gridSpan w:val="2"/>
          </w:tcPr>
          <w:p>
            <w:pPr>
              <w:pStyle w:val="TableParagraph"/>
              <w:spacing w:line="272" w:lineRule="exact"/>
              <w:ind w:left="100"/>
              <w:rPr>
                <w:sz w:val="24"/>
              </w:rPr>
            </w:pPr>
            <w:r>
              <w:rPr>
                <w:strike/>
                <w:color w:val="2E97D3"/>
                <w:sz w:val="24"/>
              </w:rPr>
              <w:t>DATE</w:t>
            </w:r>
          </w:p>
        </w:tc>
        <w:tc>
          <w:tcPr>
            <w:tcW w:w="1438" w:type="dxa"/>
            <w:gridSpan w:val="2"/>
          </w:tcPr>
          <w:p>
            <w:pPr>
              <w:pStyle w:val="TableParagraph"/>
              <w:ind w:left="100" w:right="609"/>
              <w:rPr>
                <w:sz w:val="24"/>
              </w:rPr>
            </w:pPr>
            <w:r>
              <w:rPr>
                <w:strike/>
                <w:color w:val="2E97D3"/>
                <w:sz w:val="24"/>
              </w:rPr>
              <w:t>ORG CODE</w:t>
            </w:r>
          </w:p>
        </w:tc>
        <w:tc>
          <w:tcPr>
            <w:tcW w:w="5942" w:type="dxa"/>
            <w:gridSpan w:val="9"/>
            <w:tcBorders>
              <w:top w:val="nil"/>
            </w:tcBorders>
          </w:tcPr>
          <w:p>
            <w:pPr>
              <w:pStyle w:val="TableParagraph"/>
              <w:spacing w:before="3"/>
              <w:ind w:left="103"/>
              <w:rPr>
                <w:sz w:val="24"/>
              </w:rPr>
            </w:pPr>
            <w:r>
              <w:rPr>
                <w:strike/>
                <w:color w:val="2E97D3"/>
                <w:sz w:val="24"/>
              </w:rPr>
              <w:t>DEPARTMENT</w:t>
            </w:r>
          </w:p>
        </w:tc>
      </w:tr>
      <w:tr>
        <w:trPr>
          <w:trHeight w:val="569" w:hRule="exact"/>
        </w:trPr>
        <w:tc>
          <w:tcPr>
            <w:tcW w:w="2388" w:type="dxa"/>
            <w:gridSpan w:val="2"/>
          </w:tcPr>
          <w:p>
            <w:pPr>
              <w:pStyle w:val="TableParagraph"/>
              <w:ind w:left="100" w:right="826"/>
              <w:rPr>
                <w:sz w:val="24"/>
              </w:rPr>
            </w:pPr>
            <w:r>
              <w:rPr>
                <w:strike/>
                <w:color w:val="2E97D3"/>
                <w:sz w:val="24"/>
              </w:rPr>
              <w:t>PROJECT ID CODE</w:t>
            </w:r>
          </w:p>
        </w:tc>
        <w:tc>
          <w:tcPr>
            <w:tcW w:w="1750" w:type="dxa"/>
            <w:gridSpan w:val="3"/>
          </w:tcPr>
          <w:p>
            <w:pPr>
              <w:pStyle w:val="TableParagraph"/>
              <w:ind w:left="100" w:right="415"/>
              <w:rPr>
                <w:sz w:val="24"/>
              </w:rPr>
            </w:pPr>
            <w:r>
              <w:rPr>
                <w:strike/>
                <w:color w:val="2E97D3"/>
                <w:sz w:val="24"/>
              </w:rPr>
              <w:t>DGS ESTIMATE</w:t>
            </w:r>
          </w:p>
        </w:tc>
        <w:tc>
          <w:tcPr>
            <w:tcW w:w="5942" w:type="dxa"/>
            <w:gridSpan w:val="9"/>
          </w:tcPr>
          <w:p>
            <w:pPr>
              <w:pStyle w:val="TableParagraph"/>
              <w:spacing w:line="274" w:lineRule="exact"/>
              <w:ind w:left="98"/>
              <w:rPr>
                <w:sz w:val="24"/>
              </w:rPr>
            </w:pPr>
            <w:r>
              <w:rPr>
                <w:strike/>
                <w:color w:val="2E97D3"/>
                <w:sz w:val="24"/>
              </w:rPr>
              <w:t>PROJECT TITLE</w:t>
            </w:r>
          </w:p>
        </w:tc>
      </w:tr>
      <w:tr>
        <w:trPr>
          <w:trHeight w:val="566" w:hRule="exact"/>
        </w:trPr>
        <w:tc>
          <w:tcPr>
            <w:tcW w:w="3240" w:type="dxa"/>
            <w:gridSpan w:val="4"/>
          </w:tcPr>
          <w:p>
            <w:pPr/>
          </w:p>
        </w:tc>
        <w:tc>
          <w:tcPr>
            <w:tcW w:w="1212" w:type="dxa"/>
            <w:gridSpan w:val="2"/>
          </w:tcPr>
          <w:p>
            <w:pPr>
              <w:pStyle w:val="TableParagraph"/>
              <w:ind w:left="100" w:right="263"/>
              <w:rPr>
                <w:sz w:val="24"/>
              </w:rPr>
            </w:pPr>
            <w:r>
              <w:rPr>
                <w:strike/>
                <w:color w:val="2E97D3"/>
                <w:sz w:val="24"/>
              </w:rPr>
              <w:t>PRIOR YEARS</w:t>
            </w:r>
          </w:p>
        </w:tc>
        <w:tc>
          <w:tcPr>
            <w:tcW w:w="1308" w:type="dxa"/>
            <w:gridSpan w:val="2"/>
          </w:tcPr>
          <w:p>
            <w:pPr>
              <w:pStyle w:val="TableParagraph"/>
              <w:ind w:left="100" w:right="173"/>
              <w:rPr>
                <w:sz w:val="24"/>
              </w:rPr>
            </w:pPr>
            <w:r>
              <w:rPr>
                <w:strike/>
                <w:color w:val="2E97D3"/>
                <w:sz w:val="24"/>
              </w:rPr>
              <w:t>BUDGET YEAR</w:t>
            </w:r>
          </w:p>
        </w:tc>
        <w:tc>
          <w:tcPr>
            <w:tcW w:w="1351" w:type="dxa"/>
            <w:gridSpan w:val="3"/>
          </w:tcPr>
          <w:p>
            <w:pPr>
              <w:pStyle w:val="TableParagraph"/>
              <w:ind w:left="100" w:right="216"/>
              <w:rPr>
                <w:sz w:val="24"/>
              </w:rPr>
            </w:pPr>
            <w:r>
              <w:rPr>
                <w:strike/>
                <w:color w:val="2E97D3"/>
                <w:sz w:val="24"/>
              </w:rPr>
              <w:t>BUDGET YEAR +1</w:t>
            </w:r>
          </w:p>
        </w:tc>
        <w:tc>
          <w:tcPr>
            <w:tcW w:w="1478" w:type="dxa"/>
            <w:gridSpan w:val="2"/>
          </w:tcPr>
          <w:p>
            <w:pPr>
              <w:pStyle w:val="TableParagraph"/>
              <w:ind w:left="100" w:right="210"/>
              <w:rPr>
                <w:sz w:val="24"/>
              </w:rPr>
            </w:pPr>
            <w:r>
              <w:rPr>
                <w:strike/>
                <w:color w:val="2E97D3"/>
                <w:sz w:val="24"/>
              </w:rPr>
              <w:t>FUTURES YEARS</w:t>
            </w:r>
          </w:p>
        </w:tc>
        <w:tc>
          <w:tcPr>
            <w:tcW w:w="1490" w:type="dxa"/>
          </w:tcPr>
          <w:p>
            <w:pPr>
              <w:pStyle w:val="TableParagraph"/>
              <w:spacing w:line="272" w:lineRule="exact"/>
              <w:ind w:left="100"/>
              <w:rPr>
                <w:sz w:val="24"/>
              </w:rPr>
            </w:pPr>
            <w:r>
              <w:rPr>
                <w:strike/>
                <w:color w:val="2E97D3"/>
                <w:sz w:val="24"/>
              </w:rPr>
              <w:t>PROJECT</w:t>
            </w:r>
          </w:p>
          <w:p>
            <w:pPr>
              <w:pStyle w:val="TableParagraph"/>
              <w:ind w:left="100"/>
              <w:rPr>
                <w:sz w:val="24"/>
              </w:rPr>
            </w:pPr>
            <w:r>
              <w:rPr>
                <w:strike/>
                <w:color w:val="2E97D3"/>
                <w:w w:val="100"/>
                <w:sz w:val="24"/>
              </w:rPr>
              <w:t> </w:t>
            </w:r>
            <w:r>
              <w:rPr>
                <w:strike/>
                <w:color w:val="2E97D3"/>
                <w:sz w:val="24"/>
              </w:rPr>
              <w:t>TOTAL</w:t>
            </w:r>
          </w:p>
        </w:tc>
      </w:tr>
      <w:tr>
        <w:trPr>
          <w:trHeight w:val="290" w:hRule="exact"/>
        </w:trPr>
        <w:tc>
          <w:tcPr>
            <w:tcW w:w="10080" w:type="dxa"/>
            <w:gridSpan w:val="14"/>
          </w:tcPr>
          <w:p>
            <w:pPr>
              <w:pStyle w:val="TableParagraph"/>
              <w:spacing w:line="272" w:lineRule="exact"/>
              <w:ind w:left="100"/>
              <w:rPr>
                <w:sz w:val="24"/>
              </w:rPr>
            </w:pPr>
            <w:r>
              <w:rPr>
                <w:strike/>
                <w:color w:val="2E97D3"/>
                <w:sz w:val="24"/>
              </w:rPr>
              <w:t>COSTS</w:t>
            </w:r>
          </w:p>
        </w:tc>
      </w:tr>
      <w:tr>
        <w:trPr>
          <w:trHeight w:val="290" w:hRule="exact"/>
        </w:trPr>
        <w:tc>
          <w:tcPr>
            <w:tcW w:w="3240" w:type="dxa"/>
            <w:gridSpan w:val="4"/>
          </w:tcPr>
          <w:p>
            <w:pPr>
              <w:pStyle w:val="TableParagraph"/>
              <w:spacing w:line="272" w:lineRule="exact"/>
              <w:ind w:left="100"/>
              <w:rPr>
                <w:sz w:val="24"/>
              </w:rPr>
            </w:pPr>
            <w:r>
              <w:rPr>
                <w:strike/>
                <w:color w:val="2E97D3"/>
                <w:w w:val="100"/>
                <w:sz w:val="24"/>
              </w:rPr>
              <w:t> </w:t>
            </w:r>
            <w:r>
              <w:rPr>
                <w:strike/>
                <w:color w:val="2E97D3"/>
                <w:sz w:val="24"/>
              </w:rPr>
              <w:t> STUDY</w:t>
            </w:r>
          </w:p>
        </w:tc>
        <w:tc>
          <w:tcPr>
            <w:tcW w:w="1212" w:type="dxa"/>
            <w:gridSpan w:val="2"/>
          </w:tcPr>
          <w:p>
            <w:pPr/>
          </w:p>
        </w:tc>
        <w:tc>
          <w:tcPr>
            <w:tcW w:w="1210" w:type="dxa"/>
          </w:tcPr>
          <w:p>
            <w:pPr/>
          </w:p>
        </w:tc>
        <w:tc>
          <w:tcPr>
            <w:tcW w:w="1210" w:type="dxa"/>
            <w:gridSpan w:val="3"/>
          </w:tcPr>
          <w:p>
            <w:pPr/>
          </w:p>
        </w:tc>
        <w:tc>
          <w:tcPr>
            <w:tcW w:w="1210" w:type="dxa"/>
            <w:gridSpan w:val="2"/>
          </w:tcPr>
          <w:p>
            <w:pPr/>
          </w:p>
        </w:tc>
        <w:tc>
          <w:tcPr>
            <w:tcW w:w="1999" w:type="dxa"/>
            <w:gridSpan w:val="2"/>
          </w:tcPr>
          <w:p>
            <w:pPr/>
          </w:p>
        </w:tc>
      </w:tr>
      <w:tr>
        <w:trPr>
          <w:trHeight w:val="293" w:hRule="exact"/>
        </w:trPr>
        <w:tc>
          <w:tcPr>
            <w:tcW w:w="3240" w:type="dxa"/>
            <w:gridSpan w:val="4"/>
          </w:tcPr>
          <w:p>
            <w:pPr>
              <w:pStyle w:val="TableParagraph"/>
              <w:spacing w:line="274" w:lineRule="exact"/>
              <w:ind w:left="100"/>
              <w:rPr>
                <w:sz w:val="24"/>
              </w:rPr>
            </w:pPr>
            <w:r>
              <w:rPr>
                <w:strike/>
                <w:color w:val="2E97D3"/>
                <w:w w:val="100"/>
                <w:sz w:val="24"/>
              </w:rPr>
              <w:t> </w:t>
            </w:r>
            <w:r>
              <w:rPr>
                <w:strike/>
                <w:color w:val="2E97D3"/>
                <w:sz w:val="24"/>
              </w:rPr>
              <w:t> ACQUISITION</w:t>
            </w:r>
          </w:p>
        </w:tc>
        <w:tc>
          <w:tcPr>
            <w:tcW w:w="1212" w:type="dxa"/>
            <w:gridSpan w:val="2"/>
          </w:tcPr>
          <w:p>
            <w:pPr/>
          </w:p>
        </w:tc>
        <w:tc>
          <w:tcPr>
            <w:tcW w:w="1210" w:type="dxa"/>
          </w:tcPr>
          <w:p>
            <w:pPr/>
          </w:p>
        </w:tc>
        <w:tc>
          <w:tcPr>
            <w:tcW w:w="1210" w:type="dxa"/>
            <w:gridSpan w:val="3"/>
          </w:tcPr>
          <w:p>
            <w:pPr/>
          </w:p>
        </w:tc>
        <w:tc>
          <w:tcPr>
            <w:tcW w:w="1210" w:type="dxa"/>
            <w:gridSpan w:val="2"/>
          </w:tcPr>
          <w:p>
            <w:pPr/>
          </w:p>
        </w:tc>
        <w:tc>
          <w:tcPr>
            <w:tcW w:w="1999" w:type="dxa"/>
            <w:gridSpan w:val="2"/>
          </w:tcPr>
          <w:p>
            <w:pPr/>
          </w:p>
        </w:tc>
      </w:tr>
      <w:tr>
        <w:trPr>
          <w:trHeight w:val="290" w:hRule="exact"/>
        </w:trPr>
        <w:tc>
          <w:tcPr>
            <w:tcW w:w="3240" w:type="dxa"/>
            <w:gridSpan w:val="4"/>
          </w:tcPr>
          <w:p>
            <w:pPr>
              <w:pStyle w:val="TableParagraph"/>
              <w:spacing w:line="272" w:lineRule="exact"/>
              <w:ind w:left="100"/>
              <w:rPr>
                <w:sz w:val="24"/>
              </w:rPr>
            </w:pPr>
            <w:r>
              <w:rPr>
                <w:strike/>
                <w:color w:val="2E97D3"/>
                <w:w w:val="100"/>
                <w:sz w:val="24"/>
              </w:rPr>
              <w:t> </w:t>
            </w:r>
            <w:r>
              <w:rPr>
                <w:strike/>
                <w:color w:val="2E97D3"/>
                <w:sz w:val="24"/>
              </w:rPr>
              <w:t> PRELIMINARY PLANS</w:t>
            </w:r>
          </w:p>
        </w:tc>
        <w:tc>
          <w:tcPr>
            <w:tcW w:w="1212" w:type="dxa"/>
            <w:gridSpan w:val="2"/>
          </w:tcPr>
          <w:p>
            <w:pPr/>
          </w:p>
        </w:tc>
        <w:tc>
          <w:tcPr>
            <w:tcW w:w="1210" w:type="dxa"/>
          </w:tcPr>
          <w:p>
            <w:pPr/>
          </w:p>
        </w:tc>
        <w:tc>
          <w:tcPr>
            <w:tcW w:w="1210" w:type="dxa"/>
            <w:gridSpan w:val="3"/>
          </w:tcPr>
          <w:p>
            <w:pPr/>
          </w:p>
        </w:tc>
        <w:tc>
          <w:tcPr>
            <w:tcW w:w="1210" w:type="dxa"/>
            <w:gridSpan w:val="2"/>
          </w:tcPr>
          <w:p>
            <w:pPr/>
          </w:p>
        </w:tc>
        <w:tc>
          <w:tcPr>
            <w:tcW w:w="1999" w:type="dxa"/>
            <w:gridSpan w:val="2"/>
          </w:tcPr>
          <w:p>
            <w:pPr/>
          </w:p>
        </w:tc>
      </w:tr>
      <w:tr>
        <w:trPr>
          <w:trHeight w:val="290" w:hRule="exact"/>
        </w:trPr>
        <w:tc>
          <w:tcPr>
            <w:tcW w:w="3240" w:type="dxa"/>
            <w:gridSpan w:val="4"/>
          </w:tcPr>
          <w:p>
            <w:pPr>
              <w:pStyle w:val="TableParagraph"/>
              <w:spacing w:line="272" w:lineRule="exact"/>
              <w:ind w:left="100"/>
              <w:rPr>
                <w:sz w:val="24"/>
              </w:rPr>
            </w:pPr>
            <w:r>
              <w:rPr>
                <w:strike/>
                <w:color w:val="2E97D3"/>
                <w:w w:val="100"/>
                <w:sz w:val="24"/>
              </w:rPr>
              <w:t> </w:t>
            </w:r>
            <w:r>
              <w:rPr>
                <w:strike/>
                <w:color w:val="2E97D3"/>
                <w:sz w:val="24"/>
              </w:rPr>
              <w:t>  WORKING DRAWINGS</w:t>
            </w:r>
          </w:p>
        </w:tc>
        <w:tc>
          <w:tcPr>
            <w:tcW w:w="1212" w:type="dxa"/>
            <w:gridSpan w:val="2"/>
          </w:tcPr>
          <w:p>
            <w:pPr/>
          </w:p>
        </w:tc>
        <w:tc>
          <w:tcPr>
            <w:tcW w:w="1210" w:type="dxa"/>
          </w:tcPr>
          <w:p>
            <w:pPr/>
          </w:p>
        </w:tc>
        <w:tc>
          <w:tcPr>
            <w:tcW w:w="1210" w:type="dxa"/>
            <w:gridSpan w:val="3"/>
          </w:tcPr>
          <w:p>
            <w:pPr/>
          </w:p>
        </w:tc>
        <w:tc>
          <w:tcPr>
            <w:tcW w:w="1210" w:type="dxa"/>
            <w:gridSpan w:val="2"/>
          </w:tcPr>
          <w:p>
            <w:pPr/>
          </w:p>
        </w:tc>
        <w:tc>
          <w:tcPr>
            <w:tcW w:w="1999" w:type="dxa"/>
            <w:gridSpan w:val="2"/>
          </w:tcPr>
          <w:p>
            <w:pPr/>
          </w:p>
        </w:tc>
      </w:tr>
      <w:tr>
        <w:trPr>
          <w:trHeight w:val="566" w:hRule="exact"/>
        </w:trPr>
        <w:tc>
          <w:tcPr>
            <w:tcW w:w="3240" w:type="dxa"/>
            <w:gridSpan w:val="4"/>
          </w:tcPr>
          <w:p>
            <w:pPr>
              <w:pStyle w:val="TableParagraph"/>
              <w:ind w:left="256" w:right="176"/>
              <w:rPr>
                <w:sz w:val="24"/>
              </w:rPr>
            </w:pPr>
            <w:r>
              <w:rPr>
                <w:strike/>
                <w:color w:val="2E97D3"/>
                <w:sz w:val="24"/>
              </w:rPr>
              <w:t>TOTAL CONSTRUCTION (1)</w:t>
            </w:r>
          </w:p>
        </w:tc>
        <w:tc>
          <w:tcPr>
            <w:tcW w:w="1212" w:type="dxa"/>
            <w:gridSpan w:val="2"/>
          </w:tcPr>
          <w:p>
            <w:pPr/>
          </w:p>
        </w:tc>
        <w:tc>
          <w:tcPr>
            <w:tcW w:w="1210" w:type="dxa"/>
          </w:tcPr>
          <w:p>
            <w:pPr/>
          </w:p>
        </w:tc>
        <w:tc>
          <w:tcPr>
            <w:tcW w:w="1210" w:type="dxa"/>
            <w:gridSpan w:val="3"/>
          </w:tcPr>
          <w:p>
            <w:pPr/>
          </w:p>
        </w:tc>
        <w:tc>
          <w:tcPr>
            <w:tcW w:w="1210" w:type="dxa"/>
            <w:gridSpan w:val="2"/>
          </w:tcPr>
          <w:p>
            <w:pPr/>
          </w:p>
        </w:tc>
        <w:tc>
          <w:tcPr>
            <w:tcW w:w="1999" w:type="dxa"/>
            <w:gridSpan w:val="2"/>
          </w:tcPr>
          <w:p>
            <w:pPr/>
          </w:p>
        </w:tc>
      </w:tr>
      <w:tr>
        <w:trPr>
          <w:trHeight w:val="569" w:hRule="exact"/>
        </w:trPr>
        <w:tc>
          <w:tcPr>
            <w:tcW w:w="3240" w:type="dxa"/>
            <w:gridSpan w:val="4"/>
          </w:tcPr>
          <w:p>
            <w:pPr>
              <w:pStyle w:val="TableParagraph"/>
              <w:ind w:left="256" w:right="642"/>
              <w:rPr>
                <w:sz w:val="24"/>
              </w:rPr>
            </w:pPr>
            <w:r>
              <w:rPr>
                <w:strike/>
                <w:color w:val="2E97D3"/>
                <w:sz w:val="24"/>
              </w:rPr>
              <w:t>EQUIPMENT PHASE (GROUP 2)</w:t>
            </w:r>
          </w:p>
        </w:tc>
        <w:tc>
          <w:tcPr>
            <w:tcW w:w="1212" w:type="dxa"/>
            <w:gridSpan w:val="2"/>
          </w:tcPr>
          <w:p>
            <w:pPr/>
          </w:p>
        </w:tc>
        <w:tc>
          <w:tcPr>
            <w:tcW w:w="1210" w:type="dxa"/>
          </w:tcPr>
          <w:p>
            <w:pPr/>
          </w:p>
        </w:tc>
        <w:tc>
          <w:tcPr>
            <w:tcW w:w="1210" w:type="dxa"/>
            <w:gridSpan w:val="3"/>
          </w:tcPr>
          <w:p>
            <w:pPr/>
          </w:p>
        </w:tc>
        <w:tc>
          <w:tcPr>
            <w:tcW w:w="1210" w:type="dxa"/>
            <w:gridSpan w:val="2"/>
          </w:tcPr>
          <w:p>
            <w:pPr/>
          </w:p>
        </w:tc>
        <w:tc>
          <w:tcPr>
            <w:tcW w:w="1999" w:type="dxa"/>
            <w:gridSpan w:val="2"/>
          </w:tcPr>
          <w:p>
            <w:pPr/>
          </w:p>
        </w:tc>
      </w:tr>
      <w:tr>
        <w:trPr>
          <w:trHeight w:val="290" w:hRule="exact"/>
        </w:trPr>
        <w:tc>
          <w:tcPr>
            <w:tcW w:w="3240" w:type="dxa"/>
            <w:gridSpan w:val="4"/>
          </w:tcPr>
          <w:p>
            <w:pPr>
              <w:pStyle w:val="TableParagraph"/>
              <w:tabs>
                <w:tab w:pos="369" w:val="left" w:leader="none"/>
              </w:tabs>
              <w:spacing w:line="272" w:lineRule="exact"/>
              <w:ind w:left="100"/>
              <w:rPr>
                <w:sz w:val="24"/>
              </w:rPr>
            </w:pPr>
            <w:r>
              <w:rPr>
                <w:strike/>
                <w:color w:val="2E97D3"/>
                <w:w w:val="100"/>
                <w:sz w:val="24"/>
              </w:rPr>
              <w:t> </w:t>
            </w:r>
            <w:r>
              <w:rPr>
                <w:strike/>
                <w:color w:val="2E97D3"/>
                <w:sz w:val="24"/>
              </w:rPr>
              <w:tab/>
              <w:t>OTHER</w:t>
            </w:r>
          </w:p>
        </w:tc>
        <w:tc>
          <w:tcPr>
            <w:tcW w:w="1212" w:type="dxa"/>
            <w:gridSpan w:val="2"/>
          </w:tcPr>
          <w:p>
            <w:pPr/>
          </w:p>
        </w:tc>
        <w:tc>
          <w:tcPr>
            <w:tcW w:w="1210" w:type="dxa"/>
          </w:tcPr>
          <w:p>
            <w:pPr/>
          </w:p>
        </w:tc>
        <w:tc>
          <w:tcPr>
            <w:tcW w:w="1210" w:type="dxa"/>
            <w:gridSpan w:val="3"/>
          </w:tcPr>
          <w:p>
            <w:pPr/>
          </w:p>
        </w:tc>
        <w:tc>
          <w:tcPr>
            <w:tcW w:w="1210" w:type="dxa"/>
            <w:gridSpan w:val="2"/>
          </w:tcPr>
          <w:p>
            <w:pPr/>
          </w:p>
        </w:tc>
        <w:tc>
          <w:tcPr>
            <w:tcW w:w="1999" w:type="dxa"/>
            <w:gridSpan w:val="2"/>
          </w:tcPr>
          <w:p>
            <w:pPr/>
          </w:p>
        </w:tc>
      </w:tr>
      <w:tr>
        <w:trPr>
          <w:trHeight w:val="566" w:hRule="exact"/>
        </w:trPr>
        <w:tc>
          <w:tcPr>
            <w:tcW w:w="3240" w:type="dxa"/>
            <w:gridSpan w:val="4"/>
          </w:tcPr>
          <w:p>
            <w:pPr>
              <w:pStyle w:val="TableParagraph"/>
              <w:tabs>
                <w:tab w:pos="767" w:val="left" w:leader="none"/>
              </w:tabs>
              <w:spacing w:line="272" w:lineRule="exact"/>
              <w:ind w:left="100"/>
              <w:rPr>
                <w:sz w:val="24"/>
              </w:rPr>
            </w:pPr>
            <w:r>
              <w:rPr>
                <w:strike/>
                <w:color w:val="2E97D3"/>
                <w:w w:val="100"/>
                <w:sz w:val="24"/>
              </w:rPr>
              <w:t> </w:t>
            </w:r>
            <w:r>
              <w:rPr>
                <w:strike/>
                <w:color w:val="2E97D3"/>
                <w:sz w:val="24"/>
              </w:rPr>
              <w:tab/>
              <w:t>TOTAL</w:t>
            </w:r>
            <w:r>
              <w:rPr>
                <w:strike/>
                <w:color w:val="2E97D3"/>
                <w:spacing w:val="-3"/>
                <w:sz w:val="24"/>
              </w:rPr>
              <w:t> </w:t>
            </w:r>
            <w:r>
              <w:rPr>
                <w:strike/>
                <w:color w:val="2E97D3"/>
                <w:sz w:val="24"/>
              </w:rPr>
              <w:t>COSTS</w:t>
            </w:r>
          </w:p>
        </w:tc>
        <w:tc>
          <w:tcPr>
            <w:tcW w:w="1212" w:type="dxa"/>
            <w:gridSpan w:val="2"/>
          </w:tcPr>
          <w:p>
            <w:pPr>
              <w:pStyle w:val="TableParagraph"/>
              <w:spacing w:line="272" w:lineRule="exact"/>
              <w:ind w:left="100"/>
              <w:rPr>
                <w:sz w:val="24"/>
              </w:rPr>
            </w:pPr>
            <w:r>
              <w:rPr>
                <w:strike/>
                <w:color w:val="2E97D3"/>
                <w:w w:val="99"/>
                <w:sz w:val="24"/>
              </w:rPr>
              <w:t>$</w:t>
            </w:r>
          </w:p>
        </w:tc>
        <w:tc>
          <w:tcPr>
            <w:tcW w:w="1210" w:type="dxa"/>
          </w:tcPr>
          <w:p>
            <w:pPr>
              <w:pStyle w:val="TableParagraph"/>
              <w:spacing w:line="272" w:lineRule="exact"/>
              <w:ind w:left="100"/>
              <w:rPr>
                <w:sz w:val="24"/>
              </w:rPr>
            </w:pPr>
            <w:r>
              <w:rPr>
                <w:strike/>
                <w:color w:val="2E97D3"/>
                <w:w w:val="99"/>
                <w:sz w:val="24"/>
              </w:rPr>
              <w:t>$</w:t>
            </w:r>
          </w:p>
        </w:tc>
        <w:tc>
          <w:tcPr>
            <w:tcW w:w="1210" w:type="dxa"/>
            <w:gridSpan w:val="3"/>
          </w:tcPr>
          <w:p>
            <w:pPr>
              <w:pStyle w:val="TableParagraph"/>
              <w:spacing w:line="272" w:lineRule="exact"/>
              <w:ind w:left="100"/>
              <w:rPr>
                <w:sz w:val="24"/>
              </w:rPr>
            </w:pPr>
            <w:r>
              <w:rPr>
                <w:strike/>
                <w:color w:val="2E97D3"/>
                <w:w w:val="99"/>
                <w:sz w:val="24"/>
              </w:rPr>
              <w:t>$</w:t>
            </w:r>
          </w:p>
        </w:tc>
        <w:tc>
          <w:tcPr>
            <w:tcW w:w="1210" w:type="dxa"/>
            <w:gridSpan w:val="2"/>
          </w:tcPr>
          <w:p>
            <w:pPr>
              <w:pStyle w:val="TableParagraph"/>
              <w:spacing w:line="272" w:lineRule="exact"/>
              <w:ind w:left="100"/>
              <w:rPr>
                <w:sz w:val="24"/>
              </w:rPr>
            </w:pPr>
            <w:r>
              <w:rPr>
                <w:strike/>
                <w:color w:val="2E97D3"/>
                <w:w w:val="99"/>
                <w:sz w:val="24"/>
              </w:rPr>
              <w:t>$</w:t>
            </w:r>
          </w:p>
        </w:tc>
        <w:tc>
          <w:tcPr>
            <w:tcW w:w="1999" w:type="dxa"/>
            <w:gridSpan w:val="2"/>
          </w:tcPr>
          <w:p>
            <w:pPr>
              <w:pStyle w:val="TableParagraph"/>
              <w:spacing w:line="272" w:lineRule="exact"/>
              <w:ind w:left="100"/>
              <w:rPr>
                <w:sz w:val="24"/>
              </w:rPr>
            </w:pPr>
            <w:r>
              <w:rPr>
                <w:strike/>
                <w:color w:val="2E97D3"/>
                <w:w w:val="99"/>
                <w:sz w:val="24"/>
              </w:rPr>
              <w:t>$</w:t>
            </w:r>
          </w:p>
        </w:tc>
      </w:tr>
      <w:tr>
        <w:trPr>
          <w:trHeight w:val="290" w:hRule="exact"/>
        </w:trPr>
        <w:tc>
          <w:tcPr>
            <w:tcW w:w="10080" w:type="dxa"/>
            <w:gridSpan w:val="14"/>
          </w:tcPr>
          <w:p>
            <w:pPr>
              <w:pStyle w:val="TableParagraph"/>
              <w:spacing w:line="272" w:lineRule="exact"/>
              <w:ind w:left="100"/>
              <w:rPr>
                <w:sz w:val="24"/>
              </w:rPr>
            </w:pPr>
            <w:r>
              <w:rPr>
                <w:strike/>
                <w:color w:val="2E97D3"/>
                <w:sz w:val="24"/>
              </w:rPr>
              <w:t>CONSTRUCTION DETAIL (1)</w:t>
            </w:r>
          </w:p>
        </w:tc>
      </w:tr>
      <w:tr>
        <w:trPr>
          <w:trHeight w:val="290" w:hRule="exact"/>
        </w:trPr>
        <w:tc>
          <w:tcPr>
            <w:tcW w:w="3240" w:type="dxa"/>
            <w:gridSpan w:val="4"/>
          </w:tcPr>
          <w:p>
            <w:pPr>
              <w:pStyle w:val="TableParagraph"/>
              <w:tabs>
                <w:tab w:pos="369" w:val="left" w:leader="none"/>
              </w:tabs>
              <w:spacing w:line="272" w:lineRule="exact"/>
              <w:ind w:left="100"/>
              <w:rPr>
                <w:sz w:val="24"/>
              </w:rPr>
            </w:pPr>
            <w:r>
              <w:rPr>
                <w:strike/>
                <w:color w:val="2E97D3"/>
                <w:w w:val="100"/>
                <w:sz w:val="24"/>
              </w:rPr>
              <w:t> </w:t>
            </w:r>
            <w:r>
              <w:rPr>
                <w:strike/>
                <w:color w:val="2E97D3"/>
                <w:sz w:val="24"/>
              </w:rPr>
              <w:tab/>
              <w:t>CONTRACT</w:t>
            </w:r>
          </w:p>
        </w:tc>
        <w:tc>
          <w:tcPr>
            <w:tcW w:w="1212" w:type="dxa"/>
            <w:gridSpan w:val="2"/>
          </w:tcPr>
          <w:p>
            <w:pPr/>
          </w:p>
        </w:tc>
        <w:tc>
          <w:tcPr>
            <w:tcW w:w="1210" w:type="dxa"/>
          </w:tcPr>
          <w:p>
            <w:pPr/>
          </w:p>
        </w:tc>
        <w:tc>
          <w:tcPr>
            <w:tcW w:w="1210" w:type="dxa"/>
            <w:gridSpan w:val="3"/>
          </w:tcPr>
          <w:p>
            <w:pPr/>
          </w:p>
        </w:tc>
        <w:tc>
          <w:tcPr>
            <w:tcW w:w="1210" w:type="dxa"/>
            <w:gridSpan w:val="2"/>
          </w:tcPr>
          <w:p>
            <w:pPr/>
          </w:p>
        </w:tc>
        <w:tc>
          <w:tcPr>
            <w:tcW w:w="1999" w:type="dxa"/>
            <w:gridSpan w:val="2"/>
          </w:tcPr>
          <w:p>
            <w:pPr/>
          </w:p>
        </w:tc>
      </w:tr>
      <w:tr>
        <w:trPr>
          <w:trHeight w:val="293" w:hRule="exact"/>
        </w:trPr>
        <w:tc>
          <w:tcPr>
            <w:tcW w:w="3240" w:type="dxa"/>
            <w:gridSpan w:val="4"/>
          </w:tcPr>
          <w:p>
            <w:pPr>
              <w:pStyle w:val="TableParagraph"/>
              <w:tabs>
                <w:tab w:pos="369" w:val="left" w:leader="none"/>
              </w:tabs>
              <w:spacing w:line="274" w:lineRule="exact"/>
              <w:ind w:left="100"/>
              <w:rPr>
                <w:sz w:val="24"/>
              </w:rPr>
            </w:pPr>
            <w:r>
              <w:rPr>
                <w:strike/>
                <w:color w:val="2E97D3"/>
                <w:w w:val="100"/>
                <w:sz w:val="24"/>
              </w:rPr>
              <w:t> </w:t>
            </w:r>
            <w:r>
              <w:rPr>
                <w:strike/>
                <w:color w:val="2E97D3"/>
                <w:sz w:val="24"/>
              </w:rPr>
              <w:tab/>
              <w:t>CONTINGENCY</w:t>
            </w:r>
          </w:p>
        </w:tc>
        <w:tc>
          <w:tcPr>
            <w:tcW w:w="1212" w:type="dxa"/>
            <w:gridSpan w:val="2"/>
          </w:tcPr>
          <w:p>
            <w:pPr/>
          </w:p>
        </w:tc>
        <w:tc>
          <w:tcPr>
            <w:tcW w:w="1210" w:type="dxa"/>
          </w:tcPr>
          <w:p>
            <w:pPr/>
          </w:p>
        </w:tc>
        <w:tc>
          <w:tcPr>
            <w:tcW w:w="1210" w:type="dxa"/>
            <w:gridSpan w:val="3"/>
          </w:tcPr>
          <w:p>
            <w:pPr/>
          </w:p>
        </w:tc>
        <w:tc>
          <w:tcPr>
            <w:tcW w:w="1210" w:type="dxa"/>
            <w:gridSpan w:val="2"/>
          </w:tcPr>
          <w:p>
            <w:pPr/>
          </w:p>
        </w:tc>
        <w:tc>
          <w:tcPr>
            <w:tcW w:w="1999" w:type="dxa"/>
            <w:gridSpan w:val="2"/>
          </w:tcPr>
          <w:p>
            <w:pPr/>
          </w:p>
        </w:tc>
      </w:tr>
      <w:tr>
        <w:trPr>
          <w:trHeight w:val="290" w:hRule="exact"/>
        </w:trPr>
        <w:tc>
          <w:tcPr>
            <w:tcW w:w="3240" w:type="dxa"/>
            <w:gridSpan w:val="4"/>
          </w:tcPr>
          <w:p>
            <w:pPr>
              <w:pStyle w:val="TableParagraph"/>
              <w:tabs>
                <w:tab w:pos="369" w:val="left" w:leader="none"/>
              </w:tabs>
              <w:spacing w:line="272" w:lineRule="exact"/>
              <w:ind w:left="100"/>
              <w:rPr>
                <w:sz w:val="24"/>
              </w:rPr>
            </w:pPr>
            <w:r>
              <w:rPr>
                <w:strike/>
                <w:color w:val="2E97D3"/>
                <w:w w:val="100"/>
                <w:sz w:val="24"/>
              </w:rPr>
              <w:t> </w:t>
            </w:r>
            <w:r>
              <w:rPr>
                <w:strike/>
                <w:color w:val="2E97D3"/>
                <w:sz w:val="24"/>
              </w:rPr>
              <w:tab/>
              <w:t>A &amp;</w:t>
            </w:r>
            <w:r>
              <w:rPr>
                <w:strike/>
                <w:color w:val="2E97D3"/>
                <w:spacing w:val="-1"/>
                <w:sz w:val="24"/>
              </w:rPr>
              <w:t> </w:t>
            </w:r>
            <w:r>
              <w:rPr>
                <w:strike/>
                <w:color w:val="2E97D3"/>
                <w:sz w:val="24"/>
              </w:rPr>
              <w:t>E</w:t>
            </w:r>
          </w:p>
        </w:tc>
        <w:tc>
          <w:tcPr>
            <w:tcW w:w="1212" w:type="dxa"/>
            <w:gridSpan w:val="2"/>
          </w:tcPr>
          <w:p>
            <w:pPr/>
          </w:p>
        </w:tc>
        <w:tc>
          <w:tcPr>
            <w:tcW w:w="1210" w:type="dxa"/>
          </w:tcPr>
          <w:p>
            <w:pPr/>
          </w:p>
        </w:tc>
        <w:tc>
          <w:tcPr>
            <w:tcW w:w="1210" w:type="dxa"/>
            <w:gridSpan w:val="3"/>
          </w:tcPr>
          <w:p>
            <w:pPr/>
          </w:p>
        </w:tc>
        <w:tc>
          <w:tcPr>
            <w:tcW w:w="1210" w:type="dxa"/>
            <w:gridSpan w:val="2"/>
          </w:tcPr>
          <w:p>
            <w:pPr/>
          </w:p>
        </w:tc>
        <w:tc>
          <w:tcPr>
            <w:tcW w:w="1999" w:type="dxa"/>
            <w:gridSpan w:val="2"/>
          </w:tcPr>
          <w:p>
            <w:pPr/>
          </w:p>
        </w:tc>
      </w:tr>
      <w:tr>
        <w:trPr>
          <w:trHeight w:val="290" w:hRule="exact"/>
        </w:trPr>
        <w:tc>
          <w:tcPr>
            <w:tcW w:w="3240" w:type="dxa"/>
            <w:gridSpan w:val="4"/>
          </w:tcPr>
          <w:p>
            <w:pPr>
              <w:pStyle w:val="TableParagraph"/>
              <w:tabs>
                <w:tab w:pos="369" w:val="left" w:leader="none"/>
              </w:tabs>
              <w:spacing w:line="272" w:lineRule="exact"/>
              <w:ind w:left="100"/>
              <w:rPr>
                <w:sz w:val="24"/>
              </w:rPr>
            </w:pPr>
            <w:r>
              <w:rPr>
                <w:strike/>
                <w:color w:val="2E97D3"/>
                <w:w w:val="100"/>
                <w:sz w:val="24"/>
              </w:rPr>
              <w:t> </w:t>
            </w:r>
            <w:r>
              <w:rPr>
                <w:strike/>
                <w:color w:val="2E97D3"/>
                <w:sz w:val="24"/>
              </w:rPr>
              <w:tab/>
              <w:t>AGENCY</w:t>
            </w:r>
            <w:r>
              <w:rPr>
                <w:strike/>
                <w:color w:val="2E97D3"/>
                <w:spacing w:val="-9"/>
                <w:sz w:val="24"/>
              </w:rPr>
              <w:t> </w:t>
            </w:r>
            <w:r>
              <w:rPr>
                <w:strike/>
                <w:color w:val="2E97D3"/>
                <w:sz w:val="24"/>
              </w:rPr>
              <w:t>RETAINED</w:t>
            </w:r>
          </w:p>
        </w:tc>
        <w:tc>
          <w:tcPr>
            <w:tcW w:w="1212" w:type="dxa"/>
            <w:gridSpan w:val="2"/>
          </w:tcPr>
          <w:p>
            <w:pPr/>
          </w:p>
        </w:tc>
        <w:tc>
          <w:tcPr>
            <w:tcW w:w="1210" w:type="dxa"/>
          </w:tcPr>
          <w:p>
            <w:pPr/>
          </w:p>
        </w:tc>
        <w:tc>
          <w:tcPr>
            <w:tcW w:w="1210" w:type="dxa"/>
            <w:gridSpan w:val="3"/>
          </w:tcPr>
          <w:p>
            <w:pPr/>
          </w:p>
        </w:tc>
        <w:tc>
          <w:tcPr>
            <w:tcW w:w="1210" w:type="dxa"/>
            <w:gridSpan w:val="2"/>
          </w:tcPr>
          <w:p>
            <w:pPr/>
          </w:p>
        </w:tc>
        <w:tc>
          <w:tcPr>
            <w:tcW w:w="1999" w:type="dxa"/>
            <w:gridSpan w:val="2"/>
          </w:tcPr>
          <w:p>
            <w:pPr/>
          </w:p>
        </w:tc>
      </w:tr>
      <w:tr>
        <w:trPr>
          <w:trHeight w:val="569" w:hRule="exact"/>
        </w:trPr>
        <w:tc>
          <w:tcPr>
            <w:tcW w:w="3240" w:type="dxa"/>
            <w:gridSpan w:val="4"/>
          </w:tcPr>
          <w:p>
            <w:pPr>
              <w:pStyle w:val="TableParagraph"/>
              <w:tabs>
                <w:tab w:pos="369" w:val="left" w:leader="none"/>
              </w:tabs>
              <w:ind w:left="345" w:right="1450" w:hanging="245"/>
              <w:rPr>
                <w:sz w:val="24"/>
              </w:rPr>
            </w:pPr>
            <w:r>
              <w:rPr>
                <w:strike/>
                <w:color w:val="2E97D3"/>
                <w:w w:val="100"/>
                <w:sz w:val="24"/>
              </w:rPr>
              <w:t> </w:t>
            </w:r>
            <w:r>
              <w:rPr>
                <w:strike/>
                <w:color w:val="2E97D3"/>
                <w:sz w:val="24"/>
              </w:rPr>
              <w:tab/>
              <w:tab/>
              <w:t>GROUP</w:t>
            </w:r>
            <w:r>
              <w:rPr>
                <w:strike/>
                <w:color w:val="2E97D3"/>
                <w:spacing w:val="-5"/>
                <w:sz w:val="24"/>
              </w:rPr>
              <w:t> </w:t>
            </w:r>
            <w:r>
              <w:rPr>
                <w:strike/>
                <w:color w:val="2E97D3"/>
                <w:sz w:val="24"/>
              </w:rPr>
              <w:t>2</w:t>
            </w:r>
            <w:r>
              <w:rPr>
                <w:strike w:val="0"/>
                <w:color w:val="2E97D3"/>
                <w:w w:val="99"/>
                <w:sz w:val="24"/>
              </w:rPr>
              <w:t> </w:t>
            </w:r>
            <w:r>
              <w:rPr>
                <w:strike/>
                <w:color w:val="2E97D3"/>
                <w:sz w:val="24"/>
              </w:rPr>
              <w:t>EQUIPMENT</w:t>
            </w:r>
          </w:p>
        </w:tc>
        <w:tc>
          <w:tcPr>
            <w:tcW w:w="1212" w:type="dxa"/>
            <w:gridSpan w:val="2"/>
          </w:tcPr>
          <w:p>
            <w:pPr/>
          </w:p>
        </w:tc>
        <w:tc>
          <w:tcPr>
            <w:tcW w:w="1210" w:type="dxa"/>
          </w:tcPr>
          <w:p>
            <w:pPr/>
          </w:p>
        </w:tc>
        <w:tc>
          <w:tcPr>
            <w:tcW w:w="1210" w:type="dxa"/>
            <w:gridSpan w:val="3"/>
          </w:tcPr>
          <w:p>
            <w:pPr/>
          </w:p>
        </w:tc>
        <w:tc>
          <w:tcPr>
            <w:tcW w:w="1210" w:type="dxa"/>
            <w:gridSpan w:val="2"/>
          </w:tcPr>
          <w:p>
            <w:pPr/>
          </w:p>
        </w:tc>
        <w:tc>
          <w:tcPr>
            <w:tcW w:w="1999" w:type="dxa"/>
            <w:gridSpan w:val="2"/>
          </w:tcPr>
          <w:p>
            <w:pPr/>
          </w:p>
        </w:tc>
      </w:tr>
    </w:tbl>
    <w:p>
      <w:pPr>
        <w:pStyle w:val="BodyText"/>
        <w:rPr>
          <w:sz w:val="26"/>
        </w:rPr>
      </w:pPr>
    </w:p>
    <w:p>
      <w:pPr>
        <w:pStyle w:val="BodyText"/>
        <w:spacing w:before="4"/>
        <w:rPr>
          <w:sz w:val="35"/>
        </w:rPr>
      </w:pPr>
    </w:p>
    <w:p>
      <w:pPr>
        <w:pStyle w:val="BodyText"/>
        <w:ind w:left="820"/>
      </w:pPr>
      <w:r>
        <w:rPr>
          <w:strike/>
          <w:color w:val="2C6234"/>
        </w:rPr>
        <w:t>(Continued)</w:t>
      </w:r>
    </w:p>
    <w:p>
      <w:pPr>
        <w:spacing w:after="0"/>
        <w:sectPr>
          <w:footerReference w:type="default" r:id="rId255"/>
          <w:pgSz w:w="12240" w:h="15840"/>
          <w:pgMar w:footer="1068" w:header="724" w:top="980" w:bottom="1260" w:left="620" w:right="660"/>
        </w:sectPr>
      </w:pPr>
    </w:p>
    <w:p>
      <w:pPr>
        <w:pStyle w:val="BodyText"/>
        <w:rPr>
          <w:sz w:val="20"/>
        </w:rPr>
      </w:pPr>
    </w:p>
    <w:p>
      <w:pPr>
        <w:pStyle w:val="BodyText"/>
        <w:spacing w:before="231"/>
        <w:ind w:left="820"/>
      </w:pPr>
      <w:r>
        <w:rPr/>
        <w:pict>
          <v:line style="position:absolute;mso-position-horizontal-relative:page;mso-position-vertical-relative:paragraph;z-index:25192" from="36.360001pt,10.925855pt" to="36.360001pt,417.485855pt" stroked="true" strokeweight=".72pt" strokecolor="#000000">
            <v:stroke dashstyle="solid"/>
            <w10:wrap type="none"/>
          </v:line>
        </w:pict>
      </w:r>
      <w:r>
        <w:rPr>
          <w:strike/>
          <w:color w:val="2C6234"/>
        </w:rPr>
        <w:t>(Continued)</w:t>
      </w:r>
    </w:p>
    <w:p>
      <w:pPr>
        <w:pStyle w:val="BodyText"/>
        <w:rPr>
          <w:sz w:val="20"/>
        </w:rPr>
      </w:pPr>
    </w:p>
    <w:p>
      <w:pPr>
        <w:pStyle w:val="BodyText"/>
        <w:rPr>
          <w:sz w:val="20"/>
        </w:rPr>
      </w:pPr>
    </w:p>
    <w:p>
      <w:pPr>
        <w:pStyle w:val="BodyText"/>
        <w:spacing w:before="8"/>
        <w:rPr>
          <w:sz w:val="15"/>
        </w:rPr>
      </w:pPr>
    </w:p>
    <w:tbl>
      <w:tblPr>
        <w:tblW w:w="0" w:type="auto"/>
        <w:jc w:val="left"/>
        <w:tblInd w:w="9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60"/>
        <w:gridCol w:w="1212"/>
        <w:gridCol w:w="1210"/>
        <w:gridCol w:w="703"/>
        <w:gridCol w:w="506"/>
        <w:gridCol w:w="1210"/>
        <w:gridCol w:w="1200"/>
      </w:tblGrid>
      <w:tr>
        <w:trPr>
          <w:trHeight w:val="842" w:hRule="exact"/>
        </w:trPr>
        <w:tc>
          <w:tcPr>
            <w:tcW w:w="3060" w:type="dxa"/>
          </w:tcPr>
          <w:p>
            <w:pPr>
              <w:pStyle w:val="TableParagraph"/>
              <w:tabs>
                <w:tab w:pos="700" w:val="left" w:leader="none"/>
              </w:tabs>
              <w:ind w:left="100" w:right="1007"/>
              <w:rPr>
                <w:sz w:val="24"/>
              </w:rPr>
            </w:pPr>
            <w:r>
              <w:rPr>
                <w:strike/>
                <w:color w:val="2E97D3"/>
                <w:w w:val="100"/>
                <w:sz w:val="24"/>
              </w:rPr>
              <w:t> </w:t>
            </w:r>
            <w:r>
              <w:rPr>
                <w:strike/>
                <w:color w:val="2E97D3"/>
                <w:sz w:val="24"/>
              </w:rPr>
              <w:tab/>
              <w:t>TOTAL CONSTRUCTION</w:t>
            </w:r>
          </w:p>
        </w:tc>
        <w:tc>
          <w:tcPr>
            <w:tcW w:w="1212" w:type="dxa"/>
          </w:tcPr>
          <w:p>
            <w:pPr>
              <w:pStyle w:val="TableParagraph"/>
              <w:spacing w:line="272" w:lineRule="exact"/>
              <w:ind w:left="100"/>
              <w:rPr>
                <w:sz w:val="24"/>
              </w:rPr>
            </w:pPr>
            <w:r>
              <w:rPr>
                <w:strike/>
                <w:color w:val="2E97D3"/>
                <w:w w:val="99"/>
                <w:sz w:val="24"/>
              </w:rPr>
              <w:t>$</w:t>
            </w:r>
          </w:p>
        </w:tc>
        <w:tc>
          <w:tcPr>
            <w:tcW w:w="1210" w:type="dxa"/>
          </w:tcPr>
          <w:p>
            <w:pPr>
              <w:pStyle w:val="TableParagraph"/>
              <w:spacing w:line="272" w:lineRule="exact"/>
              <w:ind w:left="100"/>
              <w:rPr>
                <w:sz w:val="24"/>
              </w:rPr>
            </w:pPr>
            <w:r>
              <w:rPr>
                <w:strike/>
                <w:color w:val="2E97D3"/>
                <w:w w:val="99"/>
                <w:sz w:val="24"/>
              </w:rPr>
              <w:t>$</w:t>
            </w:r>
          </w:p>
        </w:tc>
        <w:tc>
          <w:tcPr>
            <w:tcW w:w="1210" w:type="dxa"/>
            <w:gridSpan w:val="2"/>
          </w:tcPr>
          <w:p>
            <w:pPr>
              <w:pStyle w:val="TableParagraph"/>
              <w:spacing w:line="272" w:lineRule="exact"/>
              <w:ind w:left="100"/>
              <w:rPr>
                <w:sz w:val="24"/>
              </w:rPr>
            </w:pPr>
            <w:r>
              <w:rPr>
                <w:strike/>
                <w:color w:val="2E97D3"/>
                <w:w w:val="99"/>
                <w:sz w:val="24"/>
              </w:rPr>
              <w:t>$</w:t>
            </w:r>
          </w:p>
        </w:tc>
        <w:tc>
          <w:tcPr>
            <w:tcW w:w="1210" w:type="dxa"/>
          </w:tcPr>
          <w:p>
            <w:pPr>
              <w:pStyle w:val="TableParagraph"/>
              <w:spacing w:line="272" w:lineRule="exact"/>
              <w:ind w:left="100"/>
              <w:rPr>
                <w:sz w:val="24"/>
              </w:rPr>
            </w:pPr>
            <w:r>
              <w:rPr>
                <w:strike/>
                <w:color w:val="2E97D3"/>
                <w:w w:val="99"/>
                <w:sz w:val="24"/>
              </w:rPr>
              <w:t>$</w:t>
            </w:r>
          </w:p>
        </w:tc>
        <w:tc>
          <w:tcPr>
            <w:tcW w:w="1200" w:type="dxa"/>
          </w:tcPr>
          <w:p>
            <w:pPr>
              <w:pStyle w:val="TableParagraph"/>
              <w:spacing w:line="272" w:lineRule="exact"/>
              <w:ind w:left="100"/>
              <w:rPr>
                <w:sz w:val="24"/>
              </w:rPr>
            </w:pPr>
            <w:r>
              <w:rPr>
                <w:strike/>
                <w:color w:val="2E97D3"/>
                <w:w w:val="99"/>
                <w:sz w:val="24"/>
              </w:rPr>
              <w:t>$</w:t>
            </w:r>
          </w:p>
        </w:tc>
      </w:tr>
      <w:tr>
        <w:trPr>
          <w:trHeight w:val="290" w:hRule="exact"/>
        </w:trPr>
        <w:tc>
          <w:tcPr>
            <w:tcW w:w="9101" w:type="dxa"/>
            <w:gridSpan w:val="7"/>
          </w:tcPr>
          <w:p>
            <w:pPr>
              <w:pStyle w:val="TableParagraph"/>
              <w:spacing w:line="272" w:lineRule="exact"/>
              <w:ind w:left="100"/>
              <w:rPr>
                <w:sz w:val="24"/>
              </w:rPr>
            </w:pPr>
            <w:r>
              <w:rPr>
                <w:strike/>
                <w:color w:val="2E97D3"/>
                <w:sz w:val="24"/>
              </w:rPr>
              <w:t>FUNDING DATA (Chapter/Item) or Executive Order</w:t>
            </w:r>
          </w:p>
        </w:tc>
      </w:tr>
      <w:tr>
        <w:trPr>
          <w:trHeight w:val="290" w:hRule="exact"/>
        </w:trPr>
        <w:tc>
          <w:tcPr>
            <w:tcW w:w="3060" w:type="dxa"/>
          </w:tcPr>
          <w:p>
            <w:pPr/>
          </w:p>
        </w:tc>
        <w:tc>
          <w:tcPr>
            <w:tcW w:w="1212" w:type="dxa"/>
          </w:tcPr>
          <w:p>
            <w:pPr/>
          </w:p>
        </w:tc>
        <w:tc>
          <w:tcPr>
            <w:tcW w:w="1210" w:type="dxa"/>
          </w:tcPr>
          <w:p>
            <w:pPr/>
          </w:p>
        </w:tc>
        <w:tc>
          <w:tcPr>
            <w:tcW w:w="1210" w:type="dxa"/>
            <w:gridSpan w:val="2"/>
          </w:tcPr>
          <w:p>
            <w:pPr/>
          </w:p>
        </w:tc>
        <w:tc>
          <w:tcPr>
            <w:tcW w:w="1210" w:type="dxa"/>
          </w:tcPr>
          <w:p>
            <w:pPr/>
          </w:p>
        </w:tc>
        <w:tc>
          <w:tcPr>
            <w:tcW w:w="1200" w:type="dxa"/>
          </w:tcPr>
          <w:p>
            <w:pPr/>
          </w:p>
        </w:tc>
      </w:tr>
      <w:tr>
        <w:trPr>
          <w:trHeight w:val="293" w:hRule="exact"/>
        </w:trPr>
        <w:tc>
          <w:tcPr>
            <w:tcW w:w="3060" w:type="dxa"/>
          </w:tcPr>
          <w:p>
            <w:pPr/>
          </w:p>
        </w:tc>
        <w:tc>
          <w:tcPr>
            <w:tcW w:w="1212" w:type="dxa"/>
          </w:tcPr>
          <w:p>
            <w:pPr/>
          </w:p>
        </w:tc>
        <w:tc>
          <w:tcPr>
            <w:tcW w:w="1210" w:type="dxa"/>
          </w:tcPr>
          <w:p>
            <w:pPr/>
          </w:p>
        </w:tc>
        <w:tc>
          <w:tcPr>
            <w:tcW w:w="1210" w:type="dxa"/>
            <w:gridSpan w:val="2"/>
          </w:tcPr>
          <w:p>
            <w:pPr/>
          </w:p>
        </w:tc>
        <w:tc>
          <w:tcPr>
            <w:tcW w:w="1210" w:type="dxa"/>
          </w:tcPr>
          <w:p>
            <w:pPr/>
          </w:p>
        </w:tc>
        <w:tc>
          <w:tcPr>
            <w:tcW w:w="1200" w:type="dxa"/>
          </w:tcPr>
          <w:p>
            <w:pPr/>
          </w:p>
        </w:tc>
      </w:tr>
      <w:tr>
        <w:trPr>
          <w:trHeight w:val="290" w:hRule="exact"/>
        </w:trPr>
        <w:tc>
          <w:tcPr>
            <w:tcW w:w="3060" w:type="dxa"/>
          </w:tcPr>
          <w:p>
            <w:pPr/>
          </w:p>
        </w:tc>
        <w:tc>
          <w:tcPr>
            <w:tcW w:w="1212" w:type="dxa"/>
          </w:tcPr>
          <w:p>
            <w:pPr/>
          </w:p>
        </w:tc>
        <w:tc>
          <w:tcPr>
            <w:tcW w:w="1210" w:type="dxa"/>
          </w:tcPr>
          <w:p>
            <w:pPr/>
          </w:p>
        </w:tc>
        <w:tc>
          <w:tcPr>
            <w:tcW w:w="1210" w:type="dxa"/>
            <w:gridSpan w:val="2"/>
          </w:tcPr>
          <w:p>
            <w:pPr/>
          </w:p>
        </w:tc>
        <w:tc>
          <w:tcPr>
            <w:tcW w:w="1210" w:type="dxa"/>
          </w:tcPr>
          <w:p>
            <w:pPr/>
          </w:p>
        </w:tc>
        <w:tc>
          <w:tcPr>
            <w:tcW w:w="1200" w:type="dxa"/>
          </w:tcPr>
          <w:p>
            <w:pPr/>
          </w:p>
        </w:tc>
      </w:tr>
      <w:tr>
        <w:trPr>
          <w:trHeight w:val="290" w:hRule="exact"/>
        </w:trPr>
        <w:tc>
          <w:tcPr>
            <w:tcW w:w="3060" w:type="dxa"/>
          </w:tcPr>
          <w:p>
            <w:pPr/>
          </w:p>
        </w:tc>
        <w:tc>
          <w:tcPr>
            <w:tcW w:w="1212" w:type="dxa"/>
          </w:tcPr>
          <w:p>
            <w:pPr/>
          </w:p>
        </w:tc>
        <w:tc>
          <w:tcPr>
            <w:tcW w:w="1210" w:type="dxa"/>
          </w:tcPr>
          <w:p>
            <w:pPr/>
          </w:p>
        </w:tc>
        <w:tc>
          <w:tcPr>
            <w:tcW w:w="1210" w:type="dxa"/>
            <w:gridSpan w:val="2"/>
          </w:tcPr>
          <w:p>
            <w:pPr/>
          </w:p>
        </w:tc>
        <w:tc>
          <w:tcPr>
            <w:tcW w:w="1210" w:type="dxa"/>
          </w:tcPr>
          <w:p>
            <w:pPr/>
          </w:p>
        </w:tc>
        <w:tc>
          <w:tcPr>
            <w:tcW w:w="1200" w:type="dxa"/>
          </w:tcPr>
          <w:p>
            <w:pPr/>
          </w:p>
        </w:tc>
      </w:tr>
      <w:tr>
        <w:trPr>
          <w:trHeight w:val="290" w:hRule="exact"/>
        </w:trPr>
        <w:tc>
          <w:tcPr>
            <w:tcW w:w="3060" w:type="dxa"/>
          </w:tcPr>
          <w:p>
            <w:pPr>
              <w:pStyle w:val="TableParagraph"/>
              <w:tabs>
                <w:tab w:pos="369" w:val="left" w:leader="none"/>
              </w:tabs>
              <w:spacing w:line="272" w:lineRule="exact"/>
              <w:ind w:left="100"/>
              <w:rPr>
                <w:sz w:val="24"/>
              </w:rPr>
            </w:pPr>
            <w:r>
              <w:rPr>
                <w:strike/>
                <w:color w:val="2E97D3"/>
                <w:w w:val="100"/>
                <w:sz w:val="24"/>
              </w:rPr>
              <w:t> </w:t>
            </w:r>
            <w:r>
              <w:rPr>
                <w:strike/>
                <w:color w:val="2E97D3"/>
                <w:sz w:val="24"/>
              </w:rPr>
              <w:tab/>
              <w:t>FUTURE</w:t>
            </w:r>
            <w:r>
              <w:rPr>
                <w:strike/>
                <w:color w:val="2E97D3"/>
                <w:spacing w:val="-11"/>
                <w:sz w:val="24"/>
              </w:rPr>
              <w:t> </w:t>
            </w:r>
            <w:r>
              <w:rPr>
                <w:strike/>
                <w:color w:val="2E97D3"/>
                <w:sz w:val="24"/>
              </w:rPr>
              <w:t>FUNDING</w:t>
            </w:r>
          </w:p>
        </w:tc>
        <w:tc>
          <w:tcPr>
            <w:tcW w:w="1212" w:type="dxa"/>
          </w:tcPr>
          <w:p>
            <w:pPr/>
          </w:p>
        </w:tc>
        <w:tc>
          <w:tcPr>
            <w:tcW w:w="1210" w:type="dxa"/>
          </w:tcPr>
          <w:p>
            <w:pPr/>
          </w:p>
        </w:tc>
        <w:tc>
          <w:tcPr>
            <w:tcW w:w="1210" w:type="dxa"/>
            <w:gridSpan w:val="2"/>
          </w:tcPr>
          <w:p>
            <w:pPr/>
          </w:p>
        </w:tc>
        <w:tc>
          <w:tcPr>
            <w:tcW w:w="1210" w:type="dxa"/>
          </w:tcPr>
          <w:p>
            <w:pPr/>
          </w:p>
        </w:tc>
        <w:tc>
          <w:tcPr>
            <w:tcW w:w="1200" w:type="dxa"/>
          </w:tcPr>
          <w:p>
            <w:pPr/>
          </w:p>
        </w:tc>
      </w:tr>
      <w:tr>
        <w:trPr>
          <w:trHeight w:val="845" w:hRule="exact"/>
        </w:trPr>
        <w:tc>
          <w:tcPr>
            <w:tcW w:w="3060" w:type="dxa"/>
          </w:tcPr>
          <w:p>
            <w:pPr>
              <w:pStyle w:val="TableParagraph"/>
              <w:tabs>
                <w:tab w:pos="835" w:val="left" w:leader="none"/>
              </w:tabs>
              <w:ind w:left="100" w:right="277"/>
              <w:rPr>
                <w:sz w:val="24"/>
              </w:rPr>
            </w:pPr>
            <w:r>
              <w:rPr>
                <w:strike/>
                <w:color w:val="2E97D3"/>
                <w:w w:val="100"/>
                <w:sz w:val="24"/>
              </w:rPr>
              <w:t> </w:t>
            </w:r>
            <w:r>
              <w:rPr>
                <w:strike/>
                <w:color w:val="2E97D3"/>
                <w:sz w:val="24"/>
              </w:rPr>
              <w:tab/>
              <w:t>TOTAL</w:t>
            </w:r>
            <w:r>
              <w:rPr>
                <w:strike/>
                <w:color w:val="2E97D3"/>
                <w:spacing w:val="-8"/>
                <w:sz w:val="24"/>
              </w:rPr>
              <w:t> </w:t>
            </w:r>
            <w:r>
              <w:rPr>
                <w:strike/>
                <w:color w:val="2E97D3"/>
                <w:sz w:val="24"/>
              </w:rPr>
              <w:t>FUNDING</w:t>
            </w:r>
            <w:r>
              <w:rPr>
                <w:strike w:val="0"/>
                <w:color w:val="2E97D3"/>
                <w:spacing w:val="-1"/>
                <w:sz w:val="24"/>
              </w:rPr>
              <w:t> </w:t>
            </w:r>
            <w:r>
              <w:rPr>
                <w:strike/>
                <w:color w:val="2E97D3"/>
                <w:sz w:val="24"/>
              </w:rPr>
              <w:t>(2)</w:t>
            </w:r>
          </w:p>
        </w:tc>
        <w:tc>
          <w:tcPr>
            <w:tcW w:w="1212" w:type="dxa"/>
          </w:tcPr>
          <w:p>
            <w:pPr>
              <w:pStyle w:val="TableParagraph"/>
              <w:spacing w:line="274" w:lineRule="exact"/>
              <w:ind w:left="100"/>
              <w:rPr>
                <w:sz w:val="24"/>
              </w:rPr>
            </w:pPr>
            <w:r>
              <w:rPr>
                <w:strike/>
                <w:color w:val="2E97D3"/>
                <w:w w:val="99"/>
                <w:sz w:val="24"/>
              </w:rPr>
              <w:t>$</w:t>
            </w:r>
          </w:p>
        </w:tc>
        <w:tc>
          <w:tcPr>
            <w:tcW w:w="1210" w:type="dxa"/>
          </w:tcPr>
          <w:p>
            <w:pPr>
              <w:pStyle w:val="TableParagraph"/>
              <w:spacing w:line="274" w:lineRule="exact"/>
              <w:ind w:left="100"/>
              <w:rPr>
                <w:sz w:val="24"/>
              </w:rPr>
            </w:pPr>
            <w:r>
              <w:rPr>
                <w:strike/>
                <w:color w:val="2E97D3"/>
                <w:w w:val="99"/>
                <w:sz w:val="24"/>
              </w:rPr>
              <w:t>$</w:t>
            </w:r>
          </w:p>
        </w:tc>
        <w:tc>
          <w:tcPr>
            <w:tcW w:w="1210" w:type="dxa"/>
            <w:gridSpan w:val="2"/>
          </w:tcPr>
          <w:p>
            <w:pPr>
              <w:pStyle w:val="TableParagraph"/>
              <w:spacing w:line="274" w:lineRule="exact"/>
              <w:ind w:left="100"/>
              <w:rPr>
                <w:sz w:val="24"/>
              </w:rPr>
            </w:pPr>
            <w:r>
              <w:rPr>
                <w:strike/>
                <w:color w:val="2E97D3"/>
                <w:w w:val="99"/>
                <w:sz w:val="24"/>
              </w:rPr>
              <w:t>$</w:t>
            </w:r>
          </w:p>
        </w:tc>
        <w:tc>
          <w:tcPr>
            <w:tcW w:w="1210" w:type="dxa"/>
          </w:tcPr>
          <w:p>
            <w:pPr>
              <w:pStyle w:val="TableParagraph"/>
              <w:spacing w:line="274" w:lineRule="exact"/>
              <w:ind w:left="100"/>
              <w:rPr>
                <w:sz w:val="24"/>
              </w:rPr>
            </w:pPr>
            <w:r>
              <w:rPr>
                <w:strike/>
                <w:color w:val="2E97D3"/>
                <w:w w:val="99"/>
                <w:sz w:val="24"/>
              </w:rPr>
              <w:t>$</w:t>
            </w:r>
          </w:p>
        </w:tc>
        <w:tc>
          <w:tcPr>
            <w:tcW w:w="1200" w:type="dxa"/>
          </w:tcPr>
          <w:p>
            <w:pPr>
              <w:pStyle w:val="TableParagraph"/>
              <w:spacing w:line="274" w:lineRule="exact"/>
              <w:ind w:left="100"/>
              <w:rPr>
                <w:sz w:val="24"/>
              </w:rPr>
            </w:pPr>
            <w:r>
              <w:rPr>
                <w:strike/>
                <w:color w:val="2E97D3"/>
                <w:w w:val="99"/>
                <w:sz w:val="24"/>
              </w:rPr>
              <w:t>$</w:t>
            </w:r>
          </w:p>
        </w:tc>
      </w:tr>
      <w:tr>
        <w:trPr>
          <w:trHeight w:val="566" w:hRule="exact"/>
        </w:trPr>
        <w:tc>
          <w:tcPr>
            <w:tcW w:w="6185" w:type="dxa"/>
            <w:gridSpan w:val="4"/>
          </w:tcPr>
          <w:p>
            <w:pPr>
              <w:pStyle w:val="TableParagraph"/>
              <w:spacing w:line="272" w:lineRule="exact"/>
              <w:ind w:left="100"/>
              <w:rPr>
                <w:sz w:val="24"/>
              </w:rPr>
            </w:pPr>
            <w:r>
              <w:rPr>
                <w:strike/>
                <w:color w:val="2E97D3"/>
                <w:sz w:val="24"/>
              </w:rPr>
              <w:t>SCHEDULE</w:t>
            </w:r>
          </w:p>
        </w:tc>
        <w:tc>
          <w:tcPr>
            <w:tcW w:w="2916" w:type="dxa"/>
            <w:gridSpan w:val="3"/>
          </w:tcPr>
          <w:p>
            <w:pPr>
              <w:pStyle w:val="TableParagraph"/>
              <w:spacing w:line="272" w:lineRule="exact"/>
              <w:ind w:left="100"/>
              <w:rPr>
                <w:sz w:val="24"/>
              </w:rPr>
            </w:pPr>
            <w:r>
              <w:rPr>
                <w:strike/>
                <w:color w:val="2E97D3"/>
                <w:sz w:val="24"/>
              </w:rPr>
              <w:t>COMPLETION DATE</w:t>
            </w:r>
          </w:p>
          <w:p>
            <w:pPr>
              <w:pStyle w:val="TableParagraph"/>
              <w:ind w:left="100"/>
              <w:rPr>
                <w:sz w:val="24"/>
              </w:rPr>
            </w:pPr>
            <w:r>
              <w:rPr>
                <w:strike/>
                <w:color w:val="2E97D3"/>
                <w:w w:val="100"/>
                <w:sz w:val="24"/>
              </w:rPr>
              <w:t> </w:t>
            </w:r>
            <w:r>
              <w:rPr>
                <w:strike/>
                <w:color w:val="2E97D3"/>
                <w:sz w:val="24"/>
              </w:rPr>
              <w:t>MM /DD/ YYYY</w:t>
            </w:r>
          </w:p>
        </w:tc>
      </w:tr>
      <w:tr>
        <w:trPr>
          <w:trHeight w:val="290" w:hRule="exact"/>
        </w:trPr>
        <w:tc>
          <w:tcPr>
            <w:tcW w:w="6185" w:type="dxa"/>
            <w:gridSpan w:val="4"/>
          </w:tcPr>
          <w:p>
            <w:pPr>
              <w:pStyle w:val="TableParagraph"/>
              <w:tabs>
                <w:tab w:pos="369" w:val="left" w:leader="none"/>
              </w:tabs>
              <w:spacing w:line="272" w:lineRule="exact"/>
              <w:ind w:left="100"/>
              <w:rPr>
                <w:sz w:val="24"/>
              </w:rPr>
            </w:pPr>
            <w:r>
              <w:rPr>
                <w:strike/>
                <w:color w:val="2E97D3"/>
                <w:w w:val="100"/>
                <w:sz w:val="24"/>
              </w:rPr>
              <w:t> </w:t>
            </w:r>
            <w:r>
              <w:rPr>
                <w:strike/>
                <w:color w:val="2E97D3"/>
                <w:sz w:val="24"/>
              </w:rPr>
              <w:tab/>
              <w:t>ACQUISITION</w:t>
            </w:r>
            <w:r>
              <w:rPr>
                <w:strike/>
                <w:color w:val="2E97D3"/>
                <w:spacing w:val="-9"/>
                <w:sz w:val="24"/>
              </w:rPr>
              <w:t> </w:t>
            </w:r>
            <w:r>
              <w:rPr>
                <w:strike/>
                <w:color w:val="2E97D3"/>
                <w:sz w:val="24"/>
              </w:rPr>
              <w:t>APPROVAL</w:t>
            </w:r>
          </w:p>
        </w:tc>
        <w:tc>
          <w:tcPr>
            <w:tcW w:w="2916" w:type="dxa"/>
            <w:gridSpan w:val="3"/>
          </w:tcPr>
          <w:p>
            <w:pPr>
              <w:pStyle w:val="TableParagraph"/>
              <w:tabs>
                <w:tab w:pos="436" w:val="left" w:leader="none"/>
              </w:tabs>
              <w:spacing w:line="272" w:lineRule="exact"/>
              <w:ind w:left="100"/>
              <w:rPr>
                <w:sz w:val="24"/>
              </w:rPr>
            </w:pPr>
            <w:r>
              <w:rPr>
                <w:strike/>
                <w:color w:val="2E97D3"/>
                <w:sz w:val="24"/>
              </w:rPr>
              <w:t>/</w:t>
              <w:tab/>
              <w:t>/</w:t>
            </w:r>
          </w:p>
        </w:tc>
      </w:tr>
      <w:tr>
        <w:trPr>
          <w:trHeight w:val="290" w:hRule="exact"/>
        </w:trPr>
        <w:tc>
          <w:tcPr>
            <w:tcW w:w="6185" w:type="dxa"/>
            <w:gridSpan w:val="4"/>
          </w:tcPr>
          <w:p>
            <w:pPr>
              <w:pStyle w:val="TableParagraph"/>
              <w:tabs>
                <w:tab w:pos="369" w:val="left" w:leader="none"/>
              </w:tabs>
              <w:spacing w:line="272" w:lineRule="exact"/>
              <w:ind w:left="100"/>
              <w:rPr>
                <w:sz w:val="24"/>
              </w:rPr>
            </w:pPr>
            <w:r>
              <w:rPr>
                <w:strike/>
                <w:color w:val="2E97D3"/>
                <w:w w:val="100"/>
                <w:sz w:val="24"/>
              </w:rPr>
              <w:t> </w:t>
            </w:r>
            <w:r>
              <w:rPr>
                <w:strike/>
                <w:color w:val="2E97D3"/>
                <w:sz w:val="24"/>
              </w:rPr>
              <w:tab/>
              <w:t>START PRELIMINARY</w:t>
            </w:r>
            <w:r>
              <w:rPr>
                <w:strike/>
                <w:color w:val="2E97D3"/>
                <w:spacing w:val="-13"/>
                <w:sz w:val="24"/>
              </w:rPr>
              <w:t> </w:t>
            </w:r>
            <w:r>
              <w:rPr>
                <w:strike/>
                <w:color w:val="2E97D3"/>
                <w:sz w:val="24"/>
              </w:rPr>
              <w:t>PLANS</w:t>
            </w:r>
          </w:p>
        </w:tc>
        <w:tc>
          <w:tcPr>
            <w:tcW w:w="2916" w:type="dxa"/>
            <w:gridSpan w:val="3"/>
          </w:tcPr>
          <w:p>
            <w:pPr>
              <w:pStyle w:val="TableParagraph"/>
              <w:tabs>
                <w:tab w:pos="436" w:val="left" w:leader="none"/>
              </w:tabs>
              <w:spacing w:line="272" w:lineRule="exact"/>
              <w:ind w:left="100"/>
              <w:rPr>
                <w:sz w:val="24"/>
              </w:rPr>
            </w:pPr>
            <w:r>
              <w:rPr>
                <w:strike/>
                <w:color w:val="2E97D3"/>
                <w:sz w:val="24"/>
              </w:rPr>
              <w:t>/</w:t>
              <w:tab/>
              <w:t>/</w:t>
            </w:r>
          </w:p>
        </w:tc>
      </w:tr>
      <w:tr>
        <w:trPr>
          <w:trHeight w:val="290" w:hRule="exact"/>
        </w:trPr>
        <w:tc>
          <w:tcPr>
            <w:tcW w:w="6185" w:type="dxa"/>
            <w:gridSpan w:val="4"/>
          </w:tcPr>
          <w:p>
            <w:pPr>
              <w:pStyle w:val="TableParagraph"/>
              <w:tabs>
                <w:tab w:pos="369" w:val="left" w:leader="none"/>
              </w:tabs>
              <w:spacing w:line="272" w:lineRule="exact"/>
              <w:ind w:left="100"/>
              <w:rPr>
                <w:sz w:val="24"/>
              </w:rPr>
            </w:pPr>
            <w:r>
              <w:rPr>
                <w:strike/>
                <w:color w:val="2E97D3"/>
                <w:w w:val="100"/>
                <w:sz w:val="24"/>
              </w:rPr>
              <w:t> </w:t>
            </w:r>
            <w:r>
              <w:rPr>
                <w:strike/>
                <w:color w:val="2E97D3"/>
                <w:sz w:val="24"/>
              </w:rPr>
              <w:tab/>
              <w:t>PRELIMINARY PLAN</w:t>
            </w:r>
            <w:r>
              <w:rPr>
                <w:strike/>
                <w:color w:val="2E97D3"/>
                <w:spacing w:val="-14"/>
                <w:sz w:val="24"/>
              </w:rPr>
              <w:t> </w:t>
            </w:r>
            <w:r>
              <w:rPr>
                <w:strike/>
                <w:color w:val="2E97D3"/>
                <w:sz w:val="24"/>
              </w:rPr>
              <w:t>APPROVAL</w:t>
            </w:r>
          </w:p>
        </w:tc>
        <w:tc>
          <w:tcPr>
            <w:tcW w:w="2916" w:type="dxa"/>
            <w:gridSpan w:val="3"/>
          </w:tcPr>
          <w:p>
            <w:pPr>
              <w:pStyle w:val="TableParagraph"/>
              <w:tabs>
                <w:tab w:pos="436" w:val="left" w:leader="none"/>
              </w:tabs>
              <w:spacing w:line="272" w:lineRule="exact"/>
              <w:ind w:left="100"/>
              <w:rPr>
                <w:sz w:val="24"/>
              </w:rPr>
            </w:pPr>
            <w:r>
              <w:rPr>
                <w:strike/>
                <w:color w:val="2E97D3"/>
                <w:sz w:val="24"/>
              </w:rPr>
              <w:t>/</w:t>
              <w:tab/>
              <w:t>/</w:t>
            </w:r>
          </w:p>
        </w:tc>
      </w:tr>
      <w:tr>
        <w:trPr>
          <w:trHeight w:val="293" w:hRule="exact"/>
        </w:trPr>
        <w:tc>
          <w:tcPr>
            <w:tcW w:w="6185" w:type="dxa"/>
            <w:gridSpan w:val="4"/>
          </w:tcPr>
          <w:p>
            <w:pPr>
              <w:pStyle w:val="TableParagraph"/>
              <w:tabs>
                <w:tab w:pos="369" w:val="left" w:leader="none"/>
              </w:tabs>
              <w:spacing w:line="274" w:lineRule="exact"/>
              <w:ind w:left="100"/>
              <w:rPr>
                <w:sz w:val="24"/>
              </w:rPr>
            </w:pPr>
            <w:r>
              <w:rPr>
                <w:strike/>
                <w:color w:val="2E97D3"/>
                <w:w w:val="100"/>
                <w:sz w:val="24"/>
              </w:rPr>
              <w:t> </w:t>
            </w:r>
            <w:r>
              <w:rPr>
                <w:strike/>
                <w:color w:val="2E97D3"/>
                <w:sz w:val="24"/>
              </w:rPr>
              <w:tab/>
              <w:t>PROCEED TO</w:t>
            </w:r>
            <w:r>
              <w:rPr>
                <w:strike/>
                <w:color w:val="2E97D3"/>
                <w:spacing w:val="-4"/>
                <w:sz w:val="24"/>
              </w:rPr>
              <w:t> </w:t>
            </w:r>
            <w:r>
              <w:rPr>
                <w:strike/>
                <w:color w:val="2E97D3"/>
                <w:sz w:val="24"/>
              </w:rPr>
              <w:t>BID</w:t>
            </w:r>
          </w:p>
        </w:tc>
        <w:tc>
          <w:tcPr>
            <w:tcW w:w="2916" w:type="dxa"/>
            <w:gridSpan w:val="3"/>
          </w:tcPr>
          <w:p>
            <w:pPr>
              <w:pStyle w:val="TableParagraph"/>
              <w:tabs>
                <w:tab w:pos="436" w:val="left" w:leader="none"/>
              </w:tabs>
              <w:spacing w:line="274" w:lineRule="exact"/>
              <w:ind w:left="100"/>
              <w:rPr>
                <w:sz w:val="24"/>
              </w:rPr>
            </w:pPr>
            <w:r>
              <w:rPr>
                <w:strike/>
                <w:color w:val="2E97D3"/>
                <w:sz w:val="24"/>
              </w:rPr>
              <w:t>/</w:t>
              <w:tab/>
              <w:t>/</w:t>
            </w:r>
          </w:p>
        </w:tc>
      </w:tr>
      <w:tr>
        <w:trPr>
          <w:trHeight w:val="290" w:hRule="exact"/>
        </w:trPr>
        <w:tc>
          <w:tcPr>
            <w:tcW w:w="6185" w:type="dxa"/>
            <w:gridSpan w:val="4"/>
          </w:tcPr>
          <w:p>
            <w:pPr>
              <w:pStyle w:val="TableParagraph"/>
              <w:tabs>
                <w:tab w:pos="369" w:val="left" w:leader="none"/>
              </w:tabs>
              <w:spacing w:line="272" w:lineRule="exact"/>
              <w:ind w:left="100"/>
              <w:rPr>
                <w:sz w:val="24"/>
              </w:rPr>
            </w:pPr>
            <w:r>
              <w:rPr>
                <w:strike/>
                <w:color w:val="2E97D3"/>
                <w:w w:val="100"/>
                <w:sz w:val="24"/>
              </w:rPr>
              <w:t> </w:t>
            </w:r>
            <w:r>
              <w:rPr>
                <w:strike/>
                <w:color w:val="2E97D3"/>
                <w:sz w:val="24"/>
              </w:rPr>
              <w:tab/>
              <w:t>CONTRACT</w:t>
            </w:r>
            <w:r>
              <w:rPr>
                <w:strike/>
                <w:color w:val="2E97D3"/>
                <w:spacing w:val="-7"/>
                <w:sz w:val="24"/>
              </w:rPr>
              <w:t> </w:t>
            </w:r>
            <w:r>
              <w:rPr>
                <w:strike/>
                <w:color w:val="2E97D3"/>
                <w:sz w:val="24"/>
              </w:rPr>
              <w:t>AWARD</w:t>
            </w:r>
          </w:p>
        </w:tc>
        <w:tc>
          <w:tcPr>
            <w:tcW w:w="2916" w:type="dxa"/>
            <w:gridSpan w:val="3"/>
          </w:tcPr>
          <w:p>
            <w:pPr>
              <w:pStyle w:val="TableParagraph"/>
              <w:tabs>
                <w:tab w:pos="436" w:val="left" w:leader="none"/>
              </w:tabs>
              <w:spacing w:line="272" w:lineRule="exact"/>
              <w:ind w:left="100"/>
              <w:rPr>
                <w:sz w:val="24"/>
              </w:rPr>
            </w:pPr>
            <w:r>
              <w:rPr>
                <w:strike/>
                <w:color w:val="2E97D3"/>
                <w:sz w:val="24"/>
              </w:rPr>
              <w:t>/</w:t>
              <w:tab/>
              <w:t>/</w:t>
            </w:r>
          </w:p>
        </w:tc>
      </w:tr>
      <w:tr>
        <w:trPr>
          <w:trHeight w:val="290" w:hRule="exact"/>
        </w:trPr>
        <w:tc>
          <w:tcPr>
            <w:tcW w:w="6185" w:type="dxa"/>
            <w:gridSpan w:val="4"/>
          </w:tcPr>
          <w:p>
            <w:pPr>
              <w:pStyle w:val="TableParagraph"/>
              <w:tabs>
                <w:tab w:pos="369" w:val="left" w:leader="none"/>
              </w:tabs>
              <w:spacing w:line="272" w:lineRule="exact"/>
              <w:ind w:left="100"/>
              <w:rPr>
                <w:sz w:val="24"/>
              </w:rPr>
            </w:pPr>
            <w:r>
              <w:rPr>
                <w:strike/>
                <w:color w:val="2E97D3"/>
                <w:w w:val="100"/>
                <w:sz w:val="24"/>
              </w:rPr>
              <w:t> </w:t>
            </w:r>
            <w:r>
              <w:rPr>
                <w:strike/>
                <w:color w:val="2E97D3"/>
                <w:sz w:val="24"/>
              </w:rPr>
              <w:tab/>
              <w:t>OTHER</w:t>
            </w:r>
            <w:r>
              <w:rPr>
                <w:strike/>
                <w:color w:val="2E97D3"/>
                <w:spacing w:val="-8"/>
                <w:sz w:val="24"/>
              </w:rPr>
              <w:t> </w:t>
            </w:r>
            <w:r>
              <w:rPr>
                <w:strike/>
                <w:color w:val="2E97D3"/>
                <w:sz w:val="24"/>
              </w:rPr>
              <w:t>(SPECIFY)</w:t>
            </w:r>
          </w:p>
        </w:tc>
        <w:tc>
          <w:tcPr>
            <w:tcW w:w="2916" w:type="dxa"/>
            <w:gridSpan w:val="3"/>
          </w:tcPr>
          <w:p>
            <w:pPr>
              <w:pStyle w:val="TableParagraph"/>
              <w:tabs>
                <w:tab w:pos="436" w:val="left" w:leader="none"/>
              </w:tabs>
              <w:spacing w:line="272" w:lineRule="exact"/>
              <w:ind w:left="100"/>
              <w:rPr>
                <w:sz w:val="24"/>
              </w:rPr>
            </w:pPr>
            <w:r>
              <w:rPr>
                <w:strike/>
                <w:color w:val="2E97D3"/>
                <w:sz w:val="24"/>
              </w:rPr>
              <w:t>/</w:t>
              <w:tab/>
              <w:t>/</w:t>
            </w:r>
          </w:p>
        </w:tc>
      </w:tr>
      <w:tr>
        <w:trPr>
          <w:trHeight w:val="293" w:hRule="exact"/>
        </w:trPr>
        <w:tc>
          <w:tcPr>
            <w:tcW w:w="6185" w:type="dxa"/>
            <w:gridSpan w:val="4"/>
          </w:tcPr>
          <w:p>
            <w:pPr>
              <w:pStyle w:val="TableParagraph"/>
              <w:tabs>
                <w:tab w:pos="369" w:val="left" w:leader="none"/>
              </w:tabs>
              <w:spacing w:line="272" w:lineRule="exact"/>
              <w:ind w:left="100"/>
              <w:rPr>
                <w:sz w:val="24"/>
              </w:rPr>
            </w:pPr>
            <w:r>
              <w:rPr>
                <w:strike/>
                <w:color w:val="2E97D3"/>
                <w:w w:val="100"/>
                <w:sz w:val="24"/>
              </w:rPr>
              <w:t> </w:t>
            </w:r>
            <w:r>
              <w:rPr>
                <w:strike/>
                <w:color w:val="2E97D3"/>
                <w:sz w:val="24"/>
              </w:rPr>
              <w:tab/>
              <w:t>PROJECT</w:t>
            </w:r>
            <w:r>
              <w:rPr>
                <w:strike/>
                <w:color w:val="2E97D3"/>
                <w:spacing w:val="-8"/>
                <w:sz w:val="24"/>
              </w:rPr>
              <w:t> </w:t>
            </w:r>
            <w:r>
              <w:rPr>
                <w:strike/>
                <w:color w:val="2E97D3"/>
                <w:sz w:val="24"/>
              </w:rPr>
              <w:t>COMPLETION</w:t>
            </w:r>
          </w:p>
        </w:tc>
        <w:tc>
          <w:tcPr>
            <w:tcW w:w="2916" w:type="dxa"/>
            <w:gridSpan w:val="3"/>
          </w:tcPr>
          <w:p>
            <w:pPr>
              <w:pStyle w:val="TableParagraph"/>
              <w:tabs>
                <w:tab w:pos="436" w:val="left" w:leader="none"/>
              </w:tabs>
              <w:spacing w:line="272" w:lineRule="exact"/>
              <w:ind w:left="100"/>
              <w:rPr>
                <w:sz w:val="24"/>
              </w:rPr>
            </w:pPr>
            <w:r>
              <w:rPr>
                <w:strike/>
                <w:color w:val="2E97D3"/>
                <w:sz w:val="24"/>
              </w:rPr>
              <w:t>/</w:t>
              <w:tab/>
              <w:t>/</w:t>
            </w:r>
          </w:p>
        </w:tc>
      </w:tr>
    </w:tbl>
    <w:p>
      <w:pPr>
        <w:spacing w:after="0" w:line="272" w:lineRule="exact"/>
        <w:rPr>
          <w:sz w:val="24"/>
        </w:rPr>
        <w:sectPr>
          <w:footerReference w:type="default" r:id="rId256"/>
          <w:pgSz w:w="12240" w:h="15840"/>
          <w:pgMar w:footer="1068" w:header="724" w:top="980" w:bottom="1260" w:left="620" w:right="1460"/>
        </w:sectPr>
      </w:pPr>
    </w:p>
    <w:p>
      <w:pPr>
        <w:pStyle w:val="BodyText"/>
        <w:rPr>
          <w:sz w:val="20"/>
        </w:rPr>
      </w:pPr>
      <w:r>
        <w:rPr/>
        <w:pict>
          <v:line style="position:absolute;mso-position-horizontal-relative:page;mso-position-vertical-relative:page;z-index:25216" from="36.360001pt,72pt" to="36.360001pt,723.36pt" stroked="true" strokeweight=".72pt" strokecolor="#000000">
            <v:stroke dashstyle="solid"/>
            <w10:wrap type="none"/>
          </v:line>
        </w:pict>
      </w:r>
    </w:p>
    <w:p>
      <w:pPr>
        <w:spacing w:before="214"/>
        <w:ind w:left="1036" w:right="0" w:firstLine="0"/>
        <w:jc w:val="left"/>
        <w:rPr>
          <w:b/>
          <w:sz w:val="24"/>
        </w:rPr>
      </w:pPr>
      <w:r>
        <w:rPr/>
        <w:pict>
          <v:shape style="position:absolute;margin-left:386.399994pt;margin-top:10.915881pt;width:150pt;height:82.8pt;mso-position-horizontal-relative:page;mso-position-vertical-relative:paragraph;z-index:252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00"/>
                  </w:tblGrid>
                  <w:tr>
                    <w:trPr>
                      <w:trHeight w:val="276" w:hRule="exact"/>
                    </w:trPr>
                    <w:tc>
                      <w:tcPr>
                        <w:tcW w:w="3000" w:type="dxa"/>
                        <w:shd w:val="clear" w:color="auto" w:fill="000000"/>
                      </w:tcPr>
                      <w:p>
                        <w:pPr>
                          <w:pStyle w:val="TableParagraph"/>
                          <w:spacing w:line="272" w:lineRule="exact"/>
                          <w:ind w:left="108"/>
                          <w:rPr>
                            <w:b/>
                            <w:sz w:val="24"/>
                          </w:rPr>
                        </w:pPr>
                        <w:r>
                          <w:rPr>
                            <w:b/>
                            <w:strike/>
                            <w:color w:val="2E97D3"/>
                            <w:sz w:val="24"/>
                          </w:rPr>
                          <w:t>Department of Finance</w:t>
                        </w:r>
                      </w:p>
                    </w:tc>
                  </w:tr>
                  <w:tr>
                    <w:trPr>
                      <w:trHeight w:val="414" w:hRule="exact"/>
                    </w:trPr>
                    <w:tc>
                      <w:tcPr>
                        <w:tcW w:w="3000" w:type="dxa"/>
                        <w:shd w:val="clear" w:color="auto" w:fill="000000"/>
                      </w:tcPr>
                      <w:p>
                        <w:pPr>
                          <w:pStyle w:val="TableParagraph"/>
                          <w:spacing w:line="272" w:lineRule="exact"/>
                          <w:ind w:left="108"/>
                          <w:rPr>
                            <w:b/>
                            <w:sz w:val="24"/>
                          </w:rPr>
                        </w:pPr>
                        <w:r>
                          <w:rPr>
                            <w:b/>
                            <w:strike/>
                            <w:color w:val="2E97D3"/>
                            <w:sz w:val="24"/>
                          </w:rPr>
                          <w:t>915 L Street</w:t>
                        </w:r>
                      </w:p>
                    </w:tc>
                  </w:tr>
                  <w:tr>
                    <w:trPr>
                      <w:trHeight w:val="414" w:hRule="exact"/>
                    </w:trPr>
                    <w:tc>
                      <w:tcPr>
                        <w:tcW w:w="3000" w:type="dxa"/>
                        <w:shd w:val="clear" w:color="auto" w:fill="000000"/>
                      </w:tcPr>
                      <w:p>
                        <w:pPr>
                          <w:pStyle w:val="TableParagraph"/>
                          <w:spacing w:before="134"/>
                          <w:ind w:left="108"/>
                          <w:rPr>
                            <w:b/>
                            <w:sz w:val="24"/>
                          </w:rPr>
                        </w:pPr>
                        <w:r>
                          <w:rPr>
                            <w:b/>
                            <w:strike/>
                            <w:color w:val="2E97D3"/>
                            <w:sz w:val="24"/>
                          </w:rPr>
                          <w:t>Sacramento, CA</w:t>
                        </w:r>
                        <w:r>
                          <w:rPr>
                            <w:b/>
                            <w:strike/>
                            <w:color w:val="2E97D3"/>
                            <w:spacing w:val="55"/>
                            <w:sz w:val="24"/>
                          </w:rPr>
                          <w:t> </w:t>
                        </w:r>
                        <w:r>
                          <w:rPr>
                            <w:b/>
                            <w:strike/>
                            <w:color w:val="2E97D3"/>
                            <w:sz w:val="24"/>
                          </w:rPr>
                          <w:t>95814</w:t>
                        </w:r>
                      </w:p>
                    </w:tc>
                  </w:tr>
                  <w:tr>
                    <w:trPr>
                      <w:trHeight w:val="552" w:hRule="exact"/>
                    </w:trPr>
                    <w:tc>
                      <w:tcPr>
                        <w:tcW w:w="3000" w:type="dxa"/>
                        <w:shd w:val="clear" w:color="auto" w:fill="000000"/>
                      </w:tcPr>
                      <w:p>
                        <w:pPr>
                          <w:pStyle w:val="TableParagraph"/>
                          <w:tabs>
                            <w:tab w:pos="2020" w:val="left" w:leader="none"/>
                          </w:tabs>
                          <w:spacing w:line="272" w:lineRule="exact"/>
                          <w:ind w:left="108"/>
                          <w:rPr>
                            <w:b/>
                            <w:sz w:val="24"/>
                          </w:rPr>
                        </w:pPr>
                        <w:r>
                          <w:rPr>
                            <w:b/>
                            <w:strike/>
                            <w:color w:val="2E97D3"/>
                            <w:sz w:val="24"/>
                          </w:rPr>
                          <w:t>IMS</w:t>
                        </w:r>
                        <w:r>
                          <w:rPr>
                            <w:b/>
                            <w:strike/>
                            <w:color w:val="2E97D3"/>
                            <w:spacing w:val="-1"/>
                            <w:sz w:val="24"/>
                          </w:rPr>
                          <w:t> </w:t>
                        </w:r>
                        <w:r>
                          <w:rPr>
                            <w:b/>
                            <w:strike/>
                            <w:color w:val="2E97D3"/>
                            <w:sz w:val="24"/>
                          </w:rPr>
                          <w:t>Mail</w:t>
                        </w:r>
                        <w:r>
                          <w:rPr>
                            <w:b/>
                            <w:strike/>
                            <w:color w:val="2E97D3"/>
                            <w:spacing w:val="-1"/>
                            <w:sz w:val="24"/>
                          </w:rPr>
                          <w:t> </w:t>
                        </w:r>
                        <w:r>
                          <w:rPr>
                            <w:b/>
                            <w:strike/>
                            <w:color w:val="2E97D3"/>
                            <w:sz w:val="24"/>
                          </w:rPr>
                          <w:t>Code:</w:t>
                          <w:tab/>
                        </w:r>
                        <w:r>
                          <w:rPr>
                            <w:b/>
                            <w:strike/>
                            <w:color w:val="2E97D3"/>
                            <w:spacing w:val="-3"/>
                            <w:sz w:val="24"/>
                          </w:rPr>
                          <w:t>A-15</w:t>
                        </w:r>
                      </w:p>
                    </w:tc>
                  </w:tr>
                </w:tbl>
                <w:p>
                  <w:pPr>
                    <w:pStyle w:val="BodyText"/>
                  </w:pPr>
                </w:p>
              </w:txbxContent>
            </v:textbox>
            <w10:wrap type="none"/>
          </v:shape>
        </w:pict>
      </w:r>
      <w:r>
        <w:rPr>
          <w:b/>
          <w:strike/>
          <w:color w:val="2E97D3"/>
          <w:sz w:val="24"/>
        </w:rPr>
        <w:t>STATE OF CALIFORNIA</w:t>
      </w:r>
    </w:p>
    <w:p>
      <w:pPr>
        <w:spacing w:before="0"/>
        <w:ind w:left="1036" w:right="2484" w:firstLine="0"/>
        <w:jc w:val="left"/>
        <w:rPr>
          <w:b/>
          <w:sz w:val="24"/>
        </w:rPr>
      </w:pPr>
      <w:r>
        <w:rPr>
          <w:b/>
          <w:strike/>
          <w:color w:val="2E97D3"/>
          <w:sz w:val="24"/>
        </w:rPr>
        <w:t>CAPITAL OUTLAY BUDGET CHANGE PROPOSAL (COBCP)</w:t>
      </w:r>
    </w:p>
    <w:p>
      <w:pPr>
        <w:spacing w:before="0"/>
        <w:ind w:left="1036" w:right="0" w:firstLine="0"/>
        <w:jc w:val="left"/>
        <w:rPr>
          <w:b/>
          <w:sz w:val="24"/>
        </w:rPr>
      </w:pPr>
      <w:r>
        <w:rPr>
          <w:b/>
          <w:strike/>
          <w:color w:val="2E97D3"/>
          <w:sz w:val="24"/>
        </w:rPr>
        <w:t>PAGE 3 - SUPPLEMENTAL INFORMATION</w:t>
      </w:r>
    </w:p>
    <w:p>
      <w:pPr>
        <w:pStyle w:val="BodyText"/>
        <w:spacing w:line="275" w:lineRule="exact"/>
        <w:ind w:left="1036"/>
      </w:pPr>
      <w:r>
        <w:rPr>
          <w:strike/>
          <w:color w:val="2E97D3"/>
        </w:rPr>
        <w:t>(REV 11/97)</w:t>
      </w:r>
    </w:p>
    <w:p>
      <w:pPr>
        <w:spacing w:line="275" w:lineRule="exact" w:before="0" w:after="7"/>
        <w:ind w:left="1036" w:right="0" w:firstLine="0"/>
        <w:jc w:val="left"/>
        <w:rPr>
          <w:i/>
          <w:sz w:val="24"/>
        </w:rPr>
      </w:pPr>
      <w:r>
        <w:rPr>
          <w:i/>
          <w:strike/>
          <w:color w:val="2E97D3"/>
          <w:sz w:val="24"/>
        </w:rPr>
        <w:t>Please report dollars in thousands</w:t>
      </w:r>
    </w:p>
    <w:tbl>
      <w:tblPr>
        <w:tblW w:w="0" w:type="auto"/>
        <w:jc w:val="left"/>
        <w:tblInd w:w="92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656"/>
        <w:gridCol w:w="550"/>
        <w:gridCol w:w="794"/>
        <w:gridCol w:w="108"/>
        <w:gridCol w:w="1303"/>
        <w:gridCol w:w="4680"/>
      </w:tblGrid>
      <w:tr>
        <w:trPr>
          <w:trHeight w:val="188" w:hRule="exact"/>
        </w:trPr>
        <w:tc>
          <w:tcPr>
            <w:tcW w:w="1656" w:type="dxa"/>
            <w:vMerge w:val="restart"/>
            <w:tcBorders>
              <w:left w:val="single" w:sz="6" w:space="0" w:color="000000"/>
              <w:right w:val="single" w:sz="6" w:space="0" w:color="000000"/>
            </w:tcBorders>
          </w:tcPr>
          <w:p>
            <w:pPr>
              <w:pStyle w:val="TableParagraph"/>
              <w:spacing w:line="274" w:lineRule="exact"/>
              <w:ind w:left="100"/>
              <w:rPr>
                <w:sz w:val="24"/>
              </w:rPr>
            </w:pPr>
            <w:r>
              <w:rPr>
                <w:strike/>
                <w:color w:val="2E97D3"/>
                <w:sz w:val="24"/>
              </w:rPr>
              <w:t>COBCP #</w:t>
            </w:r>
          </w:p>
        </w:tc>
        <w:tc>
          <w:tcPr>
            <w:tcW w:w="1344" w:type="dxa"/>
            <w:gridSpan w:val="2"/>
            <w:vMerge w:val="restart"/>
            <w:tcBorders>
              <w:left w:val="single" w:sz="6" w:space="0" w:color="000000"/>
              <w:right w:val="single" w:sz="6" w:space="0" w:color="000000"/>
            </w:tcBorders>
          </w:tcPr>
          <w:p>
            <w:pPr>
              <w:pStyle w:val="TableParagraph"/>
              <w:spacing w:line="274" w:lineRule="exact"/>
              <w:ind w:left="100"/>
              <w:rPr>
                <w:sz w:val="24"/>
              </w:rPr>
            </w:pPr>
            <w:r>
              <w:rPr>
                <w:strike/>
                <w:color w:val="2E97D3"/>
                <w:sz w:val="24"/>
              </w:rPr>
              <w:t>DATE</w:t>
            </w:r>
          </w:p>
        </w:tc>
        <w:tc>
          <w:tcPr>
            <w:tcW w:w="108" w:type="dxa"/>
            <w:vMerge w:val="restart"/>
            <w:tcBorders>
              <w:left w:val="single" w:sz="6" w:space="0" w:color="000000"/>
              <w:right w:val="nil"/>
            </w:tcBorders>
          </w:tcPr>
          <w:p>
            <w:pPr/>
          </w:p>
        </w:tc>
        <w:tc>
          <w:tcPr>
            <w:tcW w:w="1303" w:type="dxa"/>
            <w:tcBorders>
              <w:left w:val="nil"/>
              <w:bottom w:val="single" w:sz="5" w:space="0" w:color="2E97D3"/>
              <w:right w:val="single" w:sz="6" w:space="0" w:color="000000"/>
            </w:tcBorders>
          </w:tcPr>
          <w:p>
            <w:pPr>
              <w:pStyle w:val="TableParagraph"/>
              <w:spacing w:line="201" w:lineRule="exact"/>
              <w:ind w:right="-11"/>
              <w:rPr>
                <w:sz w:val="24"/>
              </w:rPr>
            </w:pPr>
            <w:r>
              <w:rPr>
                <w:color w:val="2E97D3"/>
                <w:sz w:val="24"/>
              </w:rPr>
              <w:t>ORG</w:t>
            </w:r>
            <w:r>
              <w:rPr>
                <w:color w:val="2E97D3"/>
                <w:spacing w:val="-3"/>
                <w:sz w:val="24"/>
              </w:rPr>
              <w:t> </w:t>
            </w:r>
            <w:r>
              <w:rPr>
                <w:color w:val="2E97D3"/>
                <w:sz w:val="24"/>
              </w:rPr>
              <w:t>CODE</w:t>
            </w:r>
          </w:p>
        </w:tc>
        <w:tc>
          <w:tcPr>
            <w:tcW w:w="4680" w:type="dxa"/>
            <w:vMerge w:val="restart"/>
            <w:tcBorders>
              <w:left w:val="single" w:sz="6" w:space="0" w:color="000000"/>
              <w:right w:val="single" w:sz="6" w:space="0" w:color="000000"/>
            </w:tcBorders>
          </w:tcPr>
          <w:p>
            <w:pPr>
              <w:pStyle w:val="TableParagraph"/>
              <w:spacing w:line="274" w:lineRule="exact"/>
              <w:ind w:left="100"/>
              <w:rPr>
                <w:sz w:val="24"/>
              </w:rPr>
            </w:pPr>
            <w:r>
              <w:rPr>
                <w:strike/>
                <w:color w:val="2E97D3"/>
                <w:sz w:val="24"/>
              </w:rPr>
              <w:t>DEPARTMENT</w:t>
            </w:r>
          </w:p>
        </w:tc>
      </w:tr>
      <w:tr>
        <w:trPr>
          <w:trHeight w:val="395" w:hRule="exact"/>
        </w:trPr>
        <w:tc>
          <w:tcPr>
            <w:tcW w:w="1656" w:type="dxa"/>
            <w:vMerge/>
            <w:tcBorders>
              <w:left w:val="single" w:sz="6" w:space="0" w:color="000000"/>
              <w:bottom w:val="single" w:sz="6" w:space="0" w:color="000000"/>
              <w:right w:val="single" w:sz="6" w:space="0" w:color="000000"/>
            </w:tcBorders>
          </w:tcPr>
          <w:p>
            <w:pPr/>
          </w:p>
        </w:tc>
        <w:tc>
          <w:tcPr>
            <w:tcW w:w="1344" w:type="dxa"/>
            <w:gridSpan w:val="2"/>
            <w:vMerge/>
            <w:tcBorders>
              <w:left w:val="single" w:sz="6" w:space="0" w:color="000000"/>
              <w:bottom w:val="single" w:sz="6" w:space="0" w:color="000000"/>
              <w:right w:val="single" w:sz="6" w:space="0" w:color="000000"/>
            </w:tcBorders>
          </w:tcPr>
          <w:p>
            <w:pPr/>
          </w:p>
        </w:tc>
        <w:tc>
          <w:tcPr>
            <w:tcW w:w="108" w:type="dxa"/>
            <w:vMerge/>
            <w:tcBorders>
              <w:left w:val="single" w:sz="6" w:space="0" w:color="000000"/>
              <w:bottom w:val="single" w:sz="6" w:space="0" w:color="000000"/>
              <w:right w:val="nil"/>
            </w:tcBorders>
          </w:tcPr>
          <w:p>
            <w:pPr/>
          </w:p>
        </w:tc>
        <w:tc>
          <w:tcPr>
            <w:tcW w:w="1303" w:type="dxa"/>
            <w:tcBorders>
              <w:top w:val="single" w:sz="5" w:space="0" w:color="2E97D3"/>
              <w:left w:val="nil"/>
              <w:bottom w:val="single" w:sz="6" w:space="0" w:color="000000"/>
              <w:right w:val="single" w:sz="6" w:space="0" w:color="000000"/>
            </w:tcBorders>
          </w:tcPr>
          <w:p>
            <w:pPr/>
          </w:p>
        </w:tc>
        <w:tc>
          <w:tcPr>
            <w:tcW w:w="4680" w:type="dxa"/>
            <w:vMerge/>
            <w:tcBorders>
              <w:left w:val="single" w:sz="6" w:space="0" w:color="000000"/>
              <w:bottom w:val="single" w:sz="6" w:space="0" w:color="000000"/>
              <w:right w:val="single" w:sz="6" w:space="0" w:color="000000"/>
            </w:tcBorders>
          </w:tcPr>
          <w:p>
            <w:pPr/>
          </w:p>
        </w:tc>
      </w:tr>
      <w:tr>
        <w:trPr>
          <w:trHeight w:val="566" w:hRule="exact"/>
        </w:trPr>
        <w:tc>
          <w:tcPr>
            <w:tcW w:w="2206" w:type="dxa"/>
            <w:gridSpan w:val="2"/>
            <w:tcBorders>
              <w:top w:val="single" w:sz="6" w:space="0" w:color="000000"/>
              <w:left w:val="single" w:sz="6" w:space="0" w:color="000000"/>
              <w:bottom w:val="single" w:sz="6" w:space="0" w:color="000000"/>
              <w:right w:val="single" w:sz="6" w:space="0" w:color="000000"/>
            </w:tcBorders>
          </w:tcPr>
          <w:p>
            <w:pPr>
              <w:pStyle w:val="TableParagraph"/>
              <w:ind w:left="100" w:right="644"/>
              <w:rPr>
                <w:sz w:val="24"/>
              </w:rPr>
            </w:pPr>
            <w:r>
              <w:rPr>
                <w:strike/>
                <w:color w:val="2E97D3"/>
                <w:sz w:val="24"/>
              </w:rPr>
              <w:t>PROJECT ID CODE</w:t>
            </w:r>
          </w:p>
        </w:tc>
        <w:tc>
          <w:tcPr>
            <w:tcW w:w="2206" w:type="dxa"/>
            <w:gridSpan w:val="3"/>
            <w:tcBorders>
              <w:top w:val="single" w:sz="6" w:space="0" w:color="000000"/>
              <w:left w:val="single" w:sz="6" w:space="0" w:color="000000"/>
              <w:bottom w:val="single" w:sz="6" w:space="0" w:color="000000"/>
              <w:right w:val="single" w:sz="6" w:space="0" w:color="000000"/>
            </w:tcBorders>
          </w:tcPr>
          <w:p>
            <w:pPr/>
          </w:p>
        </w:tc>
        <w:tc>
          <w:tcPr>
            <w:tcW w:w="4680" w:type="dxa"/>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100"/>
              <w:rPr>
                <w:sz w:val="24"/>
              </w:rPr>
            </w:pPr>
            <w:r>
              <w:rPr>
                <w:strike/>
                <w:color w:val="2E97D3"/>
                <w:sz w:val="24"/>
              </w:rPr>
              <w:t>PROJECT TITLE:</w:t>
            </w:r>
          </w:p>
        </w:tc>
      </w:tr>
    </w:tbl>
    <w:p>
      <w:pPr>
        <w:spacing w:before="0" w:after="7"/>
        <w:ind w:left="1036" w:right="736" w:firstLine="0"/>
        <w:jc w:val="left"/>
        <w:rPr>
          <w:i/>
          <w:sz w:val="24"/>
        </w:rPr>
      </w:pPr>
      <w:r>
        <w:rPr>
          <w:i/>
          <w:strike/>
          <w:color w:val="2E97D3"/>
          <w:sz w:val="24"/>
        </w:rPr>
        <w:t>IDENTIFY ALL ITEMS WHICH FIT INTO THE CATEGORIES LISTED BELOW. </w:t>
      </w:r>
      <w:r>
        <w:rPr>
          <w:i/>
          <w:strike/>
          <w:color w:val="2E97D3"/>
          <w:sz w:val="24"/>
        </w:rPr>
        <w:t>ATTACH A DETAILED LIST IF FUNDING IS INCLUDED IN THIS REQUEST. PROVIDE ASSUMPTIONS FOR FUTURE FUNDING.</w:t>
      </w:r>
    </w:p>
    <w:tbl>
      <w:tblPr>
        <w:tblW w:w="0" w:type="auto"/>
        <w:jc w:val="left"/>
        <w:tblInd w:w="9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530"/>
        <w:gridCol w:w="1270"/>
        <w:gridCol w:w="1272"/>
      </w:tblGrid>
      <w:tr>
        <w:trPr>
          <w:trHeight w:val="566" w:hRule="exact"/>
        </w:trPr>
        <w:tc>
          <w:tcPr>
            <w:tcW w:w="6530" w:type="dxa"/>
          </w:tcPr>
          <w:p>
            <w:pPr>
              <w:pStyle w:val="TableParagraph"/>
              <w:spacing w:before="7"/>
              <w:rPr>
                <w:i/>
                <w:sz w:val="23"/>
              </w:rPr>
            </w:pPr>
          </w:p>
          <w:p>
            <w:pPr>
              <w:pStyle w:val="TableParagraph"/>
              <w:ind w:left="100"/>
              <w:rPr>
                <w:sz w:val="24"/>
              </w:rPr>
            </w:pPr>
            <w:r>
              <w:rPr>
                <w:strike/>
                <w:color w:val="2E97D3"/>
                <w:sz w:val="24"/>
              </w:rPr>
              <w:t>PROJECT RELATED</w:t>
            </w:r>
          </w:p>
        </w:tc>
        <w:tc>
          <w:tcPr>
            <w:tcW w:w="1270" w:type="dxa"/>
          </w:tcPr>
          <w:p>
            <w:pPr/>
          </w:p>
        </w:tc>
        <w:tc>
          <w:tcPr>
            <w:tcW w:w="1272" w:type="dxa"/>
            <w:vMerge w:val="restart"/>
          </w:tcPr>
          <w:p>
            <w:pPr/>
          </w:p>
        </w:tc>
      </w:tr>
      <w:tr>
        <w:trPr>
          <w:trHeight w:val="293" w:hRule="exact"/>
        </w:trPr>
        <w:tc>
          <w:tcPr>
            <w:tcW w:w="6530" w:type="dxa"/>
          </w:tcPr>
          <w:p>
            <w:pPr>
              <w:pStyle w:val="TableParagraph"/>
              <w:tabs>
                <w:tab w:pos="436" w:val="left" w:leader="none"/>
              </w:tabs>
              <w:spacing w:line="274" w:lineRule="exact"/>
              <w:ind w:left="100"/>
              <w:rPr>
                <w:sz w:val="24"/>
              </w:rPr>
            </w:pPr>
            <w:r>
              <w:rPr>
                <w:strike/>
                <w:color w:val="2E97D3"/>
                <w:w w:val="100"/>
                <w:sz w:val="24"/>
              </w:rPr>
              <w:t> </w:t>
            </w:r>
            <w:r>
              <w:rPr>
                <w:strike/>
                <w:color w:val="2E97D3"/>
                <w:sz w:val="24"/>
              </w:rPr>
              <w:tab/>
              <w:t>CONSTRUCTION DETAIL - AGENCY</w:t>
            </w:r>
            <w:r>
              <w:rPr>
                <w:strike/>
                <w:color w:val="2E97D3"/>
                <w:spacing w:val="-20"/>
                <w:sz w:val="24"/>
              </w:rPr>
              <w:t> </w:t>
            </w:r>
            <w:r>
              <w:rPr>
                <w:strike/>
                <w:color w:val="2E97D3"/>
                <w:sz w:val="24"/>
              </w:rPr>
              <w:t>RETAINED</w:t>
            </w:r>
          </w:p>
        </w:tc>
        <w:tc>
          <w:tcPr>
            <w:tcW w:w="1270" w:type="dxa"/>
          </w:tcPr>
          <w:p>
            <w:pPr/>
          </w:p>
        </w:tc>
        <w:tc>
          <w:tcPr>
            <w:tcW w:w="1272" w:type="dxa"/>
            <w:vMerge/>
          </w:tcPr>
          <w:p>
            <w:pPr/>
          </w:p>
        </w:tc>
      </w:tr>
      <w:tr>
        <w:trPr>
          <w:trHeight w:val="290" w:hRule="exact"/>
        </w:trPr>
        <w:tc>
          <w:tcPr>
            <w:tcW w:w="6530" w:type="dxa"/>
          </w:tcPr>
          <w:p>
            <w:pPr/>
          </w:p>
        </w:tc>
        <w:tc>
          <w:tcPr>
            <w:tcW w:w="1270" w:type="dxa"/>
          </w:tcPr>
          <w:p>
            <w:pPr/>
          </w:p>
        </w:tc>
        <w:tc>
          <w:tcPr>
            <w:tcW w:w="1272" w:type="dxa"/>
            <w:vMerge/>
          </w:tcPr>
          <w:p>
            <w:pPr/>
          </w:p>
        </w:tc>
      </w:tr>
      <w:tr>
        <w:trPr>
          <w:trHeight w:val="290" w:hRule="exact"/>
        </w:trPr>
        <w:tc>
          <w:tcPr>
            <w:tcW w:w="6530" w:type="dxa"/>
          </w:tcPr>
          <w:p>
            <w:pPr/>
          </w:p>
        </w:tc>
        <w:tc>
          <w:tcPr>
            <w:tcW w:w="1270" w:type="dxa"/>
          </w:tcPr>
          <w:p>
            <w:pPr/>
          </w:p>
        </w:tc>
        <w:tc>
          <w:tcPr>
            <w:tcW w:w="1272" w:type="dxa"/>
            <w:vMerge/>
          </w:tcPr>
          <w:p>
            <w:pPr/>
          </w:p>
        </w:tc>
      </w:tr>
      <w:tr>
        <w:trPr>
          <w:trHeight w:val="290" w:hRule="exact"/>
        </w:trPr>
        <w:tc>
          <w:tcPr>
            <w:tcW w:w="6530" w:type="dxa"/>
          </w:tcPr>
          <w:p>
            <w:pPr/>
          </w:p>
        </w:tc>
        <w:tc>
          <w:tcPr>
            <w:tcW w:w="1270" w:type="dxa"/>
          </w:tcPr>
          <w:p>
            <w:pPr/>
          </w:p>
        </w:tc>
        <w:tc>
          <w:tcPr>
            <w:tcW w:w="1272" w:type="dxa"/>
            <w:vMerge/>
          </w:tcPr>
          <w:p>
            <w:pPr/>
          </w:p>
        </w:tc>
      </w:tr>
      <w:tr>
        <w:trPr>
          <w:trHeight w:val="293" w:hRule="exact"/>
        </w:trPr>
        <w:tc>
          <w:tcPr>
            <w:tcW w:w="6530" w:type="dxa"/>
          </w:tcPr>
          <w:p>
            <w:pPr/>
          </w:p>
        </w:tc>
        <w:tc>
          <w:tcPr>
            <w:tcW w:w="1270" w:type="dxa"/>
          </w:tcPr>
          <w:p>
            <w:pPr>
              <w:pStyle w:val="TableParagraph"/>
              <w:spacing w:line="274" w:lineRule="exact"/>
              <w:ind w:left="172"/>
              <w:rPr>
                <w:sz w:val="24"/>
              </w:rPr>
            </w:pPr>
            <w:r>
              <w:rPr>
                <w:strike/>
                <w:color w:val="2E97D3"/>
                <w:sz w:val="24"/>
              </w:rPr>
              <w:t>TOTAL</w:t>
            </w:r>
          </w:p>
        </w:tc>
        <w:tc>
          <w:tcPr>
            <w:tcW w:w="1272" w:type="dxa"/>
          </w:tcPr>
          <w:p>
            <w:pPr>
              <w:pStyle w:val="TableParagraph"/>
              <w:spacing w:line="274" w:lineRule="exact"/>
              <w:ind w:left="100"/>
              <w:rPr>
                <w:sz w:val="24"/>
              </w:rPr>
            </w:pPr>
            <w:r>
              <w:rPr>
                <w:strike/>
                <w:color w:val="2E97D3"/>
                <w:w w:val="99"/>
                <w:sz w:val="24"/>
              </w:rPr>
              <w:t>$</w:t>
            </w:r>
          </w:p>
        </w:tc>
      </w:tr>
      <w:tr>
        <w:trPr>
          <w:trHeight w:val="290" w:hRule="exact"/>
        </w:trPr>
        <w:tc>
          <w:tcPr>
            <w:tcW w:w="6530" w:type="dxa"/>
          </w:tcPr>
          <w:p>
            <w:pPr>
              <w:pStyle w:val="TableParagraph"/>
              <w:tabs>
                <w:tab w:pos="436" w:val="left" w:leader="none"/>
              </w:tabs>
              <w:spacing w:line="272" w:lineRule="exact"/>
              <w:ind w:left="100"/>
              <w:rPr>
                <w:sz w:val="24"/>
              </w:rPr>
            </w:pPr>
            <w:r>
              <w:rPr>
                <w:strike/>
                <w:color w:val="2E97D3"/>
                <w:w w:val="100"/>
                <w:sz w:val="24"/>
              </w:rPr>
              <w:t> </w:t>
            </w:r>
            <w:r>
              <w:rPr>
                <w:strike/>
                <w:color w:val="2E97D3"/>
                <w:sz w:val="24"/>
              </w:rPr>
              <w:tab/>
              <w:t>CONSTRUCTION DETAIL - GROUP 2</w:t>
            </w:r>
            <w:r>
              <w:rPr>
                <w:strike/>
                <w:color w:val="2E97D3"/>
                <w:spacing w:val="-19"/>
                <w:sz w:val="24"/>
              </w:rPr>
              <w:t> </w:t>
            </w:r>
            <w:r>
              <w:rPr>
                <w:strike/>
                <w:color w:val="2E97D3"/>
                <w:sz w:val="24"/>
              </w:rPr>
              <w:t>EQUIPMENT</w:t>
            </w:r>
          </w:p>
        </w:tc>
        <w:tc>
          <w:tcPr>
            <w:tcW w:w="1270" w:type="dxa"/>
          </w:tcPr>
          <w:p>
            <w:pPr/>
          </w:p>
        </w:tc>
        <w:tc>
          <w:tcPr>
            <w:tcW w:w="1272" w:type="dxa"/>
            <w:vMerge w:val="restart"/>
          </w:tcPr>
          <w:p>
            <w:pPr/>
          </w:p>
        </w:tc>
      </w:tr>
      <w:tr>
        <w:trPr>
          <w:trHeight w:val="290" w:hRule="exact"/>
        </w:trPr>
        <w:tc>
          <w:tcPr>
            <w:tcW w:w="6530" w:type="dxa"/>
          </w:tcPr>
          <w:p>
            <w:pPr/>
          </w:p>
        </w:tc>
        <w:tc>
          <w:tcPr>
            <w:tcW w:w="1270" w:type="dxa"/>
          </w:tcPr>
          <w:p>
            <w:pPr/>
          </w:p>
        </w:tc>
        <w:tc>
          <w:tcPr>
            <w:tcW w:w="1272" w:type="dxa"/>
            <w:vMerge/>
          </w:tcPr>
          <w:p>
            <w:pPr/>
          </w:p>
        </w:tc>
      </w:tr>
      <w:tr>
        <w:trPr>
          <w:trHeight w:val="290" w:hRule="exact"/>
        </w:trPr>
        <w:tc>
          <w:tcPr>
            <w:tcW w:w="6530" w:type="dxa"/>
          </w:tcPr>
          <w:p>
            <w:pPr/>
          </w:p>
        </w:tc>
        <w:tc>
          <w:tcPr>
            <w:tcW w:w="1270" w:type="dxa"/>
          </w:tcPr>
          <w:p>
            <w:pPr/>
          </w:p>
        </w:tc>
        <w:tc>
          <w:tcPr>
            <w:tcW w:w="1272" w:type="dxa"/>
            <w:vMerge/>
          </w:tcPr>
          <w:p>
            <w:pPr/>
          </w:p>
        </w:tc>
      </w:tr>
      <w:tr>
        <w:trPr>
          <w:trHeight w:val="293" w:hRule="exact"/>
        </w:trPr>
        <w:tc>
          <w:tcPr>
            <w:tcW w:w="6530" w:type="dxa"/>
          </w:tcPr>
          <w:p>
            <w:pPr/>
          </w:p>
        </w:tc>
        <w:tc>
          <w:tcPr>
            <w:tcW w:w="1270" w:type="dxa"/>
          </w:tcPr>
          <w:p>
            <w:pPr/>
          </w:p>
        </w:tc>
        <w:tc>
          <w:tcPr>
            <w:tcW w:w="1272" w:type="dxa"/>
            <w:vMerge/>
          </w:tcPr>
          <w:p>
            <w:pPr/>
          </w:p>
        </w:tc>
      </w:tr>
      <w:tr>
        <w:trPr>
          <w:trHeight w:val="290" w:hRule="exact"/>
        </w:trPr>
        <w:tc>
          <w:tcPr>
            <w:tcW w:w="6530" w:type="dxa"/>
          </w:tcPr>
          <w:p>
            <w:pPr/>
          </w:p>
        </w:tc>
        <w:tc>
          <w:tcPr>
            <w:tcW w:w="1270" w:type="dxa"/>
          </w:tcPr>
          <w:p>
            <w:pPr>
              <w:pStyle w:val="TableParagraph"/>
              <w:spacing w:line="272" w:lineRule="exact"/>
              <w:ind w:left="172"/>
              <w:rPr>
                <w:sz w:val="24"/>
              </w:rPr>
            </w:pPr>
            <w:r>
              <w:rPr>
                <w:strike/>
                <w:color w:val="2E97D3"/>
                <w:sz w:val="24"/>
              </w:rPr>
              <w:t>TOTAL</w:t>
            </w:r>
          </w:p>
        </w:tc>
        <w:tc>
          <w:tcPr>
            <w:tcW w:w="1272" w:type="dxa"/>
          </w:tcPr>
          <w:p>
            <w:pPr>
              <w:pStyle w:val="TableParagraph"/>
              <w:spacing w:line="272" w:lineRule="exact"/>
              <w:ind w:left="100"/>
              <w:rPr>
                <w:sz w:val="24"/>
              </w:rPr>
            </w:pPr>
            <w:r>
              <w:rPr>
                <w:strike/>
                <w:color w:val="2E97D3"/>
                <w:w w:val="99"/>
                <w:sz w:val="24"/>
              </w:rPr>
              <w:t>$</w:t>
            </w:r>
          </w:p>
        </w:tc>
      </w:tr>
      <w:tr>
        <w:trPr>
          <w:trHeight w:val="290" w:hRule="exact"/>
        </w:trPr>
        <w:tc>
          <w:tcPr>
            <w:tcW w:w="6530" w:type="dxa"/>
          </w:tcPr>
          <w:p>
            <w:pPr>
              <w:pStyle w:val="TableParagraph"/>
              <w:tabs>
                <w:tab w:pos="436" w:val="left" w:leader="none"/>
              </w:tabs>
              <w:spacing w:line="272" w:lineRule="exact"/>
              <w:ind w:left="100"/>
              <w:rPr>
                <w:sz w:val="24"/>
              </w:rPr>
            </w:pPr>
            <w:r>
              <w:rPr>
                <w:strike/>
                <w:color w:val="2E97D3"/>
                <w:w w:val="100"/>
                <w:sz w:val="24"/>
              </w:rPr>
              <w:t> </w:t>
            </w:r>
            <w:r>
              <w:rPr>
                <w:strike/>
                <w:color w:val="2E97D3"/>
                <w:sz w:val="24"/>
              </w:rPr>
              <w:tab/>
              <w:t>EQUIPMENT PHASE (GROUP</w:t>
            </w:r>
            <w:r>
              <w:rPr>
                <w:strike/>
                <w:color w:val="2E97D3"/>
                <w:spacing w:val="-9"/>
                <w:sz w:val="24"/>
              </w:rPr>
              <w:t> </w:t>
            </w:r>
            <w:r>
              <w:rPr>
                <w:strike/>
                <w:color w:val="2E97D3"/>
                <w:sz w:val="24"/>
              </w:rPr>
              <w:t>2)</w:t>
            </w:r>
          </w:p>
        </w:tc>
        <w:tc>
          <w:tcPr>
            <w:tcW w:w="1270" w:type="dxa"/>
          </w:tcPr>
          <w:p>
            <w:pPr/>
          </w:p>
        </w:tc>
        <w:tc>
          <w:tcPr>
            <w:tcW w:w="1272" w:type="dxa"/>
            <w:vMerge w:val="restart"/>
          </w:tcPr>
          <w:p>
            <w:pPr/>
          </w:p>
        </w:tc>
      </w:tr>
      <w:tr>
        <w:trPr>
          <w:trHeight w:val="290" w:hRule="exact"/>
        </w:trPr>
        <w:tc>
          <w:tcPr>
            <w:tcW w:w="6530" w:type="dxa"/>
          </w:tcPr>
          <w:p>
            <w:pPr/>
          </w:p>
        </w:tc>
        <w:tc>
          <w:tcPr>
            <w:tcW w:w="1270" w:type="dxa"/>
          </w:tcPr>
          <w:p>
            <w:pPr/>
          </w:p>
        </w:tc>
        <w:tc>
          <w:tcPr>
            <w:tcW w:w="1272" w:type="dxa"/>
            <w:vMerge/>
          </w:tcPr>
          <w:p>
            <w:pPr/>
          </w:p>
        </w:tc>
      </w:tr>
      <w:tr>
        <w:trPr>
          <w:trHeight w:val="290" w:hRule="exact"/>
        </w:trPr>
        <w:tc>
          <w:tcPr>
            <w:tcW w:w="6530" w:type="dxa"/>
          </w:tcPr>
          <w:p>
            <w:pPr/>
          </w:p>
        </w:tc>
        <w:tc>
          <w:tcPr>
            <w:tcW w:w="1270" w:type="dxa"/>
          </w:tcPr>
          <w:p>
            <w:pPr/>
          </w:p>
        </w:tc>
        <w:tc>
          <w:tcPr>
            <w:tcW w:w="1272" w:type="dxa"/>
            <w:vMerge/>
          </w:tcPr>
          <w:p>
            <w:pPr/>
          </w:p>
        </w:tc>
      </w:tr>
      <w:tr>
        <w:trPr>
          <w:trHeight w:val="293" w:hRule="exact"/>
        </w:trPr>
        <w:tc>
          <w:tcPr>
            <w:tcW w:w="6530" w:type="dxa"/>
          </w:tcPr>
          <w:p>
            <w:pPr/>
          </w:p>
        </w:tc>
        <w:tc>
          <w:tcPr>
            <w:tcW w:w="1270" w:type="dxa"/>
          </w:tcPr>
          <w:p>
            <w:pPr/>
          </w:p>
        </w:tc>
        <w:tc>
          <w:tcPr>
            <w:tcW w:w="1272" w:type="dxa"/>
            <w:vMerge/>
          </w:tcPr>
          <w:p>
            <w:pPr/>
          </w:p>
        </w:tc>
      </w:tr>
      <w:tr>
        <w:trPr>
          <w:trHeight w:val="290" w:hRule="exact"/>
        </w:trPr>
        <w:tc>
          <w:tcPr>
            <w:tcW w:w="6530" w:type="dxa"/>
          </w:tcPr>
          <w:p>
            <w:pPr/>
          </w:p>
        </w:tc>
        <w:tc>
          <w:tcPr>
            <w:tcW w:w="1270" w:type="dxa"/>
          </w:tcPr>
          <w:p>
            <w:pPr>
              <w:pStyle w:val="TableParagraph"/>
              <w:spacing w:line="272" w:lineRule="exact"/>
              <w:ind w:left="172"/>
              <w:rPr>
                <w:sz w:val="24"/>
              </w:rPr>
            </w:pPr>
            <w:r>
              <w:rPr>
                <w:strike/>
                <w:color w:val="2E97D3"/>
                <w:sz w:val="24"/>
              </w:rPr>
              <w:t>TOTAL</w:t>
            </w:r>
          </w:p>
        </w:tc>
        <w:tc>
          <w:tcPr>
            <w:tcW w:w="1272" w:type="dxa"/>
          </w:tcPr>
          <w:p>
            <w:pPr>
              <w:pStyle w:val="TableParagraph"/>
              <w:spacing w:line="272" w:lineRule="exact"/>
              <w:ind w:left="100"/>
              <w:rPr>
                <w:sz w:val="24"/>
              </w:rPr>
            </w:pPr>
            <w:r>
              <w:rPr>
                <w:strike/>
                <w:color w:val="2E97D3"/>
                <w:w w:val="99"/>
                <w:sz w:val="24"/>
              </w:rPr>
              <w:t>$</w:t>
            </w:r>
          </w:p>
        </w:tc>
      </w:tr>
      <w:tr>
        <w:trPr>
          <w:trHeight w:val="290" w:hRule="exact"/>
        </w:trPr>
        <w:tc>
          <w:tcPr>
            <w:tcW w:w="6530" w:type="dxa"/>
          </w:tcPr>
          <w:p>
            <w:pPr>
              <w:pStyle w:val="TableParagraph"/>
              <w:spacing w:line="272" w:lineRule="exact"/>
              <w:ind w:left="100"/>
              <w:rPr>
                <w:sz w:val="24"/>
              </w:rPr>
            </w:pPr>
            <w:r>
              <w:rPr>
                <w:strike/>
                <w:color w:val="2E97D3"/>
                <w:sz w:val="24"/>
              </w:rPr>
              <w:t>IMPACT ON STATE OPERATIONS</w:t>
            </w:r>
          </w:p>
        </w:tc>
        <w:tc>
          <w:tcPr>
            <w:tcW w:w="1270" w:type="dxa"/>
          </w:tcPr>
          <w:p>
            <w:pPr/>
          </w:p>
        </w:tc>
        <w:tc>
          <w:tcPr>
            <w:tcW w:w="1272" w:type="dxa"/>
            <w:vMerge w:val="restart"/>
          </w:tcPr>
          <w:p>
            <w:pPr/>
          </w:p>
        </w:tc>
      </w:tr>
      <w:tr>
        <w:trPr>
          <w:trHeight w:val="290" w:hRule="exact"/>
        </w:trPr>
        <w:tc>
          <w:tcPr>
            <w:tcW w:w="6530" w:type="dxa"/>
          </w:tcPr>
          <w:p>
            <w:pPr>
              <w:pStyle w:val="TableParagraph"/>
              <w:tabs>
                <w:tab w:pos="436" w:val="left" w:leader="none"/>
              </w:tabs>
              <w:spacing w:line="272" w:lineRule="exact"/>
              <w:ind w:left="100"/>
              <w:rPr>
                <w:sz w:val="24"/>
              </w:rPr>
            </w:pPr>
            <w:r>
              <w:rPr>
                <w:strike/>
                <w:color w:val="2E97D3"/>
                <w:w w:val="100"/>
                <w:sz w:val="24"/>
              </w:rPr>
              <w:t> </w:t>
            </w:r>
            <w:r>
              <w:rPr>
                <w:strike/>
                <w:color w:val="2E97D3"/>
                <w:sz w:val="24"/>
              </w:rPr>
              <w:tab/>
              <w:t>ONE-TIME</w:t>
            </w:r>
            <w:r>
              <w:rPr>
                <w:strike/>
                <w:color w:val="2E97D3"/>
                <w:spacing w:val="-4"/>
                <w:sz w:val="24"/>
              </w:rPr>
              <w:t> </w:t>
            </w:r>
            <w:r>
              <w:rPr>
                <w:strike/>
                <w:color w:val="2E97D3"/>
                <w:sz w:val="24"/>
              </w:rPr>
              <w:t>COSTS</w:t>
            </w:r>
          </w:p>
        </w:tc>
        <w:tc>
          <w:tcPr>
            <w:tcW w:w="1270" w:type="dxa"/>
          </w:tcPr>
          <w:p>
            <w:pPr/>
          </w:p>
        </w:tc>
        <w:tc>
          <w:tcPr>
            <w:tcW w:w="1272" w:type="dxa"/>
            <w:vMerge/>
          </w:tcPr>
          <w:p>
            <w:pPr/>
          </w:p>
        </w:tc>
      </w:tr>
      <w:tr>
        <w:trPr>
          <w:trHeight w:val="293" w:hRule="exact"/>
        </w:trPr>
        <w:tc>
          <w:tcPr>
            <w:tcW w:w="6530" w:type="dxa"/>
          </w:tcPr>
          <w:p>
            <w:pPr/>
          </w:p>
        </w:tc>
        <w:tc>
          <w:tcPr>
            <w:tcW w:w="1270" w:type="dxa"/>
          </w:tcPr>
          <w:p>
            <w:pPr/>
          </w:p>
        </w:tc>
        <w:tc>
          <w:tcPr>
            <w:tcW w:w="1272" w:type="dxa"/>
            <w:vMerge/>
          </w:tcPr>
          <w:p>
            <w:pPr/>
          </w:p>
        </w:tc>
      </w:tr>
      <w:tr>
        <w:trPr>
          <w:trHeight w:val="290" w:hRule="exact"/>
        </w:trPr>
        <w:tc>
          <w:tcPr>
            <w:tcW w:w="6530" w:type="dxa"/>
          </w:tcPr>
          <w:p>
            <w:pPr/>
          </w:p>
        </w:tc>
        <w:tc>
          <w:tcPr>
            <w:tcW w:w="1270" w:type="dxa"/>
          </w:tcPr>
          <w:p>
            <w:pPr>
              <w:pStyle w:val="TableParagraph"/>
              <w:spacing w:line="272" w:lineRule="exact"/>
              <w:ind w:left="172"/>
              <w:rPr>
                <w:sz w:val="24"/>
              </w:rPr>
            </w:pPr>
            <w:r>
              <w:rPr>
                <w:strike/>
                <w:color w:val="2E97D3"/>
                <w:sz w:val="24"/>
              </w:rPr>
              <w:t>TOTAL</w:t>
            </w:r>
          </w:p>
        </w:tc>
        <w:tc>
          <w:tcPr>
            <w:tcW w:w="1272" w:type="dxa"/>
          </w:tcPr>
          <w:p>
            <w:pPr>
              <w:pStyle w:val="TableParagraph"/>
              <w:spacing w:line="272" w:lineRule="exact"/>
              <w:ind w:left="100"/>
              <w:rPr>
                <w:sz w:val="24"/>
              </w:rPr>
            </w:pPr>
            <w:r>
              <w:rPr>
                <w:strike/>
                <w:color w:val="2E97D3"/>
                <w:w w:val="99"/>
                <w:sz w:val="24"/>
              </w:rPr>
              <w:t>$</w:t>
            </w:r>
          </w:p>
        </w:tc>
      </w:tr>
      <w:tr>
        <w:trPr>
          <w:trHeight w:val="290" w:hRule="exact"/>
        </w:trPr>
        <w:tc>
          <w:tcPr>
            <w:tcW w:w="6530" w:type="dxa"/>
          </w:tcPr>
          <w:p>
            <w:pPr>
              <w:pStyle w:val="TableParagraph"/>
              <w:tabs>
                <w:tab w:pos="436" w:val="left" w:leader="none"/>
              </w:tabs>
              <w:spacing w:line="272" w:lineRule="exact"/>
              <w:ind w:left="100"/>
              <w:rPr>
                <w:sz w:val="24"/>
              </w:rPr>
            </w:pPr>
            <w:r>
              <w:rPr>
                <w:strike/>
                <w:color w:val="2E97D3"/>
                <w:w w:val="100"/>
                <w:sz w:val="24"/>
              </w:rPr>
              <w:t> </w:t>
            </w:r>
            <w:r>
              <w:rPr>
                <w:strike/>
                <w:color w:val="2E97D3"/>
                <w:sz w:val="24"/>
              </w:rPr>
              <w:tab/>
              <w:t>FUTURE</w:t>
            </w:r>
            <w:r>
              <w:rPr>
                <w:strike/>
                <w:color w:val="2E97D3"/>
                <w:spacing w:val="-4"/>
                <w:sz w:val="24"/>
              </w:rPr>
              <w:t> </w:t>
            </w:r>
            <w:r>
              <w:rPr>
                <w:strike/>
                <w:color w:val="2E97D3"/>
                <w:sz w:val="24"/>
              </w:rPr>
              <w:t>COSTS</w:t>
            </w:r>
          </w:p>
        </w:tc>
        <w:tc>
          <w:tcPr>
            <w:tcW w:w="1270" w:type="dxa"/>
          </w:tcPr>
          <w:p>
            <w:pPr/>
          </w:p>
        </w:tc>
        <w:tc>
          <w:tcPr>
            <w:tcW w:w="1272" w:type="dxa"/>
            <w:vMerge w:val="restart"/>
          </w:tcPr>
          <w:p>
            <w:pPr/>
          </w:p>
        </w:tc>
      </w:tr>
      <w:tr>
        <w:trPr>
          <w:trHeight w:val="290" w:hRule="exact"/>
        </w:trPr>
        <w:tc>
          <w:tcPr>
            <w:tcW w:w="6530" w:type="dxa"/>
          </w:tcPr>
          <w:p>
            <w:pPr/>
          </w:p>
        </w:tc>
        <w:tc>
          <w:tcPr>
            <w:tcW w:w="1270" w:type="dxa"/>
          </w:tcPr>
          <w:p>
            <w:pPr/>
          </w:p>
        </w:tc>
        <w:tc>
          <w:tcPr>
            <w:tcW w:w="1272" w:type="dxa"/>
            <w:vMerge/>
          </w:tcPr>
          <w:p>
            <w:pPr/>
          </w:p>
        </w:tc>
      </w:tr>
      <w:tr>
        <w:trPr>
          <w:trHeight w:val="293" w:hRule="exact"/>
        </w:trPr>
        <w:tc>
          <w:tcPr>
            <w:tcW w:w="6530" w:type="dxa"/>
          </w:tcPr>
          <w:p>
            <w:pPr/>
          </w:p>
        </w:tc>
        <w:tc>
          <w:tcPr>
            <w:tcW w:w="1270" w:type="dxa"/>
          </w:tcPr>
          <w:p>
            <w:pPr>
              <w:pStyle w:val="TableParagraph"/>
              <w:spacing w:line="274" w:lineRule="exact"/>
              <w:ind w:left="172"/>
              <w:rPr>
                <w:sz w:val="24"/>
              </w:rPr>
            </w:pPr>
            <w:r>
              <w:rPr>
                <w:strike/>
                <w:color w:val="2E97D3"/>
                <w:sz w:val="24"/>
              </w:rPr>
              <w:t>TOTAL</w:t>
            </w:r>
          </w:p>
        </w:tc>
        <w:tc>
          <w:tcPr>
            <w:tcW w:w="1272" w:type="dxa"/>
          </w:tcPr>
          <w:p>
            <w:pPr>
              <w:pStyle w:val="TableParagraph"/>
              <w:spacing w:line="274" w:lineRule="exact"/>
              <w:ind w:left="100"/>
              <w:rPr>
                <w:sz w:val="24"/>
              </w:rPr>
            </w:pPr>
            <w:r>
              <w:rPr>
                <w:strike/>
                <w:color w:val="2E97D3"/>
                <w:w w:val="99"/>
                <w:sz w:val="24"/>
              </w:rPr>
              <w:t>$</w:t>
            </w:r>
          </w:p>
        </w:tc>
      </w:tr>
      <w:tr>
        <w:trPr>
          <w:trHeight w:val="290" w:hRule="exact"/>
        </w:trPr>
        <w:tc>
          <w:tcPr>
            <w:tcW w:w="6530" w:type="dxa"/>
          </w:tcPr>
          <w:p>
            <w:pPr>
              <w:pStyle w:val="TableParagraph"/>
              <w:tabs>
                <w:tab w:pos="436" w:val="left" w:leader="none"/>
              </w:tabs>
              <w:spacing w:line="272" w:lineRule="exact"/>
              <w:ind w:left="100"/>
              <w:rPr>
                <w:sz w:val="24"/>
              </w:rPr>
            </w:pPr>
            <w:r>
              <w:rPr>
                <w:strike/>
                <w:color w:val="2E97D3"/>
                <w:w w:val="100"/>
                <w:sz w:val="24"/>
              </w:rPr>
              <w:t> </w:t>
            </w:r>
            <w:r>
              <w:rPr>
                <w:strike/>
                <w:color w:val="2E97D3"/>
                <w:sz w:val="24"/>
              </w:rPr>
              <w:tab/>
              <w:t>FUTURE</w:t>
            </w:r>
            <w:r>
              <w:rPr>
                <w:strike/>
                <w:color w:val="2E97D3"/>
                <w:spacing w:val="-6"/>
                <w:sz w:val="24"/>
              </w:rPr>
              <w:t> </w:t>
            </w:r>
            <w:r>
              <w:rPr>
                <w:strike/>
                <w:color w:val="2E97D3"/>
                <w:sz w:val="24"/>
              </w:rPr>
              <w:t>SAVINGS</w:t>
            </w:r>
          </w:p>
        </w:tc>
        <w:tc>
          <w:tcPr>
            <w:tcW w:w="1270" w:type="dxa"/>
          </w:tcPr>
          <w:p>
            <w:pPr/>
          </w:p>
        </w:tc>
        <w:tc>
          <w:tcPr>
            <w:tcW w:w="1272" w:type="dxa"/>
            <w:vMerge w:val="restart"/>
          </w:tcPr>
          <w:p>
            <w:pPr/>
          </w:p>
        </w:tc>
      </w:tr>
      <w:tr>
        <w:trPr>
          <w:trHeight w:val="290" w:hRule="exact"/>
        </w:trPr>
        <w:tc>
          <w:tcPr>
            <w:tcW w:w="6530" w:type="dxa"/>
          </w:tcPr>
          <w:p>
            <w:pPr/>
          </w:p>
        </w:tc>
        <w:tc>
          <w:tcPr>
            <w:tcW w:w="1270" w:type="dxa"/>
          </w:tcPr>
          <w:p>
            <w:pPr/>
          </w:p>
        </w:tc>
        <w:tc>
          <w:tcPr>
            <w:tcW w:w="1272" w:type="dxa"/>
            <w:vMerge/>
          </w:tcPr>
          <w:p>
            <w:pPr/>
          </w:p>
        </w:tc>
      </w:tr>
      <w:tr>
        <w:trPr>
          <w:trHeight w:val="290" w:hRule="exact"/>
        </w:trPr>
        <w:tc>
          <w:tcPr>
            <w:tcW w:w="6530" w:type="dxa"/>
          </w:tcPr>
          <w:p>
            <w:pPr/>
          </w:p>
        </w:tc>
        <w:tc>
          <w:tcPr>
            <w:tcW w:w="1270" w:type="dxa"/>
          </w:tcPr>
          <w:p>
            <w:pPr>
              <w:pStyle w:val="TableParagraph"/>
              <w:spacing w:line="272" w:lineRule="exact"/>
              <w:ind w:left="172"/>
              <w:rPr>
                <w:sz w:val="24"/>
              </w:rPr>
            </w:pPr>
            <w:r>
              <w:rPr>
                <w:strike/>
                <w:color w:val="2E97D3"/>
                <w:sz w:val="24"/>
              </w:rPr>
              <w:t>TOTAL</w:t>
            </w:r>
          </w:p>
        </w:tc>
        <w:tc>
          <w:tcPr>
            <w:tcW w:w="1272" w:type="dxa"/>
          </w:tcPr>
          <w:p>
            <w:pPr>
              <w:pStyle w:val="TableParagraph"/>
              <w:spacing w:line="272" w:lineRule="exact"/>
              <w:ind w:left="100"/>
              <w:rPr>
                <w:sz w:val="24"/>
              </w:rPr>
            </w:pPr>
            <w:r>
              <w:rPr>
                <w:strike/>
                <w:color w:val="2E97D3"/>
                <w:w w:val="99"/>
                <w:sz w:val="24"/>
              </w:rPr>
              <w:t>$</w:t>
            </w:r>
          </w:p>
        </w:tc>
      </w:tr>
      <w:tr>
        <w:trPr>
          <w:trHeight w:val="293" w:hRule="exact"/>
        </w:trPr>
        <w:tc>
          <w:tcPr>
            <w:tcW w:w="6530" w:type="dxa"/>
          </w:tcPr>
          <w:p>
            <w:pPr>
              <w:pStyle w:val="TableParagraph"/>
              <w:spacing w:line="274" w:lineRule="exact"/>
              <w:ind w:left="100"/>
              <w:rPr>
                <w:sz w:val="24"/>
              </w:rPr>
            </w:pPr>
            <w:r>
              <w:rPr>
                <w:strike/>
                <w:color w:val="2E97D3"/>
                <w:w w:val="100"/>
                <w:sz w:val="24"/>
              </w:rPr>
              <w:t> </w:t>
            </w:r>
            <w:r>
              <w:rPr>
                <w:strike/>
                <w:color w:val="2E97D3"/>
                <w:sz w:val="24"/>
              </w:rPr>
              <w:t>  REVENUE</w:t>
            </w:r>
          </w:p>
        </w:tc>
        <w:tc>
          <w:tcPr>
            <w:tcW w:w="1270" w:type="dxa"/>
          </w:tcPr>
          <w:p>
            <w:pPr/>
          </w:p>
        </w:tc>
        <w:tc>
          <w:tcPr>
            <w:tcW w:w="1272" w:type="dxa"/>
            <w:vMerge w:val="restart"/>
          </w:tcPr>
          <w:p>
            <w:pPr/>
          </w:p>
        </w:tc>
      </w:tr>
      <w:tr>
        <w:trPr>
          <w:trHeight w:val="290" w:hRule="exact"/>
        </w:trPr>
        <w:tc>
          <w:tcPr>
            <w:tcW w:w="6530" w:type="dxa"/>
          </w:tcPr>
          <w:p>
            <w:pPr/>
          </w:p>
        </w:tc>
        <w:tc>
          <w:tcPr>
            <w:tcW w:w="1270" w:type="dxa"/>
          </w:tcPr>
          <w:p>
            <w:pPr/>
          </w:p>
        </w:tc>
        <w:tc>
          <w:tcPr>
            <w:tcW w:w="1272" w:type="dxa"/>
            <w:vMerge/>
          </w:tcPr>
          <w:p>
            <w:pPr/>
          </w:p>
        </w:tc>
      </w:tr>
      <w:tr>
        <w:trPr>
          <w:trHeight w:val="290" w:hRule="exact"/>
        </w:trPr>
        <w:tc>
          <w:tcPr>
            <w:tcW w:w="6530" w:type="dxa"/>
          </w:tcPr>
          <w:p>
            <w:pPr/>
          </w:p>
        </w:tc>
        <w:tc>
          <w:tcPr>
            <w:tcW w:w="1270" w:type="dxa"/>
          </w:tcPr>
          <w:p>
            <w:pPr>
              <w:pStyle w:val="TableParagraph"/>
              <w:spacing w:line="272" w:lineRule="exact"/>
              <w:ind w:left="172"/>
              <w:rPr>
                <w:sz w:val="24"/>
              </w:rPr>
            </w:pPr>
            <w:r>
              <w:rPr>
                <w:strike/>
                <w:color w:val="2E97D3"/>
                <w:sz w:val="24"/>
              </w:rPr>
              <w:t>TOTAL</w:t>
            </w:r>
          </w:p>
        </w:tc>
        <w:tc>
          <w:tcPr>
            <w:tcW w:w="1272" w:type="dxa"/>
          </w:tcPr>
          <w:p>
            <w:pPr>
              <w:pStyle w:val="TableParagraph"/>
              <w:spacing w:line="272" w:lineRule="exact"/>
              <w:ind w:left="100"/>
              <w:rPr>
                <w:sz w:val="24"/>
              </w:rPr>
            </w:pPr>
            <w:r>
              <w:rPr>
                <w:strike/>
                <w:color w:val="2E97D3"/>
                <w:w w:val="99"/>
                <w:sz w:val="24"/>
              </w:rPr>
              <w:t>$</w:t>
            </w:r>
          </w:p>
        </w:tc>
      </w:tr>
    </w:tbl>
    <w:p>
      <w:pPr>
        <w:pStyle w:val="BodyText"/>
        <w:spacing w:before="5"/>
        <w:rPr>
          <w:i/>
          <w:sz w:val="20"/>
        </w:rPr>
      </w:pPr>
    </w:p>
    <w:p>
      <w:pPr>
        <w:pStyle w:val="BodyText"/>
        <w:ind w:left="820"/>
      </w:pPr>
      <w:r>
        <w:rPr>
          <w:strike/>
          <w:color w:val="2E97D3"/>
        </w:rPr>
        <w:t>(Continued)</w:t>
      </w:r>
    </w:p>
    <w:p>
      <w:pPr>
        <w:spacing w:after="0"/>
        <w:sectPr>
          <w:footerReference w:type="default" r:id="rId257"/>
          <w:pgSz w:w="12240" w:h="15840"/>
          <w:pgMar w:footer="1068" w:header="724" w:top="980" w:bottom="1260" w:left="620" w:right="1400"/>
        </w:sectPr>
      </w:pPr>
    </w:p>
    <w:p>
      <w:pPr>
        <w:pStyle w:val="BodyText"/>
        <w:rPr>
          <w:sz w:val="20"/>
        </w:rPr>
      </w:pPr>
      <w:r>
        <w:rPr/>
        <w:pict>
          <v:line style="position:absolute;mso-position-horizontal-relative:page;mso-position-vertical-relative:page;z-index:25408" from="36.360001pt,72pt" to="36.360001pt,689.28pt" stroked="true" strokeweight=".72pt" strokecolor="#000000">
            <v:stroke dashstyle="solid"/>
            <w10:wrap type="none"/>
          </v:line>
        </w:pict>
      </w:r>
    </w:p>
    <w:p>
      <w:pPr>
        <w:pStyle w:val="BodyText"/>
        <w:rPr>
          <w:sz w:val="21"/>
        </w:rPr>
      </w:pPr>
    </w:p>
    <w:p>
      <w:pPr>
        <w:pStyle w:val="BodyText"/>
        <w:spacing w:before="92"/>
        <w:ind w:left="820"/>
      </w:pPr>
      <w:r>
        <w:rPr>
          <w:strike/>
          <w:color w:val="2E97D3"/>
        </w:rPr>
        <w:t>(Continued)</w:t>
      </w:r>
    </w:p>
    <w:p>
      <w:pPr>
        <w:pStyle w:val="Heading2"/>
        <w:spacing w:before="119"/>
        <w:ind w:left="856"/>
      </w:pPr>
      <w:r>
        <w:rPr/>
        <w:pict>
          <v:group style="position:absolute;margin-left:380.144989pt;margin-top:6.165833pt;width:148pt;height:69.75pt;mso-position-horizontal-relative:page;mso-position-vertical-relative:paragraph;z-index:-447280" coordorigin="7603,123" coordsize="2960,1395">
            <v:shape style="position:absolute;left:7610;top:123;width:2938;height:1380" coordorigin="7610,123" coordsize="2938,1380" path="m10548,123l10440,123,7718,123,7610,123,7610,399,7610,675,7718,675,7610,675,7610,951,7610,1227,7610,1503,7718,1503,10440,1503,10548,1503,10548,1227,10548,951,10548,675,10440,675,10548,675,10548,399,10548,123e" filled="true" fillcolor="#000000" stroked="false">
              <v:path arrowok="t"/>
              <v:fill type="solid"/>
            </v:shape>
            <v:shape style="position:absolute;left:7610;top:1511;width:2945;height:2" coordorigin="7610,1511" coordsize="2945,0" path="m7610,1511l7654,1511m7654,1511l10541,1511m10541,1511l10555,1511e" filled="false" stroked="true" strokeweight=".72pt" strokecolor="#000000">
              <v:path arrowok="t"/>
              <v:stroke dashstyle="solid"/>
            </v:shape>
            <v:shape style="position:absolute;left:7603;top:123;width:2960;height:1395" type="#_x0000_t202" filled="false" stroked="false">
              <v:textbox inset="0,0,0,0">
                <w:txbxContent>
                  <w:p>
                    <w:pPr>
                      <w:tabs>
                        <w:tab w:pos="2027" w:val="left" w:leader="none"/>
                      </w:tabs>
                      <w:spacing w:line="240" w:lineRule="auto" w:before="0"/>
                      <w:ind w:left="115" w:right="185" w:firstLine="0"/>
                      <w:jc w:val="left"/>
                      <w:rPr>
                        <w:b/>
                        <w:sz w:val="24"/>
                      </w:rPr>
                    </w:pPr>
                    <w:r>
                      <w:rPr>
                        <w:b/>
                        <w:strike/>
                        <w:color w:val="2E97D3"/>
                        <w:sz w:val="24"/>
                      </w:rPr>
                      <w:t>Department of Finance 915 L Street Sacramento, CA 95814 IMS</w:t>
                    </w:r>
                    <w:r>
                      <w:rPr>
                        <w:b/>
                        <w:strike/>
                        <w:color w:val="2E97D3"/>
                        <w:spacing w:val="-1"/>
                        <w:sz w:val="24"/>
                      </w:rPr>
                      <w:t> </w:t>
                    </w:r>
                    <w:r>
                      <w:rPr>
                        <w:b/>
                        <w:strike/>
                        <w:color w:val="2E97D3"/>
                        <w:sz w:val="24"/>
                      </w:rPr>
                      <w:t>Mail</w:t>
                    </w:r>
                    <w:r>
                      <w:rPr>
                        <w:b/>
                        <w:strike/>
                        <w:color w:val="2E97D3"/>
                        <w:spacing w:val="-1"/>
                        <w:sz w:val="24"/>
                      </w:rPr>
                      <w:t> </w:t>
                    </w:r>
                    <w:r>
                      <w:rPr>
                        <w:b/>
                        <w:strike/>
                        <w:color w:val="2E97D3"/>
                        <w:sz w:val="24"/>
                      </w:rPr>
                      <w:t>Code:</w:t>
                      <w:tab/>
                    </w:r>
                    <w:r>
                      <w:rPr>
                        <w:b/>
                        <w:strike/>
                        <w:color w:val="2E97D3"/>
                        <w:spacing w:val="-3"/>
                        <w:sz w:val="24"/>
                      </w:rPr>
                      <w:t>A-15</w:t>
                    </w:r>
                  </w:p>
                </w:txbxContent>
              </v:textbox>
              <w10:wrap type="none"/>
            </v:shape>
            <w10:wrap type="none"/>
          </v:group>
        </w:pict>
      </w:r>
      <w:r>
        <w:rPr>
          <w:strike/>
          <w:color w:val="2E97D3"/>
        </w:rPr>
        <w:t>STATE OF CALIFORNIA</w:t>
      </w:r>
    </w:p>
    <w:p>
      <w:pPr>
        <w:spacing w:before="0"/>
        <w:ind w:left="856" w:right="2970" w:firstLine="0"/>
        <w:jc w:val="left"/>
        <w:rPr>
          <w:b/>
          <w:sz w:val="24"/>
        </w:rPr>
      </w:pPr>
      <w:r>
        <w:rPr>
          <w:b/>
          <w:strike/>
          <w:color w:val="2E97D3"/>
          <w:sz w:val="24"/>
        </w:rPr>
        <w:t>CAPITAL OUTLAY BUDGET CHANGE PROPOSAL PAGE 4 - ANALYSIS OF PROBLEM</w:t>
      </w:r>
    </w:p>
    <w:p>
      <w:pPr>
        <w:pStyle w:val="BodyText"/>
        <w:ind w:left="856"/>
      </w:pPr>
      <w:r>
        <w:rPr>
          <w:strike/>
          <w:color w:val="2E97D3"/>
        </w:rPr>
        <w:t>(REV 11/97)</w:t>
      </w:r>
    </w:p>
    <w:p>
      <w:pPr>
        <w:pStyle w:val="BodyText"/>
        <w:spacing w:before="3" w:after="1"/>
      </w:pPr>
    </w:p>
    <w:tbl>
      <w:tblPr>
        <w:tblW w:w="0" w:type="auto"/>
        <w:jc w:val="left"/>
        <w:tblInd w:w="92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656"/>
        <w:gridCol w:w="535"/>
        <w:gridCol w:w="720"/>
        <w:gridCol w:w="1409"/>
        <w:gridCol w:w="4680"/>
      </w:tblGrid>
      <w:tr>
        <w:trPr>
          <w:trHeight w:val="583" w:hRule="exact"/>
        </w:trPr>
        <w:tc>
          <w:tcPr>
            <w:tcW w:w="1656" w:type="dxa"/>
            <w:tcBorders>
              <w:left w:val="single" w:sz="6" w:space="0" w:color="000000"/>
              <w:bottom w:val="single" w:sz="6" w:space="0" w:color="000000"/>
              <w:right w:val="single" w:sz="6" w:space="0" w:color="000000"/>
            </w:tcBorders>
          </w:tcPr>
          <w:p>
            <w:pPr>
              <w:pStyle w:val="TableParagraph"/>
              <w:spacing w:line="274" w:lineRule="exact"/>
              <w:ind w:left="100"/>
              <w:rPr>
                <w:sz w:val="24"/>
              </w:rPr>
            </w:pPr>
            <w:r>
              <w:rPr>
                <w:strike/>
                <w:color w:val="2E97D3"/>
                <w:sz w:val="24"/>
              </w:rPr>
              <w:t>COBCP #</w:t>
            </w:r>
          </w:p>
        </w:tc>
        <w:tc>
          <w:tcPr>
            <w:tcW w:w="1255" w:type="dxa"/>
            <w:gridSpan w:val="2"/>
            <w:tcBorders>
              <w:left w:val="single" w:sz="6" w:space="0" w:color="000000"/>
              <w:bottom w:val="single" w:sz="6" w:space="0" w:color="000000"/>
              <w:right w:val="single" w:sz="6" w:space="0" w:color="000000"/>
            </w:tcBorders>
          </w:tcPr>
          <w:p>
            <w:pPr>
              <w:pStyle w:val="TableParagraph"/>
              <w:spacing w:line="274" w:lineRule="exact"/>
              <w:ind w:left="100"/>
              <w:rPr>
                <w:sz w:val="24"/>
              </w:rPr>
            </w:pPr>
            <w:r>
              <w:rPr>
                <w:strike/>
                <w:color w:val="2E97D3"/>
                <w:sz w:val="24"/>
              </w:rPr>
              <w:t>DATE</w:t>
            </w:r>
          </w:p>
        </w:tc>
        <w:tc>
          <w:tcPr>
            <w:tcW w:w="1409" w:type="dxa"/>
            <w:tcBorders>
              <w:left w:val="single" w:sz="6" w:space="0" w:color="000000"/>
              <w:bottom w:val="single" w:sz="6" w:space="0" w:color="000000"/>
              <w:right w:val="single" w:sz="6" w:space="0" w:color="000000"/>
            </w:tcBorders>
          </w:tcPr>
          <w:p>
            <w:pPr>
              <w:pStyle w:val="TableParagraph"/>
              <w:ind w:left="100" w:right="581"/>
              <w:rPr>
                <w:sz w:val="24"/>
              </w:rPr>
            </w:pPr>
            <w:r>
              <w:rPr>
                <w:strike/>
                <w:color w:val="2E97D3"/>
                <w:sz w:val="24"/>
              </w:rPr>
              <w:t>ORG CODE</w:t>
            </w:r>
          </w:p>
        </w:tc>
        <w:tc>
          <w:tcPr>
            <w:tcW w:w="4680" w:type="dxa"/>
            <w:tcBorders>
              <w:left w:val="single" w:sz="6" w:space="0" w:color="000000"/>
              <w:bottom w:val="single" w:sz="6" w:space="0" w:color="000000"/>
              <w:right w:val="single" w:sz="6" w:space="0" w:color="000000"/>
            </w:tcBorders>
          </w:tcPr>
          <w:p>
            <w:pPr>
              <w:pStyle w:val="TableParagraph"/>
              <w:spacing w:line="274" w:lineRule="exact"/>
              <w:ind w:left="100"/>
              <w:rPr>
                <w:sz w:val="24"/>
              </w:rPr>
            </w:pPr>
            <w:r>
              <w:rPr>
                <w:strike/>
                <w:color w:val="2E97D3"/>
                <w:sz w:val="24"/>
              </w:rPr>
              <w:t>DEPARTMENT</w:t>
            </w:r>
          </w:p>
        </w:tc>
      </w:tr>
      <w:tr>
        <w:trPr>
          <w:trHeight w:val="566" w:hRule="exact"/>
        </w:trPr>
        <w:tc>
          <w:tcPr>
            <w:tcW w:w="2191" w:type="dxa"/>
            <w:gridSpan w:val="2"/>
            <w:tcBorders>
              <w:top w:val="single" w:sz="6" w:space="0" w:color="000000"/>
              <w:left w:val="single" w:sz="6" w:space="0" w:color="000000"/>
              <w:bottom w:val="single" w:sz="6" w:space="0" w:color="000000"/>
              <w:right w:val="single" w:sz="6" w:space="0" w:color="000000"/>
            </w:tcBorders>
          </w:tcPr>
          <w:p>
            <w:pPr>
              <w:pStyle w:val="TableParagraph"/>
              <w:ind w:left="100" w:right="630"/>
              <w:rPr>
                <w:sz w:val="24"/>
              </w:rPr>
            </w:pPr>
            <w:r>
              <w:rPr>
                <w:strike/>
                <w:color w:val="2E97D3"/>
                <w:sz w:val="24"/>
              </w:rPr>
              <w:t>PROJECT ID CODE</w:t>
            </w:r>
          </w:p>
        </w:tc>
        <w:tc>
          <w:tcPr>
            <w:tcW w:w="2129" w:type="dxa"/>
            <w:gridSpan w:val="2"/>
            <w:tcBorders>
              <w:top w:val="single" w:sz="6" w:space="0" w:color="000000"/>
              <w:left w:val="single" w:sz="6" w:space="0" w:color="000000"/>
              <w:bottom w:val="single" w:sz="6" w:space="0" w:color="000000"/>
              <w:right w:val="single" w:sz="6" w:space="0" w:color="000000"/>
            </w:tcBorders>
          </w:tcPr>
          <w:p>
            <w:pPr/>
          </w:p>
        </w:tc>
        <w:tc>
          <w:tcPr>
            <w:tcW w:w="4680" w:type="dxa"/>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100"/>
              <w:rPr>
                <w:sz w:val="24"/>
              </w:rPr>
            </w:pPr>
            <w:r>
              <w:rPr>
                <w:strike/>
                <w:color w:val="2E97D3"/>
                <w:sz w:val="24"/>
              </w:rPr>
              <w:t>PROJECT TITLE:</w:t>
            </w:r>
          </w:p>
        </w:tc>
      </w:tr>
    </w:tbl>
    <w:p>
      <w:pPr>
        <w:pStyle w:val="BodyText"/>
        <w:rPr>
          <w:sz w:val="20"/>
        </w:rPr>
      </w:pPr>
    </w:p>
    <w:p>
      <w:pPr>
        <w:pStyle w:val="BodyText"/>
        <w:rPr>
          <w:sz w:val="20"/>
        </w:rPr>
      </w:pPr>
    </w:p>
    <w:p>
      <w:pPr>
        <w:pStyle w:val="BodyText"/>
        <w:spacing w:before="6"/>
        <w:rPr>
          <w:sz w:val="28"/>
        </w:rPr>
      </w:pPr>
      <w:r>
        <w:rPr/>
        <w:pict>
          <v:line style="position:absolute;mso-position-horizontal-relative:page;mso-position-vertical-relative:paragraph;z-index:25264;mso-wrap-distance-left:0;mso-wrap-distance-right:0" from="77.400002pt,18.761953pt" to="527.400002pt,18.761953pt" stroked="true" strokeweight=".72pt" strokecolor="#000000">
            <v:stroke dashstyle="solid"/>
            <w10:wrap type="topAndBottom"/>
          </v:line>
        </w:pict>
      </w:r>
    </w:p>
    <w:p>
      <w:pPr>
        <w:tabs>
          <w:tab w:pos="7650" w:val="left" w:leader="none"/>
        </w:tabs>
        <w:spacing w:before="0"/>
        <w:ind w:left="1036" w:right="362" w:firstLine="0"/>
        <w:jc w:val="left"/>
        <w:rPr>
          <w:i/>
          <w:sz w:val="24"/>
        </w:rPr>
      </w:pPr>
      <w:r>
        <w:rPr>
          <w:i/>
          <w:strike/>
          <w:color w:val="2E97D3"/>
          <w:sz w:val="24"/>
        </w:rPr>
        <w:t>USING THE ATTACHED SHEET, EACH BCP MUST FOLLOW THE FORMAT </w:t>
      </w:r>
      <w:r>
        <w:rPr>
          <w:i/>
          <w:strike/>
          <w:color w:val="2E97D3"/>
          <w:sz w:val="24"/>
        </w:rPr>
        <w:t>OUTLINED BELOW AND FULLY ADDRESS ALL OF THE ITEMS. USE ADDITIONAL SHEETS AS NECESSARY . REFER TO SAM SECTION 6818 FOR INSTRUCTIONS ON WHAT INFORMATION TO PROVIDE.  CERTAIN PROJECTS MAY REQUIRE</w:t>
      </w:r>
      <w:r>
        <w:rPr>
          <w:i/>
          <w:strike/>
          <w:color w:val="2E97D3"/>
          <w:spacing w:val="-7"/>
          <w:sz w:val="24"/>
        </w:rPr>
        <w:t> </w:t>
      </w:r>
      <w:r>
        <w:rPr>
          <w:i/>
          <w:strike/>
          <w:color w:val="2E97D3"/>
          <w:sz w:val="24"/>
        </w:rPr>
        <w:t>ADDITIONAL</w:t>
      </w:r>
      <w:r>
        <w:rPr>
          <w:i/>
          <w:strike/>
          <w:color w:val="2E97D3"/>
          <w:spacing w:val="59"/>
          <w:sz w:val="24"/>
        </w:rPr>
        <w:t> </w:t>
      </w:r>
      <w:r>
        <w:rPr>
          <w:i/>
          <w:strike/>
          <w:color w:val="2E97D3"/>
          <w:sz w:val="24"/>
        </w:rPr>
        <w:t>INFORMATION.</w:t>
        <w:tab/>
        <w:t>QUESTIONS</w:t>
      </w:r>
    </w:p>
    <w:p>
      <w:pPr>
        <w:tabs>
          <w:tab w:pos="9927" w:val="left" w:leader="none"/>
        </w:tabs>
        <w:spacing w:before="0"/>
        <w:ind w:left="839" w:right="0" w:firstLine="0"/>
        <w:jc w:val="left"/>
        <w:rPr>
          <w:i/>
          <w:sz w:val="24"/>
        </w:rPr>
      </w:pPr>
      <w:r>
        <w:rPr>
          <w:i/>
          <w:color w:val="2E97D3"/>
          <w:w w:val="100"/>
          <w:sz w:val="24"/>
          <w:u w:val="single" w:color="000000"/>
        </w:rPr>
        <w:t> </w:t>
      </w:r>
      <w:r>
        <w:rPr>
          <w:i/>
          <w:color w:val="2E97D3"/>
          <w:sz w:val="24"/>
          <w:u w:val="single" w:color="000000"/>
        </w:rPr>
        <w:t> </w:t>
      </w:r>
      <w:r>
        <w:rPr>
          <w:i/>
          <w:color w:val="2E97D3"/>
          <w:spacing w:val="-4"/>
          <w:sz w:val="24"/>
          <w:u w:val="single" w:color="000000"/>
        </w:rPr>
        <w:t> </w:t>
      </w:r>
      <w:r>
        <w:rPr>
          <w:i/>
          <w:strike/>
          <w:color w:val="2E97D3"/>
          <w:sz w:val="24"/>
          <w:u w:val="single" w:color="000000"/>
        </w:rPr>
        <w:t>SHOULD BE REFERRED TO</w:t>
      </w:r>
      <w:r>
        <w:rPr>
          <w:i/>
          <w:strike/>
          <w:color w:val="2E97D3"/>
          <w:spacing w:val="-10"/>
          <w:sz w:val="24"/>
          <w:u w:val="single" w:color="000000"/>
        </w:rPr>
        <w:t> </w:t>
      </w:r>
      <w:r>
        <w:rPr>
          <w:i/>
          <w:strike/>
          <w:color w:val="2E97D3"/>
          <w:sz w:val="24"/>
          <w:u w:val="single" w:color="000000"/>
        </w:rPr>
        <w:t>DOF.</w:t>
        <w:tab/>
      </w:r>
    </w:p>
    <w:p>
      <w:pPr>
        <w:pStyle w:val="BodyText"/>
        <w:rPr>
          <w:i/>
          <w:sz w:val="20"/>
        </w:rPr>
      </w:pPr>
    </w:p>
    <w:p>
      <w:pPr>
        <w:pStyle w:val="BodyText"/>
        <w:spacing w:before="11"/>
        <w:rPr>
          <w:i/>
          <w:sz w:val="28"/>
        </w:rPr>
      </w:pPr>
    </w:p>
    <w:p>
      <w:pPr>
        <w:pStyle w:val="ListParagraph"/>
        <w:numPr>
          <w:ilvl w:val="1"/>
          <w:numId w:val="74"/>
        </w:numPr>
        <w:tabs>
          <w:tab w:pos="2116" w:val="left" w:leader="none"/>
        </w:tabs>
        <w:spacing w:line="240" w:lineRule="auto" w:before="92" w:after="0"/>
        <w:ind w:left="2116" w:right="378" w:hanging="360"/>
        <w:jc w:val="left"/>
        <w:rPr>
          <w:sz w:val="24"/>
        </w:rPr>
      </w:pPr>
      <w:r>
        <w:rPr>
          <w:strike/>
          <w:color w:val="2E97D3"/>
          <w:sz w:val="24"/>
        </w:rPr>
        <w:t>PURPOSE OF THE PROJECT: (problem, program need, infrastructure deficiency)</w:t>
      </w:r>
    </w:p>
    <w:p>
      <w:pPr>
        <w:pStyle w:val="BodyText"/>
        <w:spacing w:before="8"/>
        <w:rPr>
          <w:sz w:val="10"/>
        </w:rPr>
      </w:pPr>
      <w:r>
        <w:rPr/>
        <w:pict>
          <v:line style="position:absolute;mso-position-horizontal-relative:page;mso-position-vertical-relative:paragraph;z-index:25288;mso-wrap-distance-left:0;mso-wrap-distance-right:0" from="118.800003pt,8.424713pt" to="136.800003pt,8.424713pt" stroked="true" strokeweight=".6pt" strokecolor="#2e97d3">
            <v:stroke dashstyle="solid"/>
            <w10:wrap type="topAndBottom"/>
          </v:line>
        </w:pict>
      </w:r>
    </w:p>
    <w:p>
      <w:pPr>
        <w:pStyle w:val="ListParagraph"/>
        <w:numPr>
          <w:ilvl w:val="1"/>
          <w:numId w:val="74"/>
        </w:numPr>
        <w:tabs>
          <w:tab w:pos="2116" w:val="left" w:leader="none"/>
          <w:tab w:pos="6680" w:val="left" w:leader="none"/>
        </w:tabs>
        <w:spacing w:line="240" w:lineRule="auto" w:before="72" w:after="0"/>
        <w:ind w:left="2116" w:right="0" w:hanging="360"/>
        <w:jc w:val="left"/>
        <w:rPr>
          <w:sz w:val="24"/>
        </w:rPr>
      </w:pPr>
      <w:r>
        <w:rPr>
          <w:strike/>
          <w:color w:val="2E97D3"/>
          <w:sz w:val="24"/>
        </w:rPr>
        <w:t>RELATIONSHIP TO</w:t>
      </w:r>
      <w:r>
        <w:rPr>
          <w:strike/>
          <w:color w:val="2E97D3"/>
          <w:spacing w:val="-6"/>
          <w:sz w:val="24"/>
        </w:rPr>
        <w:t> </w:t>
      </w:r>
      <w:r>
        <w:rPr>
          <w:strike/>
          <w:color w:val="2E97D3"/>
          <w:sz w:val="24"/>
        </w:rPr>
        <w:t>STRATEGIC</w:t>
      </w:r>
      <w:r>
        <w:rPr>
          <w:strike/>
          <w:color w:val="2E97D3"/>
          <w:spacing w:val="-2"/>
          <w:sz w:val="24"/>
        </w:rPr>
        <w:t> </w:t>
      </w:r>
      <w:r>
        <w:rPr>
          <w:strike/>
          <w:color w:val="2E97D3"/>
          <w:sz w:val="24"/>
        </w:rPr>
        <w:t>PLAN:</w:t>
        <w:tab/>
        <w:t>(relevance</w:t>
      </w:r>
      <w:r>
        <w:rPr>
          <w:strike/>
          <w:color w:val="2E97D3"/>
          <w:spacing w:val="-11"/>
          <w:sz w:val="24"/>
        </w:rPr>
        <w:t> </w:t>
      </w:r>
      <w:r>
        <w:rPr>
          <w:strike/>
          <w:color w:val="2E97D3"/>
          <w:sz w:val="24"/>
        </w:rPr>
        <w:t>of</w:t>
      </w:r>
    </w:p>
    <w:p>
      <w:pPr>
        <w:pStyle w:val="BodyText"/>
        <w:ind w:left="2116"/>
      </w:pPr>
      <w:r>
        <w:rPr>
          <w:strike/>
          <w:color w:val="2E97D3"/>
        </w:rPr>
        <w:t>problem/need/deficiency to mission and goals)</w:t>
      </w:r>
    </w:p>
    <w:p>
      <w:pPr>
        <w:pStyle w:val="BodyText"/>
        <w:spacing w:before="9"/>
        <w:rPr>
          <w:sz w:val="10"/>
        </w:rPr>
      </w:pPr>
      <w:r>
        <w:rPr/>
        <w:pict>
          <v:line style="position:absolute;mso-position-horizontal-relative:page;mso-position-vertical-relative:paragraph;z-index:25312;mso-wrap-distance-left:0;mso-wrap-distance-right:0" from="118.800003pt,8.450025pt" to="136.800003pt,8.450025pt" stroked="true" strokeweight=".6pt" strokecolor="#2e97d3">
            <v:stroke dashstyle="solid"/>
            <w10:wrap type="topAndBottom"/>
          </v:line>
        </w:pict>
      </w:r>
    </w:p>
    <w:p>
      <w:pPr>
        <w:pStyle w:val="ListParagraph"/>
        <w:numPr>
          <w:ilvl w:val="1"/>
          <w:numId w:val="74"/>
        </w:numPr>
        <w:tabs>
          <w:tab w:pos="2116" w:val="left" w:leader="none"/>
        </w:tabs>
        <w:spacing w:line="240" w:lineRule="auto" w:before="72" w:after="0"/>
        <w:ind w:left="2116" w:right="110" w:hanging="360"/>
        <w:jc w:val="left"/>
        <w:rPr>
          <w:sz w:val="24"/>
        </w:rPr>
      </w:pPr>
      <w:r>
        <w:rPr>
          <w:strike/>
          <w:color w:val="2E97D3"/>
          <w:sz w:val="24"/>
        </w:rPr>
        <w:t>ALTERNATIVES: (for each, describe the proposed alternative and provide a brief summary of scope, cost, funding source, program benefits, facility management benefits, impact on support</w:t>
      </w:r>
      <w:r>
        <w:rPr>
          <w:strike/>
          <w:color w:val="2E97D3"/>
          <w:spacing w:val="-26"/>
          <w:sz w:val="24"/>
        </w:rPr>
        <w:t> </w:t>
      </w:r>
      <w:r>
        <w:rPr>
          <w:strike/>
          <w:color w:val="2E97D3"/>
          <w:sz w:val="24"/>
        </w:rPr>
        <w:t>budget)</w:t>
      </w:r>
    </w:p>
    <w:p>
      <w:pPr>
        <w:pStyle w:val="BodyText"/>
        <w:spacing w:before="8"/>
        <w:rPr>
          <w:sz w:val="10"/>
        </w:rPr>
      </w:pPr>
      <w:r>
        <w:rPr/>
        <w:pict>
          <v:line style="position:absolute;mso-position-horizontal-relative:page;mso-position-vertical-relative:paragraph;z-index:25336;mso-wrap-distance-left:0;mso-wrap-distance-right:0" from="118.800003pt,8.423394pt" to="136.800003pt,8.423394pt" stroked="true" strokeweight=".599pt" strokecolor="#2e97d3">
            <v:stroke dashstyle="solid"/>
            <w10:wrap type="topAndBottom"/>
          </v:line>
        </w:pict>
      </w:r>
    </w:p>
    <w:p>
      <w:pPr>
        <w:pStyle w:val="ListParagraph"/>
        <w:numPr>
          <w:ilvl w:val="1"/>
          <w:numId w:val="74"/>
        </w:numPr>
        <w:tabs>
          <w:tab w:pos="2116" w:val="left" w:leader="none"/>
        </w:tabs>
        <w:spacing w:line="240" w:lineRule="auto" w:before="72" w:after="0"/>
        <w:ind w:left="2116" w:right="0" w:hanging="360"/>
        <w:jc w:val="left"/>
        <w:rPr>
          <w:sz w:val="24"/>
        </w:rPr>
      </w:pPr>
      <w:r>
        <w:rPr>
          <w:strike/>
          <w:color w:val="2E97D3"/>
          <w:sz w:val="24"/>
        </w:rPr>
        <w:t>RECOMMENDED</w:t>
      </w:r>
      <w:r>
        <w:rPr>
          <w:strike/>
          <w:color w:val="2E97D3"/>
          <w:spacing w:val="-8"/>
          <w:sz w:val="24"/>
        </w:rPr>
        <w:t> </w:t>
      </w:r>
      <w:r>
        <w:rPr>
          <w:strike/>
          <w:color w:val="2E97D3"/>
          <w:sz w:val="24"/>
        </w:rPr>
        <w:t>SOLUTION:</w:t>
      </w:r>
    </w:p>
    <w:p>
      <w:pPr>
        <w:pStyle w:val="ListParagraph"/>
        <w:numPr>
          <w:ilvl w:val="2"/>
          <w:numId w:val="74"/>
        </w:numPr>
        <w:tabs>
          <w:tab w:pos="3016" w:val="left" w:leader="none"/>
        </w:tabs>
        <w:spacing w:line="240" w:lineRule="auto" w:before="0" w:after="0"/>
        <w:ind w:left="2656" w:right="4230" w:firstLine="0"/>
        <w:jc w:val="left"/>
        <w:rPr>
          <w:sz w:val="24"/>
        </w:rPr>
      </w:pPr>
      <w:r>
        <w:rPr>
          <w:strike/>
          <w:color w:val="2E97D3"/>
          <w:sz w:val="24"/>
        </w:rPr>
        <w:t>Which alternative and</w:t>
      </w:r>
      <w:r>
        <w:rPr>
          <w:strike/>
          <w:color w:val="2E97D3"/>
          <w:spacing w:val="-14"/>
          <w:sz w:val="24"/>
        </w:rPr>
        <w:t> </w:t>
      </w:r>
      <w:r>
        <w:rPr>
          <w:strike/>
          <w:color w:val="2E97D3"/>
          <w:sz w:val="24"/>
        </w:rPr>
        <w:t>why? 2.  Detail scope</w:t>
      </w:r>
      <w:r>
        <w:rPr>
          <w:strike/>
          <w:color w:val="2E97D3"/>
          <w:spacing w:val="14"/>
          <w:sz w:val="24"/>
        </w:rPr>
        <w:t> </w:t>
      </w:r>
      <w:r>
        <w:rPr>
          <w:strike/>
          <w:color w:val="2E97D3"/>
          <w:sz w:val="24"/>
        </w:rPr>
        <w:t>description.</w:t>
      </w:r>
    </w:p>
    <w:p>
      <w:pPr>
        <w:pStyle w:val="BodyText"/>
        <w:ind w:left="2656" w:right="1713"/>
      </w:pPr>
      <w:r>
        <w:rPr>
          <w:strike/>
          <w:color w:val="2E97D3"/>
        </w:rPr>
        <w:t>3. Complete description of impact on support budget. 4.  Identify and explain any project risks.</w:t>
      </w:r>
    </w:p>
    <w:p>
      <w:pPr>
        <w:pStyle w:val="BodyText"/>
        <w:ind w:left="2999" w:hanging="360"/>
      </w:pPr>
      <w:r>
        <w:rPr>
          <w:strike/>
          <w:color w:val="2E97D3"/>
        </w:rPr>
        <w:t>5. List required interdepartmental coordination and/or special project approval. (including mandatory reviews and approvals, e.g. technology proposals).</w:t>
      </w:r>
    </w:p>
    <w:p>
      <w:pPr>
        <w:spacing w:after="0"/>
        <w:sectPr>
          <w:footerReference w:type="default" r:id="rId258"/>
          <w:pgSz w:w="12240" w:h="15840"/>
          <w:pgMar w:footer="1068" w:header="724" w:top="980" w:bottom="1260" w:left="620" w:right="1440"/>
        </w:sectPr>
      </w:pPr>
    </w:p>
    <w:p>
      <w:pPr>
        <w:pStyle w:val="BodyText"/>
        <w:rPr>
          <w:sz w:val="20"/>
        </w:rPr>
      </w:pPr>
      <w:r>
        <w:rPr/>
        <w:pict>
          <v:line style="position:absolute;mso-position-horizontal-relative:page;mso-position-vertical-relative:page;z-index:25504" from="36.360001pt,728.400024pt" to="36.360001pt,756.000024pt" stroked="true" strokeweight=".72pt" strokecolor="#000000">
            <v:stroke dashstyle="solid"/>
            <w10:wrap type="none"/>
          </v:line>
        </w:pict>
      </w:r>
    </w:p>
    <w:p>
      <w:pPr>
        <w:spacing w:before="214"/>
        <w:ind w:left="928" w:right="0" w:firstLine="0"/>
        <w:jc w:val="left"/>
        <w:rPr>
          <w:b/>
          <w:sz w:val="24"/>
        </w:rPr>
      </w:pPr>
      <w:r>
        <w:rPr/>
        <w:pict>
          <v:group style="position:absolute;margin-left:386.024994pt;margin-top:10.915881pt;width:154.75pt;height:69.75pt;mso-position-horizontal-relative:page;mso-position-vertical-relative:paragraph;z-index:-447208" coordorigin="7720,218" coordsize="3095,1395">
            <v:shape style="position:absolute;left:7728;top:218;width:3072;height:1380" coordorigin="7728,218" coordsize="3072,1380" path="m10800,1046l10692,1046,7836,1046,7728,1046,7728,1322,7728,1598,7836,1598,10692,1598,10800,1598,10800,1322,10800,1046m10800,218l10692,218,7836,218,7728,218,7728,494,7836,494,7836,494,7728,494,7728,770,7728,1046,7836,1046,10692,1046,10800,1046,10800,770,10800,494,10692,494,10692,494,10800,494,10800,218e" filled="true" fillcolor="#000000" stroked="false">
              <v:path arrowok="t"/>
              <v:fill type="solid"/>
            </v:shape>
            <v:shape style="position:absolute;left:7728;top:1606;width:3080;height:2" coordorigin="7728,1606" coordsize="3080,0" path="m7728,1606l7771,1606m7771,1606l10793,1606m10793,1606l10807,1606e" filled="false" stroked="true" strokeweight=".72pt" strokecolor="#000000">
              <v:path arrowok="t"/>
              <v:stroke dashstyle="solid"/>
            </v:shape>
            <v:shape style="position:absolute;left:7721;top:218;width:3094;height:1395" type="#_x0000_t202" filled="false" stroked="false">
              <v:textbox inset="0,0,0,0">
                <w:txbxContent>
                  <w:p>
                    <w:pPr>
                      <w:tabs>
                        <w:tab w:pos="2027" w:val="left" w:leader="none"/>
                      </w:tabs>
                      <w:spacing w:line="240" w:lineRule="auto" w:before="0"/>
                      <w:ind w:left="115" w:right="319" w:firstLine="0"/>
                      <w:jc w:val="left"/>
                      <w:rPr>
                        <w:b/>
                        <w:sz w:val="24"/>
                      </w:rPr>
                    </w:pPr>
                    <w:r>
                      <w:rPr>
                        <w:b/>
                        <w:strike/>
                        <w:color w:val="2E97D3"/>
                        <w:sz w:val="24"/>
                      </w:rPr>
                      <w:t>Department of Finance 915 L Street Sacramento, CA 95814 IMS</w:t>
                    </w:r>
                    <w:r>
                      <w:rPr>
                        <w:b/>
                        <w:strike/>
                        <w:color w:val="2E97D3"/>
                        <w:spacing w:val="-1"/>
                        <w:sz w:val="24"/>
                      </w:rPr>
                      <w:t> </w:t>
                    </w:r>
                    <w:r>
                      <w:rPr>
                        <w:b/>
                        <w:strike/>
                        <w:color w:val="2E97D3"/>
                        <w:sz w:val="24"/>
                      </w:rPr>
                      <w:t>Mail</w:t>
                    </w:r>
                    <w:r>
                      <w:rPr>
                        <w:b/>
                        <w:strike/>
                        <w:color w:val="2E97D3"/>
                        <w:spacing w:val="-1"/>
                        <w:sz w:val="24"/>
                      </w:rPr>
                      <w:t> </w:t>
                    </w:r>
                    <w:r>
                      <w:rPr>
                        <w:b/>
                        <w:strike/>
                        <w:color w:val="2E97D3"/>
                        <w:sz w:val="24"/>
                      </w:rPr>
                      <w:t>Code:</w:t>
                      <w:tab/>
                    </w:r>
                    <w:r>
                      <w:rPr>
                        <w:b/>
                        <w:strike/>
                        <w:color w:val="2E97D3"/>
                        <w:spacing w:val="-3"/>
                        <w:sz w:val="24"/>
                      </w:rPr>
                      <w:t>A-15</w:t>
                    </w:r>
                  </w:p>
                </w:txbxContent>
              </v:textbox>
              <w10:wrap type="none"/>
            </v:shape>
            <w10:wrap type="none"/>
          </v:group>
        </w:pict>
      </w:r>
      <w:r>
        <w:rPr/>
        <w:pict>
          <v:line style="position:absolute;mso-position-horizontal-relative:page;mso-position-vertical-relative:paragraph;z-index:25480" from="36.360001pt,10.915881pt" to="36.360001pt,265.555881pt" stroked="true" strokeweight=".72pt" strokecolor="#000000">
            <v:stroke dashstyle="solid"/>
            <w10:wrap type="none"/>
          </v:line>
        </w:pict>
      </w:r>
      <w:r>
        <w:rPr>
          <w:b/>
          <w:strike/>
          <w:color w:val="2E97D3"/>
          <w:sz w:val="24"/>
        </w:rPr>
        <w:t>STATE OF CALIFORNIA</w:t>
      </w:r>
    </w:p>
    <w:p>
      <w:pPr>
        <w:spacing w:before="0"/>
        <w:ind w:left="928" w:right="3257" w:firstLine="0"/>
        <w:jc w:val="left"/>
        <w:rPr>
          <w:b/>
          <w:sz w:val="24"/>
        </w:rPr>
      </w:pPr>
      <w:r>
        <w:rPr>
          <w:b/>
          <w:strike/>
          <w:color w:val="2E97D3"/>
          <w:sz w:val="24"/>
        </w:rPr>
        <w:t>CAPITAL OUTLAY BUDGET CHANGE PROPOSAL PAGE 4 - ANALYSIS OF PROBLEM</w:t>
      </w:r>
    </w:p>
    <w:p>
      <w:pPr>
        <w:pStyle w:val="BodyText"/>
        <w:ind w:left="928"/>
      </w:pPr>
      <w:r>
        <w:rPr>
          <w:strike/>
          <w:color w:val="2E97D3"/>
        </w:rPr>
        <w:t>(REV 11/97)</w:t>
      </w:r>
    </w:p>
    <w:p>
      <w:pPr>
        <w:pStyle w:val="BodyText"/>
        <w:spacing w:before="4"/>
      </w:pPr>
    </w:p>
    <w:tbl>
      <w:tblPr>
        <w:tblW w:w="0" w:type="auto"/>
        <w:jc w:val="left"/>
        <w:tblInd w:w="904"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673"/>
        <w:gridCol w:w="540"/>
        <w:gridCol w:w="727"/>
        <w:gridCol w:w="1469"/>
        <w:gridCol w:w="4860"/>
      </w:tblGrid>
      <w:tr>
        <w:trPr>
          <w:trHeight w:val="583" w:hRule="exact"/>
        </w:trPr>
        <w:tc>
          <w:tcPr>
            <w:tcW w:w="1673" w:type="dxa"/>
            <w:tcBorders>
              <w:left w:val="single" w:sz="6" w:space="0" w:color="000000"/>
              <w:bottom w:val="single" w:sz="6" w:space="0" w:color="000000"/>
              <w:right w:val="single" w:sz="6" w:space="0" w:color="000000"/>
            </w:tcBorders>
          </w:tcPr>
          <w:p>
            <w:pPr>
              <w:pStyle w:val="TableParagraph"/>
              <w:spacing w:line="274" w:lineRule="exact"/>
              <w:ind w:left="100"/>
              <w:rPr>
                <w:sz w:val="24"/>
              </w:rPr>
            </w:pPr>
            <w:r>
              <w:rPr>
                <w:strike/>
                <w:color w:val="2E97D3"/>
                <w:sz w:val="24"/>
              </w:rPr>
              <w:t>COBCP #</w:t>
            </w:r>
          </w:p>
        </w:tc>
        <w:tc>
          <w:tcPr>
            <w:tcW w:w="1267" w:type="dxa"/>
            <w:gridSpan w:val="2"/>
            <w:tcBorders>
              <w:left w:val="single" w:sz="6" w:space="0" w:color="000000"/>
              <w:bottom w:val="single" w:sz="6" w:space="0" w:color="000000"/>
              <w:right w:val="single" w:sz="6" w:space="0" w:color="000000"/>
            </w:tcBorders>
          </w:tcPr>
          <w:p>
            <w:pPr>
              <w:pStyle w:val="TableParagraph"/>
              <w:spacing w:line="274" w:lineRule="exact"/>
              <w:ind w:left="100"/>
              <w:rPr>
                <w:sz w:val="24"/>
              </w:rPr>
            </w:pPr>
            <w:r>
              <w:rPr>
                <w:strike/>
                <w:color w:val="2E97D3"/>
                <w:sz w:val="24"/>
              </w:rPr>
              <w:t>DATE</w:t>
            </w:r>
          </w:p>
        </w:tc>
        <w:tc>
          <w:tcPr>
            <w:tcW w:w="1469" w:type="dxa"/>
            <w:tcBorders>
              <w:left w:val="single" w:sz="6" w:space="0" w:color="000000"/>
              <w:bottom w:val="single" w:sz="6" w:space="0" w:color="000000"/>
              <w:right w:val="single" w:sz="6" w:space="0" w:color="000000"/>
            </w:tcBorders>
          </w:tcPr>
          <w:p>
            <w:pPr>
              <w:pStyle w:val="TableParagraph"/>
              <w:ind w:left="100" w:right="641"/>
              <w:rPr>
                <w:sz w:val="24"/>
              </w:rPr>
            </w:pPr>
            <w:r>
              <w:rPr>
                <w:strike/>
                <w:color w:val="2E97D3"/>
                <w:sz w:val="24"/>
              </w:rPr>
              <w:t>ORG CODE</w:t>
            </w:r>
          </w:p>
        </w:tc>
        <w:tc>
          <w:tcPr>
            <w:tcW w:w="4860" w:type="dxa"/>
            <w:tcBorders>
              <w:left w:val="single" w:sz="6" w:space="0" w:color="000000"/>
              <w:bottom w:val="single" w:sz="6" w:space="0" w:color="000000"/>
              <w:right w:val="single" w:sz="6" w:space="0" w:color="000000"/>
            </w:tcBorders>
          </w:tcPr>
          <w:p>
            <w:pPr>
              <w:pStyle w:val="TableParagraph"/>
              <w:spacing w:line="274" w:lineRule="exact"/>
              <w:ind w:left="100"/>
              <w:rPr>
                <w:sz w:val="24"/>
              </w:rPr>
            </w:pPr>
            <w:r>
              <w:rPr>
                <w:strike/>
                <w:color w:val="2E97D3"/>
                <w:sz w:val="24"/>
              </w:rPr>
              <w:t>DEPARTMENT</w:t>
            </w:r>
          </w:p>
        </w:tc>
      </w:tr>
      <w:tr>
        <w:trPr>
          <w:trHeight w:val="566" w:hRule="exact"/>
        </w:trPr>
        <w:tc>
          <w:tcPr>
            <w:tcW w:w="2213" w:type="dxa"/>
            <w:gridSpan w:val="2"/>
            <w:tcBorders>
              <w:top w:val="single" w:sz="6" w:space="0" w:color="000000"/>
              <w:left w:val="single" w:sz="6" w:space="0" w:color="000000"/>
              <w:bottom w:val="single" w:sz="6" w:space="0" w:color="000000"/>
              <w:right w:val="single" w:sz="6" w:space="0" w:color="000000"/>
            </w:tcBorders>
          </w:tcPr>
          <w:p>
            <w:pPr>
              <w:pStyle w:val="TableParagraph"/>
              <w:ind w:left="100" w:right="651"/>
              <w:rPr>
                <w:sz w:val="24"/>
              </w:rPr>
            </w:pPr>
            <w:r>
              <w:rPr>
                <w:strike/>
                <w:color w:val="2E97D3"/>
                <w:sz w:val="24"/>
              </w:rPr>
              <w:t>PROJECT ID CODE</w:t>
            </w:r>
          </w:p>
        </w:tc>
        <w:tc>
          <w:tcPr>
            <w:tcW w:w="2196" w:type="dxa"/>
            <w:gridSpan w:val="2"/>
            <w:tcBorders>
              <w:top w:val="single" w:sz="6" w:space="0" w:color="000000"/>
              <w:left w:val="single" w:sz="6" w:space="0" w:color="000000"/>
              <w:bottom w:val="single" w:sz="6" w:space="0" w:color="000000"/>
              <w:right w:val="single" w:sz="6" w:space="0" w:color="000000"/>
            </w:tcBorders>
          </w:tcPr>
          <w:p>
            <w:pPr/>
          </w:p>
        </w:tc>
        <w:tc>
          <w:tcPr>
            <w:tcW w:w="4860" w:type="dxa"/>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100"/>
              <w:rPr>
                <w:sz w:val="24"/>
              </w:rPr>
            </w:pPr>
            <w:r>
              <w:rPr>
                <w:strike/>
                <w:color w:val="2E97D3"/>
                <w:sz w:val="24"/>
              </w:rPr>
              <w:t>PROJECT TITLE:</w:t>
            </w:r>
          </w:p>
        </w:tc>
      </w:tr>
    </w:tbl>
    <w:p>
      <w:pPr>
        <w:pStyle w:val="BodyText"/>
        <w:rPr>
          <w:sz w:val="26"/>
        </w:rPr>
      </w:pPr>
    </w:p>
    <w:p>
      <w:pPr>
        <w:pStyle w:val="BodyText"/>
        <w:rPr>
          <w:sz w:val="26"/>
        </w:rPr>
      </w:pPr>
    </w:p>
    <w:p>
      <w:pPr>
        <w:pStyle w:val="BodyText"/>
        <w:rPr>
          <w:sz w:val="26"/>
        </w:rPr>
      </w:pPr>
    </w:p>
    <w:p>
      <w:pPr>
        <w:pStyle w:val="BodyText"/>
        <w:tabs>
          <w:tab w:pos="5425" w:val="left" w:leader="none"/>
          <w:tab w:pos="6757" w:val="left" w:leader="none"/>
        </w:tabs>
        <w:spacing w:before="202"/>
        <w:ind w:left="928"/>
      </w:pPr>
      <w:r>
        <w:rPr>
          <w:strike/>
          <w:color w:val="2E97D3"/>
        </w:rPr>
        <w:t>ANALYSIS NARRATIVE</w:t>
      </w:r>
      <w:r>
        <w:rPr>
          <w:strike/>
          <w:color w:val="2E97D3"/>
          <w:spacing w:val="-2"/>
        </w:rPr>
        <w:t> </w:t>
      </w:r>
      <w:r>
        <w:rPr>
          <w:strike/>
          <w:color w:val="2E97D3"/>
        </w:rPr>
        <w:t>-</w:t>
      </w:r>
      <w:r>
        <w:rPr>
          <w:strike/>
          <w:color w:val="2E97D3"/>
          <w:spacing w:val="-3"/>
        </w:rPr>
        <w:t> </w:t>
      </w:r>
      <w:r>
        <w:rPr>
          <w:strike/>
          <w:color w:val="2E97D3"/>
        </w:rPr>
        <w:t>PAGE</w:t>
        <w:tab/>
        <w:t>OF</w:t>
        <w:tab/>
      </w:r>
    </w:p>
    <w:p>
      <w:pPr>
        <w:spacing w:after="0"/>
        <w:sectPr>
          <w:footerReference w:type="default" r:id="rId259"/>
          <w:pgSz w:w="12240" w:h="15840"/>
          <w:pgMar w:footer="1068" w:header="724" w:top="980" w:bottom="1260" w:left="620" w:right="1320"/>
        </w:sectPr>
      </w:pPr>
    </w:p>
    <w:p>
      <w:pPr>
        <w:pStyle w:val="BodyText"/>
        <w:rPr>
          <w:sz w:val="20"/>
        </w:rPr>
      </w:pPr>
      <w:r>
        <w:rPr/>
        <w:pict>
          <v:line style="position:absolute;mso-position-horizontal-relative:page;mso-position-vertical-relative:page;z-index:25552" from="36.360001pt,72pt" to="36.360001pt,733.2pt" stroked="true" strokeweight=".72pt" strokecolor="#000000">
            <v:stroke dashstyle="solid"/>
            <w10:wrap type="none"/>
          </v:line>
        </w:pict>
      </w:r>
    </w:p>
    <w:p>
      <w:pPr>
        <w:tabs>
          <w:tab w:pos="9647" w:val="left" w:leader="none"/>
        </w:tabs>
        <w:spacing w:before="214"/>
        <w:ind w:left="820" w:right="0" w:firstLine="0"/>
        <w:jc w:val="left"/>
        <w:rPr>
          <w:b/>
          <w:sz w:val="24"/>
        </w:rPr>
      </w:pPr>
      <w:r>
        <w:rPr>
          <w:b/>
          <w:sz w:val="24"/>
        </w:rPr>
        <w:t>FIVE-YEAR </w:t>
      </w:r>
      <w:r>
        <w:rPr>
          <w:b/>
          <w:strike/>
          <w:color w:val="2E97D3"/>
          <w:sz w:val="24"/>
        </w:rPr>
        <w:t>CAPITALIZED</w:t>
      </w:r>
      <w:r>
        <w:rPr>
          <w:b/>
          <w:strike/>
          <w:color w:val="2E97D3"/>
          <w:spacing w:val="-9"/>
          <w:sz w:val="24"/>
        </w:rPr>
        <w:t> </w:t>
      </w:r>
      <w:r>
        <w:rPr>
          <w:b/>
          <w:strike/>
          <w:color w:val="2E97D3"/>
          <w:sz w:val="24"/>
        </w:rPr>
        <w:t>ASSET</w:t>
      </w:r>
      <w:r>
        <w:rPr>
          <w:b/>
          <w:strike w:val="0"/>
          <w:color w:val="2E97D3"/>
          <w:sz w:val="24"/>
          <w:u w:val="thick" w:color="2E97D3"/>
        </w:rPr>
        <w:t>INFRASTRUCTURE</w:t>
      </w:r>
      <w:r>
        <w:rPr>
          <w:b/>
          <w:strike w:val="0"/>
          <w:color w:val="2E97D3"/>
          <w:spacing w:val="-5"/>
          <w:sz w:val="24"/>
          <w:u w:val="thick" w:color="2E97D3"/>
        </w:rPr>
        <w:t> </w:t>
      </w:r>
      <w:r>
        <w:rPr>
          <w:b/>
          <w:strike w:val="0"/>
          <w:sz w:val="24"/>
        </w:rPr>
        <w:t>PLAN</w:t>
        <w:tab/>
        <w:t>6820</w:t>
      </w:r>
    </w:p>
    <w:p>
      <w:pPr>
        <w:pStyle w:val="BodyText"/>
        <w:ind w:left="820"/>
      </w:pPr>
      <w:bookmarkStart w:name="(Revised 5/199811/2017)" w:id="78"/>
      <w:bookmarkEnd w:id="78"/>
      <w:r>
        <w:rPr/>
      </w:r>
      <w:r>
        <w:rPr/>
        <w:t>(Revised </w:t>
      </w:r>
      <w:r>
        <w:rPr>
          <w:strike/>
          <w:color w:val="2E97D3"/>
        </w:rPr>
        <w:t>5/1998</w:t>
      </w:r>
      <w:r>
        <w:rPr>
          <w:strike w:val="0"/>
          <w:color w:val="2E97D3"/>
          <w:u w:val="single" w:color="2E97D3"/>
        </w:rPr>
        <w:t>11/2017</w:t>
      </w:r>
      <w:r>
        <w:rPr>
          <w:strike w:val="0"/>
        </w:rPr>
        <w:t>)</w:t>
      </w:r>
    </w:p>
    <w:p>
      <w:pPr>
        <w:pStyle w:val="BodyText"/>
        <w:spacing w:before="120"/>
        <w:ind w:left="820" w:right="454"/>
      </w:pPr>
      <w:r>
        <w:rPr>
          <w:color w:val="2E97D3"/>
          <w:u w:val="single" w:color="2E97D3"/>
        </w:rPr>
        <w:t>The California Infrastructure Planning Act requires the Governor to submit a Five- Year Infrastructure Plan (Plan) to the Legislature in conjunction with the Governor’s Budget. The Plan identifies infrastructure needs statewide and sets out priorities for funding. The Plan also evaluates these infrastructure needs in the overall context of available funding sources, what the state could afford, and how the state could grow in the most sustainable way possible.</w:t>
      </w:r>
    </w:p>
    <w:p>
      <w:pPr>
        <w:pStyle w:val="BodyText"/>
        <w:spacing w:before="11"/>
        <w:rPr>
          <w:sz w:val="15"/>
        </w:rPr>
      </w:pPr>
    </w:p>
    <w:p>
      <w:pPr>
        <w:pStyle w:val="BodyText"/>
        <w:spacing w:before="92"/>
        <w:ind w:left="820" w:right="454"/>
      </w:pPr>
      <w:r>
        <w:rPr>
          <w:color w:val="2E97D3"/>
          <w:u w:val="single" w:color="2E97D3"/>
        </w:rPr>
        <w:t>As part of their Five-Year Plan submissions, departments with capital outlay needs are required to include the following information:</w:t>
      </w:r>
    </w:p>
    <w:p>
      <w:pPr>
        <w:pStyle w:val="BodyText"/>
        <w:spacing w:before="10"/>
        <w:rPr>
          <w:sz w:val="15"/>
        </w:rPr>
      </w:pPr>
    </w:p>
    <w:p>
      <w:pPr>
        <w:pStyle w:val="ListParagraph"/>
        <w:numPr>
          <w:ilvl w:val="0"/>
          <w:numId w:val="75"/>
        </w:numPr>
        <w:tabs>
          <w:tab w:pos="1180" w:val="left" w:leader="none"/>
        </w:tabs>
        <w:spacing w:line="240" w:lineRule="auto" w:before="93" w:after="0"/>
        <w:ind w:left="820" w:right="0" w:firstLine="0"/>
        <w:jc w:val="left"/>
        <w:rPr>
          <w:sz w:val="24"/>
        </w:rPr>
      </w:pPr>
      <w:r>
        <w:rPr>
          <w:color w:val="2E97D3"/>
          <w:sz w:val="24"/>
          <w:u w:val="single" w:color="2E97D3"/>
        </w:rPr>
        <w:t>Mission and program</w:t>
      </w:r>
      <w:r>
        <w:rPr>
          <w:color w:val="2E97D3"/>
          <w:spacing w:val="15"/>
          <w:sz w:val="24"/>
          <w:u w:val="single" w:color="2E97D3"/>
        </w:rPr>
        <w:t> </w:t>
      </w:r>
      <w:r>
        <w:rPr>
          <w:color w:val="2E97D3"/>
          <w:sz w:val="24"/>
          <w:u w:val="single" w:color="2E97D3"/>
        </w:rPr>
        <w:t>responsibilities,</w:t>
      </w:r>
    </w:p>
    <w:p>
      <w:pPr>
        <w:pStyle w:val="ListParagraph"/>
        <w:numPr>
          <w:ilvl w:val="0"/>
          <w:numId w:val="75"/>
        </w:numPr>
        <w:tabs>
          <w:tab w:pos="1180" w:val="left" w:leader="none"/>
        </w:tabs>
        <w:spacing w:line="240" w:lineRule="auto" w:before="0" w:after="0"/>
        <w:ind w:left="1180" w:right="0" w:hanging="360"/>
        <w:jc w:val="left"/>
        <w:rPr>
          <w:sz w:val="24"/>
        </w:rPr>
      </w:pPr>
      <w:r>
        <w:rPr>
          <w:color w:val="2E97D3"/>
          <w:sz w:val="24"/>
          <w:u w:val="single" w:color="2E97D3"/>
        </w:rPr>
        <w:t>Description of the department’s existing</w:t>
      </w:r>
      <w:r>
        <w:rPr>
          <w:color w:val="2E97D3"/>
          <w:spacing w:val="19"/>
          <w:sz w:val="24"/>
          <w:u w:val="single" w:color="2E97D3"/>
        </w:rPr>
        <w:t> </w:t>
      </w:r>
      <w:r>
        <w:rPr>
          <w:color w:val="2E97D3"/>
          <w:sz w:val="24"/>
          <w:u w:val="single" w:color="2E97D3"/>
        </w:rPr>
        <w:t>facilities,</w:t>
      </w:r>
    </w:p>
    <w:p>
      <w:pPr>
        <w:pStyle w:val="ListParagraph"/>
        <w:numPr>
          <w:ilvl w:val="0"/>
          <w:numId w:val="75"/>
        </w:numPr>
        <w:tabs>
          <w:tab w:pos="1180" w:val="left" w:leader="none"/>
        </w:tabs>
        <w:spacing w:line="240" w:lineRule="auto" w:before="0" w:after="0"/>
        <w:ind w:left="820" w:right="2602" w:firstLine="0"/>
        <w:jc w:val="left"/>
        <w:rPr>
          <w:sz w:val="24"/>
        </w:rPr>
      </w:pPr>
      <w:r>
        <w:rPr>
          <w:color w:val="2E97D3"/>
          <w:sz w:val="24"/>
          <w:u w:val="single" w:color="2E97D3"/>
        </w:rPr>
        <w:t>Summary of the department’s drivers of infrastructure needs, 13. Summary of the department’s</w:t>
      </w:r>
      <w:r>
        <w:rPr>
          <w:color w:val="2E97D3"/>
          <w:spacing w:val="-29"/>
          <w:sz w:val="24"/>
          <w:u w:val="single" w:color="2E97D3"/>
        </w:rPr>
        <w:t> </w:t>
      </w:r>
      <w:r>
        <w:rPr>
          <w:color w:val="2E97D3"/>
          <w:sz w:val="24"/>
          <w:u w:val="single" w:color="2E97D3"/>
        </w:rPr>
        <w:t>proposal,</w:t>
      </w:r>
    </w:p>
    <w:p>
      <w:pPr>
        <w:pStyle w:val="BodyText"/>
        <w:ind w:left="820" w:right="268"/>
      </w:pPr>
      <w:r>
        <w:rPr/>
        <w:pict>
          <v:group style="position:absolute;margin-left:71.574997pt;margin-top:25.765863pt;width:150.8pt;height:1.95pt;mso-position-horizontal-relative:page;mso-position-vertical-relative:paragraph;z-index:-447136" coordorigin="1431,515" coordsize="3016,39">
            <v:line style="position:absolute" from="1440,536" to="3391,536" stroked="true" strokeweight=".84pt" strokecolor="#2e97d3">
              <v:stroke dashstyle="solid"/>
            </v:line>
            <v:shape style="position:absolute;left:3391;top:520;width:1052;height:29" coordorigin="3391,520" coordsize="1052,29" path="m3391,520l4442,520m3391,549l4442,549e" filled="false" stroked="true" strokeweight=".48pt" strokecolor="#2c6234">
              <v:path arrowok="t"/>
              <v:stroke dashstyle="solid"/>
            </v:shape>
            <w10:wrap type="none"/>
          </v:group>
        </w:pict>
      </w:r>
      <w:r>
        <w:rPr>
          <w:color w:val="2E97D3"/>
          <w:u w:val="single" w:color="2E97D3"/>
        </w:rPr>
        <w:t>Description of how departments integrate climate adaptation strategies into planning </w:t>
      </w:r>
      <w:r>
        <w:rPr>
          <w:color w:val="2E97D3"/>
        </w:rPr>
        <w:t>their infrastructure </w:t>
      </w:r>
      <w:r>
        <w:rPr>
          <w:color w:val="2C6234"/>
        </w:rPr>
        <w:t>projects. </w:t>
      </w:r>
      <w:r>
        <w:rPr>
          <w:strike/>
          <w:color w:val="2E97D3"/>
        </w:rPr>
        <w:t>The five-year capitalized asset plan is a planning tool to help DOF and the Legislature review capital outlay projects and capitalized leases proposed for the budget year within the context of a multi-year program. Any department submitting a COBCP must also submit a five-year plan. The plan relates the department’s capital outlay program to its strategic plan, identifies needs by project (and by phase), and establishes priorities.</w:t>
      </w:r>
    </w:p>
    <w:p>
      <w:pPr>
        <w:spacing w:line="343" w:lineRule="auto" w:before="120"/>
        <w:ind w:left="820" w:right="2096" w:firstLine="0"/>
        <w:jc w:val="left"/>
        <w:rPr>
          <w:sz w:val="24"/>
        </w:rPr>
      </w:pPr>
      <w:r>
        <w:rPr>
          <w:strike/>
          <w:color w:val="2E97D3"/>
          <w:sz w:val="24"/>
        </w:rPr>
        <w:t>At a minimum, the five-year plan must include the following elements: 1.  </w:t>
      </w:r>
      <w:r>
        <w:rPr>
          <w:b/>
          <w:strike/>
          <w:color w:val="2E97D3"/>
          <w:sz w:val="24"/>
        </w:rPr>
        <w:t>A narrative overview of the five-year plan </w:t>
      </w:r>
      <w:r>
        <w:rPr>
          <w:strike/>
          <w:color w:val="2E97D3"/>
          <w:sz w:val="24"/>
        </w:rPr>
        <w:t>addressing both:</w:t>
      </w:r>
    </w:p>
    <w:p>
      <w:pPr>
        <w:pStyle w:val="ListParagraph"/>
        <w:numPr>
          <w:ilvl w:val="1"/>
          <w:numId w:val="75"/>
        </w:numPr>
        <w:tabs>
          <w:tab w:pos="1540" w:val="left" w:leader="none"/>
        </w:tabs>
        <w:spacing w:line="240" w:lineRule="auto" w:before="4" w:after="0"/>
        <w:ind w:left="1540" w:right="137" w:hanging="360"/>
        <w:jc w:val="left"/>
        <w:rPr>
          <w:sz w:val="24"/>
        </w:rPr>
      </w:pPr>
      <w:r>
        <w:rPr>
          <w:b/>
          <w:strike/>
          <w:color w:val="2E97D3"/>
          <w:sz w:val="24"/>
        </w:rPr>
        <w:t>Program factors: </w:t>
      </w:r>
      <w:r>
        <w:rPr>
          <w:strike/>
          <w:color w:val="2E97D3"/>
          <w:sz w:val="24"/>
        </w:rPr>
        <w:t>What has created the need for capital outlay (from a program perspective), and what are the future trends? Discuss program population, enrollment, caseload, or other growth trends, including changing methods or locations of service delivery and new service requirements</w:t>
      </w:r>
      <w:r>
        <w:rPr>
          <w:i/>
          <w:strike/>
          <w:color w:val="2E97D3"/>
          <w:sz w:val="24"/>
        </w:rPr>
        <w:t>. Relate program </w:t>
      </w:r>
      <w:r>
        <w:rPr>
          <w:i/>
          <w:strike/>
          <w:color w:val="2E97D3"/>
          <w:sz w:val="24"/>
        </w:rPr>
        <w:t>needs to the department’s strategic plan.  </w:t>
      </w:r>
      <w:r>
        <w:rPr>
          <w:strike/>
          <w:color w:val="2E97D3"/>
          <w:sz w:val="24"/>
        </w:rPr>
        <w:t>Discuss those needs in at least as much detail as presented in the </w:t>
      </w:r>
      <w:r>
        <w:rPr>
          <w:i/>
          <w:strike/>
          <w:color w:val="2E97D3"/>
          <w:sz w:val="24"/>
        </w:rPr>
        <w:t>Governor’s Budget </w:t>
      </w:r>
      <w:r>
        <w:rPr>
          <w:strike/>
          <w:color w:val="2E97D3"/>
          <w:sz w:val="24"/>
        </w:rPr>
        <w:t>(i.e., at the program, element, or component level, whichever is appropriate.) Cite DOF or other DOF-approved organization statistics and projections, and changes in statute driving program needs.</w:t>
      </w:r>
    </w:p>
    <w:p>
      <w:pPr>
        <w:pStyle w:val="ListParagraph"/>
        <w:numPr>
          <w:ilvl w:val="1"/>
          <w:numId w:val="75"/>
        </w:numPr>
        <w:tabs>
          <w:tab w:pos="1540" w:val="left" w:leader="none"/>
        </w:tabs>
        <w:spacing w:line="240" w:lineRule="auto" w:before="119" w:after="0"/>
        <w:ind w:left="1540" w:right="284" w:hanging="360"/>
        <w:jc w:val="left"/>
        <w:rPr>
          <w:sz w:val="24"/>
        </w:rPr>
      </w:pPr>
      <w:r>
        <w:rPr>
          <w:b/>
          <w:strike/>
          <w:color w:val="2E97D3"/>
          <w:sz w:val="24"/>
        </w:rPr>
        <w:t>Infrastructure management factors: </w:t>
      </w:r>
      <w:r>
        <w:rPr>
          <w:strike/>
          <w:color w:val="2E97D3"/>
          <w:sz w:val="24"/>
        </w:rPr>
        <w:t>What structural corrections are required, and why? Discuss facility aging, code compliance, and structural deficiencies unrelated to program factors.  As appropriate, cite changes in codes or</w:t>
      </w:r>
      <w:r>
        <w:rPr>
          <w:strike/>
          <w:color w:val="2E97D3"/>
          <w:spacing w:val="-36"/>
          <w:sz w:val="24"/>
        </w:rPr>
        <w:t> </w:t>
      </w:r>
      <w:r>
        <w:rPr>
          <w:strike/>
          <w:color w:val="2E97D3"/>
          <w:sz w:val="24"/>
        </w:rPr>
        <w:t>statutes.</w:t>
      </w:r>
    </w:p>
    <w:p>
      <w:pPr>
        <w:pStyle w:val="BodyText"/>
        <w:tabs>
          <w:tab w:pos="1194" w:val="left" w:leader="none"/>
        </w:tabs>
        <w:spacing w:before="119"/>
        <w:ind w:left="1180" w:right="123" w:hanging="360"/>
      </w:pPr>
      <w:r>
        <w:rPr>
          <w:strike/>
          <w:color w:val="2E97D3"/>
          <w:w w:val="100"/>
        </w:rPr>
        <w:t> </w:t>
      </w:r>
      <w:r>
        <w:rPr>
          <w:strike/>
          <w:color w:val="2E97D3"/>
        </w:rPr>
        <w:tab/>
        <w:tab/>
        <w:t>.....</w:t>
      </w:r>
      <w:r>
        <w:rPr>
          <w:strike/>
          <w:color w:val="2E97D3"/>
          <w:spacing w:val="-37"/>
        </w:rPr>
        <w:t> </w:t>
      </w:r>
      <w:r>
        <w:rPr>
          <w:strike/>
          <w:color w:val="2E97D3"/>
        </w:rPr>
        <w:t>If</w:t>
      </w:r>
      <w:r>
        <w:rPr>
          <w:strike/>
          <w:color w:val="2E97D3"/>
          <w:spacing w:val="-3"/>
        </w:rPr>
        <w:t> </w:t>
      </w:r>
      <w:r>
        <w:rPr>
          <w:strike/>
          <w:color w:val="2E97D3"/>
        </w:rPr>
        <w:t>the</w:t>
      </w:r>
      <w:r>
        <w:rPr>
          <w:strike/>
          <w:color w:val="2E97D3"/>
          <w:spacing w:val="-3"/>
        </w:rPr>
        <w:t> </w:t>
      </w:r>
      <w:r>
        <w:rPr>
          <w:strike/>
          <w:color w:val="2E97D3"/>
        </w:rPr>
        <w:t>department</w:t>
      </w:r>
      <w:r>
        <w:rPr>
          <w:strike/>
          <w:color w:val="2E97D3"/>
          <w:spacing w:val="-6"/>
        </w:rPr>
        <w:t> </w:t>
      </w:r>
      <w:r>
        <w:rPr>
          <w:strike/>
          <w:color w:val="2E97D3"/>
        </w:rPr>
        <w:t>produces</w:t>
      </w:r>
      <w:r>
        <w:rPr>
          <w:strike/>
          <w:color w:val="2E97D3"/>
          <w:spacing w:val="-4"/>
        </w:rPr>
        <w:t> </w:t>
      </w:r>
      <w:r>
        <w:rPr>
          <w:strike/>
          <w:color w:val="2E97D3"/>
        </w:rPr>
        <w:t>a</w:t>
      </w:r>
      <w:r>
        <w:rPr>
          <w:strike/>
          <w:color w:val="2E97D3"/>
          <w:spacing w:val="-5"/>
        </w:rPr>
        <w:t> </w:t>
      </w:r>
      <w:r>
        <w:rPr>
          <w:strike/>
          <w:color w:val="2E97D3"/>
        </w:rPr>
        <w:t>real</w:t>
      </w:r>
      <w:r>
        <w:rPr>
          <w:strike/>
          <w:color w:val="2E97D3"/>
          <w:spacing w:val="-4"/>
        </w:rPr>
        <w:t> </w:t>
      </w:r>
      <w:r>
        <w:rPr>
          <w:strike/>
          <w:color w:val="2E97D3"/>
        </w:rPr>
        <w:t>asset</w:t>
      </w:r>
      <w:r>
        <w:rPr>
          <w:strike/>
          <w:color w:val="2E97D3"/>
          <w:spacing w:val="-6"/>
        </w:rPr>
        <w:t> </w:t>
      </w:r>
      <w:r>
        <w:rPr>
          <w:strike/>
          <w:color w:val="2E97D3"/>
        </w:rPr>
        <w:t>management</w:t>
      </w:r>
      <w:r>
        <w:rPr>
          <w:strike/>
          <w:color w:val="2E97D3"/>
          <w:spacing w:val="-3"/>
        </w:rPr>
        <w:t> </w:t>
      </w:r>
      <w:r>
        <w:rPr>
          <w:strike/>
          <w:color w:val="2E97D3"/>
        </w:rPr>
        <w:t>plan,</w:t>
      </w:r>
      <w:r>
        <w:rPr>
          <w:strike/>
          <w:color w:val="2E97D3"/>
          <w:spacing w:val="-6"/>
        </w:rPr>
        <w:t> </w:t>
      </w:r>
      <w:r>
        <w:rPr>
          <w:strike/>
          <w:color w:val="2E97D3"/>
        </w:rPr>
        <w:t>facilities</w:t>
      </w:r>
      <w:r>
        <w:rPr>
          <w:strike/>
          <w:color w:val="2E97D3"/>
          <w:spacing w:val="-6"/>
        </w:rPr>
        <w:t> </w:t>
      </w:r>
      <w:r>
        <w:rPr>
          <w:strike/>
          <w:color w:val="2E97D3"/>
        </w:rPr>
        <w:t>management</w:t>
      </w:r>
      <w:r>
        <w:rPr>
          <w:strike w:val="0"/>
          <w:color w:val="2E97D3"/>
          <w:w w:val="99"/>
        </w:rPr>
        <w:t> </w:t>
      </w:r>
      <w:r>
        <w:rPr>
          <w:strike/>
          <w:color w:val="2E97D3"/>
        </w:rPr>
        <w:t>plan, or master facilities plan which provides the preceding information, a copy of that plan may be substituted for the narrative</w:t>
      </w:r>
      <w:r>
        <w:rPr>
          <w:strike/>
          <w:color w:val="2E97D3"/>
          <w:spacing w:val="-29"/>
        </w:rPr>
        <w:t> </w:t>
      </w:r>
      <w:r>
        <w:rPr>
          <w:strike/>
          <w:color w:val="2E97D3"/>
        </w:rPr>
        <w:t>overview.</w:t>
      </w:r>
    </w:p>
    <w:p>
      <w:pPr>
        <w:pStyle w:val="ListParagraph"/>
        <w:numPr>
          <w:ilvl w:val="0"/>
          <w:numId w:val="76"/>
        </w:numPr>
        <w:tabs>
          <w:tab w:pos="1180" w:val="left" w:leader="none"/>
        </w:tabs>
        <w:spacing w:line="240" w:lineRule="auto" w:before="119" w:after="0"/>
        <w:ind w:left="1180" w:right="380" w:hanging="360"/>
        <w:jc w:val="left"/>
        <w:rPr>
          <w:color w:val="2E97D3"/>
          <w:sz w:val="24"/>
        </w:rPr>
      </w:pPr>
      <w:r>
        <w:rPr>
          <w:b/>
          <w:strike/>
          <w:color w:val="2E97D3"/>
          <w:spacing w:val="-3"/>
          <w:sz w:val="24"/>
        </w:rPr>
        <w:t>An </w:t>
      </w:r>
      <w:r>
        <w:rPr>
          <w:b/>
          <w:strike/>
          <w:color w:val="2E97D3"/>
          <w:sz w:val="24"/>
        </w:rPr>
        <w:t>overview of real estate </w:t>
      </w:r>
      <w:r>
        <w:rPr>
          <w:strike/>
          <w:color w:val="2E97D3"/>
          <w:sz w:val="24"/>
        </w:rPr>
        <w:t>used/owned by department which shows the total of acres/square feet (both gross and usable/assigned) for state-owned versus</w:t>
      </w:r>
      <w:r>
        <w:rPr>
          <w:strike/>
          <w:color w:val="2E97D3"/>
          <w:spacing w:val="-39"/>
          <w:sz w:val="24"/>
        </w:rPr>
        <w:t> </w:t>
      </w:r>
      <w:r>
        <w:rPr>
          <w:strike/>
          <w:color w:val="2E97D3"/>
          <w:sz w:val="24"/>
        </w:rPr>
        <w:t>leased space.  Categorize leased space</w:t>
      </w:r>
      <w:r>
        <w:rPr>
          <w:strike/>
          <w:color w:val="2E97D3"/>
          <w:spacing w:val="-17"/>
          <w:sz w:val="24"/>
        </w:rPr>
        <w:t> </w:t>
      </w:r>
      <w:r>
        <w:rPr>
          <w:strike/>
          <w:color w:val="2E97D3"/>
          <w:sz w:val="24"/>
        </w:rPr>
        <w:t>by:</w:t>
      </w:r>
    </w:p>
    <w:p>
      <w:pPr>
        <w:pStyle w:val="ListParagraph"/>
        <w:numPr>
          <w:ilvl w:val="1"/>
          <w:numId w:val="76"/>
        </w:numPr>
        <w:tabs>
          <w:tab w:pos="1540" w:val="left" w:leader="none"/>
        </w:tabs>
        <w:spacing w:line="240" w:lineRule="auto" w:before="119" w:after="0"/>
        <w:ind w:left="1180" w:right="0" w:firstLine="0"/>
        <w:jc w:val="left"/>
        <w:rPr>
          <w:sz w:val="24"/>
        </w:rPr>
      </w:pPr>
      <w:r>
        <w:rPr>
          <w:strike/>
          <w:color w:val="2E97D3"/>
          <w:sz w:val="24"/>
        </w:rPr>
        <w:t>Leased space under lease-purchase</w:t>
      </w:r>
      <w:r>
        <w:rPr>
          <w:strike/>
          <w:color w:val="2E97D3"/>
          <w:spacing w:val="-21"/>
          <w:sz w:val="24"/>
        </w:rPr>
        <w:t> </w:t>
      </w:r>
      <w:r>
        <w:rPr>
          <w:strike/>
          <w:color w:val="2E97D3"/>
          <w:sz w:val="24"/>
        </w:rPr>
        <w:t>agreement;</w:t>
      </w:r>
    </w:p>
    <w:p>
      <w:pPr>
        <w:spacing w:after="0" w:line="240" w:lineRule="auto"/>
        <w:jc w:val="left"/>
        <w:rPr>
          <w:sz w:val="24"/>
        </w:rPr>
        <w:sectPr>
          <w:footerReference w:type="default" r:id="rId260"/>
          <w:pgSz w:w="12240" w:h="15840"/>
          <w:pgMar w:footer="792" w:header="724" w:top="980" w:bottom="980" w:left="620" w:right="1320"/>
        </w:sectPr>
      </w:pPr>
    </w:p>
    <w:p>
      <w:pPr>
        <w:pStyle w:val="BodyText"/>
        <w:rPr>
          <w:sz w:val="20"/>
        </w:rPr>
      </w:pPr>
    </w:p>
    <w:p>
      <w:pPr>
        <w:pStyle w:val="ListParagraph"/>
        <w:numPr>
          <w:ilvl w:val="1"/>
          <w:numId w:val="76"/>
        </w:numPr>
        <w:tabs>
          <w:tab w:pos="1540" w:val="left" w:leader="none"/>
        </w:tabs>
        <w:spacing w:line="343" w:lineRule="auto" w:before="214" w:after="0"/>
        <w:ind w:left="1180" w:right="4097" w:firstLine="0"/>
        <w:jc w:val="left"/>
        <w:rPr>
          <w:sz w:val="24"/>
        </w:rPr>
      </w:pPr>
      <w:r>
        <w:rPr/>
        <w:pict>
          <v:line style="position:absolute;mso-position-horizontal-relative:page;mso-position-vertical-relative:paragraph;z-index:25576" from="36.360001pt,10.915881pt" to="36.360001pt,149.635881pt" stroked="true" strokeweight=".72pt" strokecolor="#000000">
            <v:stroke dashstyle="solid"/>
            <w10:wrap type="none"/>
          </v:line>
        </w:pict>
      </w:r>
      <w:r>
        <w:rPr>
          <w:strike/>
          <w:color w:val="2E97D3"/>
          <w:sz w:val="24"/>
        </w:rPr>
        <w:t>Leased space with purchase options; and c.   Pure (straight)</w:t>
      </w:r>
      <w:r>
        <w:rPr>
          <w:strike/>
          <w:color w:val="2E97D3"/>
          <w:spacing w:val="-38"/>
          <w:sz w:val="24"/>
        </w:rPr>
        <w:t> </w:t>
      </w:r>
      <w:r>
        <w:rPr>
          <w:strike/>
          <w:color w:val="2E97D3"/>
          <w:sz w:val="24"/>
        </w:rPr>
        <w:t>leases.</w:t>
      </w:r>
    </w:p>
    <w:p>
      <w:pPr>
        <w:pStyle w:val="BodyText"/>
        <w:tabs>
          <w:tab w:pos="1179" w:val="left" w:leader="none"/>
        </w:tabs>
        <w:spacing w:before="4"/>
        <w:ind w:left="1180" w:right="109" w:hanging="360"/>
      </w:pPr>
      <w:r>
        <w:rPr>
          <w:strike/>
          <w:color w:val="2E97D3"/>
          <w:w w:val="100"/>
        </w:rPr>
        <w:t> </w:t>
      </w:r>
      <w:r>
        <w:rPr>
          <w:strike/>
          <w:color w:val="2E97D3"/>
        </w:rPr>
        <w:tab/>
        <w:t>Use the format provided in 6820 Illustration 1 of this section.</w:t>
      </w:r>
      <w:r>
        <w:rPr>
          <w:strike/>
          <w:color w:val="2E97D3"/>
          <w:spacing w:val="29"/>
        </w:rPr>
        <w:t> </w:t>
      </w:r>
      <w:r>
        <w:rPr>
          <w:strike/>
          <w:color w:val="2E97D3"/>
        </w:rPr>
        <w:t>Separate</w:t>
      </w:r>
      <w:r>
        <w:rPr>
          <w:strike/>
          <w:color w:val="2E97D3"/>
          <w:spacing w:val="-2"/>
        </w:rPr>
        <w:t> </w:t>
      </w:r>
      <w:r>
        <w:rPr>
          <w:strike/>
          <w:color w:val="2E97D3"/>
        </w:rPr>
        <w:t>instructions</w:t>
      </w:r>
      <w:r>
        <w:rPr>
          <w:strike w:val="0"/>
          <w:color w:val="2E97D3"/>
          <w:w w:val="99"/>
        </w:rPr>
        <w:t> </w:t>
      </w:r>
      <w:r>
        <w:rPr>
          <w:strike/>
          <w:color w:val="2E97D3"/>
        </w:rPr>
        <w:t>apply for the higher education segments; contact the DOF Capital Outlay</w:t>
      </w:r>
      <w:r>
        <w:rPr>
          <w:strike/>
          <w:color w:val="2E97D3"/>
          <w:spacing w:val="-35"/>
        </w:rPr>
        <w:t> </w:t>
      </w:r>
      <w:r>
        <w:rPr>
          <w:strike/>
          <w:color w:val="2E97D3"/>
        </w:rPr>
        <w:t>Unit.</w:t>
      </w:r>
    </w:p>
    <w:p>
      <w:pPr>
        <w:pStyle w:val="BodyText"/>
        <w:rPr>
          <w:sz w:val="20"/>
        </w:rPr>
      </w:pPr>
    </w:p>
    <w:p>
      <w:pPr>
        <w:pStyle w:val="BodyText"/>
        <w:spacing w:before="9"/>
        <w:rPr>
          <w:sz w:val="16"/>
        </w:rPr>
      </w:pPr>
    </w:p>
    <w:p>
      <w:pPr>
        <w:pStyle w:val="BodyText"/>
        <w:spacing w:before="92"/>
        <w:ind w:left="820"/>
      </w:pPr>
      <w:r>
        <w:rPr>
          <w:strike/>
          <w:color w:val="2E97D3"/>
        </w:rPr>
        <w:t>(Continued)</w:t>
      </w:r>
    </w:p>
    <w:p>
      <w:pPr>
        <w:spacing w:after="0"/>
        <w:sectPr>
          <w:pgSz w:w="12240" w:h="15840"/>
          <w:pgMar w:header="724" w:footer="792" w:top="980" w:bottom="980" w:left="620" w:right="1560"/>
        </w:sectPr>
      </w:pPr>
    </w:p>
    <w:p>
      <w:pPr>
        <w:pStyle w:val="BodyText"/>
        <w:rPr>
          <w:sz w:val="20"/>
        </w:rPr>
      </w:pPr>
      <w:r>
        <w:rPr/>
        <w:pict>
          <v:line style="position:absolute;mso-position-horizontal-relative:page;mso-position-vertical-relative:page;z-index:25624" from="36.360001pt,72pt" to="36.360001pt,743.4pt" stroked="true" strokeweight=".72pt" strokecolor="#000000">
            <v:stroke dashstyle="solid"/>
            <w10:wrap type="none"/>
          </v:line>
        </w:pict>
      </w:r>
    </w:p>
    <w:p>
      <w:pPr>
        <w:pStyle w:val="BodyText"/>
        <w:spacing w:before="214"/>
        <w:ind w:left="820"/>
      </w:pPr>
      <w:r>
        <w:rPr>
          <w:strike/>
          <w:color w:val="2E97D3"/>
        </w:rPr>
        <w:t>(Continued)</w:t>
      </w:r>
    </w:p>
    <w:p>
      <w:pPr>
        <w:pStyle w:val="Heading2"/>
        <w:tabs>
          <w:tab w:pos="8646" w:val="left" w:leader="none"/>
        </w:tabs>
        <w:ind w:left="820"/>
        <w:rPr>
          <w:b w:val="0"/>
        </w:rPr>
      </w:pPr>
      <w:r>
        <w:rPr/>
        <w:pict>
          <v:line style="position:absolute;mso-position-horizontal-relative:page;mso-position-vertical-relative:paragraph;z-index:-447064" from="72pt,8.435833pt" to="540pt,8.435833pt" stroked="true" strokeweight=".6pt" strokecolor="#2e97d3">
            <v:stroke dashstyle="solid"/>
            <w10:wrap type="none"/>
          </v:line>
        </w:pict>
      </w:r>
      <w:r>
        <w:rPr>
          <w:color w:val="2E97D3"/>
        </w:rPr>
        <w:t>FIVE-YEAR CAPITALIZED</w:t>
      </w:r>
      <w:r>
        <w:rPr>
          <w:color w:val="2E97D3"/>
          <w:spacing w:val="-7"/>
        </w:rPr>
        <w:t> </w:t>
      </w:r>
      <w:r>
        <w:rPr>
          <w:color w:val="2E97D3"/>
        </w:rPr>
        <w:t>ASSET</w:t>
      </w:r>
      <w:r>
        <w:rPr>
          <w:color w:val="2E97D3"/>
          <w:spacing w:val="-5"/>
        </w:rPr>
        <w:t> </w:t>
      </w:r>
      <w:r>
        <w:rPr>
          <w:color w:val="2E97D3"/>
        </w:rPr>
        <w:t>PLAN</w:t>
        <w:tab/>
        <w:t>6820 </w:t>
      </w:r>
      <w:r>
        <w:rPr>
          <w:b w:val="0"/>
          <w:color w:val="2E97D3"/>
        </w:rPr>
        <w:t>(Cont.</w:t>
      </w:r>
      <w:r>
        <w:rPr>
          <w:b w:val="0"/>
          <w:color w:val="2E97D3"/>
          <w:spacing w:val="-6"/>
        </w:rPr>
        <w:t> </w:t>
      </w:r>
      <w:r>
        <w:rPr>
          <w:b w:val="0"/>
          <w:color w:val="2E97D3"/>
        </w:rPr>
        <w:t>1)</w:t>
      </w:r>
    </w:p>
    <w:p>
      <w:pPr>
        <w:pStyle w:val="BodyText"/>
        <w:ind w:left="820"/>
      </w:pPr>
      <w:r>
        <w:rPr>
          <w:strike/>
          <w:color w:val="2E97D3"/>
        </w:rPr>
        <w:t>(Revised 5/1998)</w:t>
      </w:r>
    </w:p>
    <w:p>
      <w:pPr>
        <w:pStyle w:val="BodyText"/>
        <w:spacing w:before="4"/>
        <w:rPr>
          <w:sz w:val="26"/>
        </w:rPr>
      </w:pPr>
    </w:p>
    <w:p>
      <w:pPr>
        <w:pStyle w:val="Heading2"/>
        <w:numPr>
          <w:ilvl w:val="0"/>
          <w:numId w:val="76"/>
        </w:numPr>
        <w:tabs>
          <w:tab w:pos="1180" w:val="left" w:leader="none"/>
        </w:tabs>
        <w:spacing w:line="240" w:lineRule="auto" w:before="93" w:after="0"/>
        <w:ind w:left="1180" w:right="0" w:hanging="360"/>
        <w:jc w:val="left"/>
        <w:rPr>
          <w:color w:val="2E97D3"/>
        </w:rPr>
      </w:pPr>
      <w:r>
        <w:rPr>
          <w:strike/>
          <w:color w:val="2E97D3"/>
        </w:rPr>
        <w:t>Leasing</w:t>
      </w:r>
      <w:r>
        <w:rPr>
          <w:strike/>
          <w:color w:val="2E97D3"/>
          <w:spacing w:val="-12"/>
        </w:rPr>
        <w:t> </w:t>
      </w:r>
      <w:r>
        <w:rPr>
          <w:strike/>
          <w:color w:val="2E97D3"/>
        </w:rPr>
        <w:t>information:</w:t>
      </w:r>
    </w:p>
    <w:p>
      <w:pPr>
        <w:pStyle w:val="ListParagraph"/>
        <w:numPr>
          <w:ilvl w:val="1"/>
          <w:numId w:val="76"/>
        </w:numPr>
        <w:tabs>
          <w:tab w:pos="1540" w:val="left" w:leader="none"/>
        </w:tabs>
        <w:spacing w:line="240" w:lineRule="auto" w:before="120" w:after="0"/>
        <w:ind w:left="1540" w:right="578" w:hanging="360"/>
        <w:jc w:val="left"/>
        <w:rPr>
          <w:sz w:val="24"/>
        </w:rPr>
      </w:pPr>
      <w:r>
        <w:rPr>
          <w:strike/>
          <w:color w:val="2E97D3"/>
          <w:sz w:val="24"/>
        </w:rPr>
        <w:t>A list of leases due to expire in the next five years by location, facility type, square footage, annual lease payment, and year of expiration. Note which of these leases has a purchase option and the amount of that option. Use the format in 6820 Illustration 2 Chart A of this</w:t>
      </w:r>
      <w:r>
        <w:rPr>
          <w:strike/>
          <w:color w:val="2E97D3"/>
          <w:spacing w:val="-22"/>
          <w:sz w:val="24"/>
        </w:rPr>
        <w:t> </w:t>
      </w:r>
      <w:r>
        <w:rPr>
          <w:strike/>
          <w:color w:val="2E97D3"/>
          <w:sz w:val="24"/>
        </w:rPr>
        <w:t>section.</w:t>
      </w:r>
    </w:p>
    <w:p>
      <w:pPr>
        <w:pStyle w:val="ListParagraph"/>
        <w:numPr>
          <w:ilvl w:val="1"/>
          <w:numId w:val="76"/>
        </w:numPr>
        <w:tabs>
          <w:tab w:pos="1540" w:val="left" w:leader="none"/>
        </w:tabs>
        <w:spacing w:line="240" w:lineRule="auto" w:before="120" w:after="0"/>
        <w:ind w:left="1540" w:right="628" w:hanging="360"/>
        <w:jc w:val="left"/>
        <w:rPr>
          <w:sz w:val="24"/>
        </w:rPr>
      </w:pPr>
      <w:r>
        <w:rPr>
          <w:strike/>
          <w:color w:val="2E97D3"/>
          <w:sz w:val="24"/>
        </w:rPr>
        <w:t>A list of any proposed new purchase options or lease-purchase agreements within the next five-year period, by location, facility type, and square footage. Use the format in 6820 Illustration 2 Chart B and 2 Chart C of this</w:t>
      </w:r>
      <w:r>
        <w:rPr>
          <w:strike/>
          <w:color w:val="2E97D3"/>
          <w:spacing w:val="-30"/>
          <w:sz w:val="24"/>
        </w:rPr>
        <w:t> </w:t>
      </w:r>
      <w:r>
        <w:rPr>
          <w:strike/>
          <w:color w:val="2E97D3"/>
          <w:sz w:val="24"/>
        </w:rPr>
        <w:t>section.</w:t>
      </w:r>
    </w:p>
    <w:p>
      <w:pPr>
        <w:pStyle w:val="BodyText"/>
        <w:tabs>
          <w:tab w:pos="1179" w:val="left" w:leader="none"/>
        </w:tabs>
        <w:spacing w:before="120"/>
        <w:ind w:left="1180" w:right="379" w:hanging="360"/>
      </w:pPr>
      <w:r>
        <w:rPr>
          <w:strike/>
          <w:color w:val="2E97D3"/>
          <w:w w:val="100"/>
        </w:rPr>
        <w:t> </w:t>
      </w:r>
      <w:r>
        <w:rPr>
          <w:strike/>
          <w:color w:val="2E97D3"/>
        </w:rPr>
        <w:tab/>
        <w:t>DGS has a data base called the State Property Inventory (SPI)</w:t>
      </w:r>
      <w:r>
        <w:rPr>
          <w:strike/>
          <w:color w:val="2E97D3"/>
          <w:spacing w:val="-35"/>
        </w:rPr>
        <w:t> </w:t>
      </w:r>
      <w:r>
        <w:rPr>
          <w:strike/>
          <w:color w:val="2E97D3"/>
        </w:rPr>
        <w:t>which</w:t>
      </w:r>
      <w:r>
        <w:rPr>
          <w:strike/>
          <w:color w:val="2E97D3"/>
          <w:spacing w:val="-3"/>
        </w:rPr>
        <w:t> </w:t>
      </w:r>
      <w:r>
        <w:rPr>
          <w:strike/>
          <w:color w:val="2E97D3"/>
        </w:rPr>
        <w:t>departments</w:t>
      </w:r>
      <w:r>
        <w:rPr>
          <w:strike w:val="0"/>
          <w:color w:val="2E97D3"/>
        </w:rPr>
        <w:t> </w:t>
      </w:r>
      <w:r>
        <w:rPr>
          <w:strike/>
          <w:color w:val="2E97D3"/>
        </w:rPr>
        <w:t>may find helpful in developing information on leases. This data base is accessible through the Stephen P. Teale Data Center. For further information, contact the Business Operations Policy and Planning Branch in DGS’ Real Estate Services Division.</w:t>
      </w:r>
    </w:p>
    <w:p>
      <w:pPr>
        <w:pStyle w:val="BodyText"/>
        <w:tabs>
          <w:tab w:pos="1179" w:val="left" w:leader="none"/>
        </w:tabs>
        <w:spacing w:before="120"/>
        <w:ind w:left="1180" w:right="643" w:hanging="360"/>
      </w:pPr>
      <w:r>
        <w:rPr>
          <w:strike/>
          <w:color w:val="2E97D3"/>
          <w:w w:val="100"/>
        </w:rPr>
        <w:t> </w:t>
      </w:r>
      <w:r>
        <w:rPr>
          <w:strike/>
          <w:color w:val="2E97D3"/>
        </w:rPr>
        <w:tab/>
        <w:t>Separate instructions apply for the higher education segments; contact</w:t>
      </w:r>
      <w:r>
        <w:rPr>
          <w:strike/>
          <w:color w:val="2E97D3"/>
          <w:spacing w:val="-35"/>
        </w:rPr>
        <w:t> </w:t>
      </w:r>
      <w:r>
        <w:rPr>
          <w:strike/>
          <w:color w:val="2E97D3"/>
        </w:rPr>
        <w:t>the</w:t>
      </w:r>
      <w:r>
        <w:rPr>
          <w:strike/>
          <w:color w:val="2E97D3"/>
          <w:spacing w:val="-3"/>
        </w:rPr>
        <w:t> </w:t>
      </w:r>
      <w:r>
        <w:rPr>
          <w:strike/>
          <w:color w:val="2E97D3"/>
        </w:rPr>
        <w:t>DOF</w:t>
      </w:r>
      <w:r>
        <w:rPr>
          <w:strike w:val="0"/>
          <w:color w:val="2E97D3"/>
          <w:w w:val="100"/>
        </w:rPr>
        <w:t> </w:t>
      </w:r>
      <w:r>
        <w:rPr>
          <w:strike/>
          <w:color w:val="2E97D3"/>
        </w:rPr>
        <w:t>Capital Outlay</w:t>
      </w:r>
      <w:r>
        <w:rPr>
          <w:strike/>
          <w:color w:val="2E97D3"/>
          <w:spacing w:val="-9"/>
        </w:rPr>
        <w:t> </w:t>
      </w:r>
      <w:r>
        <w:rPr>
          <w:strike/>
          <w:color w:val="2E97D3"/>
        </w:rPr>
        <w:t>unit.</w:t>
      </w:r>
    </w:p>
    <w:p>
      <w:pPr>
        <w:pStyle w:val="ListParagraph"/>
        <w:numPr>
          <w:ilvl w:val="0"/>
          <w:numId w:val="76"/>
        </w:numPr>
        <w:tabs>
          <w:tab w:pos="1180" w:val="left" w:leader="none"/>
        </w:tabs>
        <w:spacing w:line="240" w:lineRule="auto" w:before="120" w:after="0"/>
        <w:ind w:left="1180" w:right="1001" w:hanging="360"/>
        <w:jc w:val="left"/>
        <w:rPr>
          <w:color w:val="2E97D3"/>
          <w:sz w:val="24"/>
        </w:rPr>
      </w:pPr>
      <w:r>
        <w:rPr>
          <w:b/>
          <w:strike/>
          <w:color w:val="2E97D3"/>
          <w:sz w:val="24"/>
        </w:rPr>
        <w:t>A map </w:t>
      </w:r>
      <w:r>
        <w:rPr>
          <w:strike/>
          <w:color w:val="2E97D3"/>
          <w:sz w:val="24"/>
        </w:rPr>
        <w:t>showing the location of the department’s statewide operations (major facilities and land</w:t>
      </w:r>
      <w:r>
        <w:rPr>
          <w:strike/>
          <w:color w:val="2E97D3"/>
          <w:spacing w:val="-17"/>
          <w:sz w:val="24"/>
        </w:rPr>
        <w:t> </w:t>
      </w:r>
      <w:r>
        <w:rPr>
          <w:strike/>
          <w:color w:val="2E97D3"/>
          <w:sz w:val="24"/>
        </w:rPr>
        <w:t>holdings).</w:t>
      </w:r>
    </w:p>
    <w:p>
      <w:pPr>
        <w:pStyle w:val="BodyText"/>
        <w:spacing w:before="10"/>
        <w:rPr>
          <w:sz w:val="20"/>
        </w:rPr>
      </w:pPr>
    </w:p>
    <w:p>
      <w:pPr>
        <w:pStyle w:val="ListParagraph"/>
        <w:numPr>
          <w:ilvl w:val="0"/>
          <w:numId w:val="76"/>
        </w:numPr>
        <w:tabs>
          <w:tab w:pos="1180" w:val="left" w:leader="none"/>
        </w:tabs>
        <w:spacing w:line="240" w:lineRule="auto" w:before="0" w:after="0"/>
        <w:ind w:left="1180" w:right="337" w:hanging="360"/>
        <w:jc w:val="both"/>
        <w:rPr>
          <w:color w:val="2E97D3"/>
          <w:sz w:val="24"/>
        </w:rPr>
      </w:pPr>
      <w:r>
        <w:rPr>
          <w:b/>
          <w:strike/>
          <w:color w:val="2E97D3"/>
          <w:sz w:val="24"/>
        </w:rPr>
        <w:t>A listing, by project, showing basic project background information</w:t>
      </w:r>
      <w:r>
        <w:rPr>
          <w:strike/>
          <w:color w:val="2E97D3"/>
          <w:sz w:val="24"/>
        </w:rPr>
        <w:t>. Use the format in 6820 Illustration 3 (Cont. 1) Chart C of this section. An explanation of the headings is provided in the</w:t>
      </w:r>
      <w:r>
        <w:rPr>
          <w:strike/>
          <w:color w:val="2E97D3"/>
          <w:spacing w:val="-22"/>
          <w:sz w:val="24"/>
        </w:rPr>
        <w:t> </w:t>
      </w:r>
      <w:r>
        <w:rPr>
          <w:strike/>
          <w:color w:val="2E97D3"/>
          <w:sz w:val="24"/>
        </w:rPr>
        <w:t>following:</w:t>
      </w:r>
    </w:p>
    <w:p>
      <w:pPr>
        <w:pStyle w:val="BodyText"/>
        <w:spacing w:before="10"/>
        <w:rPr>
          <w:sz w:val="20"/>
        </w:rPr>
      </w:pPr>
    </w:p>
    <w:p>
      <w:pPr>
        <w:pStyle w:val="ListParagraph"/>
        <w:numPr>
          <w:ilvl w:val="1"/>
          <w:numId w:val="76"/>
        </w:numPr>
        <w:tabs>
          <w:tab w:pos="1540" w:val="left" w:leader="none"/>
        </w:tabs>
        <w:spacing w:line="240" w:lineRule="auto" w:before="0" w:after="0"/>
        <w:ind w:left="1540" w:right="618" w:hanging="360"/>
        <w:jc w:val="left"/>
        <w:rPr>
          <w:sz w:val="24"/>
        </w:rPr>
      </w:pPr>
      <w:r>
        <w:rPr>
          <w:strike/>
          <w:color w:val="2E97D3"/>
          <w:sz w:val="24"/>
        </w:rPr>
        <w:t>Rank means priority order of projects for the entire department, with no more than one project per</w:t>
      </w:r>
      <w:r>
        <w:rPr>
          <w:strike/>
          <w:color w:val="2E97D3"/>
          <w:spacing w:val="-15"/>
          <w:sz w:val="24"/>
        </w:rPr>
        <w:t> </w:t>
      </w:r>
      <w:r>
        <w:rPr>
          <w:strike/>
          <w:color w:val="2E97D3"/>
          <w:sz w:val="24"/>
        </w:rPr>
        <w:t>ranking.</w:t>
      </w:r>
    </w:p>
    <w:p>
      <w:pPr>
        <w:pStyle w:val="BodyText"/>
        <w:spacing w:before="11"/>
        <w:rPr>
          <w:sz w:val="15"/>
        </w:rPr>
      </w:pPr>
    </w:p>
    <w:p>
      <w:pPr>
        <w:pStyle w:val="ListParagraph"/>
        <w:numPr>
          <w:ilvl w:val="1"/>
          <w:numId w:val="76"/>
        </w:numPr>
        <w:tabs>
          <w:tab w:pos="1540" w:val="left" w:leader="none"/>
        </w:tabs>
        <w:spacing w:line="240" w:lineRule="auto" w:before="92" w:after="0"/>
        <w:ind w:left="1540" w:right="0" w:hanging="360"/>
        <w:jc w:val="left"/>
        <w:rPr>
          <w:sz w:val="24"/>
        </w:rPr>
      </w:pPr>
      <w:r>
        <w:rPr>
          <w:strike/>
          <w:color w:val="2E97D3"/>
          <w:sz w:val="24"/>
        </w:rPr>
        <w:t>Location of Project:  Name of county, city,</w:t>
      </w:r>
      <w:r>
        <w:rPr>
          <w:strike/>
          <w:color w:val="2E97D3"/>
          <w:spacing w:val="-20"/>
          <w:sz w:val="24"/>
        </w:rPr>
        <w:t> </w:t>
      </w:r>
      <w:r>
        <w:rPr>
          <w:strike/>
          <w:color w:val="2E97D3"/>
          <w:sz w:val="24"/>
        </w:rPr>
        <w:t>etc.</w:t>
      </w:r>
    </w:p>
    <w:p>
      <w:pPr>
        <w:pStyle w:val="BodyText"/>
        <w:spacing w:before="10"/>
        <w:rPr>
          <w:sz w:val="15"/>
        </w:rPr>
      </w:pPr>
    </w:p>
    <w:p>
      <w:pPr>
        <w:pStyle w:val="ListParagraph"/>
        <w:numPr>
          <w:ilvl w:val="1"/>
          <w:numId w:val="76"/>
        </w:numPr>
        <w:tabs>
          <w:tab w:pos="1540" w:val="left" w:leader="none"/>
        </w:tabs>
        <w:spacing w:line="240" w:lineRule="auto" w:before="93" w:after="0"/>
        <w:ind w:left="1540" w:right="257" w:hanging="360"/>
        <w:jc w:val="left"/>
        <w:rPr>
          <w:sz w:val="24"/>
        </w:rPr>
      </w:pPr>
      <w:r>
        <w:rPr>
          <w:strike/>
          <w:color w:val="2E97D3"/>
          <w:sz w:val="24"/>
        </w:rPr>
        <w:t>Type of Facility/Lands: Office space, warehouse, laboratory, academic building, park, wetlands,</w:t>
      </w:r>
      <w:r>
        <w:rPr>
          <w:strike/>
          <w:color w:val="2E97D3"/>
          <w:spacing w:val="-7"/>
          <w:sz w:val="24"/>
        </w:rPr>
        <w:t> </w:t>
      </w:r>
      <w:r>
        <w:rPr>
          <w:strike/>
          <w:color w:val="2E97D3"/>
          <w:sz w:val="24"/>
        </w:rPr>
        <w:t>etc.</w:t>
      </w:r>
    </w:p>
    <w:p>
      <w:pPr>
        <w:pStyle w:val="BodyText"/>
        <w:spacing w:before="11"/>
        <w:rPr>
          <w:sz w:val="15"/>
        </w:rPr>
      </w:pPr>
    </w:p>
    <w:p>
      <w:pPr>
        <w:pStyle w:val="ListParagraph"/>
        <w:numPr>
          <w:ilvl w:val="1"/>
          <w:numId w:val="76"/>
        </w:numPr>
        <w:tabs>
          <w:tab w:pos="1540" w:val="left" w:leader="none"/>
        </w:tabs>
        <w:spacing w:line="240" w:lineRule="auto" w:before="92" w:after="0"/>
        <w:ind w:left="1540" w:right="644" w:hanging="360"/>
        <w:jc w:val="left"/>
        <w:rPr>
          <w:sz w:val="24"/>
        </w:rPr>
      </w:pPr>
      <w:r>
        <w:rPr>
          <w:strike/>
          <w:color w:val="2E97D3"/>
          <w:sz w:val="24"/>
        </w:rPr>
        <w:t>Project Name: If this is an ongoing project, use the same project name as in previous phases of the</w:t>
      </w:r>
      <w:r>
        <w:rPr>
          <w:strike/>
          <w:color w:val="2E97D3"/>
          <w:spacing w:val="-15"/>
          <w:sz w:val="24"/>
        </w:rPr>
        <w:t> </w:t>
      </w:r>
      <w:r>
        <w:rPr>
          <w:strike/>
          <w:color w:val="2E97D3"/>
          <w:sz w:val="24"/>
        </w:rPr>
        <w:t>project.</w:t>
      </w:r>
    </w:p>
    <w:p>
      <w:pPr>
        <w:pStyle w:val="BodyText"/>
        <w:spacing w:before="10"/>
        <w:rPr>
          <w:sz w:val="15"/>
        </w:rPr>
      </w:pPr>
    </w:p>
    <w:p>
      <w:pPr>
        <w:pStyle w:val="ListParagraph"/>
        <w:numPr>
          <w:ilvl w:val="1"/>
          <w:numId w:val="76"/>
        </w:numPr>
        <w:tabs>
          <w:tab w:pos="1540" w:val="left" w:leader="none"/>
        </w:tabs>
        <w:spacing w:line="240" w:lineRule="auto" w:before="93" w:after="0"/>
        <w:ind w:left="1540" w:right="255" w:hanging="360"/>
        <w:jc w:val="left"/>
        <w:rPr>
          <w:sz w:val="24"/>
        </w:rPr>
      </w:pPr>
      <w:r>
        <w:rPr>
          <w:strike/>
          <w:color w:val="2E97D3"/>
          <w:sz w:val="24"/>
        </w:rPr>
        <w:t>Project Identification Code: This code is assigned by the department according to rules established in Section 6839. If this is an ongoing project, be sure to use the same project identification code as in previous phases of the project. All COBCPs for the budget year must have a project identification code; project codes are optional for new projects proposed to begin after the budget</w:t>
      </w:r>
      <w:r>
        <w:rPr>
          <w:strike/>
          <w:color w:val="2E97D3"/>
          <w:spacing w:val="-40"/>
          <w:sz w:val="24"/>
        </w:rPr>
        <w:t> </w:t>
      </w:r>
      <w:r>
        <w:rPr>
          <w:strike/>
          <w:color w:val="2E97D3"/>
          <w:sz w:val="24"/>
        </w:rPr>
        <w:t>year.</w:t>
      </w:r>
    </w:p>
    <w:p>
      <w:pPr>
        <w:pStyle w:val="BodyText"/>
        <w:spacing w:before="11"/>
        <w:rPr>
          <w:sz w:val="15"/>
        </w:rPr>
      </w:pPr>
    </w:p>
    <w:p>
      <w:pPr>
        <w:pStyle w:val="BodyText"/>
        <w:spacing w:before="92"/>
        <w:ind w:left="820"/>
      </w:pPr>
      <w:r>
        <w:rPr>
          <w:strike/>
          <w:color w:val="2E97D3"/>
        </w:rPr>
        <w:t>(Continued)</w:t>
      </w:r>
    </w:p>
    <w:p>
      <w:pPr>
        <w:spacing w:after="0"/>
        <w:sectPr>
          <w:pgSz w:w="12240" w:h="15840"/>
          <w:pgMar w:header="724" w:footer="792" w:top="980" w:bottom="980" w:left="620" w:right="1320"/>
        </w:sectPr>
      </w:pPr>
    </w:p>
    <w:p>
      <w:pPr>
        <w:pStyle w:val="BodyText"/>
        <w:rPr>
          <w:sz w:val="20"/>
        </w:rPr>
      </w:pPr>
    </w:p>
    <w:p>
      <w:pPr>
        <w:pStyle w:val="BodyText"/>
        <w:spacing w:before="214"/>
        <w:ind w:left="820"/>
      </w:pPr>
      <w:r>
        <w:rPr/>
        <w:pict>
          <v:line style="position:absolute;mso-position-horizontal-relative:page;mso-position-vertical-relative:paragraph;z-index:25672" from="36.360001pt,10.915881pt" to="36.360001pt,633.115881pt" stroked="true" strokeweight=".72pt" strokecolor="#000000">
            <v:stroke dashstyle="solid"/>
            <w10:wrap type="none"/>
          </v:line>
        </w:pict>
      </w:r>
      <w:r>
        <w:rPr>
          <w:strike/>
          <w:color w:val="2E97D3"/>
        </w:rPr>
        <w:t>(Continued)</w:t>
      </w:r>
    </w:p>
    <w:p>
      <w:pPr>
        <w:pStyle w:val="Heading2"/>
        <w:tabs>
          <w:tab w:pos="8646" w:val="left" w:leader="none"/>
        </w:tabs>
        <w:ind w:left="820"/>
        <w:rPr>
          <w:b w:val="0"/>
        </w:rPr>
      </w:pPr>
      <w:r>
        <w:rPr/>
        <w:pict>
          <v:line style="position:absolute;mso-position-horizontal-relative:page;mso-position-vertical-relative:paragraph;z-index:-447016" from="72pt,8.435833pt" to="540pt,8.435833pt" stroked="true" strokeweight=".6pt" strokecolor="#2e97d3">
            <v:stroke dashstyle="solid"/>
            <w10:wrap type="none"/>
          </v:line>
        </w:pict>
      </w:r>
      <w:r>
        <w:rPr>
          <w:color w:val="2E97D3"/>
        </w:rPr>
        <w:t>FIVE-YEAR CAPITALIZED</w:t>
      </w:r>
      <w:r>
        <w:rPr>
          <w:color w:val="2E97D3"/>
          <w:spacing w:val="-7"/>
        </w:rPr>
        <w:t> </w:t>
      </w:r>
      <w:r>
        <w:rPr>
          <w:color w:val="2E97D3"/>
        </w:rPr>
        <w:t>ASSET</w:t>
      </w:r>
      <w:r>
        <w:rPr>
          <w:color w:val="2E97D3"/>
          <w:spacing w:val="-5"/>
        </w:rPr>
        <w:t> </w:t>
      </w:r>
      <w:r>
        <w:rPr>
          <w:color w:val="2E97D3"/>
        </w:rPr>
        <w:t>PLAN</w:t>
        <w:tab/>
        <w:t>6820 </w:t>
      </w:r>
      <w:r>
        <w:rPr>
          <w:b w:val="0"/>
          <w:color w:val="2E97D3"/>
        </w:rPr>
        <w:t>(Cont.</w:t>
      </w:r>
      <w:r>
        <w:rPr>
          <w:b w:val="0"/>
          <w:color w:val="2E97D3"/>
          <w:spacing w:val="-6"/>
        </w:rPr>
        <w:t> </w:t>
      </w:r>
      <w:r>
        <w:rPr>
          <w:b w:val="0"/>
          <w:color w:val="2E97D3"/>
        </w:rPr>
        <w:t>2)</w:t>
      </w:r>
    </w:p>
    <w:p>
      <w:pPr>
        <w:pStyle w:val="BodyText"/>
        <w:ind w:left="820"/>
      </w:pPr>
      <w:r>
        <w:rPr>
          <w:strike/>
          <w:color w:val="2E97D3"/>
        </w:rPr>
        <w:t>(Revised 5/1998)</w:t>
      </w:r>
    </w:p>
    <w:p>
      <w:pPr>
        <w:pStyle w:val="BodyText"/>
        <w:spacing w:before="11"/>
        <w:rPr>
          <w:sz w:val="15"/>
        </w:rPr>
      </w:pPr>
    </w:p>
    <w:p>
      <w:pPr>
        <w:pStyle w:val="ListParagraph"/>
        <w:numPr>
          <w:ilvl w:val="1"/>
          <w:numId w:val="76"/>
        </w:numPr>
        <w:tabs>
          <w:tab w:pos="1539" w:val="left" w:leader="none"/>
          <w:tab w:pos="1540" w:val="left" w:leader="none"/>
        </w:tabs>
        <w:spacing w:line="240" w:lineRule="auto" w:before="92" w:after="0"/>
        <w:ind w:left="1540" w:right="0" w:hanging="360"/>
        <w:jc w:val="left"/>
        <w:rPr>
          <w:sz w:val="24"/>
        </w:rPr>
      </w:pPr>
      <w:r>
        <w:rPr>
          <w:strike/>
          <w:color w:val="2E97D3"/>
          <w:sz w:val="24"/>
        </w:rPr>
        <w:t>Proposed Action</w:t>
      </w:r>
      <w:r>
        <w:rPr>
          <w:strike/>
          <w:color w:val="2E97D3"/>
          <w:spacing w:val="-12"/>
          <w:sz w:val="24"/>
        </w:rPr>
        <w:t> </w:t>
      </w:r>
      <w:r>
        <w:rPr>
          <w:strike/>
          <w:color w:val="2E97D3"/>
          <w:sz w:val="24"/>
        </w:rPr>
        <w:t>Codes:</w:t>
      </w:r>
    </w:p>
    <w:p>
      <w:pPr>
        <w:pStyle w:val="BodyText"/>
        <w:spacing w:before="3" w:after="1"/>
      </w:pPr>
    </w:p>
    <w:tbl>
      <w:tblPr>
        <w:tblW w:w="0" w:type="auto"/>
        <w:jc w:val="left"/>
        <w:tblInd w:w="2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2791"/>
      </w:tblGrid>
      <w:tr>
        <w:trPr>
          <w:trHeight w:val="293" w:hRule="exact"/>
        </w:trPr>
        <w:tc>
          <w:tcPr>
            <w:tcW w:w="648" w:type="dxa"/>
            <w:tcBorders>
              <w:top w:val="nil"/>
              <w:left w:val="nil"/>
            </w:tcBorders>
          </w:tcPr>
          <w:p>
            <w:pPr>
              <w:pStyle w:val="TableParagraph"/>
              <w:ind w:left="108"/>
              <w:rPr>
                <w:sz w:val="24"/>
              </w:rPr>
            </w:pPr>
            <w:r>
              <w:rPr>
                <w:strike/>
                <w:color w:val="2E97D3"/>
                <w:sz w:val="24"/>
              </w:rPr>
              <w:t>CN</w:t>
            </w:r>
          </w:p>
        </w:tc>
        <w:tc>
          <w:tcPr>
            <w:tcW w:w="2791" w:type="dxa"/>
            <w:tcBorders>
              <w:top w:val="nil"/>
              <w:right w:val="nil"/>
            </w:tcBorders>
          </w:tcPr>
          <w:p>
            <w:pPr>
              <w:pStyle w:val="TableParagraph"/>
              <w:ind w:left="103"/>
              <w:rPr>
                <w:sz w:val="24"/>
              </w:rPr>
            </w:pPr>
            <w:r>
              <w:rPr>
                <w:strike/>
                <w:color w:val="2E97D3"/>
                <w:sz w:val="24"/>
              </w:rPr>
              <w:t>Construct new</w:t>
            </w:r>
          </w:p>
        </w:tc>
      </w:tr>
      <w:tr>
        <w:trPr>
          <w:trHeight w:val="298" w:hRule="exact"/>
        </w:trPr>
        <w:tc>
          <w:tcPr>
            <w:tcW w:w="648" w:type="dxa"/>
            <w:tcBorders>
              <w:left w:val="nil"/>
            </w:tcBorders>
          </w:tcPr>
          <w:p>
            <w:pPr>
              <w:pStyle w:val="TableParagraph"/>
              <w:spacing w:before="3"/>
              <w:ind w:left="108"/>
              <w:rPr>
                <w:sz w:val="24"/>
              </w:rPr>
            </w:pPr>
            <w:r>
              <w:rPr>
                <w:strike/>
                <w:color w:val="2E97D3"/>
                <w:sz w:val="24"/>
              </w:rPr>
              <w:t>CR</w:t>
            </w:r>
          </w:p>
        </w:tc>
        <w:tc>
          <w:tcPr>
            <w:tcW w:w="2791" w:type="dxa"/>
            <w:tcBorders>
              <w:right w:val="nil"/>
            </w:tcBorders>
          </w:tcPr>
          <w:p>
            <w:pPr>
              <w:pStyle w:val="TableParagraph"/>
              <w:spacing w:before="3"/>
              <w:ind w:left="103"/>
              <w:rPr>
                <w:sz w:val="24"/>
              </w:rPr>
            </w:pPr>
            <w:r>
              <w:rPr>
                <w:strike/>
                <w:color w:val="2E97D3"/>
                <w:sz w:val="24"/>
              </w:rPr>
              <w:t>Construct replacement</w:t>
            </w:r>
          </w:p>
        </w:tc>
      </w:tr>
      <w:tr>
        <w:trPr>
          <w:trHeight w:val="298" w:hRule="exact"/>
        </w:trPr>
        <w:tc>
          <w:tcPr>
            <w:tcW w:w="648" w:type="dxa"/>
            <w:tcBorders>
              <w:left w:val="nil"/>
            </w:tcBorders>
          </w:tcPr>
          <w:p>
            <w:pPr>
              <w:pStyle w:val="TableParagraph"/>
              <w:spacing w:before="3"/>
              <w:ind w:left="108"/>
              <w:rPr>
                <w:sz w:val="24"/>
              </w:rPr>
            </w:pPr>
            <w:r>
              <w:rPr>
                <w:strike/>
                <w:color w:val="2E97D3"/>
                <w:w w:val="99"/>
                <w:sz w:val="24"/>
              </w:rPr>
              <w:t>R</w:t>
            </w:r>
          </w:p>
        </w:tc>
        <w:tc>
          <w:tcPr>
            <w:tcW w:w="2791" w:type="dxa"/>
            <w:tcBorders>
              <w:right w:val="nil"/>
            </w:tcBorders>
          </w:tcPr>
          <w:p>
            <w:pPr>
              <w:pStyle w:val="TableParagraph"/>
              <w:spacing w:before="3"/>
              <w:ind w:left="103"/>
              <w:rPr>
                <w:sz w:val="24"/>
              </w:rPr>
            </w:pPr>
            <w:r>
              <w:rPr>
                <w:strike/>
                <w:color w:val="2E97D3"/>
                <w:sz w:val="24"/>
              </w:rPr>
              <w:t>Renovate</w:t>
            </w:r>
          </w:p>
        </w:tc>
      </w:tr>
      <w:tr>
        <w:trPr>
          <w:trHeight w:val="298" w:hRule="exact"/>
        </w:trPr>
        <w:tc>
          <w:tcPr>
            <w:tcW w:w="648" w:type="dxa"/>
            <w:tcBorders>
              <w:left w:val="nil"/>
            </w:tcBorders>
          </w:tcPr>
          <w:p>
            <w:pPr>
              <w:pStyle w:val="TableParagraph"/>
              <w:spacing w:before="3"/>
              <w:ind w:left="108"/>
              <w:rPr>
                <w:sz w:val="24"/>
              </w:rPr>
            </w:pPr>
            <w:r>
              <w:rPr>
                <w:strike/>
                <w:color w:val="2E97D3"/>
                <w:w w:val="100"/>
                <w:sz w:val="24"/>
              </w:rPr>
              <w:t>A</w:t>
            </w:r>
          </w:p>
        </w:tc>
        <w:tc>
          <w:tcPr>
            <w:tcW w:w="2791" w:type="dxa"/>
            <w:tcBorders>
              <w:right w:val="nil"/>
            </w:tcBorders>
          </w:tcPr>
          <w:p>
            <w:pPr>
              <w:pStyle w:val="TableParagraph"/>
              <w:spacing w:before="3"/>
              <w:ind w:left="103"/>
              <w:rPr>
                <w:sz w:val="24"/>
              </w:rPr>
            </w:pPr>
            <w:r>
              <w:rPr>
                <w:strike/>
                <w:color w:val="2E97D3"/>
                <w:sz w:val="24"/>
              </w:rPr>
              <w:t>Acquire</w:t>
            </w:r>
          </w:p>
        </w:tc>
      </w:tr>
      <w:tr>
        <w:trPr>
          <w:trHeight w:val="300" w:hRule="exact"/>
        </w:trPr>
        <w:tc>
          <w:tcPr>
            <w:tcW w:w="648" w:type="dxa"/>
            <w:tcBorders>
              <w:left w:val="nil"/>
            </w:tcBorders>
          </w:tcPr>
          <w:p>
            <w:pPr>
              <w:pStyle w:val="TableParagraph"/>
              <w:spacing w:before="3"/>
              <w:ind w:left="108"/>
              <w:rPr>
                <w:sz w:val="24"/>
              </w:rPr>
            </w:pPr>
            <w:r>
              <w:rPr>
                <w:strike/>
                <w:color w:val="2E97D3"/>
                <w:w w:val="99"/>
                <w:sz w:val="24"/>
              </w:rPr>
              <w:t>D</w:t>
            </w:r>
          </w:p>
        </w:tc>
        <w:tc>
          <w:tcPr>
            <w:tcW w:w="2791" w:type="dxa"/>
            <w:tcBorders>
              <w:right w:val="nil"/>
            </w:tcBorders>
          </w:tcPr>
          <w:p>
            <w:pPr>
              <w:pStyle w:val="TableParagraph"/>
              <w:spacing w:before="3"/>
              <w:ind w:left="103"/>
              <w:rPr>
                <w:sz w:val="24"/>
              </w:rPr>
            </w:pPr>
            <w:r>
              <w:rPr>
                <w:strike/>
                <w:color w:val="2E97D3"/>
                <w:sz w:val="24"/>
              </w:rPr>
              <w:t>Demolish</w:t>
            </w:r>
          </w:p>
        </w:tc>
      </w:tr>
      <w:tr>
        <w:trPr>
          <w:trHeight w:val="298" w:hRule="exact"/>
        </w:trPr>
        <w:tc>
          <w:tcPr>
            <w:tcW w:w="648" w:type="dxa"/>
            <w:tcBorders>
              <w:left w:val="nil"/>
            </w:tcBorders>
          </w:tcPr>
          <w:p>
            <w:pPr>
              <w:pStyle w:val="TableParagraph"/>
              <w:ind w:left="108"/>
              <w:rPr>
                <w:sz w:val="24"/>
              </w:rPr>
            </w:pPr>
            <w:r>
              <w:rPr>
                <w:strike/>
                <w:color w:val="2E97D3"/>
                <w:w w:val="100"/>
                <w:sz w:val="24"/>
              </w:rPr>
              <w:t>E</w:t>
            </w:r>
          </w:p>
        </w:tc>
        <w:tc>
          <w:tcPr>
            <w:tcW w:w="2791" w:type="dxa"/>
            <w:tcBorders>
              <w:right w:val="nil"/>
            </w:tcBorders>
          </w:tcPr>
          <w:p>
            <w:pPr>
              <w:pStyle w:val="TableParagraph"/>
              <w:ind w:left="103"/>
              <w:rPr>
                <w:sz w:val="24"/>
              </w:rPr>
            </w:pPr>
            <w:r>
              <w:rPr>
                <w:strike/>
                <w:color w:val="2E97D3"/>
                <w:sz w:val="24"/>
              </w:rPr>
              <w:t>Equipment</w:t>
            </w:r>
          </w:p>
        </w:tc>
      </w:tr>
      <w:tr>
        <w:trPr>
          <w:trHeight w:val="293" w:hRule="exact"/>
        </w:trPr>
        <w:tc>
          <w:tcPr>
            <w:tcW w:w="648" w:type="dxa"/>
            <w:tcBorders>
              <w:left w:val="nil"/>
              <w:bottom w:val="nil"/>
            </w:tcBorders>
          </w:tcPr>
          <w:p>
            <w:pPr>
              <w:pStyle w:val="TableParagraph"/>
              <w:ind w:left="108"/>
              <w:rPr>
                <w:sz w:val="24"/>
              </w:rPr>
            </w:pPr>
            <w:r>
              <w:rPr>
                <w:strike/>
                <w:color w:val="2E97D3"/>
                <w:w w:val="100"/>
                <w:sz w:val="24"/>
              </w:rPr>
              <w:t>O</w:t>
            </w:r>
          </w:p>
        </w:tc>
        <w:tc>
          <w:tcPr>
            <w:tcW w:w="2791" w:type="dxa"/>
            <w:tcBorders>
              <w:bottom w:val="nil"/>
              <w:right w:val="nil"/>
            </w:tcBorders>
          </w:tcPr>
          <w:p>
            <w:pPr>
              <w:pStyle w:val="TableParagraph"/>
              <w:ind w:left="103"/>
              <w:rPr>
                <w:sz w:val="24"/>
              </w:rPr>
            </w:pPr>
            <w:r>
              <w:rPr>
                <w:strike/>
                <w:color w:val="2E97D3"/>
                <w:sz w:val="24"/>
              </w:rPr>
              <w:t>Other</w:t>
            </w:r>
          </w:p>
        </w:tc>
      </w:tr>
    </w:tbl>
    <w:p>
      <w:pPr>
        <w:pStyle w:val="BodyText"/>
        <w:spacing w:before="7"/>
        <w:rPr>
          <w:sz w:val="23"/>
        </w:rPr>
      </w:pPr>
    </w:p>
    <w:p>
      <w:pPr>
        <w:pStyle w:val="ListParagraph"/>
        <w:numPr>
          <w:ilvl w:val="1"/>
          <w:numId w:val="76"/>
        </w:numPr>
        <w:tabs>
          <w:tab w:pos="1540" w:val="left" w:leader="none"/>
        </w:tabs>
        <w:spacing w:line="240" w:lineRule="auto" w:before="0" w:after="0"/>
        <w:ind w:left="1540" w:right="564" w:hanging="360"/>
        <w:jc w:val="left"/>
        <w:rPr>
          <w:sz w:val="24"/>
        </w:rPr>
      </w:pPr>
      <w:r>
        <w:rPr>
          <w:strike/>
          <w:color w:val="2E97D3"/>
          <w:sz w:val="24"/>
        </w:rPr>
        <w:t>Project category: These codes indicate project function as defined in Section 6839.</w:t>
      </w:r>
    </w:p>
    <w:p>
      <w:pPr>
        <w:pStyle w:val="BodyText"/>
        <w:spacing w:before="4"/>
        <w:rPr>
          <w:sz w:val="26"/>
        </w:rPr>
      </w:pPr>
    </w:p>
    <w:p>
      <w:pPr>
        <w:pStyle w:val="ListParagraph"/>
        <w:numPr>
          <w:ilvl w:val="0"/>
          <w:numId w:val="76"/>
        </w:numPr>
        <w:tabs>
          <w:tab w:pos="1180" w:val="left" w:leader="none"/>
        </w:tabs>
        <w:spacing w:line="240" w:lineRule="auto" w:before="93" w:after="0"/>
        <w:ind w:left="1180" w:right="146" w:hanging="360"/>
        <w:jc w:val="left"/>
        <w:rPr>
          <w:color w:val="2E97D3"/>
          <w:sz w:val="24"/>
        </w:rPr>
      </w:pPr>
      <w:r>
        <w:rPr>
          <w:b/>
          <w:strike/>
          <w:color w:val="2E97D3"/>
          <w:sz w:val="24"/>
        </w:rPr>
        <w:t>TWO listings of all proposed capital outlay appropriations </w:t>
      </w:r>
      <w:r>
        <w:rPr>
          <w:strike/>
          <w:color w:val="2E97D3"/>
          <w:sz w:val="24"/>
        </w:rPr>
        <w:t>for the next five years. The first listing is by project priority ranking. The second listing is by project location. Use the format in 6820 Illustrations 3 Chart A and 3 Chart B of this section. An explanation of the headings is provided in the</w:t>
      </w:r>
      <w:r>
        <w:rPr>
          <w:strike/>
          <w:color w:val="2E97D3"/>
          <w:spacing w:val="-36"/>
          <w:sz w:val="24"/>
        </w:rPr>
        <w:t> </w:t>
      </w:r>
      <w:r>
        <w:rPr>
          <w:strike/>
          <w:color w:val="2E97D3"/>
          <w:sz w:val="24"/>
        </w:rPr>
        <w:t>following:</w:t>
      </w:r>
    </w:p>
    <w:p>
      <w:pPr>
        <w:pStyle w:val="ListParagraph"/>
        <w:numPr>
          <w:ilvl w:val="1"/>
          <w:numId w:val="76"/>
        </w:numPr>
        <w:tabs>
          <w:tab w:pos="1540" w:val="left" w:leader="none"/>
        </w:tabs>
        <w:spacing w:line="240" w:lineRule="auto" w:before="120" w:after="0"/>
        <w:ind w:left="1540" w:right="390" w:hanging="360"/>
        <w:jc w:val="left"/>
        <w:rPr>
          <w:sz w:val="24"/>
        </w:rPr>
      </w:pPr>
      <w:r>
        <w:rPr>
          <w:strike/>
          <w:color w:val="2E97D3"/>
          <w:sz w:val="24"/>
        </w:rPr>
        <w:t>Rank means priority order, department-wide, and must be the same ranking as on the project background</w:t>
      </w:r>
      <w:r>
        <w:rPr>
          <w:strike/>
          <w:color w:val="2E97D3"/>
          <w:spacing w:val="-14"/>
          <w:sz w:val="24"/>
        </w:rPr>
        <w:t> </w:t>
      </w:r>
      <w:r>
        <w:rPr>
          <w:strike/>
          <w:color w:val="2E97D3"/>
          <w:sz w:val="24"/>
        </w:rPr>
        <w:t>table.</w:t>
      </w:r>
    </w:p>
    <w:p>
      <w:pPr>
        <w:pStyle w:val="ListParagraph"/>
        <w:numPr>
          <w:ilvl w:val="1"/>
          <w:numId w:val="76"/>
        </w:numPr>
        <w:tabs>
          <w:tab w:pos="1540" w:val="left" w:leader="none"/>
        </w:tabs>
        <w:spacing w:line="240" w:lineRule="auto" w:before="120" w:after="0"/>
        <w:ind w:left="1540" w:right="323" w:hanging="360"/>
        <w:jc w:val="left"/>
        <w:rPr>
          <w:sz w:val="24"/>
        </w:rPr>
      </w:pPr>
      <w:r>
        <w:rPr>
          <w:strike/>
          <w:color w:val="2E97D3"/>
          <w:sz w:val="24"/>
        </w:rPr>
        <w:t>Location of project: name of county, city, etc. Use the same location names as on the project background</w:t>
      </w:r>
      <w:r>
        <w:rPr>
          <w:strike/>
          <w:color w:val="2E97D3"/>
          <w:spacing w:val="-14"/>
          <w:sz w:val="24"/>
        </w:rPr>
        <w:t> </w:t>
      </w:r>
      <w:r>
        <w:rPr>
          <w:strike/>
          <w:color w:val="2E97D3"/>
          <w:sz w:val="24"/>
        </w:rPr>
        <w:t>table.</w:t>
      </w:r>
    </w:p>
    <w:p>
      <w:pPr>
        <w:pStyle w:val="ListParagraph"/>
        <w:numPr>
          <w:ilvl w:val="1"/>
          <w:numId w:val="76"/>
        </w:numPr>
        <w:tabs>
          <w:tab w:pos="1540" w:val="left" w:leader="none"/>
        </w:tabs>
        <w:spacing w:line="240" w:lineRule="auto" w:before="120" w:after="0"/>
        <w:ind w:left="1540" w:right="670" w:hanging="360"/>
        <w:jc w:val="left"/>
        <w:rPr>
          <w:sz w:val="24"/>
        </w:rPr>
      </w:pPr>
      <w:r>
        <w:rPr>
          <w:strike/>
          <w:color w:val="2E97D3"/>
          <w:sz w:val="24"/>
        </w:rPr>
        <w:t>Funding history and projections: by year, list project dollars by amount and phase. Some columns also require fund source information. Use additional lines, (as many required per project) for reporting multiple phases in a single year.</w:t>
      </w:r>
    </w:p>
    <w:p>
      <w:pPr>
        <w:pStyle w:val="ListParagraph"/>
        <w:numPr>
          <w:ilvl w:val="2"/>
          <w:numId w:val="76"/>
        </w:numPr>
        <w:tabs>
          <w:tab w:pos="1992" w:val="left" w:leader="none"/>
        </w:tabs>
        <w:spacing w:line="240" w:lineRule="auto" w:before="120" w:after="0"/>
        <w:ind w:left="1991" w:right="0" w:hanging="365"/>
        <w:jc w:val="left"/>
        <w:rPr>
          <w:sz w:val="24"/>
        </w:rPr>
      </w:pPr>
      <w:r>
        <w:rPr>
          <w:strike/>
          <w:color w:val="2E97D3"/>
          <w:sz w:val="24"/>
        </w:rPr>
        <w:t>Round project dollars to the nearest</w:t>
      </w:r>
      <w:r>
        <w:rPr>
          <w:strike/>
          <w:color w:val="2E97D3"/>
          <w:spacing w:val="-25"/>
          <w:sz w:val="24"/>
        </w:rPr>
        <w:t> </w:t>
      </w:r>
      <w:r>
        <w:rPr>
          <w:strike/>
          <w:color w:val="2E97D3"/>
          <w:sz w:val="24"/>
        </w:rPr>
        <w:t>thousand.</w:t>
      </w:r>
    </w:p>
    <w:p>
      <w:pPr>
        <w:pStyle w:val="ListParagraph"/>
        <w:numPr>
          <w:ilvl w:val="2"/>
          <w:numId w:val="76"/>
        </w:numPr>
        <w:tabs>
          <w:tab w:pos="1992" w:val="left" w:leader="none"/>
        </w:tabs>
        <w:spacing w:line="240" w:lineRule="auto" w:before="120" w:after="0"/>
        <w:ind w:left="1991" w:right="139" w:hanging="365"/>
        <w:jc w:val="left"/>
        <w:rPr>
          <w:sz w:val="24"/>
        </w:rPr>
      </w:pPr>
      <w:r>
        <w:rPr>
          <w:strike/>
          <w:color w:val="2E97D3"/>
          <w:sz w:val="24"/>
        </w:rPr>
        <w:t>List amounts for each project phase separately, and indicate the phase using the coding rules in Section</w:t>
      </w:r>
      <w:r>
        <w:rPr>
          <w:strike/>
          <w:color w:val="2E97D3"/>
          <w:spacing w:val="-16"/>
          <w:sz w:val="24"/>
        </w:rPr>
        <w:t> </w:t>
      </w:r>
      <w:r>
        <w:rPr>
          <w:strike/>
          <w:color w:val="2E97D3"/>
          <w:sz w:val="24"/>
        </w:rPr>
        <w:t>6839.</w:t>
      </w:r>
    </w:p>
    <w:p>
      <w:pPr>
        <w:pStyle w:val="ListParagraph"/>
        <w:numPr>
          <w:ilvl w:val="2"/>
          <w:numId w:val="76"/>
        </w:numPr>
        <w:tabs>
          <w:tab w:pos="1992" w:val="left" w:leader="none"/>
        </w:tabs>
        <w:spacing w:line="240" w:lineRule="auto" w:before="120" w:after="0"/>
        <w:ind w:left="1991" w:right="368" w:hanging="365"/>
        <w:jc w:val="left"/>
        <w:rPr>
          <w:sz w:val="24"/>
        </w:rPr>
      </w:pPr>
      <w:r>
        <w:rPr>
          <w:strike/>
          <w:color w:val="2E97D3"/>
          <w:sz w:val="24"/>
        </w:rPr>
        <w:t>For proposed funding sources, use the appropriate fund code. Contact the departmental budget officer for fund code</w:t>
      </w:r>
      <w:r>
        <w:rPr>
          <w:strike/>
          <w:color w:val="2E97D3"/>
          <w:spacing w:val="-26"/>
          <w:sz w:val="24"/>
        </w:rPr>
        <w:t> </w:t>
      </w:r>
      <w:r>
        <w:rPr>
          <w:strike/>
          <w:color w:val="2E97D3"/>
          <w:sz w:val="24"/>
        </w:rPr>
        <w:t>listings.</w:t>
      </w:r>
    </w:p>
    <w:p>
      <w:pPr>
        <w:pStyle w:val="BodyText"/>
        <w:spacing w:before="120"/>
        <w:ind w:left="1180" w:right="748"/>
      </w:pPr>
      <w:r>
        <w:rPr>
          <w:strike/>
          <w:color w:val="2E97D3"/>
        </w:rPr>
        <w:t>Be sure to include in the project listing any existing purchase options which the department plans to exercise within the five-year period.</w:t>
      </w:r>
    </w:p>
    <w:p>
      <w:pPr>
        <w:pStyle w:val="BodyText"/>
        <w:spacing w:before="9"/>
        <w:rPr>
          <w:sz w:val="20"/>
        </w:rPr>
      </w:pPr>
    </w:p>
    <w:p>
      <w:pPr>
        <w:pStyle w:val="Heading2"/>
        <w:numPr>
          <w:ilvl w:val="0"/>
          <w:numId w:val="76"/>
        </w:numPr>
        <w:tabs>
          <w:tab w:pos="1180" w:val="left" w:leader="none"/>
        </w:tabs>
        <w:spacing w:line="240" w:lineRule="auto" w:before="1" w:after="0"/>
        <w:ind w:left="1180" w:right="207" w:hanging="360"/>
        <w:jc w:val="left"/>
        <w:rPr>
          <w:color w:val="2E97D3"/>
        </w:rPr>
      </w:pPr>
      <w:bookmarkStart w:name="7. Estimating costs for the five-year pl" w:id="79"/>
      <w:bookmarkEnd w:id="79"/>
      <w:r>
        <w:rPr>
          <w:b w:val="0"/>
        </w:rPr>
      </w:r>
      <w:bookmarkStart w:name="7. Estimating costs for the five-year pl" w:id="80"/>
      <w:bookmarkEnd w:id="80"/>
      <w:r>
        <w:rPr>
          <w:b w:val="0"/>
          <w:strike/>
          <w:color w:val="2E97D3"/>
        </w:rPr>
        <w:t>E</w:t>
      </w:r>
      <w:r>
        <w:rPr>
          <w:b w:val="0"/>
          <w:strike/>
          <w:color w:val="2E97D3"/>
        </w:rPr>
        <w:t>stimating costs for the five-year plan. </w:t>
      </w:r>
      <w:r>
        <w:rPr>
          <w:strike/>
          <w:color w:val="2E97D3"/>
        </w:rPr>
        <w:t>When estimating costs for COBCPs and five-year plans, departments must use the current California Construction Cost Index. Use of other indices requires prior DOF approval. See “Technical Notes” in Section</w:t>
      </w:r>
      <w:r>
        <w:rPr>
          <w:strike/>
          <w:color w:val="2E97D3"/>
          <w:spacing w:val="-10"/>
        </w:rPr>
        <w:t> </w:t>
      </w:r>
      <w:r>
        <w:rPr>
          <w:strike/>
          <w:color w:val="2E97D3"/>
        </w:rPr>
        <w:t>6818.</w:t>
      </w:r>
    </w:p>
    <w:p>
      <w:pPr>
        <w:spacing w:after="0" w:line="240" w:lineRule="auto"/>
        <w:jc w:val="left"/>
        <w:sectPr>
          <w:pgSz w:w="12240" w:h="15840"/>
          <w:pgMar w:header="724" w:footer="792" w:top="980" w:bottom="980" w:left="620" w:right="1320"/>
        </w:sectPr>
      </w:pPr>
    </w:p>
    <w:p>
      <w:pPr>
        <w:pStyle w:val="BodyText"/>
        <w:rPr>
          <w:b/>
          <w:sz w:val="20"/>
        </w:rPr>
      </w:pPr>
      <w:r>
        <w:rPr/>
        <w:pict>
          <v:line style="position:absolute;mso-position-horizontal-relative:page;mso-position-vertical-relative:page;z-index:25744" from="36.360001pt,72pt" to="36.360001pt,691.56pt" stroked="true" strokeweight=".72pt" strokecolor="#000000">
            <v:stroke dashstyle="solid"/>
            <w10:wrap type="none"/>
          </v:line>
        </w:pict>
      </w:r>
    </w:p>
    <w:p>
      <w:pPr>
        <w:pStyle w:val="BodyText"/>
        <w:spacing w:before="1"/>
        <w:rPr>
          <w:b/>
          <w:sz w:val="22"/>
        </w:rPr>
      </w:pPr>
    </w:p>
    <w:p>
      <w:pPr>
        <w:pStyle w:val="BodyText"/>
        <w:spacing w:before="1"/>
        <w:ind w:left="820"/>
      </w:pPr>
      <w:bookmarkStart w:name="OVERVIEW OF REAL ESTATE INVENTORY" w:id="81"/>
      <w:bookmarkEnd w:id="81"/>
      <w:r>
        <w:rPr/>
      </w:r>
      <w:r>
        <w:rPr>
          <w:strike/>
          <w:color w:val="2E97D3"/>
        </w:rPr>
        <w:t>OVERVIEW OF REAL ESTATE INVENTORY</w:t>
      </w:r>
    </w:p>
    <w:p>
      <w:pPr>
        <w:pStyle w:val="Heading2"/>
        <w:spacing w:before="60"/>
        <w:ind w:left="820"/>
      </w:pPr>
      <w:r>
        <w:rPr>
          <w:strike/>
          <w:color w:val="2E97D3"/>
        </w:rPr>
        <w:t>FOR FIVE-YEAR CAPITALIZED ASSETS PLAN</w:t>
      </w:r>
    </w:p>
    <w:p>
      <w:pPr>
        <w:pStyle w:val="BodyText"/>
        <w:spacing w:before="11"/>
        <w:rPr>
          <w:b/>
          <w:sz w:val="15"/>
        </w:rPr>
      </w:pPr>
    </w:p>
    <w:p>
      <w:pPr>
        <w:pStyle w:val="BodyText"/>
        <w:spacing w:before="92"/>
        <w:ind w:left="820"/>
      </w:pPr>
      <w:r>
        <w:rPr>
          <w:strike/>
          <w:color w:val="2E97D3"/>
        </w:rPr>
        <w:t>Department:  Department of ABC</w:t>
      </w:r>
    </w:p>
    <w:p>
      <w:pPr>
        <w:pStyle w:val="BodyText"/>
        <w:spacing w:before="11"/>
        <w:rPr>
          <w:sz w:val="15"/>
        </w:rPr>
      </w:pPr>
    </w:p>
    <w:p>
      <w:pPr>
        <w:pStyle w:val="BodyText"/>
        <w:spacing w:before="92"/>
        <w:ind w:left="820"/>
      </w:pPr>
      <w:r>
        <w:rPr>
          <w:strike/>
          <w:color w:val="2E97D3"/>
        </w:rPr>
        <w:t>Contact Person and Phone Number: John Doe, (916) 445-9694</w:t>
      </w:r>
    </w:p>
    <w:p>
      <w:pPr>
        <w:pStyle w:val="BodyText"/>
        <w:spacing w:before="11"/>
        <w:rPr>
          <w:sz w:val="15"/>
        </w:rPr>
      </w:pPr>
    </w:p>
    <w:p>
      <w:pPr>
        <w:pStyle w:val="BodyText"/>
        <w:spacing w:before="92"/>
        <w:ind w:left="820"/>
      </w:pPr>
      <w:r>
        <w:rPr>
          <w:strike/>
          <w:color w:val="2E97D3"/>
        </w:rPr>
        <w:t>Date of data: February 1, 1997</w:t>
      </w:r>
    </w:p>
    <w:p>
      <w:pPr>
        <w:pStyle w:val="BodyText"/>
        <w:spacing w:before="11"/>
        <w:rPr>
          <w:sz w:val="15"/>
        </w:rPr>
      </w:pPr>
    </w:p>
    <w:p>
      <w:pPr>
        <w:pStyle w:val="BodyText"/>
        <w:spacing w:before="92"/>
        <w:ind w:left="820" w:right="94"/>
      </w:pPr>
      <w:r>
        <w:rPr>
          <w:strike/>
          <w:color w:val="2E97D3"/>
        </w:rPr>
        <w:t>Identify the total current space under the department’s control. Include both owned and leased space managed either by the department directly, or on behalf of the department by the Department of General Services. Use the applicable unit of space (i.e. acres, gross square feet, net/usable/assignable square feet or other categories).  Adaptations of this format to meet special department needs must be approved by the DOF Capital Outlay Unit.</w:t>
      </w:r>
    </w:p>
    <w:p>
      <w:pPr>
        <w:pStyle w:val="Heading2"/>
        <w:spacing w:before="120"/>
        <w:ind w:left="820"/>
        <w:rPr>
          <w:b w:val="0"/>
        </w:rPr>
      </w:pPr>
      <w:r>
        <w:rPr>
          <w:strike/>
          <w:color w:val="2E97D3"/>
        </w:rPr>
        <w:t>Occupied space</w:t>
      </w:r>
      <w:r>
        <w:rPr>
          <w:b w:val="0"/>
          <w:strike/>
          <w:color w:val="2E97D3"/>
        </w:rPr>
        <w:t>:</w:t>
      </w:r>
    </w:p>
    <w:p>
      <w:pPr>
        <w:pStyle w:val="BodyText"/>
        <w:spacing w:before="120"/>
        <w:ind w:left="820"/>
      </w:pPr>
      <w:r>
        <w:rPr>
          <w:strike/>
          <w:color w:val="2E97D3"/>
          <w:w w:val="100"/>
        </w:rPr>
        <w:t> </w:t>
      </w:r>
      <w:r>
        <w:rPr>
          <w:strike/>
          <w:color w:val="2E97D3"/>
        </w:rPr>
        <w:t>  Facilities (both owned and leased):</w:t>
      </w:r>
    </w:p>
    <w:p>
      <w:pPr>
        <w:pStyle w:val="ListParagraph"/>
        <w:numPr>
          <w:ilvl w:val="0"/>
          <w:numId w:val="77"/>
        </w:numPr>
        <w:tabs>
          <w:tab w:pos="1468" w:val="left" w:leader="none"/>
        </w:tabs>
        <w:spacing w:line="275" w:lineRule="exact" w:before="120" w:after="0"/>
        <w:ind w:left="1468" w:right="0" w:hanging="288"/>
        <w:jc w:val="left"/>
        <w:rPr>
          <w:sz w:val="24"/>
        </w:rPr>
      </w:pPr>
      <w:r>
        <w:rPr>
          <w:strike/>
          <w:color w:val="2E97D3"/>
          <w:sz w:val="24"/>
        </w:rPr>
        <w:t>State-owned space (facilities): 500,000 usable square feet</w:t>
      </w:r>
      <w:r>
        <w:rPr>
          <w:strike/>
          <w:color w:val="2E97D3"/>
          <w:spacing w:val="-31"/>
          <w:sz w:val="24"/>
        </w:rPr>
        <w:t> </w:t>
      </w:r>
      <w:r>
        <w:rPr>
          <w:strike/>
          <w:color w:val="2E97D3"/>
          <w:sz w:val="24"/>
        </w:rPr>
        <w:t>(usf)</w:t>
      </w:r>
    </w:p>
    <w:p>
      <w:pPr>
        <w:pStyle w:val="ListParagraph"/>
        <w:numPr>
          <w:ilvl w:val="0"/>
          <w:numId w:val="77"/>
        </w:numPr>
        <w:tabs>
          <w:tab w:pos="1468" w:val="left" w:leader="none"/>
        </w:tabs>
        <w:spacing w:line="240" w:lineRule="auto" w:before="0" w:after="0"/>
        <w:ind w:left="1468" w:right="1478" w:hanging="288"/>
        <w:jc w:val="left"/>
        <w:rPr>
          <w:sz w:val="24"/>
        </w:rPr>
      </w:pPr>
      <w:r>
        <w:rPr>
          <w:strike/>
          <w:color w:val="2E97D3"/>
          <w:sz w:val="24"/>
        </w:rPr>
        <w:t>Facility space in the process of being acquired under lease-purchase arrangements: 200,000</w:t>
      </w:r>
      <w:r>
        <w:rPr>
          <w:strike/>
          <w:color w:val="2E97D3"/>
          <w:spacing w:val="-16"/>
          <w:sz w:val="24"/>
        </w:rPr>
        <w:t> </w:t>
      </w:r>
      <w:r>
        <w:rPr>
          <w:strike/>
          <w:color w:val="2E97D3"/>
          <w:sz w:val="24"/>
        </w:rPr>
        <w:t>usf</w:t>
      </w:r>
    </w:p>
    <w:p>
      <w:pPr>
        <w:pStyle w:val="ListParagraph"/>
        <w:numPr>
          <w:ilvl w:val="0"/>
          <w:numId w:val="77"/>
        </w:numPr>
        <w:tabs>
          <w:tab w:pos="1468" w:val="left" w:leader="none"/>
        </w:tabs>
        <w:spacing w:line="240" w:lineRule="auto" w:before="1" w:after="0"/>
        <w:ind w:left="1180" w:right="2718" w:firstLine="0"/>
        <w:jc w:val="left"/>
        <w:rPr>
          <w:sz w:val="24"/>
        </w:rPr>
      </w:pPr>
      <w:r>
        <w:rPr>
          <w:strike/>
          <w:color w:val="2E97D3"/>
          <w:sz w:val="24"/>
        </w:rPr>
        <w:t>Space under a lease with a purchase-option: 400,000 usf 4. Space under pure operating leases: 30,000</w:t>
      </w:r>
      <w:r>
        <w:rPr>
          <w:strike/>
          <w:color w:val="2E97D3"/>
          <w:spacing w:val="-3"/>
          <w:sz w:val="24"/>
        </w:rPr>
        <w:t> </w:t>
      </w:r>
      <w:r>
        <w:rPr>
          <w:strike/>
          <w:color w:val="2E97D3"/>
          <w:sz w:val="24"/>
        </w:rPr>
        <w:t>usf</w:t>
      </w:r>
    </w:p>
    <w:p>
      <w:pPr>
        <w:pStyle w:val="BodyText"/>
        <w:spacing w:before="120"/>
        <w:ind w:left="820"/>
      </w:pPr>
      <w:r>
        <w:rPr>
          <w:strike/>
          <w:color w:val="2E97D3"/>
          <w:w w:val="100"/>
        </w:rPr>
        <w:t> </w:t>
      </w:r>
      <w:r>
        <w:rPr>
          <w:strike/>
          <w:color w:val="2E97D3"/>
        </w:rPr>
        <w:t>  Property (owned only):</w:t>
      </w:r>
    </w:p>
    <w:p>
      <w:pPr>
        <w:pStyle w:val="BodyText"/>
        <w:spacing w:before="120"/>
        <w:ind w:left="1180" w:right="3256"/>
      </w:pPr>
      <w:r>
        <w:rPr>
          <w:strike/>
          <w:color w:val="2E97D3"/>
        </w:rPr>
        <w:t>1. Acreage in use, other than open space: 13.2 acres 2. Acreage programmed as open space:  25.7 acres</w:t>
      </w:r>
    </w:p>
    <w:p>
      <w:pPr>
        <w:pStyle w:val="BodyText"/>
        <w:spacing w:before="8"/>
        <w:rPr>
          <w:sz w:val="10"/>
        </w:rPr>
      </w:pPr>
      <w:r>
        <w:rPr/>
        <w:pict>
          <v:line style="position:absolute;mso-position-horizontal-relative:page;mso-position-vertical-relative:paragraph;z-index:25696;mso-wrap-distance-left:0;mso-wrap-distance-right:0" from="72pt,8.433363pt" to="90pt,8.433363pt" stroked="true" strokeweight=".6pt" strokecolor="#2e97d3">
            <v:stroke dashstyle="solid"/>
            <w10:wrap type="topAndBottom"/>
          </v:line>
        </w:pict>
      </w:r>
    </w:p>
    <w:p>
      <w:pPr>
        <w:pStyle w:val="Heading2"/>
        <w:spacing w:before="72"/>
        <w:ind w:left="820"/>
      </w:pPr>
      <w:r>
        <w:rPr>
          <w:strike/>
          <w:color w:val="2E97D3"/>
        </w:rPr>
        <w:t>Vacant/unutilized space</w:t>
      </w:r>
    </w:p>
    <w:p>
      <w:pPr>
        <w:pStyle w:val="BodyText"/>
        <w:spacing w:before="119"/>
        <w:ind w:left="820"/>
      </w:pPr>
      <w:r>
        <w:rPr>
          <w:strike/>
          <w:color w:val="2E97D3"/>
          <w:w w:val="100"/>
        </w:rPr>
        <w:t> </w:t>
      </w:r>
      <w:r>
        <w:rPr>
          <w:strike/>
          <w:color w:val="2E97D3"/>
        </w:rPr>
        <w:t>  Facilities:</w:t>
      </w:r>
    </w:p>
    <w:p>
      <w:pPr>
        <w:pStyle w:val="BodyText"/>
        <w:spacing w:before="119"/>
        <w:ind w:left="820"/>
      </w:pPr>
      <w:r>
        <w:rPr>
          <w:strike/>
          <w:color w:val="2E97D3"/>
          <w:w w:val="100"/>
        </w:rPr>
        <w:t> </w:t>
      </w:r>
      <w:r>
        <w:rPr>
          <w:strike/>
          <w:color w:val="2E97D3"/>
        </w:rPr>
        <w:t>  1.  All facility space owned/leased but not occupying, if any: none</w:t>
      </w:r>
    </w:p>
    <w:p>
      <w:pPr>
        <w:pStyle w:val="BodyText"/>
        <w:spacing w:before="119"/>
        <w:ind w:left="820"/>
      </w:pPr>
      <w:r>
        <w:rPr>
          <w:strike/>
          <w:color w:val="2E97D3"/>
          <w:w w:val="100"/>
        </w:rPr>
        <w:t> </w:t>
      </w:r>
      <w:r>
        <w:rPr>
          <w:strike/>
          <w:color w:val="2E97D3"/>
        </w:rPr>
        <w:t>  Property:</w:t>
      </w:r>
    </w:p>
    <w:p>
      <w:pPr>
        <w:pStyle w:val="BodyText"/>
        <w:spacing w:before="119"/>
        <w:ind w:left="820"/>
      </w:pPr>
      <w:r>
        <w:rPr>
          <w:strike/>
          <w:color w:val="2E97D3"/>
          <w:w w:val="100"/>
        </w:rPr>
        <w:t> </w:t>
      </w:r>
      <w:r>
        <w:rPr>
          <w:strike/>
          <w:color w:val="2E97D3"/>
        </w:rPr>
        <w:t>  1.  Vacant property (not programmed as open space):  2.3 acres.</w:t>
      </w:r>
    </w:p>
    <w:p>
      <w:pPr>
        <w:pStyle w:val="BodyText"/>
        <w:spacing w:before="8"/>
        <w:rPr>
          <w:sz w:val="10"/>
        </w:rPr>
      </w:pPr>
      <w:r>
        <w:rPr/>
        <w:pict>
          <v:line style="position:absolute;mso-position-horizontal-relative:page;mso-position-vertical-relative:paragraph;z-index:25720;mso-wrap-distance-left:0;mso-wrap-distance-right:0" from="72pt,8.422890pt" to="90pt,8.422890pt" stroked="true" strokeweight=".6pt" strokecolor="#2e97d3">
            <v:stroke dashstyle="solid"/>
            <w10:wrap type="topAndBottom"/>
          </v:line>
        </w:pict>
      </w:r>
    </w:p>
    <w:p>
      <w:pPr>
        <w:pStyle w:val="Heading2"/>
        <w:spacing w:before="72"/>
        <w:ind w:left="820"/>
        <w:rPr>
          <w:b w:val="0"/>
        </w:rPr>
      </w:pPr>
      <w:r>
        <w:rPr>
          <w:strike/>
          <w:color w:val="2E97D3"/>
        </w:rPr>
        <w:t>Total space</w:t>
      </w:r>
      <w:r>
        <w:rPr>
          <w:b w:val="0"/>
          <w:strike/>
          <w:color w:val="2E97D3"/>
        </w:rPr>
        <w:t>:</w:t>
      </w:r>
    </w:p>
    <w:p>
      <w:pPr>
        <w:pStyle w:val="BodyText"/>
        <w:tabs>
          <w:tab w:pos="2034" w:val="left" w:leader="none"/>
        </w:tabs>
        <w:ind w:left="820"/>
      </w:pPr>
      <w:r>
        <w:rPr>
          <w:strike/>
          <w:color w:val="2E97D3"/>
          <w:w w:val="100"/>
        </w:rPr>
        <w:t> </w:t>
      </w:r>
      <w:r>
        <w:rPr>
          <w:strike/>
          <w:color w:val="2E97D3"/>
        </w:rPr>
        <w:t> </w:t>
      </w:r>
      <w:r>
        <w:rPr>
          <w:strike/>
          <w:color w:val="2E97D3"/>
          <w:spacing w:val="1"/>
        </w:rPr>
        <w:t> </w:t>
      </w:r>
      <w:r>
        <w:rPr>
          <w:strike/>
          <w:color w:val="2E97D3"/>
        </w:rPr>
        <w:t>Facility:</w:t>
        <w:tab/>
        <w:t>1,230,000</w:t>
      </w:r>
      <w:r>
        <w:rPr>
          <w:strike/>
          <w:color w:val="2E97D3"/>
          <w:spacing w:val="-12"/>
        </w:rPr>
        <w:t> </w:t>
      </w:r>
      <w:r>
        <w:rPr>
          <w:strike/>
          <w:color w:val="2E97D3"/>
        </w:rPr>
        <w:t>usf</w:t>
      </w:r>
    </w:p>
    <w:p>
      <w:pPr>
        <w:pStyle w:val="BodyText"/>
        <w:ind w:left="820"/>
      </w:pPr>
      <w:r>
        <w:rPr>
          <w:strike/>
          <w:color w:val="2E97D3"/>
          <w:w w:val="100"/>
        </w:rPr>
        <w:t> </w:t>
      </w:r>
      <w:r>
        <w:rPr>
          <w:strike/>
          <w:color w:val="2E97D3"/>
        </w:rPr>
        <w:t>  Acreage:  30.3 acres</w:t>
      </w:r>
    </w:p>
    <w:p>
      <w:pPr>
        <w:pStyle w:val="BodyText"/>
        <w:rPr>
          <w:sz w:val="20"/>
        </w:rPr>
      </w:pPr>
    </w:p>
    <w:p>
      <w:pPr>
        <w:pStyle w:val="BodyText"/>
        <w:spacing w:before="2"/>
        <w:rPr>
          <w:sz w:val="17"/>
        </w:rPr>
      </w:pPr>
    </w:p>
    <w:p>
      <w:pPr>
        <w:pStyle w:val="BodyText"/>
        <w:spacing w:before="93"/>
        <w:ind w:left="820"/>
      </w:pPr>
      <w:r>
        <w:rPr>
          <w:strike/>
          <w:color w:val="2E97D3"/>
        </w:rPr>
        <w:t>(Continued)</w:t>
      </w:r>
    </w:p>
    <w:p>
      <w:pPr>
        <w:spacing w:after="0"/>
        <w:sectPr>
          <w:footerReference w:type="default" r:id="rId261"/>
          <w:pgSz w:w="12240" w:h="15840"/>
          <w:pgMar w:footer="1068" w:header="724" w:top="980" w:bottom="1260" w:left="620" w:right="1360"/>
          <w:pgNumType w:start="1"/>
        </w:sectPr>
      </w:pPr>
    </w:p>
    <w:p>
      <w:pPr>
        <w:pStyle w:val="BodyText"/>
        <w:rPr>
          <w:sz w:val="20"/>
        </w:rPr>
      </w:pPr>
    </w:p>
    <w:p>
      <w:pPr>
        <w:pStyle w:val="BodyText"/>
        <w:spacing w:before="216"/>
        <w:ind w:left="820"/>
      </w:pPr>
      <w:r>
        <w:rPr/>
        <w:pict>
          <v:line style="position:absolute;mso-position-horizontal-relative:page;mso-position-vertical-relative:paragraph;z-index:25768" from="36.360001pt,10.895886pt" to="36.360001pt,458.495886pt" stroked="true" strokeweight=".72pt" strokecolor="#000000">
            <v:stroke dashstyle="solid"/>
            <w10:wrap type="none"/>
          </v:line>
        </w:pict>
      </w:r>
      <w:r>
        <w:rPr>
          <w:strike/>
          <w:color w:val="2E97D3"/>
        </w:rPr>
        <w:t>(Continued)</w:t>
      </w:r>
    </w:p>
    <w:p>
      <w:pPr>
        <w:pStyle w:val="BodyText"/>
        <w:spacing w:before="9"/>
        <w:rPr>
          <w:sz w:val="20"/>
        </w:rPr>
      </w:pPr>
    </w:p>
    <w:p>
      <w:pPr>
        <w:pStyle w:val="ListParagraph"/>
        <w:numPr>
          <w:ilvl w:val="0"/>
          <w:numId w:val="78"/>
        </w:numPr>
        <w:tabs>
          <w:tab w:pos="1180" w:val="left" w:leader="none"/>
        </w:tabs>
        <w:spacing w:line="240" w:lineRule="auto" w:before="0" w:after="0"/>
        <w:ind w:left="1180" w:right="0" w:hanging="360"/>
        <w:jc w:val="left"/>
        <w:rPr>
          <w:sz w:val="24"/>
        </w:rPr>
      </w:pPr>
      <w:r>
        <w:rPr>
          <w:strike/>
          <w:color w:val="2E97D3"/>
          <w:sz w:val="24"/>
        </w:rPr>
        <w:t>Existing Leases Due to Explore in the Next Five</w:t>
      </w:r>
      <w:r>
        <w:rPr>
          <w:strike/>
          <w:color w:val="2E97D3"/>
          <w:spacing w:val="-25"/>
          <w:sz w:val="24"/>
        </w:rPr>
        <w:t> </w:t>
      </w:r>
      <w:r>
        <w:rPr>
          <w:strike/>
          <w:color w:val="2E97D3"/>
          <w:sz w:val="24"/>
        </w:rPr>
        <w:t>Years</w:t>
      </w:r>
    </w:p>
    <w:p>
      <w:pPr>
        <w:pStyle w:val="BodyText"/>
        <w:spacing w:before="3"/>
      </w:pPr>
    </w:p>
    <w:tbl>
      <w:tblPr>
        <w:tblW w:w="0" w:type="auto"/>
        <w:jc w:val="left"/>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0"/>
        <w:gridCol w:w="1246"/>
        <w:gridCol w:w="1279"/>
        <w:gridCol w:w="1308"/>
        <w:gridCol w:w="1250"/>
        <w:gridCol w:w="1339"/>
        <w:gridCol w:w="1418"/>
      </w:tblGrid>
      <w:tr>
        <w:trPr>
          <w:trHeight w:val="1114" w:hRule="exact"/>
        </w:trPr>
        <w:tc>
          <w:tcPr>
            <w:tcW w:w="1510" w:type="dxa"/>
            <w:shd w:val="clear" w:color="auto" w:fill="DADADA"/>
          </w:tcPr>
          <w:p>
            <w:pPr>
              <w:pStyle w:val="TableParagraph"/>
              <w:spacing w:before="6"/>
              <w:rPr>
                <w:sz w:val="35"/>
              </w:rPr>
            </w:pPr>
          </w:p>
          <w:p>
            <w:pPr>
              <w:pStyle w:val="TableParagraph"/>
              <w:ind w:left="82" w:right="82"/>
              <w:jc w:val="center"/>
              <w:rPr>
                <w:b/>
                <w:sz w:val="24"/>
              </w:rPr>
            </w:pPr>
            <w:r>
              <w:rPr>
                <w:b/>
                <w:strike/>
                <w:color w:val="2E97D3"/>
                <w:sz w:val="24"/>
              </w:rPr>
              <w:t>Location</w:t>
            </w:r>
          </w:p>
        </w:tc>
        <w:tc>
          <w:tcPr>
            <w:tcW w:w="1246" w:type="dxa"/>
            <w:shd w:val="clear" w:color="auto" w:fill="DADADA"/>
          </w:tcPr>
          <w:p>
            <w:pPr>
              <w:pStyle w:val="TableParagraph"/>
              <w:spacing w:before="3"/>
              <w:rPr>
                <w:sz w:val="21"/>
              </w:rPr>
            </w:pPr>
          </w:p>
          <w:p>
            <w:pPr>
              <w:pStyle w:val="TableParagraph"/>
              <w:tabs>
                <w:tab w:pos="1023" w:val="left" w:leader="none"/>
              </w:tabs>
              <w:spacing w:line="120" w:lineRule="auto"/>
              <w:ind w:left="204" w:right="198" w:hanging="7"/>
              <w:jc w:val="center"/>
              <w:rPr>
                <w:b/>
                <w:sz w:val="24"/>
              </w:rPr>
            </w:pPr>
            <w:r>
              <w:rPr>
                <w:b/>
                <w:color w:val="2E97D3"/>
                <w:w w:val="100"/>
                <w:sz w:val="24"/>
                <w:u w:val="single" w:color="2E97D3"/>
              </w:rPr>
              <w:t> </w:t>
            </w:r>
            <w:r>
              <w:rPr>
                <w:b/>
                <w:color w:val="2E97D3"/>
                <w:sz w:val="24"/>
                <w:u w:val="single" w:color="2E97D3"/>
              </w:rPr>
              <w:tab/>
            </w:r>
            <w:r>
              <w:rPr>
                <w:b/>
                <w:color w:val="2E97D3"/>
                <w:sz w:val="24"/>
              </w:rPr>
              <w:t> </w:t>
            </w:r>
            <w:r>
              <w:rPr>
                <w:b/>
                <w:color w:val="2E97D3"/>
                <w:spacing w:val="-1"/>
                <w:w w:val="100"/>
                <w:sz w:val="24"/>
              </w:rPr>
              <w:t>F</w:t>
            </w:r>
            <w:r>
              <w:rPr>
                <w:b/>
                <w:color w:val="2E97D3"/>
                <w:w w:val="99"/>
                <w:sz w:val="24"/>
              </w:rPr>
              <w:t>ac</w:t>
            </w:r>
            <w:r>
              <w:rPr>
                <w:b/>
                <w:color w:val="2E97D3"/>
                <w:w w:val="100"/>
                <w:sz w:val="24"/>
              </w:rPr>
              <w:t>ili</w:t>
            </w:r>
            <w:r>
              <w:rPr>
                <w:b/>
                <w:color w:val="2E97D3"/>
                <w:spacing w:val="1"/>
                <w:w w:val="100"/>
                <w:sz w:val="24"/>
              </w:rPr>
              <w:t>t</w:t>
            </w:r>
            <w:r>
              <w:rPr>
                <w:b/>
                <w:color w:val="2E97D3"/>
                <w:w w:val="99"/>
                <w:sz w:val="24"/>
              </w:rPr>
              <w:t>y</w:t>
            </w:r>
          </w:p>
          <w:p>
            <w:pPr>
              <w:pStyle w:val="TableParagraph"/>
              <w:spacing w:before="25"/>
              <w:ind w:left="317" w:right="317"/>
              <w:jc w:val="center"/>
              <w:rPr>
                <w:b/>
                <w:sz w:val="24"/>
              </w:rPr>
            </w:pPr>
            <w:r>
              <w:rPr>
                <w:b/>
                <w:strike/>
                <w:color w:val="2E97D3"/>
                <w:sz w:val="24"/>
              </w:rPr>
              <w:t>Type</w:t>
            </w:r>
          </w:p>
        </w:tc>
        <w:tc>
          <w:tcPr>
            <w:tcW w:w="1279" w:type="dxa"/>
            <w:shd w:val="clear" w:color="auto" w:fill="DADADA"/>
          </w:tcPr>
          <w:p>
            <w:pPr>
              <w:pStyle w:val="TableParagraph"/>
              <w:spacing w:before="132"/>
              <w:ind w:left="167" w:right="162" w:hanging="5"/>
              <w:jc w:val="center"/>
              <w:rPr>
                <w:b/>
                <w:sz w:val="24"/>
              </w:rPr>
            </w:pPr>
            <w:r>
              <w:rPr>
                <w:b/>
                <w:strike/>
                <w:color w:val="2E97D3"/>
                <w:sz w:val="24"/>
              </w:rPr>
              <w:t>Size (Specify Units)</w:t>
            </w:r>
          </w:p>
        </w:tc>
        <w:tc>
          <w:tcPr>
            <w:tcW w:w="1308" w:type="dxa"/>
            <w:shd w:val="clear" w:color="auto" w:fill="DADADA"/>
          </w:tcPr>
          <w:p>
            <w:pPr>
              <w:pStyle w:val="TableParagraph"/>
              <w:spacing w:before="132"/>
              <w:ind w:left="148" w:right="148" w:hanging="2"/>
              <w:jc w:val="center"/>
              <w:rPr>
                <w:b/>
                <w:sz w:val="24"/>
              </w:rPr>
            </w:pPr>
            <w:r>
              <w:rPr>
                <w:b/>
                <w:strike/>
                <w:color w:val="2E97D3"/>
                <w:sz w:val="24"/>
              </w:rPr>
              <w:t>Annual Lease Payment</w:t>
            </w:r>
          </w:p>
        </w:tc>
        <w:tc>
          <w:tcPr>
            <w:tcW w:w="1250" w:type="dxa"/>
            <w:shd w:val="clear" w:color="auto" w:fill="DADADA"/>
          </w:tcPr>
          <w:p>
            <w:pPr>
              <w:pStyle w:val="TableParagraph"/>
              <w:spacing w:before="132"/>
              <w:ind w:left="184" w:right="187" w:firstLine="5"/>
              <w:jc w:val="center"/>
              <w:rPr>
                <w:b/>
                <w:sz w:val="24"/>
              </w:rPr>
            </w:pPr>
            <w:r>
              <w:rPr>
                <w:b/>
                <w:strike/>
                <w:color w:val="2E97D3"/>
                <w:sz w:val="24"/>
              </w:rPr>
              <w:t>Fiscal Year Expires</w:t>
            </w:r>
          </w:p>
        </w:tc>
        <w:tc>
          <w:tcPr>
            <w:tcW w:w="1339" w:type="dxa"/>
            <w:shd w:val="clear" w:color="auto" w:fill="DADADA"/>
          </w:tcPr>
          <w:p>
            <w:pPr>
              <w:pStyle w:val="TableParagraph"/>
              <w:ind w:left="122" w:right="122"/>
              <w:jc w:val="center"/>
              <w:rPr>
                <w:b/>
                <w:sz w:val="24"/>
              </w:rPr>
            </w:pPr>
            <w:r>
              <w:rPr>
                <w:b/>
                <w:color w:val="2E97D3"/>
                <w:w w:val="100"/>
                <w:sz w:val="24"/>
                <w:u w:val="single" w:color="2E97D3"/>
              </w:rPr>
              <w:t> </w:t>
            </w:r>
            <w:r>
              <w:rPr>
                <w:b/>
                <w:color w:val="2E97D3"/>
                <w:sz w:val="24"/>
                <w:u w:val="single" w:color="2E97D3"/>
              </w:rPr>
              <w:t> </w:t>
            </w:r>
            <w:r>
              <w:rPr>
                <w:b/>
                <w:strike/>
                <w:color w:val="2E97D3"/>
                <w:sz w:val="24"/>
                <w:u w:val="single" w:color="2E97D3"/>
              </w:rPr>
              <w:t>Includ</w:t>
            </w:r>
            <w:r>
              <w:rPr>
                <w:b/>
                <w:strike w:val="0"/>
                <w:color w:val="2E97D3"/>
                <w:sz w:val="24"/>
                <w:u w:val="single" w:color="2E97D3"/>
              </w:rPr>
              <w:t>e </w:t>
            </w:r>
            <w:r>
              <w:rPr>
                <w:b/>
                <w:strike w:val="0"/>
                <w:color w:val="2E97D3"/>
                <w:sz w:val="24"/>
              </w:rPr>
              <w:t>Purchase </w:t>
            </w:r>
            <w:r>
              <w:rPr>
                <w:b/>
                <w:strike/>
                <w:color w:val="2E97D3"/>
                <w:sz w:val="24"/>
              </w:rPr>
              <w:t>Option? (Y/N)</w:t>
            </w:r>
          </w:p>
        </w:tc>
        <w:tc>
          <w:tcPr>
            <w:tcW w:w="1418" w:type="dxa"/>
            <w:shd w:val="clear" w:color="auto" w:fill="DADADA"/>
          </w:tcPr>
          <w:p>
            <w:pPr>
              <w:pStyle w:val="TableParagraph"/>
              <w:spacing w:before="132"/>
              <w:ind w:left="84" w:right="82"/>
              <w:jc w:val="center"/>
              <w:rPr>
                <w:b/>
                <w:sz w:val="24"/>
              </w:rPr>
            </w:pPr>
            <w:r>
              <w:rPr>
                <w:b/>
                <w:strike/>
                <w:color w:val="2E97D3"/>
                <w:sz w:val="24"/>
              </w:rPr>
              <w:t>Amount of Option, if Any</w:t>
            </w:r>
          </w:p>
        </w:tc>
      </w:tr>
      <w:tr>
        <w:trPr>
          <w:trHeight w:val="562" w:hRule="exact"/>
        </w:trPr>
        <w:tc>
          <w:tcPr>
            <w:tcW w:w="1510" w:type="dxa"/>
          </w:tcPr>
          <w:p>
            <w:pPr>
              <w:pStyle w:val="TableParagraph"/>
              <w:spacing w:before="132"/>
              <w:ind w:left="83" w:right="82"/>
              <w:jc w:val="center"/>
              <w:rPr>
                <w:sz w:val="24"/>
              </w:rPr>
            </w:pPr>
            <w:r>
              <w:rPr>
                <w:strike/>
                <w:color w:val="2E97D3"/>
                <w:sz w:val="24"/>
              </w:rPr>
              <w:t>Sacramento</w:t>
            </w:r>
          </w:p>
        </w:tc>
        <w:tc>
          <w:tcPr>
            <w:tcW w:w="1246" w:type="dxa"/>
          </w:tcPr>
          <w:p>
            <w:pPr>
              <w:pStyle w:val="TableParagraph"/>
              <w:ind w:left="304" w:right="174" w:hanging="116"/>
              <w:rPr>
                <w:sz w:val="24"/>
              </w:rPr>
            </w:pPr>
            <w:r>
              <w:rPr>
                <w:strike/>
                <w:color w:val="2E97D3"/>
                <w:sz w:val="24"/>
              </w:rPr>
              <w:t>General Office</w:t>
            </w:r>
          </w:p>
        </w:tc>
        <w:tc>
          <w:tcPr>
            <w:tcW w:w="1279" w:type="dxa"/>
          </w:tcPr>
          <w:p>
            <w:pPr>
              <w:pStyle w:val="TableParagraph"/>
              <w:spacing w:line="270" w:lineRule="exact"/>
              <w:ind w:left="247" w:right="247"/>
              <w:jc w:val="center"/>
              <w:rPr>
                <w:sz w:val="24"/>
              </w:rPr>
            </w:pPr>
            <w:r>
              <w:rPr>
                <w:strike/>
                <w:color w:val="2E97D3"/>
                <w:sz w:val="24"/>
              </w:rPr>
              <w:t>20,000</w:t>
            </w:r>
          </w:p>
          <w:p>
            <w:pPr>
              <w:pStyle w:val="TableParagraph"/>
              <w:spacing w:line="275" w:lineRule="exact"/>
              <w:ind w:left="246" w:right="247"/>
              <w:jc w:val="center"/>
              <w:rPr>
                <w:i/>
                <w:sz w:val="24"/>
              </w:rPr>
            </w:pPr>
            <w:r>
              <w:rPr>
                <w:i/>
                <w:strike/>
                <w:color w:val="2E97D3"/>
                <w:sz w:val="24"/>
              </w:rPr>
              <w:t>(usf)</w:t>
            </w:r>
          </w:p>
        </w:tc>
        <w:tc>
          <w:tcPr>
            <w:tcW w:w="1308" w:type="dxa"/>
          </w:tcPr>
          <w:p>
            <w:pPr>
              <w:pStyle w:val="TableParagraph"/>
              <w:spacing w:before="132"/>
              <w:ind w:left="129" w:right="128"/>
              <w:jc w:val="center"/>
              <w:rPr>
                <w:sz w:val="24"/>
              </w:rPr>
            </w:pPr>
            <w:r>
              <w:rPr>
                <w:strike/>
                <w:color w:val="2E97D3"/>
                <w:sz w:val="24"/>
              </w:rPr>
              <w:t>$480,000</w:t>
            </w:r>
          </w:p>
        </w:tc>
        <w:tc>
          <w:tcPr>
            <w:tcW w:w="1250" w:type="dxa"/>
          </w:tcPr>
          <w:p>
            <w:pPr>
              <w:pStyle w:val="TableParagraph"/>
              <w:spacing w:before="132"/>
              <w:ind w:left="160" w:right="160"/>
              <w:jc w:val="center"/>
              <w:rPr>
                <w:sz w:val="24"/>
              </w:rPr>
            </w:pPr>
            <w:r>
              <w:rPr>
                <w:strike/>
                <w:color w:val="2E97D3"/>
                <w:sz w:val="24"/>
              </w:rPr>
              <w:t>2000-01</w:t>
            </w:r>
          </w:p>
        </w:tc>
        <w:tc>
          <w:tcPr>
            <w:tcW w:w="1339" w:type="dxa"/>
          </w:tcPr>
          <w:p>
            <w:pPr>
              <w:pStyle w:val="TableParagraph"/>
              <w:spacing w:before="132"/>
              <w:ind w:right="584"/>
              <w:jc w:val="right"/>
              <w:rPr>
                <w:sz w:val="24"/>
              </w:rPr>
            </w:pPr>
            <w:r>
              <w:rPr>
                <w:strike/>
                <w:color w:val="2E97D3"/>
                <w:w w:val="100"/>
                <w:sz w:val="24"/>
              </w:rPr>
              <w:t>Y</w:t>
            </w:r>
          </w:p>
        </w:tc>
        <w:tc>
          <w:tcPr>
            <w:tcW w:w="1418" w:type="dxa"/>
          </w:tcPr>
          <w:p>
            <w:pPr>
              <w:pStyle w:val="TableParagraph"/>
              <w:spacing w:before="132"/>
              <w:ind w:left="84" w:right="82"/>
              <w:jc w:val="center"/>
              <w:rPr>
                <w:sz w:val="24"/>
              </w:rPr>
            </w:pPr>
            <w:r>
              <w:rPr>
                <w:strike/>
                <w:color w:val="2E97D3"/>
                <w:sz w:val="24"/>
              </w:rPr>
              <w:t>$3,500,000</w:t>
            </w:r>
          </w:p>
        </w:tc>
      </w:tr>
      <w:tr>
        <w:trPr>
          <w:trHeight w:val="562" w:hRule="exact"/>
        </w:trPr>
        <w:tc>
          <w:tcPr>
            <w:tcW w:w="1510" w:type="dxa"/>
          </w:tcPr>
          <w:p>
            <w:pPr>
              <w:pStyle w:val="TableParagraph"/>
              <w:spacing w:before="132"/>
              <w:ind w:left="83" w:right="82"/>
              <w:jc w:val="center"/>
              <w:rPr>
                <w:sz w:val="24"/>
              </w:rPr>
            </w:pPr>
            <w:r>
              <w:rPr>
                <w:strike/>
                <w:color w:val="2E97D3"/>
                <w:sz w:val="24"/>
              </w:rPr>
              <w:t>San Diego</w:t>
            </w:r>
          </w:p>
        </w:tc>
        <w:tc>
          <w:tcPr>
            <w:tcW w:w="1246" w:type="dxa"/>
          </w:tcPr>
          <w:p>
            <w:pPr>
              <w:pStyle w:val="TableParagraph"/>
              <w:spacing w:before="132"/>
              <w:ind w:left="317" w:right="315"/>
              <w:jc w:val="center"/>
              <w:rPr>
                <w:sz w:val="24"/>
              </w:rPr>
            </w:pPr>
            <w:r>
              <w:rPr>
                <w:strike/>
                <w:color w:val="2E97D3"/>
                <w:sz w:val="24"/>
              </w:rPr>
              <w:t>Lab</w:t>
            </w:r>
          </w:p>
        </w:tc>
        <w:tc>
          <w:tcPr>
            <w:tcW w:w="1279" w:type="dxa"/>
          </w:tcPr>
          <w:p>
            <w:pPr>
              <w:pStyle w:val="TableParagraph"/>
              <w:spacing w:line="270" w:lineRule="exact"/>
              <w:ind w:left="247" w:right="247"/>
              <w:jc w:val="center"/>
              <w:rPr>
                <w:sz w:val="24"/>
              </w:rPr>
            </w:pPr>
            <w:r>
              <w:rPr>
                <w:strike/>
                <w:color w:val="2E97D3"/>
                <w:sz w:val="24"/>
              </w:rPr>
              <w:t>10,000</w:t>
            </w:r>
          </w:p>
          <w:p>
            <w:pPr>
              <w:pStyle w:val="TableParagraph"/>
              <w:spacing w:line="275" w:lineRule="exact"/>
              <w:ind w:left="246" w:right="247"/>
              <w:jc w:val="center"/>
              <w:rPr>
                <w:i/>
                <w:sz w:val="24"/>
              </w:rPr>
            </w:pPr>
            <w:r>
              <w:rPr>
                <w:i/>
                <w:strike/>
                <w:color w:val="2E97D3"/>
                <w:sz w:val="24"/>
              </w:rPr>
              <w:t>(usf)</w:t>
            </w:r>
          </w:p>
        </w:tc>
        <w:tc>
          <w:tcPr>
            <w:tcW w:w="1308" w:type="dxa"/>
          </w:tcPr>
          <w:p>
            <w:pPr>
              <w:pStyle w:val="TableParagraph"/>
              <w:spacing w:before="132"/>
              <w:ind w:left="129" w:right="128"/>
              <w:jc w:val="center"/>
              <w:rPr>
                <w:sz w:val="24"/>
              </w:rPr>
            </w:pPr>
            <w:r>
              <w:rPr>
                <w:strike/>
                <w:color w:val="2E97D3"/>
                <w:sz w:val="24"/>
              </w:rPr>
              <w:t>$240,000</w:t>
            </w:r>
          </w:p>
        </w:tc>
        <w:tc>
          <w:tcPr>
            <w:tcW w:w="1250" w:type="dxa"/>
          </w:tcPr>
          <w:p>
            <w:pPr>
              <w:pStyle w:val="TableParagraph"/>
              <w:spacing w:before="132"/>
              <w:ind w:left="160" w:right="160"/>
              <w:jc w:val="center"/>
              <w:rPr>
                <w:sz w:val="24"/>
              </w:rPr>
            </w:pPr>
            <w:r>
              <w:rPr>
                <w:strike/>
                <w:color w:val="2E97D3"/>
                <w:sz w:val="24"/>
              </w:rPr>
              <w:t>2001-02</w:t>
            </w:r>
          </w:p>
        </w:tc>
        <w:tc>
          <w:tcPr>
            <w:tcW w:w="1339" w:type="dxa"/>
          </w:tcPr>
          <w:p>
            <w:pPr>
              <w:pStyle w:val="TableParagraph"/>
              <w:spacing w:before="132"/>
              <w:ind w:right="575"/>
              <w:jc w:val="right"/>
              <w:rPr>
                <w:sz w:val="24"/>
              </w:rPr>
            </w:pPr>
            <w:r>
              <w:rPr>
                <w:strike/>
                <w:color w:val="2E97D3"/>
                <w:w w:val="99"/>
                <w:sz w:val="24"/>
              </w:rPr>
              <w:t>N</w:t>
            </w:r>
          </w:p>
        </w:tc>
        <w:tc>
          <w:tcPr>
            <w:tcW w:w="1418" w:type="dxa"/>
          </w:tcPr>
          <w:p>
            <w:pPr>
              <w:pStyle w:val="TableParagraph"/>
              <w:spacing w:before="132"/>
              <w:ind w:left="82" w:right="82"/>
              <w:jc w:val="center"/>
              <w:rPr>
                <w:sz w:val="24"/>
              </w:rPr>
            </w:pPr>
            <w:r>
              <w:rPr>
                <w:strike/>
                <w:color w:val="2E97D3"/>
                <w:sz w:val="24"/>
              </w:rPr>
              <w:t>N/A</w:t>
            </w:r>
          </w:p>
        </w:tc>
      </w:tr>
    </w:tbl>
    <w:p>
      <w:pPr>
        <w:pStyle w:val="BodyText"/>
        <w:spacing w:before="7"/>
        <w:rPr>
          <w:sz w:val="23"/>
        </w:rPr>
      </w:pPr>
    </w:p>
    <w:p>
      <w:pPr>
        <w:pStyle w:val="ListParagraph"/>
        <w:numPr>
          <w:ilvl w:val="0"/>
          <w:numId w:val="78"/>
        </w:numPr>
        <w:tabs>
          <w:tab w:pos="1180" w:val="left" w:leader="none"/>
        </w:tabs>
        <w:spacing w:line="240" w:lineRule="auto" w:before="0" w:after="0"/>
        <w:ind w:left="1180" w:right="0" w:hanging="360"/>
        <w:jc w:val="left"/>
        <w:rPr>
          <w:sz w:val="24"/>
        </w:rPr>
      </w:pPr>
      <w:r>
        <w:rPr>
          <w:strike/>
          <w:color w:val="2E97D3"/>
          <w:sz w:val="24"/>
        </w:rPr>
        <w:t>Planned New Lease-With-Purchase-Option Arrangements in the Next Five</w:t>
      </w:r>
      <w:r>
        <w:rPr>
          <w:strike/>
          <w:color w:val="2E97D3"/>
          <w:spacing w:val="-43"/>
          <w:sz w:val="24"/>
        </w:rPr>
        <w:t> </w:t>
      </w:r>
      <w:r>
        <w:rPr>
          <w:strike/>
          <w:color w:val="2E97D3"/>
          <w:sz w:val="24"/>
        </w:rPr>
        <w:t>Years:</w:t>
      </w:r>
    </w:p>
    <w:p>
      <w:pPr>
        <w:pStyle w:val="BodyText"/>
        <w:spacing w:before="4"/>
      </w:pPr>
    </w:p>
    <w:tbl>
      <w:tblPr>
        <w:tblW w:w="0" w:type="auto"/>
        <w:jc w:val="left"/>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6"/>
        <w:gridCol w:w="1332"/>
        <w:gridCol w:w="1322"/>
        <w:gridCol w:w="1349"/>
        <w:gridCol w:w="2071"/>
        <w:gridCol w:w="1930"/>
      </w:tblGrid>
      <w:tr>
        <w:trPr>
          <w:trHeight w:val="838" w:hRule="exact"/>
        </w:trPr>
        <w:tc>
          <w:tcPr>
            <w:tcW w:w="1346" w:type="dxa"/>
            <w:shd w:val="clear" w:color="auto" w:fill="DADADA"/>
          </w:tcPr>
          <w:p>
            <w:pPr>
              <w:pStyle w:val="TableParagraph"/>
              <w:spacing w:before="5"/>
              <w:rPr>
                <w:sz w:val="21"/>
              </w:rPr>
            </w:pPr>
          </w:p>
          <w:p>
            <w:pPr>
              <w:pStyle w:val="TableParagraph"/>
              <w:tabs>
                <w:tab w:pos="1168" w:val="left" w:leader="none"/>
              </w:tabs>
              <w:spacing w:line="120" w:lineRule="auto" w:before="1"/>
              <w:ind w:left="167" w:right="167"/>
              <w:rPr>
                <w:b/>
                <w:sz w:val="24"/>
              </w:rPr>
            </w:pPr>
            <w:r>
              <w:rPr>
                <w:b/>
                <w:color w:val="2E97D3"/>
                <w:w w:val="100"/>
                <w:sz w:val="24"/>
                <w:u w:val="single" w:color="2E97D3"/>
              </w:rPr>
              <w:t> </w:t>
            </w:r>
            <w:r>
              <w:rPr>
                <w:b/>
                <w:color w:val="2E97D3"/>
                <w:sz w:val="24"/>
                <w:u w:val="single" w:color="2E97D3"/>
              </w:rPr>
              <w:tab/>
            </w:r>
            <w:r>
              <w:rPr>
                <w:b/>
                <w:color w:val="2E97D3"/>
                <w:sz w:val="24"/>
              </w:rPr>
              <w:t> </w:t>
            </w:r>
            <w:r>
              <w:rPr>
                <w:b/>
                <w:color w:val="2E97D3"/>
                <w:spacing w:val="-1"/>
                <w:sz w:val="24"/>
              </w:rPr>
              <w:t>Lo</w:t>
            </w:r>
            <w:r>
              <w:rPr>
                <w:b/>
                <w:color w:val="2E97D3"/>
                <w:sz w:val="24"/>
              </w:rPr>
              <w:t>c</w:t>
            </w:r>
            <w:r>
              <w:rPr>
                <w:b/>
                <w:color w:val="2E97D3"/>
                <w:w w:val="99"/>
                <w:sz w:val="24"/>
              </w:rPr>
              <w:t>a</w:t>
            </w:r>
            <w:r>
              <w:rPr>
                <w:b/>
                <w:color w:val="2E97D3"/>
                <w:spacing w:val="-1"/>
                <w:w w:val="99"/>
                <w:sz w:val="24"/>
              </w:rPr>
              <w:t>t</w:t>
            </w:r>
            <w:r>
              <w:rPr>
                <w:b/>
                <w:color w:val="2E97D3"/>
                <w:w w:val="100"/>
                <w:sz w:val="24"/>
              </w:rPr>
              <w:t>i</w:t>
            </w:r>
            <w:r>
              <w:rPr>
                <w:b/>
                <w:color w:val="2E97D3"/>
                <w:spacing w:val="-1"/>
                <w:w w:val="100"/>
                <w:sz w:val="24"/>
              </w:rPr>
              <w:t>on</w:t>
            </w:r>
          </w:p>
        </w:tc>
        <w:tc>
          <w:tcPr>
            <w:tcW w:w="1332" w:type="dxa"/>
            <w:shd w:val="clear" w:color="auto" w:fill="DADADA"/>
          </w:tcPr>
          <w:p>
            <w:pPr>
              <w:pStyle w:val="TableParagraph"/>
              <w:spacing w:before="135"/>
              <w:ind w:left="379" w:right="228" w:hanging="132"/>
              <w:rPr>
                <w:b/>
                <w:sz w:val="24"/>
              </w:rPr>
            </w:pPr>
            <w:r>
              <w:rPr>
                <w:b/>
                <w:strike/>
                <w:color w:val="2E97D3"/>
                <w:sz w:val="24"/>
              </w:rPr>
              <w:t>Facility Type</w:t>
            </w:r>
          </w:p>
        </w:tc>
        <w:tc>
          <w:tcPr>
            <w:tcW w:w="1322" w:type="dxa"/>
            <w:shd w:val="clear" w:color="auto" w:fill="DADADA"/>
          </w:tcPr>
          <w:p>
            <w:pPr>
              <w:pStyle w:val="TableParagraph"/>
              <w:spacing w:before="5"/>
              <w:rPr>
                <w:sz w:val="21"/>
              </w:rPr>
            </w:pPr>
          </w:p>
          <w:p>
            <w:pPr>
              <w:pStyle w:val="TableParagraph"/>
              <w:tabs>
                <w:tab w:pos="895" w:val="left" w:leader="none"/>
              </w:tabs>
              <w:spacing w:line="120" w:lineRule="auto" w:before="1"/>
              <w:ind w:left="415" w:right="414"/>
              <w:rPr>
                <w:b/>
                <w:sz w:val="24"/>
              </w:rPr>
            </w:pPr>
            <w:r>
              <w:rPr>
                <w:b/>
                <w:color w:val="2E97D3"/>
                <w:w w:val="100"/>
                <w:sz w:val="24"/>
                <w:u w:val="single" w:color="2E97D3"/>
              </w:rPr>
              <w:t> </w:t>
            </w:r>
            <w:r>
              <w:rPr>
                <w:b/>
                <w:color w:val="2E97D3"/>
                <w:sz w:val="24"/>
                <w:u w:val="single" w:color="2E97D3"/>
              </w:rPr>
              <w:tab/>
            </w:r>
            <w:r>
              <w:rPr>
                <w:b/>
                <w:color w:val="2E97D3"/>
                <w:sz w:val="24"/>
              </w:rPr>
              <w:t> S</w:t>
            </w:r>
            <w:r>
              <w:rPr>
                <w:b/>
                <w:color w:val="2E97D3"/>
                <w:w w:val="100"/>
                <w:sz w:val="24"/>
              </w:rPr>
              <w:t>i</w:t>
            </w:r>
            <w:r>
              <w:rPr>
                <w:b/>
                <w:color w:val="2E97D3"/>
                <w:w w:val="99"/>
                <w:sz w:val="24"/>
              </w:rPr>
              <w:t>ze</w:t>
            </w:r>
          </w:p>
        </w:tc>
        <w:tc>
          <w:tcPr>
            <w:tcW w:w="1349" w:type="dxa"/>
            <w:shd w:val="clear" w:color="auto" w:fill="DADADA"/>
          </w:tcPr>
          <w:p>
            <w:pPr>
              <w:pStyle w:val="TableParagraph"/>
              <w:ind w:left="168" w:right="170" w:firstLine="3"/>
              <w:jc w:val="center"/>
              <w:rPr>
                <w:b/>
                <w:sz w:val="24"/>
              </w:rPr>
            </w:pPr>
            <w:r>
              <w:rPr>
                <w:b/>
                <w:strike/>
                <w:color w:val="2E97D3"/>
                <w:sz w:val="24"/>
              </w:rPr>
              <w:t>Annual Lease Payment</w:t>
            </w:r>
          </w:p>
        </w:tc>
        <w:tc>
          <w:tcPr>
            <w:tcW w:w="2071" w:type="dxa"/>
            <w:shd w:val="clear" w:color="auto" w:fill="DADADA"/>
          </w:tcPr>
          <w:p>
            <w:pPr>
              <w:pStyle w:val="TableParagraph"/>
              <w:ind w:left="196" w:right="196" w:firstLine="1"/>
              <w:jc w:val="center"/>
              <w:rPr>
                <w:b/>
                <w:sz w:val="24"/>
              </w:rPr>
            </w:pPr>
            <w:r>
              <w:rPr>
                <w:b/>
                <w:strike/>
                <w:color w:val="2E97D3"/>
                <w:sz w:val="24"/>
              </w:rPr>
              <w:t>FY In Which Option Can Be Exercised</w:t>
            </w:r>
          </w:p>
        </w:tc>
        <w:tc>
          <w:tcPr>
            <w:tcW w:w="1930" w:type="dxa"/>
            <w:shd w:val="clear" w:color="auto" w:fill="DADADA"/>
          </w:tcPr>
          <w:p>
            <w:pPr>
              <w:pStyle w:val="TableParagraph"/>
              <w:spacing w:before="135"/>
              <w:ind w:left="506" w:right="487" w:firstLine="67"/>
              <w:rPr>
                <w:b/>
                <w:sz w:val="24"/>
              </w:rPr>
            </w:pPr>
            <w:r>
              <w:rPr>
                <w:b/>
                <w:strike/>
                <w:color w:val="2E97D3"/>
                <w:sz w:val="24"/>
              </w:rPr>
              <w:t>Option Amount</w:t>
            </w:r>
          </w:p>
        </w:tc>
      </w:tr>
      <w:tr>
        <w:trPr>
          <w:trHeight w:val="564" w:hRule="exact"/>
        </w:trPr>
        <w:tc>
          <w:tcPr>
            <w:tcW w:w="1346" w:type="dxa"/>
          </w:tcPr>
          <w:p>
            <w:pPr>
              <w:pStyle w:val="TableParagraph"/>
              <w:spacing w:before="135"/>
              <w:ind w:left="167"/>
              <w:rPr>
                <w:sz w:val="24"/>
              </w:rPr>
            </w:pPr>
            <w:r>
              <w:rPr>
                <w:strike/>
                <w:color w:val="2E97D3"/>
                <w:sz w:val="24"/>
              </w:rPr>
              <w:t>Riverside</w:t>
            </w:r>
          </w:p>
        </w:tc>
        <w:tc>
          <w:tcPr>
            <w:tcW w:w="1332" w:type="dxa"/>
          </w:tcPr>
          <w:p>
            <w:pPr>
              <w:pStyle w:val="TableParagraph"/>
              <w:ind w:left="345" w:right="219" w:hanging="116"/>
              <w:rPr>
                <w:sz w:val="24"/>
              </w:rPr>
            </w:pPr>
            <w:r>
              <w:rPr>
                <w:strike/>
                <w:color w:val="2E97D3"/>
                <w:sz w:val="24"/>
              </w:rPr>
              <w:t>General Office</w:t>
            </w:r>
          </w:p>
        </w:tc>
        <w:tc>
          <w:tcPr>
            <w:tcW w:w="1322" w:type="dxa"/>
          </w:tcPr>
          <w:p>
            <w:pPr>
              <w:pStyle w:val="TableParagraph"/>
              <w:spacing w:line="270" w:lineRule="exact"/>
              <w:ind w:left="269" w:right="269"/>
              <w:jc w:val="center"/>
              <w:rPr>
                <w:sz w:val="24"/>
              </w:rPr>
            </w:pPr>
            <w:r>
              <w:rPr>
                <w:strike/>
                <w:color w:val="2E97D3"/>
                <w:sz w:val="24"/>
              </w:rPr>
              <w:t>10,000</w:t>
            </w:r>
          </w:p>
          <w:p>
            <w:pPr>
              <w:pStyle w:val="TableParagraph"/>
              <w:spacing w:line="275" w:lineRule="exact"/>
              <w:ind w:left="268" w:right="269"/>
              <w:jc w:val="center"/>
              <w:rPr>
                <w:i/>
                <w:sz w:val="24"/>
              </w:rPr>
            </w:pPr>
            <w:r>
              <w:rPr>
                <w:i/>
                <w:strike/>
                <w:color w:val="2E97D3"/>
                <w:sz w:val="24"/>
              </w:rPr>
              <w:t>(usf)</w:t>
            </w:r>
          </w:p>
        </w:tc>
        <w:tc>
          <w:tcPr>
            <w:tcW w:w="1349" w:type="dxa"/>
          </w:tcPr>
          <w:p>
            <w:pPr>
              <w:pStyle w:val="TableParagraph"/>
              <w:spacing w:before="135"/>
              <w:ind w:left="167"/>
              <w:rPr>
                <w:sz w:val="24"/>
              </w:rPr>
            </w:pPr>
            <w:r>
              <w:rPr>
                <w:strike/>
                <w:color w:val="2E97D3"/>
                <w:sz w:val="24"/>
              </w:rPr>
              <w:t>$240,000</w:t>
            </w:r>
          </w:p>
        </w:tc>
        <w:tc>
          <w:tcPr>
            <w:tcW w:w="2071" w:type="dxa"/>
          </w:tcPr>
          <w:p>
            <w:pPr>
              <w:pStyle w:val="TableParagraph"/>
              <w:spacing w:before="135"/>
              <w:ind w:left="590"/>
              <w:rPr>
                <w:sz w:val="24"/>
              </w:rPr>
            </w:pPr>
            <w:r>
              <w:rPr>
                <w:strike/>
                <w:color w:val="2E97D3"/>
                <w:sz w:val="24"/>
              </w:rPr>
              <w:t>2002-03</w:t>
            </w:r>
          </w:p>
        </w:tc>
        <w:tc>
          <w:tcPr>
            <w:tcW w:w="1930" w:type="dxa"/>
          </w:tcPr>
          <w:p>
            <w:pPr>
              <w:pStyle w:val="TableParagraph"/>
              <w:spacing w:before="135"/>
              <w:ind w:left="357"/>
              <w:rPr>
                <w:sz w:val="24"/>
              </w:rPr>
            </w:pPr>
            <w:r>
              <w:rPr>
                <w:strike/>
                <w:color w:val="2E97D3"/>
                <w:sz w:val="24"/>
              </w:rPr>
              <w:t>$3,000,000</w:t>
            </w:r>
          </w:p>
        </w:tc>
      </w:tr>
    </w:tbl>
    <w:p>
      <w:pPr>
        <w:pStyle w:val="BodyText"/>
        <w:spacing w:before="9"/>
        <w:rPr>
          <w:sz w:val="23"/>
        </w:rPr>
      </w:pPr>
    </w:p>
    <w:p>
      <w:pPr>
        <w:pStyle w:val="ListParagraph"/>
        <w:numPr>
          <w:ilvl w:val="0"/>
          <w:numId w:val="78"/>
        </w:numPr>
        <w:tabs>
          <w:tab w:pos="1180" w:val="left" w:leader="none"/>
        </w:tabs>
        <w:spacing w:line="240" w:lineRule="auto" w:before="0" w:after="0"/>
        <w:ind w:left="1180" w:right="0" w:hanging="360"/>
        <w:jc w:val="left"/>
        <w:rPr>
          <w:sz w:val="24"/>
        </w:rPr>
      </w:pPr>
      <w:r>
        <w:rPr>
          <w:strike/>
          <w:color w:val="2E97D3"/>
          <w:sz w:val="24"/>
        </w:rPr>
        <w:t>Planned New-Lease-Purchase Arrangements in the Next Five</w:t>
      </w:r>
      <w:r>
        <w:rPr>
          <w:strike/>
          <w:color w:val="2E97D3"/>
          <w:spacing w:val="-29"/>
          <w:sz w:val="24"/>
        </w:rPr>
        <w:t> </w:t>
      </w:r>
      <w:r>
        <w:rPr>
          <w:strike/>
          <w:color w:val="2E97D3"/>
          <w:sz w:val="24"/>
        </w:rPr>
        <w:t>Years:</w:t>
      </w:r>
    </w:p>
    <w:p>
      <w:pPr>
        <w:pStyle w:val="BodyText"/>
        <w:rPr>
          <w:sz w:val="20"/>
        </w:rPr>
      </w:pPr>
    </w:p>
    <w:p>
      <w:pPr>
        <w:pStyle w:val="BodyText"/>
        <w:spacing w:before="2"/>
        <w:rPr>
          <w:sz w:val="11"/>
        </w:rPr>
      </w:pPr>
    </w:p>
    <w:tbl>
      <w:tblPr>
        <w:tblW w:w="0" w:type="auto"/>
        <w:jc w:val="left"/>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2"/>
        <w:gridCol w:w="1613"/>
        <w:gridCol w:w="1241"/>
        <w:gridCol w:w="1584"/>
        <w:gridCol w:w="3221"/>
      </w:tblGrid>
      <w:tr>
        <w:trPr>
          <w:trHeight w:val="562" w:hRule="exact"/>
        </w:trPr>
        <w:tc>
          <w:tcPr>
            <w:tcW w:w="1692" w:type="dxa"/>
            <w:shd w:val="clear" w:color="auto" w:fill="DADADA"/>
          </w:tcPr>
          <w:p>
            <w:pPr>
              <w:pStyle w:val="TableParagraph"/>
              <w:spacing w:before="135"/>
              <w:ind w:left="160" w:right="160"/>
              <w:jc w:val="center"/>
              <w:rPr>
                <w:b/>
                <w:sz w:val="24"/>
              </w:rPr>
            </w:pPr>
            <w:r>
              <w:rPr>
                <w:b/>
                <w:strike/>
                <w:color w:val="2E97D3"/>
                <w:sz w:val="24"/>
              </w:rPr>
              <w:t>Location</w:t>
            </w:r>
          </w:p>
        </w:tc>
        <w:tc>
          <w:tcPr>
            <w:tcW w:w="1613" w:type="dxa"/>
            <w:shd w:val="clear" w:color="auto" w:fill="DADADA"/>
          </w:tcPr>
          <w:p>
            <w:pPr>
              <w:pStyle w:val="TableParagraph"/>
              <w:ind w:left="520" w:right="368" w:hanging="132"/>
              <w:rPr>
                <w:b/>
                <w:sz w:val="24"/>
              </w:rPr>
            </w:pPr>
            <w:r>
              <w:rPr>
                <w:b/>
                <w:strike/>
                <w:color w:val="2E97D3"/>
                <w:sz w:val="24"/>
              </w:rPr>
              <w:t>Facility Type</w:t>
            </w:r>
          </w:p>
        </w:tc>
        <w:tc>
          <w:tcPr>
            <w:tcW w:w="1241" w:type="dxa"/>
            <w:shd w:val="clear" w:color="auto" w:fill="DADADA"/>
          </w:tcPr>
          <w:p>
            <w:pPr>
              <w:pStyle w:val="TableParagraph"/>
              <w:spacing w:before="135"/>
              <w:ind w:left="374"/>
              <w:rPr>
                <w:b/>
                <w:sz w:val="24"/>
              </w:rPr>
            </w:pPr>
            <w:r>
              <w:rPr>
                <w:b/>
                <w:strike/>
                <w:color w:val="2E97D3"/>
                <w:sz w:val="24"/>
              </w:rPr>
              <w:t>Size</w:t>
            </w:r>
          </w:p>
        </w:tc>
        <w:tc>
          <w:tcPr>
            <w:tcW w:w="1584" w:type="dxa"/>
            <w:shd w:val="clear" w:color="auto" w:fill="DADADA"/>
          </w:tcPr>
          <w:p>
            <w:pPr>
              <w:pStyle w:val="TableParagraph"/>
              <w:ind w:left="506" w:right="222" w:hanging="267"/>
              <w:rPr>
                <w:b/>
                <w:sz w:val="24"/>
              </w:rPr>
            </w:pPr>
            <w:r>
              <w:rPr>
                <w:b/>
                <w:strike/>
                <w:color w:val="2E97D3"/>
                <w:sz w:val="24"/>
              </w:rPr>
              <w:t>Length of Time</w:t>
            </w:r>
          </w:p>
        </w:tc>
        <w:tc>
          <w:tcPr>
            <w:tcW w:w="3221" w:type="dxa"/>
            <w:shd w:val="clear" w:color="auto" w:fill="DADADA"/>
          </w:tcPr>
          <w:p>
            <w:pPr>
              <w:pStyle w:val="TableParagraph"/>
              <w:ind w:left="1103" w:right="229" w:hanging="862"/>
              <w:rPr>
                <w:b/>
                <w:sz w:val="24"/>
              </w:rPr>
            </w:pPr>
            <w:r>
              <w:rPr>
                <w:b/>
                <w:strike/>
                <w:color w:val="2E97D3"/>
                <w:sz w:val="24"/>
              </w:rPr>
              <w:t>Annual Lease-Purchase Payment</w:t>
            </w:r>
          </w:p>
        </w:tc>
      </w:tr>
      <w:tr>
        <w:trPr>
          <w:trHeight w:val="562" w:hRule="exact"/>
        </w:trPr>
        <w:tc>
          <w:tcPr>
            <w:tcW w:w="1692" w:type="dxa"/>
          </w:tcPr>
          <w:p>
            <w:pPr>
              <w:pStyle w:val="TableParagraph"/>
              <w:spacing w:before="135"/>
              <w:ind w:left="160" w:right="160"/>
              <w:jc w:val="center"/>
              <w:rPr>
                <w:sz w:val="24"/>
              </w:rPr>
            </w:pPr>
            <w:r>
              <w:rPr>
                <w:strike/>
                <w:color w:val="2E97D3"/>
                <w:sz w:val="24"/>
              </w:rPr>
              <w:t>Los Angeles</w:t>
            </w:r>
          </w:p>
        </w:tc>
        <w:tc>
          <w:tcPr>
            <w:tcW w:w="1613" w:type="dxa"/>
          </w:tcPr>
          <w:p>
            <w:pPr>
              <w:pStyle w:val="TableParagraph"/>
              <w:spacing w:before="135"/>
              <w:ind w:left="187"/>
              <w:rPr>
                <w:sz w:val="24"/>
              </w:rPr>
            </w:pPr>
            <w:r>
              <w:rPr>
                <w:strike/>
                <w:color w:val="2E97D3"/>
                <w:sz w:val="24"/>
              </w:rPr>
              <w:t>Warehouse</w:t>
            </w:r>
          </w:p>
        </w:tc>
        <w:tc>
          <w:tcPr>
            <w:tcW w:w="1241" w:type="dxa"/>
          </w:tcPr>
          <w:p>
            <w:pPr>
              <w:pStyle w:val="TableParagraph"/>
              <w:spacing w:line="270" w:lineRule="exact"/>
              <w:ind w:left="228" w:right="228"/>
              <w:jc w:val="center"/>
              <w:rPr>
                <w:sz w:val="24"/>
              </w:rPr>
            </w:pPr>
            <w:r>
              <w:rPr>
                <w:strike/>
                <w:color w:val="2E97D3"/>
                <w:sz w:val="24"/>
              </w:rPr>
              <w:t>50,000</w:t>
            </w:r>
          </w:p>
          <w:p>
            <w:pPr>
              <w:pStyle w:val="TableParagraph"/>
              <w:spacing w:line="275" w:lineRule="exact"/>
              <w:ind w:left="227" w:right="228"/>
              <w:jc w:val="center"/>
              <w:rPr>
                <w:i/>
                <w:sz w:val="24"/>
              </w:rPr>
            </w:pPr>
            <w:r>
              <w:rPr>
                <w:i/>
                <w:strike/>
                <w:color w:val="2E97D3"/>
                <w:sz w:val="24"/>
              </w:rPr>
              <w:t>(usf)</w:t>
            </w:r>
          </w:p>
        </w:tc>
        <w:tc>
          <w:tcPr>
            <w:tcW w:w="1584" w:type="dxa"/>
          </w:tcPr>
          <w:p>
            <w:pPr>
              <w:pStyle w:val="TableParagraph"/>
              <w:spacing w:before="135"/>
              <w:ind w:left="326"/>
              <w:rPr>
                <w:sz w:val="24"/>
              </w:rPr>
            </w:pPr>
            <w:r>
              <w:rPr>
                <w:strike/>
                <w:color w:val="2E97D3"/>
                <w:sz w:val="24"/>
              </w:rPr>
              <w:t>20 years</w:t>
            </w:r>
          </w:p>
        </w:tc>
        <w:tc>
          <w:tcPr>
            <w:tcW w:w="3221" w:type="dxa"/>
          </w:tcPr>
          <w:p>
            <w:pPr>
              <w:pStyle w:val="TableParagraph"/>
              <w:spacing w:before="135"/>
              <w:ind w:left="1085" w:right="1085"/>
              <w:jc w:val="center"/>
              <w:rPr>
                <w:sz w:val="24"/>
              </w:rPr>
            </w:pPr>
            <w:r>
              <w:rPr>
                <w:strike/>
                <w:color w:val="2E97D3"/>
                <w:sz w:val="24"/>
              </w:rPr>
              <w:t>$275,000</w:t>
            </w:r>
          </w:p>
        </w:tc>
      </w:tr>
    </w:tbl>
    <w:p>
      <w:pPr>
        <w:pStyle w:val="BodyText"/>
        <w:rPr>
          <w:sz w:val="26"/>
        </w:rPr>
      </w:pPr>
    </w:p>
    <w:p>
      <w:pPr>
        <w:pStyle w:val="BodyText"/>
        <w:rPr>
          <w:sz w:val="26"/>
        </w:rPr>
      </w:pPr>
    </w:p>
    <w:p>
      <w:pPr>
        <w:pStyle w:val="BodyText"/>
        <w:spacing w:before="5"/>
        <w:rPr>
          <w:sz w:val="20"/>
        </w:rPr>
      </w:pPr>
    </w:p>
    <w:p>
      <w:pPr>
        <w:pStyle w:val="BodyText"/>
        <w:ind w:left="820"/>
      </w:pPr>
      <w:r>
        <w:rPr>
          <w:strike/>
          <w:color w:val="2E97D3"/>
        </w:rPr>
        <w:t>(Continued)</w:t>
      </w:r>
    </w:p>
    <w:p>
      <w:pPr>
        <w:spacing w:after="0"/>
        <w:sectPr>
          <w:pgSz w:w="12240" w:h="15840"/>
          <w:pgMar w:header="724" w:footer="1068" w:top="980" w:bottom="1260" w:left="620" w:right="1320"/>
        </w:sectPr>
      </w:pPr>
    </w:p>
    <w:p>
      <w:pPr>
        <w:pStyle w:val="BodyText"/>
        <w:spacing w:before="10"/>
        <w:rPr>
          <w:sz w:val="26"/>
        </w:rPr>
      </w:pPr>
    </w:p>
    <w:p>
      <w:pPr>
        <w:pStyle w:val="ListParagraph"/>
        <w:numPr>
          <w:ilvl w:val="1"/>
          <w:numId w:val="71"/>
        </w:numPr>
        <w:tabs>
          <w:tab w:pos="1000" w:val="left" w:leader="none"/>
        </w:tabs>
        <w:spacing w:line="240" w:lineRule="auto" w:before="92" w:after="0"/>
        <w:ind w:left="1000" w:right="0" w:hanging="360"/>
        <w:jc w:val="left"/>
        <w:rPr>
          <w:sz w:val="24"/>
        </w:rPr>
      </w:pPr>
      <w:r>
        <w:rPr/>
        <w:pict>
          <v:line style="position:absolute;mso-position-horizontal-relative:page;mso-position-vertical-relative:paragraph;z-index:-446872" from="559.200012pt,41.835861pt" to="562.561012pt,41.835861pt" stroked="true" strokeweight=".6pt" strokecolor="#2e97d3">
            <v:stroke dashstyle="solid"/>
            <w10:wrap type="none"/>
          </v:line>
        </w:pict>
      </w:r>
      <w:r>
        <w:rPr/>
        <w:pict>
          <v:line style="position:absolute;mso-position-horizontal-relative:page;mso-position-vertical-relative:paragraph;z-index:25816" from="27.360001pt,-15.104138pt" to="27.360001pt,435.615862pt" stroked="true" strokeweight=".72pt" strokecolor="#000000">
            <v:stroke dashstyle="solid"/>
            <w10:wrap type="none"/>
          </v:line>
        </w:pict>
      </w:r>
      <w:r>
        <w:rPr>
          <w:strike/>
          <w:color w:val="2E97D3"/>
          <w:sz w:val="24"/>
        </w:rPr>
        <w:t>Project Appropriations By</w:t>
      </w:r>
      <w:r>
        <w:rPr>
          <w:strike/>
          <w:color w:val="2E97D3"/>
          <w:spacing w:val="-18"/>
          <w:sz w:val="24"/>
        </w:rPr>
        <w:t> </w:t>
      </w:r>
      <w:r>
        <w:rPr>
          <w:strike/>
          <w:color w:val="2E97D3"/>
          <w:sz w:val="24"/>
        </w:rPr>
        <w:t>Ranking:</w:t>
      </w:r>
    </w:p>
    <w:p>
      <w:pPr>
        <w:pStyle w:val="BodyText"/>
        <w:spacing w:before="2"/>
        <w:rPr>
          <w:sz w:val="21"/>
        </w:rPr>
      </w:pPr>
    </w:p>
    <w:tbl>
      <w:tblPr>
        <w:tblW w:w="0" w:type="auto"/>
        <w:jc w:val="left"/>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1145"/>
        <w:gridCol w:w="1678"/>
        <w:gridCol w:w="1138"/>
        <w:gridCol w:w="1102"/>
        <w:gridCol w:w="1102"/>
        <w:gridCol w:w="1104"/>
        <w:gridCol w:w="1102"/>
        <w:gridCol w:w="1553"/>
        <w:gridCol w:w="1308"/>
        <w:gridCol w:w="1092"/>
      </w:tblGrid>
      <w:tr>
        <w:trPr>
          <w:trHeight w:val="422" w:hRule="exact"/>
        </w:trPr>
        <w:tc>
          <w:tcPr>
            <w:tcW w:w="989" w:type="dxa"/>
            <w:shd w:val="clear" w:color="auto" w:fill="DADADA"/>
          </w:tcPr>
          <w:p>
            <w:pPr>
              <w:pStyle w:val="TableParagraph"/>
              <w:spacing w:before="46"/>
              <w:jc w:val="center"/>
              <w:rPr>
                <w:b/>
                <w:sz w:val="24"/>
              </w:rPr>
            </w:pPr>
            <w:r>
              <w:rPr>
                <w:b/>
                <w:strike/>
                <w:color w:val="2E97D3"/>
                <w:w w:val="99"/>
                <w:sz w:val="24"/>
              </w:rPr>
              <w:t>A</w:t>
            </w:r>
          </w:p>
        </w:tc>
        <w:tc>
          <w:tcPr>
            <w:tcW w:w="1145" w:type="dxa"/>
            <w:shd w:val="clear" w:color="auto" w:fill="DADADA"/>
          </w:tcPr>
          <w:p>
            <w:pPr>
              <w:pStyle w:val="TableParagraph"/>
              <w:spacing w:before="46"/>
              <w:ind w:left="2"/>
              <w:jc w:val="center"/>
              <w:rPr>
                <w:b/>
                <w:sz w:val="24"/>
              </w:rPr>
            </w:pPr>
            <w:r>
              <w:rPr>
                <w:b/>
                <w:strike/>
                <w:color w:val="2E97D3"/>
                <w:w w:val="99"/>
                <w:sz w:val="24"/>
              </w:rPr>
              <w:t>B</w:t>
            </w:r>
          </w:p>
        </w:tc>
        <w:tc>
          <w:tcPr>
            <w:tcW w:w="1678" w:type="dxa"/>
            <w:shd w:val="clear" w:color="auto" w:fill="DADADA"/>
          </w:tcPr>
          <w:p>
            <w:pPr>
              <w:pStyle w:val="TableParagraph"/>
              <w:spacing w:before="46"/>
              <w:ind w:right="1"/>
              <w:jc w:val="center"/>
              <w:rPr>
                <w:b/>
                <w:sz w:val="24"/>
              </w:rPr>
            </w:pPr>
            <w:r>
              <w:rPr>
                <w:b/>
                <w:strike/>
                <w:color w:val="2E97D3"/>
                <w:w w:val="99"/>
                <w:sz w:val="24"/>
              </w:rPr>
              <w:t>C</w:t>
            </w:r>
          </w:p>
        </w:tc>
        <w:tc>
          <w:tcPr>
            <w:tcW w:w="1138" w:type="dxa"/>
            <w:shd w:val="clear" w:color="auto" w:fill="DADADA"/>
          </w:tcPr>
          <w:p>
            <w:pPr>
              <w:pStyle w:val="TableParagraph"/>
              <w:spacing w:before="46"/>
              <w:ind w:right="2"/>
              <w:jc w:val="center"/>
              <w:rPr>
                <w:b/>
                <w:sz w:val="24"/>
              </w:rPr>
            </w:pPr>
            <w:r>
              <w:rPr>
                <w:b/>
                <w:strike/>
                <w:color w:val="2E97D3"/>
                <w:w w:val="99"/>
                <w:sz w:val="24"/>
              </w:rPr>
              <w:t>D</w:t>
            </w:r>
          </w:p>
        </w:tc>
        <w:tc>
          <w:tcPr>
            <w:tcW w:w="1102" w:type="dxa"/>
            <w:shd w:val="clear" w:color="auto" w:fill="DADADA"/>
          </w:tcPr>
          <w:p>
            <w:pPr>
              <w:pStyle w:val="TableParagraph"/>
              <w:spacing w:before="46"/>
              <w:jc w:val="center"/>
              <w:rPr>
                <w:b/>
                <w:sz w:val="24"/>
              </w:rPr>
            </w:pPr>
            <w:r>
              <w:rPr>
                <w:b/>
                <w:strike/>
                <w:color w:val="2E97D3"/>
                <w:w w:val="100"/>
                <w:sz w:val="24"/>
              </w:rPr>
              <w:t>E</w:t>
            </w:r>
          </w:p>
        </w:tc>
        <w:tc>
          <w:tcPr>
            <w:tcW w:w="1102" w:type="dxa"/>
            <w:shd w:val="clear" w:color="auto" w:fill="DADADA"/>
          </w:tcPr>
          <w:p>
            <w:pPr>
              <w:pStyle w:val="TableParagraph"/>
              <w:spacing w:before="46"/>
              <w:jc w:val="center"/>
              <w:rPr>
                <w:b/>
                <w:sz w:val="24"/>
              </w:rPr>
            </w:pPr>
            <w:r>
              <w:rPr>
                <w:b/>
                <w:strike/>
                <w:color w:val="2E97D3"/>
                <w:w w:val="100"/>
                <w:sz w:val="24"/>
              </w:rPr>
              <w:t>F</w:t>
            </w:r>
          </w:p>
        </w:tc>
        <w:tc>
          <w:tcPr>
            <w:tcW w:w="1104" w:type="dxa"/>
            <w:shd w:val="clear" w:color="auto" w:fill="DADADA"/>
          </w:tcPr>
          <w:p>
            <w:pPr>
              <w:pStyle w:val="TableParagraph"/>
              <w:spacing w:before="46"/>
              <w:jc w:val="center"/>
              <w:rPr>
                <w:b/>
                <w:sz w:val="24"/>
              </w:rPr>
            </w:pPr>
            <w:r>
              <w:rPr>
                <w:b/>
                <w:strike/>
                <w:color w:val="2E97D3"/>
                <w:w w:val="100"/>
                <w:sz w:val="24"/>
              </w:rPr>
              <w:t>G</w:t>
            </w:r>
          </w:p>
        </w:tc>
        <w:tc>
          <w:tcPr>
            <w:tcW w:w="1102" w:type="dxa"/>
            <w:shd w:val="clear" w:color="auto" w:fill="DADADA"/>
          </w:tcPr>
          <w:p>
            <w:pPr>
              <w:pStyle w:val="TableParagraph"/>
              <w:spacing w:before="46"/>
              <w:ind w:left="2"/>
              <w:jc w:val="center"/>
              <w:rPr>
                <w:b/>
                <w:sz w:val="24"/>
              </w:rPr>
            </w:pPr>
            <w:r>
              <w:rPr>
                <w:b/>
                <w:strike/>
                <w:color w:val="2E97D3"/>
                <w:w w:val="99"/>
                <w:sz w:val="24"/>
              </w:rPr>
              <w:t>H</w:t>
            </w:r>
          </w:p>
        </w:tc>
        <w:tc>
          <w:tcPr>
            <w:tcW w:w="1553" w:type="dxa"/>
            <w:shd w:val="clear" w:color="auto" w:fill="DADADA"/>
          </w:tcPr>
          <w:p>
            <w:pPr>
              <w:pStyle w:val="TableParagraph"/>
              <w:spacing w:before="46"/>
              <w:jc w:val="center"/>
              <w:rPr>
                <w:b/>
                <w:sz w:val="24"/>
              </w:rPr>
            </w:pPr>
            <w:r>
              <w:rPr>
                <w:b/>
                <w:color w:val="2E97D3"/>
                <w:w w:val="100"/>
                <w:sz w:val="24"/>
              </w:rPr>
              <w:t>I</w:t>
            </w:r>
          </w:p>
        </w:tc>
        <w:tc>
          <w:tcPr>
            <w:tcW w:w="1308" w:type="dxa"/>
            <w:shd w:val="clear" w:color="auto" w:fill="DADADA"/>
          </w:tcPr>
          <w:p>
            <w:pPr>
              <w:pStyle w:val="TableParagraph"/>
              <w:spacing w:before="46"/>
              <w:ind w:right="1"/>
              <w:jc w:val="center"/>
              <w:rPr>
                <w:b/>
                <w:sz w:val="24"/>
              </w:rPr>
            </w:pPr>
            <w:r>
              <w:rPr>
                <w:b/>
                <w:strike/>
                <w:color w:val="2E97D3"/>
                <w:w w:val="99"/>
                <w:sz w:val="24"/>
              </w:rPr>
              <w:t>J</w:t>
            </w:r>
          </w:p>
        </w:tc>
        <w:tc>
          <w:tcPr>
            <w:tcW w:w="1092" w:type="dxa"/>
            <w:shd w:val="clear" w:color="auto" w:fill="DADADA"/>
          </w:tcPr>
          <w:p>
            <w:pPr>
              <w:pStyle w:val="TableParagraph"/>
              <w:spacing w:before="46"/>
              <w:ind w:right="1"/>
              <w:jc w:val="center"/>
              <w:rPr>
                <w:b/>
                <w:sz w:val="24"/>
              </w:rPr>
            </w:pPr>
            <w:r>
              <w:rPr>
                <w:b/>
                <w:strike/>
                <w:color w:val="2E97D3"/>
                <w:w w:val="99"/>
                <w:sz w:val="24"/>
              </w:rPr>
              <w:t>K</w:t>
            </w:r>
          </w:p>
        </w:tc>
      </w:tr>
      <w:tr>
        <w:trPr>
          <w:trHeight w:val="1279" w:hRule="exact"/>
        </w:trPr>
        <w:tc>
          <w:tcPr>
            <w:tcW w:w="989" w:type="dxa"/>
            <w:shd w:val="clear" w:color="auto" w:fill="DADADA"/>
          </w:tcPr>
          <w:p>
            <w:pPr>
              <w:pStyle w:val="TableParagraph"/>
              <w:rPr>
                <w:sz w:val="26"/>
              </w:rPr>
            </w:pPr>
          </w:p>
          <w:p>
            <w:pPr>
              <w:pStyle w:val="TableParagraph"/>
              <w:spacing w:before="174"/>
              <w:ind w:left="175" w:right="176"/>
              <w:jc w:val="center"/>
              <w:rPr>
                <w:b/>
                <w:sz w:val="24"/>
              </w:rPr>
            </w:pPr>
            <w:r>
              <w:rPr>
                <w:b/>
                <w:strike/>
                <w:color w:val="2E97D3"/>
                <w:sz w:val="24"/>
              </w:rPr>
              <w:t>Rank</w:t>
            </w:r>
          </w:p>
        </w:tc>
        <w:tc>
          <w:tcPr>
            <w:tcW w:w="1145" w:type="dxa"/>
            <w:shd w:val="clear" w:color="auto" w:fill="DADADA"/>
          </w:tcPr>
          <w:p>
            <w:pPr>
              <w:pStyle w:val="TableParagraph"/>
              <w:spacing w:before="4"/>
              <w:rPr>
                <w:sz w:val="27"/>
              </w:rPr>
            </w:pPr>
          </w:p>
          <w:p>
            <w:pPr>
              <w:pStyle w:val="TableParagraph"/>
              <w:spacing w:line="276" w:lineRule="auto"/>
              <w:ind w:left="242" w:right="141" w:hanging="82"/>
              <w:rPr>
                <w:b/>
                <w:sz w:val="24"/>
              </w:rPr>
            </w:pPr>
            <w:r>
              <w:rPr>
                <w:b/>
                <w:strike/>
                <w:color w:val="2E97D3"/>
                <w:sz w:val="24"/>
              </w:rPr>
              <w:t>Project Name</w:t>
            </w:r>
          </w:p>
        </w:tc>
        <w:tc>
          <w:tcPr>
            <w:tcW w:w="1678" w:type="dxa"/>
            <w:shd w:val="clear" w:color="auto" w:fill="DADADA"/>
          </w:tcPr>
          <w:p>
            <w:pPr>
              <w:pStyle w:val="TableParagraph"/>
              <w:spacing w:line="276" w:lineRule="auto"/>
              <w:ind w:left="96" w:right="99"/>
              <w:jc w:val="center"/>
              <w:rPr>
                <w:b/>
                <w:sz w:val="24"/>
              </w:rPr>
            </w:pPr>
            <w:r>
              <w:rPr>
                <w:b/>
                <w:strike/>
                <w:color w:val="2E97D3"/>
                <w:sz w:val="24"/>
              </w:rPr>
              <w:t>Previous Funding</w:t>
            </w:r>
          </w:p>
          <w:p>
            <w:pPr>
              <w:pStyle w:val="TableParagraph"/>
              <w:spacing w:line="278" w:lineRule="auto" w:before="2"/>
              <w:ind w:left="206" w:right="209" w:firstLine="4"/>
              <w:jc w:val="center"/>
              <w:rPr>
                <w:b/>
                <w:sz w:val="24"/>
              </w:rPr>
            </w:pPr>
            <w:r>
              <w:rPr>
                <w:b/>
                <w:strike/>
                <w:color w:val="2E97D3"/>
                <w:sz w:val="24"/>
              </w:rPr>
              <w:t>$/Phase/ Fund</w:t>
            </w:r>
            <w:r>
              <w:rPr>
                <w:b/>
                <w:strike/>
                <w:color w:val="2E97D3"/>
                <w:spacing w:val="-7"/>
                <w:sz w:val="24"/>
              </w:rPr>
              <w:t> </w:t>
            </w:r>
            <w:r>
              <w:rPr>
                <w:b/>
                <w:strike/>
                <w:color w:val="2E97D3"/>
                <w:sz w:val="24"/>
              </w:rPr>
              <w:t>Code</w:t>
            </w:r>
          </w:p>
        </w:tc>
        <w:tc>
          <w:tcPr>
            <w:tcW w:w="5546" w:type="dxa"/>
            <w:gridSpan w:val="5"/>
            <w:shd w:val="clear" w:color="auto" w:fill="DADADA"/>
          </w:tcPr>
          <w:p>
            <w:pPr>
              <w:pStyle w:val="TableParagraph"/>
              <w:rPr>
                <w:sz w:val="26"/>
              </w:rPr>
            </w:pPr>
          </w:p>
          <w:p>
            <w:pPr>
              <w:pStyle w:val="TableParagraph"/>
              <w:spacing w:before="174"/>
              <w:ind w:left="1927" w:right="1927"/>
              <w:jc w:val="center"/>
              <w:rPr>
                <w:b/>
                <w:sz w:val="24"/>
              </w:rPr>
            </w:pPr>
            <w:r>
              <w:rPr>
                <w:b/>
                <w:strike/>
                <w:color w:val="2E97D3"/>
                <w:sz w:val="24"/>
              </w:rPr>
              <w:t>$ Next 5 Years</w:t>
            </w:r>
          </w:p>
        </w:tc>
        <w:tc>
          <w:tcPr>
            <w:tcW w:w="1553" w:type="dxa"/>
            <w:shd w:val="clear" w:color="auto" w:fill="DADADA"/>
          </w:tcPr>
          <w:p>
            <w:pPr>
              <w:pStyle w:val="TableParagraph"/>
              <w:spacing w:line="276" w:lineRule="auto" w:before="156"/>
              <w:ind w:left="115" w:right="119" w:hanging="1"/>
              <w:jc w:val="center"/>
              <w:rPr>
                <w:b/>
                <w:sz w:val="24"/>
              </w:rPr>
            </w:pPr>
            <w:r>
              <w:rPr>
                <w:b/>
                <w:strike/>
                <w:color w:val="2E97D3"/>
                <w:sz w:val="24"/>
              </w:rPr>
              <w:t>Total 5 Years/Fund Code</w:t>
            </w:r>
          </w:p>
        </w:tc>
        <w:tc>
          <w:tcPr>
            <w:tcW w:w="1308" w:type="dxa"/>
            <w:shd w:val="clear" w:color="auto" w:fill="DADADA"/>
          </w:tcPr>
          <w:p>
            <w:pPr>
              <w:pStyle w:val="TableParagraph"/>
              <w:spacing w:before="4"/>
              <w:rPr>
                <w:sz w:val="27"/>
              </w:rPr>
            </w:pPr>
          </w:p>
          <w:p>
            <w:pPr>
              <w:pStyle w:val="TableParagraph"/>
              <w:spacing w:line="276" w:lineRule="auto"/>
              <w:ind w:left="100" w:right="84" w:firstLine="67"/>
              <w:rPr>
                <w:b/>
                <w:sz w:val="24"/>
              </w:rPr>
            </w:pPr>
            <w:r>
              <w:rPr>
                <w:b/>
                <w:strike/>
                <w:color w:val="2E97D3"/>
                <w:sz w:val="24"/>
              </w:rPr>
              <w:t>Costs to Complete</w:t>
            </w:r>
          </w:p>
        </w:tc>
        <w:tc>
          <w:tcPr>
            <w:tcW w:w="1092" w:type="dxa"/>
            <w:shd w:val="clear" w:color="auto" w:fill="DADADA"/>
          </w:tcPr>
          <w:p>
            <w:pPr>
              <w:pStyle w:val="TableParagraph"/>
              <w:spacing w:before="4"/>
              <w:rPr>
                <w:sz w:val="27"/>
              </w:rPr>
            </w:pPr>
          </w:p>
          <w:p>
            <w:pPr>
              <w:pStyle w:val="TableParagraph"/>
              <w:spacing w:line="276" w:lineRule="auto"/>
              <w:ind w:left="254" w:right="235" w:firstLine="19"/>
              <w:rPr>
                <w:b/>
                <w:sz w:val="24"/>
              </w:rPr>
            </w:pPr>
            <w:r>
              <w:rPr>
                <w:b/>
                <w:strike/>
                <w:color w:val="2E97D3"/>
                <w:sz w:val="24"/>
              </w:rPr>
              <w:t>Cum Total</w:t>
            </w:r>
          </w:p>
        </w:tc>
      </w:tr>
      <w:tr>
        <w:trPr>
          <w:trHeight w:val="646" w:hRule="exact"/>
        </w:trPr>
        <w:tc>
          <w:tcPr>
            <w:tcW w:w="989" w:type="dxa"/>
          </w:tcPr>
          <w:p>
            <w:pPr/>
          </w:p>
        </w:tc>
        <w:tc>
          <w:tcPr>
            <w:tcW w:w="1145" w:type="dxa"/>
          </w:tcPr>
          <w:p>
            <w:pPr/>
          </w:p>
        </w:tc>
        <w:tc>
          <w:tcPr>
            <w:tcW w:w="1678" w:type="dxa"/>
          </w:tcPr>
          <w:p>
            <w:pPr/>
          </w:p>
        </w:tc>
        <w:tc>
          <w:tcPr>
            <w:tcW w:w="1138" w:type="dxa"/>
          </w:tcPr>
          <w:p>
            <w:pPr>
              <w:pStyle w:val="TableParagraph"/>
              <w:spacing w:line="274" w:lineRule="exact"/>
              <w:ind w:left="103" w:right="103"/>
              <w:jc w:val="center"/>
              <w:rPr>
                <w:sz w:val="24"/>
              </w:rPr>
            </w:pPr>
            <w:r>
              <w:rPr>
                <w:strike/>
                <w:color w:val="2E97D3"/>
                <w:sz w:val="24"/>
              </w:rPr>
              <w:t>BY</w:t>
            </w:r>
          </w:p>
          <w:p>
            <w:pPr>
              <w:pStyle w:val="TableParagraph"/>
              <w:spacing w:before="41"/>
              <w:ind w:left="103" w:right="103"/>
              <w:jc w:val="center"/>
              <w:rPr>
                <w:sz w:val="24"/>
              </w:rPr>
            </w:pPr>
            <w:r>
              <w:rPr>
                <w:strike/>
                <w:color w:val="2E97D3"/>
                <w:sz w:val="24"/>
              </w:rPr>
              <w:t>$/Phase</w:t>
            </w:r>
          </w:p>
        </w:tc>
        <w:tc>
          <w:tcPr>
            <w:tcW w:w="1102" w:type="dxa"/>
          </w:tcPr>
          <w:p>
            <w:pPr>
              <w:pStyle w:val="TableParagraph"/>
              <w:spacing w:line="274" w:lineRule="exact"/>
              <w:ind w:left="85" w:right="85"/>
              <w:jc w:val="center"/>
              <w:rPr>
                <w:sz w:val="24"/>
              </w:rPr>
            </w:pPr>
            <w:r>
              <w:rPr>
                <w:strike/>
                <w:color w:val="2E97D3"/>
                <w:sz w:val="24"/>
              </w:rPr>
              <w:t>BY+1</w:t>
            </w:r>
          </w:p>
          <w:p>
            <w:pPr>
              <w:pStyle w:val="TableParagraph"/>
              <w:spacing w:before="41"/>
              <w:ind w:left="86" w:right="85"/>
              <w:jc w:val="center"/>
              <w:rPr>
                <w:sz w:val="24"/>
              </w:rPr>
            </w:pPr>
            <w:r>
              <w:rPr>
                <w:strike/>
                <w:color w:val="2E97D3"/>
                <w:sz w:val="24"/>
              </w:rPr>
              <w:t>$/Phase</w:t>
            </w:r>
          </w:p>
        </w:tc>
        <w:tc>
          <w:tcPr>
            <w:tcW w:w="1102" w:type="dxa"/>
          </w:tcPr>
          <w:p>
            <w:pPr>
              <w:pStyle w:val="TableParagraph"/>
              <w:spacing w:line="274" w:lineRule="exact"/>
              <w:ind w:left="85" w:right="85"/>
              <w:jc w:val="center"/>
              <w:rPr>
                <w:sz w:val="24"/>
              </w:rPr>
            </w:pPr>
            <w:r>
              <w:rPr>
                <w:strike/>
                <w:color w:val="2E97D3"/>
                <w:sz w:val="24"/>
              </w:rPr>
              <w:t>BY+2</w:t>
            </w:r>
          </w:p>
          <w:p>
            <w:pPr>
              <w:pStyle w:val="TableParagraph"/>
              <w:spacing w:before="41"/>
              <w:ind w:left="86" w:right="85"/>
              <w:jc w:val="center"/>
              <w:rPr>
                <w:sz w:val="24"/>
              </w:rPr>
            </w:pPr>
            <w:r>
              <w:rPr>
                <w:strike/>
                <w:color w:val="2E97D3"/>
                <w:sz w:val="24"/>
              </w:rPr>
              <w:t>$/Phase</w:t>
            </w:r>
          </w:p>
        </w:tc>
        <w:tc>
          <w:tcPr>
            <w:tcW w:w="1104" w:type="dxa"/>
          </w:tcPr>
          <w:p>
            <w:pPr>
              <w:pStyle w:val="TableParagraph"/>
              <w:spacing w:line="274" w:lineRule="exact"/>
              <w:ind w:left="85" w:right="86"/>
              <w:jc w:val="center"/>
              <w:rPr>
                <w:sz w:val="24"/>
              </w:rPr>
            </w:pPr>
            <w:r>
              <w:rPr>
                <w:strike/>
                <w:color w:val="2E97D3"/>
                <w:sz w:val="24"/>
              </w:rPr>
              <w:t>BY+3</w:t>
            </w:r>
          </w:p>
          <w:p>
            <w:pPr>
              <w:pStyle w:val="TableParagraph"/>
              <w:spacing w:before="41"/>
              <w:ind w:left="86" w:right="86"/>
              <w:jc w:val="center"/>
              <w:rPr>
                <w:sz w:val="24"/>
              </w:rPr>
            </w:pPr>
            <w:r>
              <w:rPr>
                <w:strike/>
                <w:color w:val="2E97D3"/>
                <w:sz w:val="24"/>
              </w:rPr>
              <w:t>$/Phase</w:t>
            </w:r>
          </w:p>
        </w:tc>
        <w:tc>
          <w:tcPr>
            <w:tcW w:w="1102" w:type="dxa"/>
          </w:tcPr>
          <w:p>
            <w:pPr>
              <w:pStyle w:val="TableParagraph"/>
              <w:spacing w:line="274" w:lineRule="exact"/>
              <w:ind w:left="85" w:right="85"/>
              <w:jc w:val="center"/>
              <w:rPr>
                <w:sz w:val="24"/>
              </w:rPr>
            </w:pPr>
            <w:r>
              <w:rPr>
                <w:strike/>
                <w:color w:val="2E97D3"/>
                <w:sz w:val="24"/>
              </w:rPr>
              <w:t>BY+4</w:t>
            </w:r>
          </w:p>
          <w:p>
            <w:pPr>
              <w:pStyle w:val="TableParagraph"/>
              <w:spacing w:before="41"/>
              <w:ind w:left="86" w:right="85"/>
              <w:jc w:val="center"/>
              <w:rPr>
                <w:sz w:val="24"/>
              </w:rPr>
            </w:pPr>
            <w:r>
              <w:rPr>
                <w:strike/>
                <w:color w:val="2E97D3"/>
                <w:sz w:val="24"/>
              </w:rPr>
              <w:t>$/Phase</w:t>
            </w:r>
          </w:p>
        </w:tc>
        <w:tc>
          <w:tcPr>
            <w:tcW w:w="1553" w:type="dxa"/>
          </w:tcPr>
          <w:p>
            <w:pPr>
              <w:pStyle w:val="TableParagraph"/>
              <w:spacing w:line="276" w:lineRule="auto"/>
              <w:ind w:left="283" w:right="283" w:firstLine="199"/>
              <w:rPr>
                <w:sz w:val="24"/>
              </w:rPr>
            </w:pPr>
            <w:r>
              <w:rPr>
                <w:strike/>
                <w:color w:val="2E97D3"/>
                <w:sz w:val="24"/>
              </w:rPr>
              <w:t>(Sum D thru</w:t>
            </w:r>
            <w:r>
              <w:rPr>
                <w:strike/>
                <w:color w:val="2E97D3"/>
                <w:spacing w:val="-3"/>
                <w:sz w:val="24"/>
              </w:rPr>
              <w:t> </w:t>
            </w:r>
            <w:r>
              <w:rPr>
                <w:strike/>
                <w:color w:val="2E97D3"/>
                <w:sz w:val="24"/>
              </w:rPr>
              <w:t>H)</w:t>
            </w:r>
          </w:p>
        </w:tc>
        <w:tc>
          <w:tcPr>
            <w:tcW w:w="1308" w:type="dxa"/>
          </w:tcPr>
          <w:p>
            <w:pPr>
              <w:pStyle w:val="TableParagraph"/>
              <w:spacing w:line="276" w:lineRule="auto"/>
              <w:ind w:left="309" w:right="186" w:hanging="111"/>
              <w:rPr>
                <w:sz w:val="24"/>
              </w:rPr>
            </w:pPr>
            <w:r>
              <w:rPr>
                <w:strike/>
                <w:color w:val="2E97D3"/>
                <w:sz w:val="24"/>
              </w:rPr>
              <w:t>(Beyond BY+4)</w:t>
            </w:r>
          </w:p>
        </w:tc>
        <w:tc>
          <w:tcPr>
            <w:tcW w:w="1092" w:type="dxa"/>
          </w:tcPr>
          <w:p>
            <w:pPr>
              <w:pStyle w:val="TableParagraph"/>
              <w:spacing w:before="156"/>
              <w:ind w:left="120" w:right="121"/>
              <w:jc w:val="center"/>
              <w:rPr>
                <w:sz w:val="24"/>
              </w:rPr>
            </w:pPr>
            <w:r>
              <w:rPr>
                <w:strike/>
                <w:color w:val="2E97D3"/>
                <w:sz w:val="24"/>
              </w:rPr>
              <w:t>(C+I+J)</w:t>
            </w:r>
          </w:p>
        </w:tc>
      </w:tr>
      <w:tr>
        <w:trPr>
          <w:trHeight w:val="643" w:hRule="exact"/>
        </w:trPr>
        <w:tc>
          <w:tcPr>
            <w:tcW w:w="989" w:type="dxa"/>
          </w:tcPr>
          <w:p>
            <w:pPr>
              <w:pStyle w:val="TableParagraph"/>
              <w:spacing w:before="156"/>
              <w:jc w:val="center"/>
              <w:rPr>
                <w:sz w:val="24"/>
              </w:rPr>
            </w:pPr>
            <w:r>
              <w:rPr>
                <w:strike/>
                <w:color w:val="2E97D3"/>
                <w:w w:val="99"/>
                <w:sz w:val="24"/>
              </w:rPr>
              <w:t>1</w:t>
            </w:r>
          </w:p>
        </w:tc>
        <w:tc>
          <w:tcPr>
            <w:tcW w:w="1145" w:type="dxa"/>
          </w:tcPr>
          <w:p>
            <w:pPr>
              <w:pStyle w:val="TableParagraph"/>
              <w:spacing w:line="276" w:lineRule="auto"/>
              <w:ind w:left="487" w:right="174" w:hanging="293"/>
              <w:rPr>
                <w:sz w:val="24"/>
              </w:rPr>
            </w:pPr>
            <w:r>
              <w:rPr>
                <w:strike/>
                <w:color w:val="2E97D3"/>
                <w:sz w:val="24"/>
              </w:rPr>
              <w:t>Project A</w:t>
            </w:r>
          </w:p>
        </w:tc>
        <w:tc>
          <w:tcPr>
            <w:tcW w:w="1678" w:type="dxa"/>
          </w:tcPr>
          <w:p>
            <w:pPr>
              <w:pStyle w:val="TableParagraph"/>
              <w:spacing w:before="156"/>
              <w:ind w:left="101" w:right="99"/>
              <w:jc w:val="center"/>
              <w:rPr>
                <w:sz w:val="24"/>
              </w:rPr>
            </w:pPr>
            <w:r>
              <w:rPr>
                <w:strike/>
                <w:color w:val="2E97D3"/>
                <w:sz w:val="24"/>
              </w:rPr>
              <w:t>1,300/A/0001</w:t>
            </w:r>
          </w:p>
        </w:tc>
        <w:tc>
          <w:tcPr>
            <w:tcW w:w="1138" w:type="dxa"/>
          </w:tcPr>
          <w:p>
            <w:pPr>
              <w:pStyle w:val="TableParagraph"/>
              <w:spacing w:before="156"/>
              <w:ind w:left="103" w:right="103"/>
              <w:jc w:val="center"/>
              <w:rPr>
                <w:sz w:val="24"/>
              </w:rPr>
            </w:pPr>
            <w:r>
              <w:rPr>
                <w:strike/>
                <w:color w:val="2E97D3"/>
                <w:sz w:val="24"/>
              </w:rPr>
              <w:t>100/P</w:t>
            </w:r>
          </w:p>
        </w:tc>
        <w:tc>
          <w:tcPr>
            <w:tcW w:w="1102" w:type="dxa"/>
          </w:tcPr>
          <w:p>
            <w:pPr>
              <w:pStyle w:val="TableParagraph"/>
              <w:spacing w:before="156"/>
              <w:ind w:left="84" w:right="85"/>
              <w:jc w:val="center"/>
              <w:rPr>
                <w:sz w:val="24"/>
              </w:rPr>
            </w:pPr>
            <w:r>
              <w:rPr>
                <w:strike/>
                <w:color w:val="2E97D3"/>
                <w:sz w:val="24"/>
              </w:rPr>
              <w:t>200/W</w:t>
            </w:r>
          </w:p>
        </w:tc>
        <w:tc>
          <w:tcPr>
            <w:tcW w:w="1102" w:type="dxa"/>
          </w:tcPr>
          <w:p>
            <w:pPr>
              <w:pStyle w:val="TableParagraph"/>
              <w:spacing w:line="274" w:lineRule="exact"/>
              <w:ind w:left="86" w:right="84"/>
              <w:jc w:val="center"/>
              <w:rPr>
                <w:sz w:val="24"/>
              </w:rPr>
            </w:pPr>
            <w:r>
              <w:rPr>
                <w:strike/>
                <w:color w:val="2E97D3"/>
                <w:sz w:val="24"/>
              </w:rPr>
              <w:t>1,00</w:t>
            </w:r>
          </w:p>
          <w:p>
            <w:pPr>
              <w:pStyle w:val="TableParagraph"/>
              <w:spacing w:before="41"/>
              <w:ind w:left="85" w:right="85"/>
              <w:jc w:val="center"/>
              <w:rPr>
                <w:sz w:val="24"/>
              </w:rPr>
            </w:pPr>
            <w:r>
              <w:rPr>
                <w:strike/>
                <w:color w:val="2E97D3"/>
                <w:sz w:val="24"/>
              </w:rPr>
              <w:t>0/E</w:t>
            </w:r>
          </w:p>
        </w:tc>
        <w:tc>
          <w:tcPr>
            <w:tcW w:w="1104" w:type="dxa"/>
          </w:tcPr>
          <w:p>
            <w:pPr/>
          </w:p>
        </w:tc>
        <w:tc>
          <w:tcPr>
            <w:tcW w:w="1102" w:type="dxa"/>
          </w:tcPr>
          <w:p>
            <w:pPr/>
          </w:p>
        </w:tc>
        <w:tc>
          <w:tcPr>
            <w:tcW w:w="1553" w:type="dxa"/>
          </w:tcPr>
          <w:p>
            <w:pPr/>
          </w:p>
        </w:tc>
        <w:tc>
          <w:tcPr>
            <w:tcW w:w="1308" w:type="dxa"/>
          </w:tcPr>
          <w:p>
            <w:pPr/>
          </w:p>
        </w:tc>
        <w:tc>
          <w:tcPr>
            <w:tcW w:w="1092" w:type="dxa"/>
          </w:tcPr>
          <w:p>
            <w:pPr/>
          </w:p>
        </w:tc>
      </w:tr>
      <w:tr>
        <w:trPr>
          <w:trHeight w:val="646" w:hRule="exact"/>
        </w:trPr>
        <w:tc>
          <w:tcPr>
            <w:tcW w:w="989" w:type="dxa"/>
          </w:tcPr>
          <w:p>
            <w:pPr/>
          </w:p>
        </w:tc>
        <w:tc>
          <w:tcPr>
            <w:tcW w:w="1145" w:type="dxa"/>
          </w:tcPr>
          <w:p>
            <w:pPr/>
          </w:p>
        </w:tc>
        <w:tc>
          <w:tcPr>
            <w:tcW w:w="1678" w:type="dxa"/>
          </w:tcPr>
          <w:p>
            <w:pPr/>
          </w:p>
        </w:tc>
        <w:tc>
          <w:tcPr>
            <w:tcW w:w="1138" w:type="dxa"/>
          </w:tcPr>
          <w:p>
            <w:pPr/>
          </w:p>
        </w:tc>
        <w:tc>
          <w:tcPr>
            <w:tcW w:w="1102" w:type="dxa"/>
          </w:tcPr>
          <w:p>
            <w:pPr>
              <w:pStyle w:val="TableParagraph"/>
              <w:spacing w:line="274" w:lineRule="exact"/>
              <w:ind w:left="311"/>
              <w:rPr>
                <w:sz w:val="24"/>
              </w:rPr>
            </w:pPr>
            <w:r>
              <w:rPr>
                <w:strike/>
                <w:color w:val="2E97D3"/>
                <w:sz w:val="24"/>
              </w:rPr>
              <w:t>9,00</w:t>
            </w:r>
          </w:p>
          <w:p>
            <w:pPr>
              <w:pStyle w:val="TableParagraph"/>
              <w:spacing w:before="43"/>
              <w:ind w:left="357"/>
              <w:rPr>
                <w:sz w:val="24"/>
              </w:rPr>
            </w:pPr>
            <w:r>
              <w:rPr>
                <w:strike/>
                <w:color w:val="2E97D3"/>
                <w:sz w:val="24"/>
              </w:rPr>
              <w:t>0/C</w:t>
            </w:r>
          </w:p>
        </w:tc>
        <w:tc>
          <w:tcPr>
            <w:tcW w:w="1102" w:type="dxa"/>
          </w:tcPr>
          <w:p>
            <w:pPr/>
          </w:p>
        </w:tc>
        <w:tc>
          <w:tcPr>
            <w:tcW w:w="1104" w:type="dxa"/>
          </w:tcPr>
          <w:p>
            <w:pPr/>
          </w:p>
        </w:tc>
        <w:tc>
          <w:tcPr>
            <w:tcW w:w="1102" w:type="dxa"/>
          </w:tcPr>
          <w:p>
            <w:pPr/>
          </w:p>
        </w:tc>
        <w:tc>
          <w:tcPr>
            <w:tcW w:w="1553" w:type="dxa"/>
          </w:tcPr>
          <w:p>
            <w:pPr/>
          </w:p>
        </w:tc>
        <w:tc>
          <w:tcPr>
            <w:tcW w:w="1308" w:type="dxa"/>
          </w:tcPr>
          <w:p>
            <w:pPr/>
          </w:p>
        </w:tc>
        <w:tc>
          <w:tcPr>
            <w:tcW w:w="1092" w:type="dxa"/>
          </w:tcPr>
          <w:p>
            <w:pPr/>
          </w:p>
        </w:tc>
      </w:tr>
      <w:tr>
        <w:trPr>
          <w:trHeight w:val="1279" w:hRule="exact"/>
        </w:trPr>
        <w:tc>
          <w:tcPr>
            <w:tcW w:w="989" w:type="dxa"/>
          </w:tcPr>
          <w:p>
            <w:pPr/>
          </w:p>
        </w:tc>
        <w:tc>
          <w:tcPr>
            <w:tcW w:w="1145" w:type="dxa"/>
          </w:tcPr>
          <w:p>
            <w:pPr>
              <w:pStyle w:val="TableParagraph"/>
              <w:spacing w:line="276" w:lineRule="auto"/>
              <w:ind w:left="501" w:right="108" w:hanging="375"/>
              <w:rPr>
                <w:sz w:val="24"/>
              </w:rPr>
            </w:pPr>
            <w:r>
              <w:rPr>
                <w:strike/>
                <w:color w:val="2E97D3"/>
                <w:sz w:val="24"/>
              </w:rPr>
              <w:t>Subtotal I,</w:t>
            </w:r>
          </w:p>
          <w:p>
            <w:pPr>
              <w:pStyle w:val="TableParagraph"/>
              <w:spacing w:line="278" w:lineRule="auto" w:before="2"/>
              <w:ind w:left="487" w:right="174" w:hanging="293"/>
              <w:rPr>
                <w:sz w:val="24"/>
              </w:rPr>
            </w:pPr>
            <w:r>
              <w:rPr>
                <w:strike/>
                <w:color w:val="2E97D3"/>
                <w:sz w:val="24"/>
              </w:rPr>
              <w:t>Project A</w:t>
            </w:r>
          </w:p>
        </w:tc>
        <w:tc>
          <w:tcPr>
            <w:tcW w:w="1678" w:type="dxa"/>
          </w:tcPr>
          <w:p>
            <w:pPr>
              <w:pStyle w:val="TableParagraph"/>
              <w:rPr>
                <w:sz w:val="26"/>
              </w:rPr>
            </w:pPr>
          </w:p>
          <w:p>
            <w:pPr>
              <w:pStyle w:val="TableParagraph"/>
              <w:spacing w:before="174"/>
              <w:ind w:left="99" w:right="99"/>
              <w:jc w:val="center"/>
              <w:rPr>
                <w:sz w:val="24"/>
              </w:rPr>
            </w:pPr>
            <w:r>
              <w:rPr>
                <w:strike/>
                <w:color w:val="2E97D3"/>
                <w:sz w:val="24"/>
              </w:rPr>
              <w:t>1,300</w:t>
            </w:r>
          </w:p>
        </w:tc>
        <w:tc>
          <w:tcPr>
            <w:tcW w:w="1138" w:type="dxa"/>
          </w:tcPr>
          <w:p>
            <w:pPr>
              <w:pStyle w:val="TableParagraph"/>
              <w:rPr>
                <w:sz w:val="26"/>
              </w:rPr>
            </w:pPr>
          </w:p>
          <w:p>
            <w:pPr>
              <w:pStyle w:val="TableParagraph"/>
              <w:spacing w:before="174"/>
              <w:ind w:left="103" w:right="103"/>
              <w:jc w:val="center"/>
              <w:rPr>
                <w:sz w:val="24"/>
              </w:rPr>
            </w:pPr>
            <w:r>
              <w:rPr>
                <w:strike/>
                <w:color w:val="2E97D3"/>
                <w:sz w:val="24"/>
              </w:rPr>
              <w:t>100</w:t>
            </w:r>
          </w:p>
        </w:tc>
        <w:tc>
          <w:tcPr>
            <w:tcW w:w="1102" w:type="dxa"/>
          </w:tcPr>
          <w:p>
            <w:pPr>
              <w:pStyle w:val="TableParagraph"/>
              <w:spacing w:before="4"/>
              <w:rPr>
                <w:sz w:val="27"/>
              </w:rPr>
            </w:pPr>
          </w:p>
          <w:p>
            <w:pPr>
              <w:pStyle w:val="TableParagraph"/>
              <w:ind w:left="86" w:right="84"/>
              <w:jc w:val="center"/>
              <w:rPr>
                <w:sz w:val="24"/>
              </w:rPr>
            </w:pPr>
            <w:r>
              <w:rPr>
                <w:strike/>
                <w:color w:val="2E97D3"/>
                <w:sz w:val="24"/>
              </w:rPr>
              <w:t>9,20</w:t>
            </w:r>
          </w:p>
          <w:p>
            <w:pPr>
              <w:pStyle w:val="TableParagraph"/>
              <w:spacing w:before="40"/>
              <w:ind w:right="1"/>
              <w:jc w:val="center"/>
              <w:rPr>
                <w:sz w:val="24"/>
              </w:rPr>
            </w:pPr>
            <w:r>
              <w:rPr>
                <w:strike/>
                <w:color w:val="2E97D3"/>
                <w:w w:val="99"/>
                <w:sz w:val="24"/>
              </w:rPr>
              <w:t>0</w:t>
            </w:r>
          </w:p>
        </w:tc>
        <w:tc>
          <w:tcPr>
            <w:tcW w:w="1102" w:type="dxa"/>
          </w:tcPr>
          <w:p>
            <w:pPr>
              <w:pStyle w:val="TableParagraph"/>
              <w:spacing w:before="4"/>
              <w:rPr>
                <w:sz w:val="27"/>
              </w:rPr>
            </w:pPr>
          </w:p>
          <w:p>
            <w:pPr>
              <w:pStyle w:val="TableParagraph"/>
              <w:ind w:left="86" w:right="84"/>
              <w:jc w:val="center"/>
              <w:rPr>
                <w:sz w:val="24"/>
              </w:rPr>
            </w:pPr>
            <w:r>
              <w:rPr>
                <w:strike/>
                <w:color w:val="2E97D3"/>
                <w:sz w:val="24"/>
              </w:rPr>
              <w:t>1,00</w:t>
            </w:r>
          </w:p>
          <w:p>
            <w:pPr>
              <w:pStyle w:val="TableParagraph"/>
              <w:spacing w:before="40"/>
              <w:ind w:right="1"/>
              <w:jc w:val="center"/>
              <w:rPr>
                <w:sz w:val="24"/>
              </w:rPr>
            </w:pPr>
            <w:r>
              <w:rPr>
                <w:strike/>
                <w:color w:val="2E97D3"/>
                <w:w w:val="99"/>
                <w:sz w:val="24"/>
              </w:rPr>
              <w:t>0</w:t>
            </w:r>
          </w:p>
        </w:tc>
        <w:tc>
          <w:tcPr>
            <w:tcW w:w="1104" w:type="dxa"/>
          </w:tcPr>
          <w:p>
            <w:pPr/>
          </w:p>
        </w:tc>
        <w:tc>
          <w:tcPr>
            <w:tcW w:w="1102" w:type="dxa"/>
          </w:tcPr>
          <w:p>
            <w:pPr/>
          </w:p>
        </w:tc>
        <w:tc>
          <w:tcPr>
            <w:tcW w:w="1553" w:type="dxa"/>
          </w:tcPr>
          <w:p>
            <w:pPr>
              <w:pStyle w:val="TableParagraph"/>
              <w:rPr>
                <w:sz w:val="26"/>
              </w:rPr>
            </w:pPr>
          </w:p>
          <w:p>
            <w:pPr>
              <w:pStyle w:val="TableParagraph"/>
              <w:spacing w:before="174"/>
              <w:ind w:left="84" w:right="84"/>
              <w:jc w:val="center"/>
              <w:rPr>
                <w:sz w:val="24"/>
              </w:rPr>
            </w:pPr>
            <w:r>
              <w:rPr>
                <w:strike/>
                <w:color w:val="2E97D3"/>
                <w:sz w:val="24"/>
              </w:rPr>
              <w:t>10,300/0001</w:t>
            </w:r>
          </w:p>
        </w:tc>
        <w:tc>
          <w:tcPr>
            <w:tcW w:w="1308" w:type="dxa"/>
          </w:tcPr>
          <w:p>
            <w:pPr/>
          </w:p>
        </w:tc>
        <w:tc>
          <w:tcPr>
            <w:tcW w:w="1092" w:type="dxa"/>
          </w:tcPr>
          <w:p>
            <w:pPr>
              <w:pStyle w:val="TableParagraph"/>
              <w:rPr>
                <w:sz w:val="26"/>
              </w:rPr>
            </w:pPr>
          </w:p>
          <w:p>
            <w:pPr>
              <w:pStyle w:val="TableParagraph"/>
              <w:spacing w:before="174"/>
              <w:ind w:left="120" w:right="120"/>
              <w:jc w:val="center"/>
              <w:rPr>
                <w:sz w:val="24"/>
              </w:rPr>
            </w:pPr>
            <w:r>
              <w:rPr>
                <w:strike/>
                <w:color w:val="2E97D3"/>
                <w:sz w:val="24"/>
              </w:rPr>
              <w:t>11,600</w:t>
            </w:r>
          </w:p>
        </w:tc>
      </w:tr>
      <w:tr>
        <w:trPr>
          <w:trHeight w:val="646" w:hRule="exact"/>
        </w:trPr>
        <w:tc>
          <w:tcPr>
            <w:tcW w:w="989" w:type="dxa"/>
          </w:tcPr>
          <w:p>
            <w:pPr>
              <w:pStyle w:val="TableParagraph"/>
              <w:spacing w:before="156"/>
              <w:jc w:val="center"/>
              <w:rPr>
                <w:sz w:val="24"/>
              </w:rPr>
            </w:pPr>
            <w:r>
              <w:rPr>
                <w:strike/>
                <w:color w:val="2E97D3"/>
                <w:w w:val="99"/>
                <w:sz w:val="24"/>
              </w:rPr>
              <w:t>2</w:t>
            </w:r>
          </w:p>
        </w:tc>
        <w:tc>
          <w:tcPr>
            <w:tcW w:w="1145" w:type="dxa"/>
          </w:tcPr>
          <w:p>
            <w:pPr>
              <w:pStyle w:val="TableParagraph"/>
              <w:spacing w:line="276" w:lineRule="auto"/>
              <w:ind w:left="487" w:right="174" w:hanging="293"/>
              <w:rPr>
                <w:sz w:val="24"/>
              </w:rPr>
            </w:pPr>
            <w:r>
              <w:rPr>
                <w:strike/>
                <w:color w:val="2E97D3"/>
                <w:sz w:val="24"/>
              </w:rPr>
              <w:t>Project B</w:t>
            </w:r>
          </w:p>
        </w:tc>
        <w:tc>
          <w:tcPr>
            <w:tcW w:w="1678" w:type="dxa"/>
          </w:tcPr>
          <w:p>
            <w:pPr/>
          </w:p>
        </w:tc>
        <w:tc>
          <w:tcPr>
            <w:tcW w:w="1138" w:type="dxa"/>
          </w:tcPr>
          <w:p>
            <w:pPr/>
          </w:p>
        </w:tc>
        <w:tc>
          <w:tcPr>
            <w:tcW w:w="1102" w:type="dxa"/>
          </w:tcPr>
          <w:p>
            <w:pPr>
              <w:pStyle w:val="TableParagraph"/>
              <w:spacing w:before="156"/>
              <w:ind w:left="85" w:right="85"/>
              <w:jc w:val="center"/>
              <w:rPr>
                <w:sz w:val="24"/>
              </w:rPr>
            </w:pPr>
            <w:r>
              <w:rPr>
                <w:strike/>
                <w:color w:val="2E97D3"/>
                <w:sz w:val="24"/>
              </w:rPr>
              <w:t>50/P</w:t>
            </w:r>
          </w:p>
        </w:tc>
        <w:tc>
          <w:tcPr>
            <w:tcW w:w="1102" w:type="dxa"/>
          </w:tcPr>
          <w:p>
            <w:pPr>
              <w:pStyle w:val="TableParagraph"/>
              <w:spacing w:before="156"/>
              <w:ind w:left="84" w:right="85"/>
              <w:jc w:val="center"/>
              <w:rPr>
                <w:sz w:val="24"/>
              </w:rPr>
            </w:pPr>
            <w:r>
              <w:rPr>
                <w:strike/>
                <w:color w:val="2E97D3"/>
                <w:sz w:val="24"/>
              </w:rPr>
              <w:t>100W</w:t>
            </w:r>
          </w:p>
        </w:tc>
        <w:tc>
          <w:tcPr>
            <w:tcW w:w="1104" w:type="dxa"/>
          </w:tcPr>
          <w:p>
            <w:pPr>
              <w:pStyle w:val="TableParagraph"/>
              <w:spacing w:line="274" w:lineRule="exact"/>
              <w:ind w:left="311"/>
              <w:rPr>
                <w:sz w:val="24"/>
              </w:rPr>
            </w:pPr>
            <w:r>
              <w:rPr>
                <w:strike/>
                <w:color w:val="2E97D3"/>
                <w:sz w:val="24"/>
              </w:rPr>
              <w:t>3,00</w:t>
            </w:r>
          </w:p>
          <w:p>
            <w:pPr>
              <w:pStyle w:val="TableParagraph"/>
              <w:spacing w:before="41"/>
              <w:ind w:left="359"/>
              <w:rPr>
                <w:sz w:val="24"/>
              </w:rPr>
            </w:pPr>
            <w:r>
              <w:rPr>
                <w:strike/>
                <w:color w:val="2E97D3"/>
                <w:sz w:val="24"/>
              </w:rPr>
              <w:t>0/C</w:t>
            </w:r>
          </w:p>
        </w:tc>
        <w:tc>
          <w:tcPr>
            <w:tcW w:w="1102" w:type="dxa"/>
          </w:tcPr>
          <w:p>
            <w:pPr/>
          </w:p>
        </w:tc>
        <w:tc>
          <w:tcPr>
            <w:tcW w:w="1553" w:type="dxa"/>
          </w:tcPr>
          <w:p>
            <w:pPr>
              <w:pStyle w:val="TableParagraph"/>
              <w:spacing w:before="156"/>
              <w:ind w:left="84" w:right="84"/>
              <w:jc w:val="center"/>
              <w:rPr>
                <w:sz w:val="24"/>
              </w:rPr>
            </w:pPr>
            <w:r>
              <w:rPr>
                <w:strike/>
                <w:color w:val="2E97D3"/>
                <w:sz w:val="24"/>
              </w:rPr>
              <w:t>3,150/0001</w:t>
            </w:r>
          </w:p>
        </w:tc>
        <w:tc>
          <w:tcPr>
            <w:tcW w:w="1308" w:type="dxa"/>
          </w:tcPr>
          <w:p>
            <w:pPr/>
          </w:p>
        </w:tc>
        <w:tc>
          <w:tcPr>
            <w:tcW w:w="1092" w:type="dxa"/>
          </w:tcPr>
          <w:p>
            <w:pPr>
              <w:pStyle w:val="TableParagraph"/>
              <w:spacing w:before="156"/>
              <w:ind w:left="120" w:right="120"/>
              <w:jc w:val="center"/>
              <w:rPr>
                <w:sz w:val="24"/>
              </w:rPr>
            </w:pPr>
            <w:r>
              <w:rPr>
                <w:strike/>
                <w:color w:val="2E97D3"/>
                <w:sz w:val="24"/>
              </w:rPr>
              <w:t>3,150</w:t>
            </w:r>
          </w:p>
        </w:tc>
      </w:tr>
      <w:tr>
        <w:trPr>
          <w:trHeight w:val="643" w:hRule="exact"/>
        </w:trPr>
        <w:tc>
          <w:tcPr>
            <w:tcW w:w="989" w:type="dxa"/>
          </w:tcPr>
          <w:p>
            <w:pPr>
              <w:pStyle w:val="TableParagraph"/>
              <w:spacing w:before="156"/>
              <w:jc w:val="center"/>
              <w:rPr>
                <w:sz w:val="24"/>
              </w:rPr>
            </w:pPr>
            <w:r>
              <w:rPr>
                <w:strike/>
                <w:color w:val="2E97D3"/>
                <w:w w:val="99"/>
                <w:sz w:val="24"/>
              </w:rPr>
              <w:t>3</w:t>
            </w:r>
          </w:p>
        </w:tc>
        <w:tc>
          <w:tcPr>
            <w:tcW w:w="1145" w:type="dxa"/>
          </w:tcPr>
          <w:p>
            <w:pPr>
              <w:pStyle w:val="TableParagraph"/>
              <w:spacing w:line="276" w:lineRule="auto"/>
              <w:ind w:left="482" w:right="174" w:hanging="288"/>
              <w:rPr>
                <w:sz w:val="24"/>
              </w:rPr>
            </w:pPr>
            <w:r>
              <w:rPr>
                <w:strike/>
                <w:color w:val="2E97D3"/>
                <w:sz w:val="24"/>
              </w:rPr>
              <w:t>Project C</w:t>
            </w:r>
          </w:p>
        </w:tc>
        <w:tc>
          <w:tcPr>
            <w:tcW w:w="1678" w:type="dxa"/>
          </w:tcPr>
          <w:p>
            <w:pPr/>
          </w:p>
        </w:tc>
        <w:tc>
          <w:tcPr>
            <w:tcW w:w="1138" w:type="dxa"/>
          </w:tcPr>
          <w:p>
            <w:pPr/>
          </w:p>
        </w:tc>
        <w:tc>
          <w:tcPr>
            <w:tcW w:w="1102" w:type="dxa"/>
          </w:tcPr>
          <w:p>
            <w:pPr/>
          </w:p>
        </w:tc>
        <w:tc>
          <w:tcPr>
            <w:tcW w:w="1102" w:type="dxa"/>
          </w:tcPr>
          <w:p>
            <w:pPr/>
          </w:p>
        </w:tc>
        <w:tc>
          <w:tcPr>
            <w:tcW w:w="1104" w:type="dxa"/>
          </w:tcPr>
          <w:p>
            <w:pPr/>
          </w:p>
        </w:tc>
        <w:tc>
          <w:tcPr>
            <w:tcW w:w="1102" w:type="dxa"/>
          </w:tcPr>
          <w:p>
            <w:pPr>
              <w:pStyle w:val="TableParagraph"/>
              <w:spacing w:before="156"/>
              <w:ind w:left="86" w:right="85"/>
              <w:jc w:val="center"/>
              <w:rPr>
                <w:sz w:val="24"/>
              </w:rPr>
            </w:pPr>
            <w:r>
              <w:rPr>
                <w:strike/>
                <w:color w:val="2E97D3"/>
                <w:sz w:val="24"/>
              </w:rPr>
              <w:t>2,500/A</w:t>
            </w:r>
          </w:p>
        </w:tc>
        <w:tc>
          <w:tcPr>
            <w:tcW w:w="1553" w:type="dxa"/>
          </w:tcPr>
          <w:p>
            <w:pPr>
              <w:pStyle w:val="TableParagraph"/>
              <w:spacing w:before="156"/>
              <w:ind w:left="84" w:right="84"/>
              <w:jc w:val="center"/>
              <w:rPr>
                <w:sz w:val="24"/>
              </w:rPr>
            </w:pPr>
            <w:r>
              <w:rPr>
                <w:strike/>
                <w:color w:val="2E97D3"/>
                <w:sz w:val="24"/>
              </w:rPr>
              <w:t>2,500/0001</w:t>
            </w:r>
          </w:p>
        </w:tc>
        <w:tc>
          <w:tcPr>
            <w:tcW w:w="1308" w:type="dxa"/>
          </w:tcPr>
          <w:p>
            <w:pPr>
              <w:pStyle w:val="TableParagraph"/>
              <w:spacing w:before="156"/>
              <w:ind w:left="280"/>
              <w:rPr>
                <w:sz w:val="24"/>
              </w:rPr>
            </w:pPr>
            <w:r>
              <w:rPr>
                <w:strike/>
                <w:color w:val="2E97D3"/>
                <w:sz w:val="24"/>
              </w:rPr>
              <w:t>15,250</w:t>
            </w:r>
          </w:p>
        </w:tc>
        <w:tc>
          <w:tcPr>
            <w:tcW w:w="1092" w:type="dxa"/>
          </w:tcPr>
          <w:p>
            <w:pPr>
              <w:pStyle w:val="TableParagraph"/>
              <w:spacing w:before="156"/>
              <w:ind w:left="120" w:right="120"/>
              <w:jc w:val="center"/>
              <w:rPr>
                <w:sz w:val="24"/>
              </w:rPr>
            </w:pPr>
            <w:r>
              <w:rPr>
                <w:strike/>
                <w:color w:val="2E97D3"/>
                <w:sz w:val="24"/>
              </w:rPr>
              <w:t>17,750</w:t>
            </w:r>
          </w:p>
        </w:tc>
      </w:tr>
      <w:tr>
        <w:trPr>
          <w:trHeight w:val="646" w:hRule="exact"/>
        </w:trPr>
        <w:tc>
          <w:tcPr>
            <w:tcW w:w="989" w:type="dxa"/>
          </w:tcPr>
          <w:p>
            <w:pPr>
              <w:pStyle w:val="TableParagraph"/>
              <w:spacing w:before="159"/>
              <w:jc w:val="center"/>
              <w:rPr>
                <w:sz w:val="24"/>
              </w:rPr>
            </w:pPr>
            <w:r>
              <w:rPr>
                <w:strike/>
                <w:color w:val="2E97D3"/>
                <w:w w:val="99"/>
                <w:sz w:val="24"/>
              </w:rPr>
              <w:t>4</w:t>
            </w:r>
          </w:p>
        </w:tc>
        <w:tc>
          <w:tcPr>
            <w:tcW w:w="1145" w:type="dxa"/>
          </w:tcPr>
          <w:p>
            <w:pPr>
              <w:pStyle w:val="TableParagraph"/>
              <w:spacing w:line="278" w:lineRule="auto"/>
              <w:ind w:left="482" w:right="174" w:hanging="288"/>
              <w:rPr>
                <w:sz w:val="24"/>
              </w:rPr>
            </w:pPr>
            <w:r>
              <w:rPr>
                <w:strike/>
                <w:color w:val="2E97D3"/>
                <w:sz w:val="24"/>
              </w:rPr>
              <w:t>Project D</w:t>
            </w:r>
          </w:p>
        </w:tc>
        <w:tc>
          <w:tcPr>
            <w:tcW w:w="1678" w:type="dxa"/>
          </w:tcPr>
          <w:p>
            <w:pPr/>
          </w:p>
        </w:tc>
        <w:tc>
          <w:tcPr>
            <w:tcW w:w="1138" w:type="dxa"/>
          </w:tcPr>
          <w:p>
            <w:pPr/>
          </w:p>
        </w:tc>
        <w:tc>
          <w:tcPr>
            <w:tcW w:w="1102" w:type="dxa"/>
          </w:tcPr>
          <w:p>
            <w:pPr/>
          </w:p>
        </w:tc>
        <w:tc>
          <w:tcPr>
            <w:tcW w:w="1102" w:type="dxa"/>
          </w:tcPr>
          <w:p>
            <w:pPr/>
          </w:p>
        </w:tc>
        <w:tc>
          <w:tcPr>
            <w:tcW w:w="1104" w:type="dxa"/>
          </w:tcPr>
          <w:p>
            <w:pPr/>
          </w:p>
        </w:tc>
        <w:tc>
          <w:tcPr>
            <w:tcW w:w="1102" w:type="dxa"/>
          </w:tcPr>
          <w:p>
            <w:pPr>
              <w:pStyle w:val="TableParagraph"/>
              <w:spacing w:before="159"/>
              <w:ind w:left="86" w:right="85"/>
              <w:jc w:val="center"/>
              <w:rPr>
                <w:sz w:val="24"/>
              </w:rPr>
            </w:pPr>
            <w:r>
              <w:rPr>
                <w:strike/>
                <w:color w:val="2E97D3"/>
                <w:sz w:val="24"/>
              </w:rPr>
              <w:t>1,275/P</w:t>
            </w:r>
          </w:p>
        </w:tc>
        <w:tc>
          <w:tcPr>
            <w:tcW w:w="1553" w:type="dxa"/>
          </w:tcPr>
          <w:p>
            <w:pPr>
              <w:pStyle w:val="TableParagraph"/>
              <w:spacing w:before="159"/>
              <w:ind w:left="84" w:right="84"/>
              <w:jc w:val="center"/>
              <w:rPr>
                <w:sz w:val="24"/>
              </w:rPr>
            </w:pPr>
            <w:r>
              <w:rPr>
                <w:strike/>
                <w:color w:val="2E97D3"/>
                <w:sz w:val="24"/>
              </w:rPr>
              <w:t>1,275/0001</w:t>
            </w:r>
          </w:p>
        </w:tc>
        <w:tc>
          <w:tcPr>
            <w:tcW w:w="1308" w:type="dxa"/>
          </w:tcPr>
          <w:p>
            <w:pPr>
              <w:pStyle w:val="TableParagraph"/>
              <w:spacing w:before="159"/>
              <w:ind w:left="347"/>
              <w:rPr>
                <w:sz w:val="24"/>
              </w:rPr>
            </w:pPr>
            <w:r>
              <w:rPr>
                <w:strike/>
                <w:color w:val="2E97D3"/>
                <w:sz w:val="24"/>
              </w:rPr>
              <w:t>6,750</w:t>
            </w:r>
          </w:p>
        </w:tc>
        <w:tc>
          <w:tcPr>
            <w:tcW w:w="1092" w:type="dxa"/>
          </w:tcPr>
          <w:p>
            <w:pPr>
              <w:pStyle w:val="TableParagraph"/>
              <w:spacing w:before="159"/>
              <w:ind w:left="120" w:right="120"/>
              <w:jc w:val="center"/>
              <w:rPr>
                <w:sz w:val="24"/>
              </w:rPr>
            </w:pPr>
            <w:r>
              <w:rPr>
                <w:strike/>
                <w:color w:val="2E97D3"/>
                <w:sz w:val="24"/>
              </w:rPr>
              <w:t>8,025</w:t>
            </w:r>
          </w:p>
        </w:tc>
      </w:tr>
      <w:tr>
        <w:trPr>
          <w:trHeight w:val="326" w:hRule="exact"/>
        </w:trPr>
        <w:tc>
          <w:tcPr>
            <w:tcW w:w="989" w:type="dxa"/>
          </w:tcPr>
          <w:p>
            <w:pPr/>
          </w:p>
        </w:tc>
        <w:tc>
          <w:tcPr>
            <w:tcW w:w="1145" w:type="dxa"/>
          </w:tcPr>
          <w:p>
            <w:pPr>
              <w:pStyle w:val="TableParagraph"/>
              <w:spacing w:line="274" w:lineRule="exact"/>
              <w:ind w:left="145" w:right="150"/>
              <w:jc w:val="center"/>
              <w:rPr>
                <w:b/>
                <w:sz w:val="24"/>
              </w:rPr>
            </w:pPr>
            <w:r>
              <w:rPr>
                <w:b/>
                <w:strike/>
                <w:color w:val="2E97D3"/>
                <w:sz w:val="24"/>
              </w:rPr>
              <w:t>TOTAL</w:t>
            </w:r>
          </w:p>
        </w:tc>
        <w:tc>
          <w:tcPr>
            <w:tcW w:w="1678" w:type="dxa"/>
          </w:tcPr>
          <w:p>
            <w:pPr>
              <w:pStyle w:val="TableParagraph"/>
              <w:spacing w:line="274" w:lineRule="exact"/>
              <w:ind w:left="99" w:right="99"/>
              <w:jc w:val="center"/>
              <w:rPr>
                <w:b/>
                <w:sz w:val="24"/>
              </w:rPr>
            </w:pPr>
            <w:r>
              <w:rPr>
                <w:b/>
                <w:strike/>
                <w:color w:val="2E97D3"/>
                <w:sz w:val="24"/>
              </w:rPr>
              <w:t>1,300</w:t>
            </w:r>
          </w:p>
        </w:tc>
        <w:tc>
          <w:tcPr>
            <w:tcW w:w="1138" w:type="dxa"/>
          </w:tcPr>
          <w:p>
            <w:pPr>
              <w:pStyle w:val="TableParagraph"/>
              <w:spacing w:line="274" w:lineRule="exact"/>
              <w:ind w:left="103" w:right="103"/>
              <w:jc w:val="center"/>
              <w:rPr>
                <w:b/>
                <w:sz w:val="24"/>
              </w:rPr>
            </w:pPr>
            <w:r>
              <w:rPr>
                <w:b/>
                <w:strike/>
                <w:color w:val="2E97D3"/>
                <w:sz w:val="24"/>
              </w:rPr>
              <w:t>100</w:t>
            </w:r>
          </w:p>
        </w:tc>
        <w:tc>
          <w:tcPr>
            <w:tcW w:w="1102" w:type="dxa"/>
          </w:tcPr>
          <w:p>
            <w:pPr>
              <w:pStyle w:val="TableParagraph"/>
              <w:spacing w:line="274" w:lineRule="exact"/>
              <w:ind w:left="85" w:right="85"/>
              <w:jc w:val="center"/>
              <w:rPr>
                <w:b/>
                <w:sz w:val="24"/>
              </w:rPr>
            </w:pPr>
            <w:r>
              <w:rPr>
                <w:b/>
                <w:strike/>
                <w:color w:val="2E97D3"/>
                <w:sz w:val="24"/>
              </w:rPr>
              <w:t>9,250</w:t>
            </w:r>
          </w:p>
        </w:tc>
        <w:tc>
          <w:tcPr>
            <w:tcW w:w="1102" w:type="dxa"/>
          </w:tcPr>
          <w:p>
            <w:pPr>
              <w:pStyle w:val="TableParagraph"/>
              <w:spacing w:line="274" w:lineRule="exact"/>
              <w:ind w:left="85" w:right="85"/>
              <w:jc w:val="center"/>
              <w:rPr>
                <w:b/>
                <w:sz w:val="24"/>
              </w:rPr>
            </w:pPr>
            <w:r>
              <w:rPr>
                <w:b/>
                <w:strike/>
                <w:color w:val="2E97D3"/>
                <w:sz w:val="24"/>
              </w:rPr>
              <w:t>1,100</w:t>
            </w:r>
          </w:p>
        </w:tc>
        <w:tc>
          <w:tcPr>
            <w:tcW w:w="1104" w:type="dxa"/>
          </w:tcPr>
          <w:p>
            <w:pPr>
              <w:pStyle w:val="TableParagraph"/>
              <w:spacing w:line="274" w:lineRule="exact"/>
              <w:ind w:left="86" w:right="85"/>
              <w:jc w:val="center"/>
              <w:rPr>
                <w:b/>
                <w:sz w:val="24"/>
              </w:rPr>
            </w:pPr>
            <w:r>
              <w:rPr>
                <w:b/>
                <w:strike/>
                <w:color w:val="2E97D3"/>
                <w:sz w:val="24"/>
              </w:rPr>
              <w:t>3,000</w:t>
            </w:r>
          </w:p>
        </w:tc>
        <w:tc>
          <w:tcPr>
            <w:tcW w:w="1102" w:type="dxa"/>
          </w:tcPr>
          <w:p>
            <w:pPr>
              <w:pStyle w:val="TableParagraph"/>
              <w:spacing w:line="274" w:lineRule="exact"/>
              <w:ind w:left="86" w:right="83"/>
              <w:jc w:val="center"/>
              <w:rPr>
                <w:b/>
                <w:sz w:val="24"/>
              </w:rPr>
            </w:pPr>
            <w:r>
              <w:rPr>
                <w:b/>
                <w:strike/>
                <w:color w:val="2E97D3"/>
                <w:sz w:val="24"/>
              </w:rPr>
              <w:t>3,775</w:t>
            </w:r>
          </w:p>
        </w:tc>
        <w:tc>
          <w:tcPr>
            <w:tcW w:w="1553" w:type="dxa"/>
          </w:tcPr>
          <w:p>
            <w:pPr>
              <w:pStyle w:val="TableParagraph"/>
              <w:spacing w:line="274" w:lineRule="exact"/>
              <w:ind w:left="84" w:right="84"/>
              <w:jc w:val="center"/>
              <w:rPr>
                <w:b/>
                <w:sz w:val="24"/>
              </w:rPr>
            </w:pPr>
            <w:r>
              <w:rPr>
                <w:b/>
                <w:strike/>
                <w:color w:val="2E97D3"/>
                <w:sz w:val="24"/>
              </w:rPr>
              <w:t>17,225</w:t>
            </w:r>
          </w:p>
        </w:tc>
        <w:tc>
          <w:tcPr>
            <w:tcW w:w="1308" w:type="dxa"/>
          </w:tcPr>
          <w:p>
            <w:pPr>
              <w:pStyle w:val="TableParagraph"/>
              <w:spacing w:line="274" w:lineRule="exact"/>
              <w:ind w:left="280"/>
              <w:rPr>
                <w:b/>
                <w:sz w:val="24"/>
              </w:rPr>
            </w:pPr>
            <w:r>
              <w:rPr>
                <w:b/>
                <w:strike/>
                <w:color w:val="2E97D3"/>
                <w:sz w:val="24"/>
              </w:rPr>
              <w:t>22,000</w:t>
            </w:r>
          </w:p>
        </w:tc>
        <w:tc>
          <w:tcPr>
            <w:tcW w:w="1092" w:type="dxa"/>
          </w:tcPr>
          <w:p>
            <w:pPr>
              <w:pStyle w:val="TableParagraph"/>
              <w:spacing w:line="274" w:lineRule="exact"/>
              <w:ind w:left="120" w:right="120"/>
              <w:jc w:val="center"/>
              <w:rPr>
                <w:b/>
                <w:sz w:val="24"/>
              </w:rPr>
            </w:pPr>
            <w:r>
              <w:rPr>
                <w:b/>
                <w:strike/>
                <w:color w:val="2E97D3"/>
                <w:sz w:val="24"/>
              </w:rPr>
              <w:t>40,025</w:t>
            </w:r>
          </w:p>
        </w:tc>
      </w:tr>
    </w:tbl>
    <w:p>
      <w:pPr>
        <w:spacing w:before="0"/>
        <w:ind w:left="640" w:right="0" w:firstLine="0"/>
        <w:jc w:val="left"/>
        <w:rPr>
          <w:i/>
          <w:sz w:val="24"/>
        </w:rPr>
      </w:pPr>
      <w:r>
        <w:rPr>
          <w:i/>
          <w:strike/>
          <w:color w:val="2E97D3"/>
          <w:sz w:val="24"/>
        </w:rPr>
        <w:t>(Dollars in Thousands)</w:t>
      </w:r>
    </w:p>
    <w:p>
      <w:pPr>
        <w:pStyle w:val="BodyText"/>
        <w:rPr>
          <w:i/>
          <w:sz w:val="21"/>
        </w:rPr>
      </w:pPr>
    </w:p>
    <w:p>
      <w:pPr>
        <w:pStyle w:val="BodyText"/>
        <w:spacing w:before="1"/>
        <w:ind w:left="640"/>
      </w:pPr>
      <w:r>
        <w:rPr>
          <w:strike/>
          <w:color w:val="2E97D3"/>
        </w:rPr>
        <w:t>(Continued)</w:t>
      </w:r>
    </w:p>
    <w:p>
      <w:pPr>
        <w:pStyle w:val="BodyText"/>
        <w:rPr>
          <w:sz w:val="20"/>
        </w:rPr>
      </w:pPr>
    </w:p>
    <w:p>
      <w:pPr>
        <w:pStyle w:val="BodyText"/>
        <w:rPr>
          <w:sz w:val="20"/>
        </w:rPr>
      </w:pPr>
    </w:p>
    <w:p>
      <w:pPr>
        <w:pStyle w:val="BodyText"/>
        <w:spacing w:before="8"/>
        <w:rPr>
          <w:sz w:val="21"/>
        </w:rPr>
      </w:pPr>
    </w:p>
    <w:p>
      <w:pPr>
        <w:pStyle w:val="Heading2"/>
        <w:spacing w:before="92"/>
        <w:ind w:left="6186" w:right="5666"/>
        <w:jc w:val="center"/>
      </w:pPr>
      <w:r>
        <w:rPr/>
        <w:t>Rev. 364</w:t>
      </w:r>
    </w:p>
    <w:p>
      <w:pPr>
        <w:spacing w:before="0"/>
        <w:ind w:left="6186" w:right="5666" w:firstLine="0"/>
        <w:jc w:val="center"/>
        <w:rPr>
          <w:b/>
          <w:i/>
          <w:sz w:val="24"/>
        </w:rPr>
      </w:pPr>
      <w:r>
        <w:rPr>
          <w:b/>
          <w:i/>
          <w:sz w:val="24"/>
        </w:rPr>
        <w:t>(6820 Illustration 3)</w:t>
      </w:r>
    </w:p>
    <w:p>
      <w:pPr>
        <w:spacing w:after="0"/>
        <w:jc w:val="center"/>
        <w:rPr>
          <w:sz w:val="24"/>
        </w:rPr>
        <w:sectPr>
          <w:headerReference w:type="default" r:id="rId262"/>
          <w:footerReference w:type="default" r:id="rId263"/>
          <w:pgSz w:w="15840" w:h="12240" w:orient="landscape"/>
          <w:pgMar w:header="724" w:footer="0" w:top="1260" w:bottom="280" w:left="440" w:right="1320"/>
        </w:sectPr>
      </w:pPr>
    </w:p>
    <w:p>
      <w:pPr>
        <w:pStyle w:val="BodyText"/>
        <w:rPr>
          <w:b/>
          <w:i/>
          <w:sz w:val="20"/>
        </w:rPr>
      </w:pPr>
    </w:p>
    <w:p>
      <w:pPr>
        <w:pStyle w:val="BodyText"/>
        <w:rPr>
          <w:b/>
          <w:i/>
          <w:sz w:val="20"/>
        </w:rPr>
      </w:pPr>
    </w:p>
    <w:p>
      <w:pPr>
        <w:pStyle w:val="BodyText"/>
        <w:spacing w:before="1"/>
        <w:rPr>
          <w:b/>
          <w:i/>
          <w:sz w:val="21"/>
        </w:rPr>
      </w:pPr>
    </w:p>
    <w:p>
      <w:pPr>
        <w:pStyle w:val="ListParagraph"/>
        <w:numPr>
          <w:ilvl w:val="1"/>
          <w:numId w:val="71"/>
        </w:numPr>
        <w:tabs>
          <w:tab w:pos="1000" w:val="left" w:leader="none"/>
        </w:tabs>
        <w:spacing w:line="240" w:lineRule="auto" w:before="92" w:after="0"/>
        <w:ind w:left="1000" w:right="0" w:hanging="360"/>
        <w:jc w:val="left"/>
        <w:rPr>
          <w:sz w:val="24"/>
        </w:rPr>
      </w:pPr>
      <w:r>
        <w:rPr/>
        <w:pict>
          <v:line style="position:absolute;mso-position-horizontal-relative:page;mso-position-vertical-relative:paragraph;z-index:-446824" from="564.119995pt,35.71637pt" to="567.119995pt,35.71637pt" stroked="true" strokeweight=".599pt" strokecolor="#2e97d3">
            <v:stroke dashstyle="solid"/>
            <w10:wrap type="none"/>
          </v:line>
        </w:pict>
      </w:r>
      <w:r>
        <w:rPr>
          <w:strike/>
          <w:color w:val="2E97D3"/>
          <w:sz w:val="24"/>
        </w:rPr>
        <w:t>Project Appropriations by</w:t>
      </w:r>
      <w:r>
        <w:rPr>
          <w:strike/>
          <w:color w:val="2E97D3"/>
          <w:spacing w:val="-17"/>
          <w:sz w:val="24"/>
        </w:rPr>
        <w:t> </w:t>
      </w:r>
      <w:r>
        <w:rPr>
          <w:strike/>
          <w:color w:val="2E97D3"/>
          <w:sz w:val="24"/>
        </w:rPr>
        <w:t>Location:</w:t>
      </w:r>
    </w:p>
    <w:p>
      <w:pPr>
        <w:pStyle w:val="BodyText"/>
        <w:spacing w:before="8" w:after="1"/>
        <w:rPr>
          <w:sz w:val="10"/>
        </w:rPr>
      </w:pPr>
    </w:p>
    <w:tbl>
      <w:tblPr>
        <w:tblW w:w="0" w:type="auto"/>
        <w:jc w:val="left"/>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1"/>
        <w:gridCol w:w="1157"/>
        <w:gridCol w:w="1670"/>
        <w:gridCol w:w="1142"/>
        <w:gridCol w:w="1090"/>
        <w:gridCol w:w="1087"/>
        <w:gridCol w:w="1094"/>
        <w:gridCol w:w="1090"/>
        <w:gridCol w:w="1454"/>
        <w:gridCol w:w="1238"/>
        <w:gridCol w:w="1116"/>
      </w:tblGrid>
      <w:tr>
        <w:trPr>
          <w:trHeight w:val="422" w:hRule="exact"/>
        </w:trPr>
        <w:tc>
          <w:tcPr>
            <w:tcW w:w="1171" w:type="dxa"/>
            <w:shd w:val="clear" w:color="auto" w:fill="DADADA"/>
          </w:tcPr>
          <w:p>
            <w:pPr>
              <w:pStyle w:val="TableParagraph"/>
              <w:spacing w:before="57"/>
              <w:ind w:left="1"/>
              <w:jc w:val="center"/>
              <w:rPr>
                <w:b/>
                <w:sz w:val="22"/>
              </w:rPr>
            </w:pPr>
            <w:r>
              <w:rPr>
                <w:b/>
                <w:strike/>
                <w:color w:val="2E97D3"/>
                <w:w w:val="100"/>
                <w:sz w:val="22"/>
              </w:rPr>
              <w:t>A</w:t>
            </w:r>
          </w:p>
        </w:tc>
        <w:tc>
          <w:tcPr>
            <w:tcW w:w="1157" w:type="dxa"/>
            <w:shd w:val="clear" w:color="auto" w:fill="DADADA"/>
          </w:tcPr>
          <w:p>
            <w:pPr>
              <w:pStyle w:val="TableParagraph"/>
              <w:spacing w:before="57"/>
              <w:ind w:left="1"/>
              <w:jc w:val="center"/>
              <w:rPr>
                <w:b/>
                <w:sz w:val="22"/>
              </w:rPr>
            </w:pPr>
            <w:r>
              <w:rPr>
                <w:b/>
                <w:strike/>
                <w:color w:val="2E97D3"/>
                <w:w w:val="100"/>
                <w:sz w:val="22"/>
              </w:rPr>
              <w:t>B</w:t>
            </w:r>
          </w:p>
        </w:tc>
        <w:tc>
          <w:tcPr>
            <w:tcW w:w="1670" w:type="dxa"/>
            <w:shd w:val="clear" w:color="auto" w:fill="DADADA"/>
          </w:tcPr>
          <w:p>
            <w:pPr>
              <w:pStyle w:val="TableParagraph"/>
              <w:spacing w:before="57"/>
              <w:jc w:val="center"/>
              <w:rPr>
                <w:b/>
                <w:sz w:val="22"/>
              </w:rPr>
            </w:pPr>
            <w:r>
              <w:rPr>
                <w:b/>
                <w:strike/>
                <w:color w:val="2E97D3"/>
                <w:w w:val="100"/>
                <w:sz w:val="22"/>
              </w:rPr>
              <w:t>C</w:t>
            </w:r>
          </w:p>
        </w:tc>
        <w:tc>
          <w:tcPr>
            <w:tcW w:w="1142" w:type="dxa"/>
            <w:shd w:val="clear" w:color="auto" w:fill="DADADA"/>
          </w:tcPr>
          <w:p>
            <w:pPr>
              <w:pStyle w:val="TableParagraph"/>
              <w:spacing w:before="57"/>
              <w:jc w:val="center"/>
              <w:rPr>
                <w:b/>
                <w:sz w:val="22"/>
              </w:rPr>
            </w:pPr>
            <w:r>
              <w:rPr>
                <w:b/>
                <w:strike/>
                <w:color w:val="2E97D3"/>
                <w:w w:val="100"/>
                <w:sz w:val="22"/>
              </w:rPr>
              <w:t>D</w:t>
            </w:r>
          </w:p>
        </w:tc>
        <w:tc>
          <w:tcPr>
            <w:tcW w:w="1090" w:type="dxa"/>
            <w:shd w:val="clear" w:color="auto" w:fill="DADADA"/>
          </w:tcPr>
          <w:p>
            <w:pPr>
              <w:pStyle w:val="TableParagraph"/>
              <w:spacing w:before="57"/>
              <w:ind w:right="1"/>
              <w:jc w:val="center"/>
              <w:rPr>
                <w:b/>
                <w:sz w:val="22"/>
              </w:rPr>
            </w:pPr>
            <w:r>
              <w:rPr>
                <w:b/>
                <w:strike/>
                <w:color w:val="2E97D3"/>
                <w:w w:val="100"/>
                <w:sz w:val="22"/>
              </w:rPr>
              <w:t>E</w:t>
            </w:r>
          </w:p>
        </w:tc>
        <w:tc>
          <w:tcPr>
            <w:tcW w:w="1087" w:type="dxa"/>
            <w:shd w:val="clear" w:color="auto" w:fill="DADADA"/>
          </w:tcPr>
          <w:p>
            <w:pPr>
              <w:pStyle w:val="TableParagraph"/>
              <w:spacing w:before="57"/>
              <w:ind w:right="1"/>
              <w:jc w:val="center"/>
              <w:rPr>
                <w:b/>
                <w:sz w:val="22"/>
              </w:rPr>
            </w:pPr>
            <w:r>
              <w:rPr>
                <w:b/>
                <w:strike/>
                <w:color w:val="2E97D3"/>
                <w:w w:val="100"/>
                <w:sz w:val="22"/>
              </w:rPr>
              <w:t>F</w:t>
            </w:r>
          </w:p>
        </w:tc>
        <w:tc>
          <w:tcPr>
            <w:tcW w:w="1094" w:type="dxa"/>
            <w:shd w:val="clear" w:color="auto" w:fill="DADADA"/>
          </w:tcPr>
          <w:p>
            <w:pPr>
              <w:pStyle w:val="TableParagraph"/>
              <w:spacing w:before="57"/>
              <w:ind w:right="1"/>
              <w:jc w:val="center"/>
              <w:rPr>
                <w:b/>
                <w:sz w:val="22"/>
              </w:rPr>
            </w:pPr>
            <w:r>
              <w:rPr>
                <w:b/>
                <w:strike/>
                <w:color w:val="2E97D3"/>
                <w:w w:val="100"/>
                <w:sz w:val="22"/>
              </w:rPr>
              <w:t>G</w:t>
            </w:r>
          </w:p>
        </w:tc>
        <w:tc>
          <w:tcPr>
            <w:tcW w:w="1090" w:type="dxa"/>
            <w:shd w:val="clear" w:color="auto" w:fill="DADADA"/>
          </w:tcPr>
          <w:p>
            <w:pPr>
              <w:pStyle w:val="TableParagraph"/>
              <w:spacing w:before="57"/>
              <w:jc w:val="center"/>
              <w:rPr>
                <w:b/>
                <w:sz w:val="22"/>
              </w:rPr>
            </w:pPr>
            <w:r>
              <w:rPr>
                <w:b/>
                <w:strike/>
                <w:color w:val="2E97D3"/>
                <w:w w:val="100"/>
                <w:sz w:val="22"/>
              </w:rPr>
              <w:t>H</w:t>
            </w:r>
          </w:p>
        </w:tc>
        <w:tc>
          <w:tcPr>
            <w:tcW w:w="1454" w:type="dxa"/>
            <w:shd w:val="clear" w:color="auto" w:fill="DADADA"/>
          </w:tcPr>
          <w:p>
            <w:pPr>
              <w:pStyle w:val="TableParagraph"/>
              <w:spacing w:before="57"/>
              <w:ind w:right="1"/>
              <w:jc w:val="center"/>
              <w:rPr>
                <w:b/>
                <w:sz w:val="22"/>
              </w:rPr>
            </w:pPr>
            <w:r>
              <w:rPr>
                <w:b/>
                <w:color w:val="2E97D3"/>
                <w:w w:val="100"/>
                <w:sz w:val="22"/>
              </w:rPr>
              <w:t>I</w:t>
            </w:r>
          </w:p>
        </w:tc>
        <w:tc>
          <w:tcPr>
            <w:tcW w:w="1238" w:type="dxa"/>
            <w:shd w:val="clear" w:color="auto" w:fill="DADADA"/>
          </w:tcPr>
          <w:p>
            <w:pPr>
              <w:pStyle w:val="TableParagraph"/>
              <w:spacing w:before="57"/>
              <w:jc w:val="center"/>
              <w:rPr>
                <w:b/>
                <w:sz w:val="22"/>
              </w:rPr>
            </w:pPr>
            <w:r>
              <w:rPr>
                <w:b/>
                <w:strike/>
                <w:color w:val="2E97D3"/>
                <w:w w:val="100"/>
                <w:sz w:val="22"/>
              </w:rPr>
              <w:t>J</w:t>
            </w:r>
          </w:p>
        </w:tc>
        <w:tc>
          <w:tcPr>
            <w:tcW w:w="1116" w:type="dxa"/>
            <w:shd w:val="clear" w:color="auto" w:fill="DADADA"/>
          </w:tcPr>
          <w:p>
            <w:pPr>
              <w:pStyle w:val="TableParagraph"/>
              <w:spacing w:before="57"/>
              <w:ind w:right="1"/>
              <w:jc w:val="center"/>
              <w:rPr>
                <w:b/>
                <w:sz w:val="22"/>
              </w:rPr>
            </w:pPr>
            <w:r>
              <w:rPr>
                <w:b/>
                <w:strike/>
                <w:color w:val="2E97D3"/>
                <w:w w:val="100"/>
                <w:sz w:val="22"/>
              </w:rPr>
              <w:t>K</w:t>
            </w:r>
          </w:p>
        </w:tc>
      </w:tr>
      <w:tr>
        <w:trPr>
          <w:trHeight w:val="1174" w:hRule="exact"/>
        </w:trPr>
        <w:tc>
          <w:tcPr>
            <w:tcW w:w="1171" w:type="dxa"/>
            <w:shd w:val="clear" w:color="auto" w:fill="DADADA"/>
          </w:tcPr>
          <w:p>
            <w:pPr>
              <w:pStyle w:val="TableParagraph"/>
              <w:rPr>
                <w:sz w:val="24"/>
              </w:rPr>
            </w:pPr>
          </w:p>
          <w:p>
            <w:pPr>
              <w:pStyle w:val="TableParagraph"/>
              <w:spacing w:before="156"/>
              <w:ind w:left="103" w:right="101"/>
              <w:jc w:val="center"/>
              <w:rPr>
                <w:b/>
                <w:sz w:val="22"/>
              </w:rPr>
            </w:pPr>
            <w:r>
              <w:rPr>
                <w:b/>
                <w:strike/>
                <w:color w:val="2E97D3"/>
                <w:sz w:val="22"/>
              </w:rPr>
              <w:t>Location</w:t>
            </w:r>
          </w:p>
        </w:tc>
        <w:tc>
          <w:tcPr>
            <w:tcW w:w="1157" w:type="dxa"/>
            <w:shd w:val="clear" w:color="auto" w:fill="DADADA"/>
          </w:tcPr>
          <w:p>
            <w:pPr>
              <w:pStyle w:val="TableParagraph"/>
              <w:rPr>
                <w:sz w:val="25"/>
              </w:rPr>
            </w:pPr>
          </w:p>
          <w:p>
            <w:pPr>
              <w:pStyle w:val="TableParagraph"/>
              <w:spacing w:line="276" w:lineRule="auto"/>
              <w:ind w:left="273" w:right="183" w:hanging="75"/>
              <w:rPr>
                <w:b/>
                <w:sz w:val="22"/>
              </w:rPr>
            </w:pPr>
            <w:r>
              <w:rPr>
                <w:b/>
                <w:strike/>
                <w:color w:val="2E97D3"/>
                <w:sz w:val="22"/>
              </w:rPr>
              <w:t>Project Name</w:t>
            </w:r>
          </w:p>
        </w:tc>
        <w:tc>
          <w:tcPr>
            <w:tcW w:w="1670" w:type="dxa"/>
            <w:shd w:val="clear" w:color="auto" w:fill="DADADA"/>
          </w:tcPr>
          <w:p>
            <w:pPr>
              <w:pStyle w:val="TableParagraph"/>
              <w:spacing w:line="278" w:lineRule="auto"/>
              <w:ind w:left="157" w:right="152"/>
              <w:jc w:val="center"/>
              <w:rPr>
                <w:b/>
                <w:sz w:val="22"/>
              </w:rPr>
            </w:pPr>
            <w:r>
              <w:rPr>
                <w:b/>
                <w:strike/>
                <w:color w:val="2E97D3"/>
                <w:sz w:val="22"/>
              </w:rPr>
              <w:t>Previous Funding</w:t>
            </w:r>
          </w:p>
          <w:p>
            <w:pPr>
              <w:pStyle w:val="TableParagraph"/>
              <w:spacing w:line="276" w:lineRule="auto" w:before="3"/>
              <w:ind w:left="256" w:right="253" w:hanging="3"/>
              <w:jc w:val="center"/>
              <w:rPr>
                <w:b/>
                <w:sz w:val="22"/>
              </w:rPr>
            </w:pPr>
            <w:r>
              <w:rPr>
                <w:b/>
                <w:strike/>
                <w:color w:val="2E97D3"/>
                <w:sz w:val="22"/>
              </w:rPr>
              <w:t>$/Phase/ Fund Code</w:t>
            </w:r>
          </w:p>
        </w:tc>
        <w:tc>
          <w:tcPr>
            <w:tcW w:w="5503" w:type="dxa"/>
            <w:gridSpan w:val="5"/>
            <w:shd w:val="clear" w:color="auto" w:fill="DADADA"/>
          </w:tcPr>
          <w:p>
            <w:pPr>
              <w:pStyle w:val="TableParagraph"/>
              <w:rPr>
                <w:sz w:val="24"/>
              </w:rPr>
            </w:pPr>
          </w:p>
          <w:p>
            <w:pPr>
              <w:pStyle w:val="TableParagraph"/>
              <w:spacing w:before="156"/>
              <w:ind w:left="1975" w:right="1973"/>
              <w:jc w:val="center"/>
              <w:rPr>
                <w:b/>
                <w:sz w:val="22"/>
              </w:rPr>
            </w:pPr>
            <w:r>
              <w:rPr>
                <w:b/>
                <w:strike/>
                <w:color w:val="2E97D3"/>
                <w:sz w:val="22"/>
              </w:rPr>
              <w:t>$ Next 5 Years</w:t>
            </w:r>
          </w:p>
        </w:tc>
        <w:tc>
          <w:tcPr>
            <w:tcW w:w="1454" w:type="dxa"/>
            <w:shd w:val="clear" w:color="auto" w:fill="DADADA"/>
          </w:tcPr>
          <w:p>
            <w:pPr>
              <w:pStyle w:val="TableParagraph"/>
              <w:spacing w:line="276" w:lineRule="auto" w:before="141"/>
              <w:ind w:left="89" w:right="91"/>
              <w:jc w:val="center"/>
              <w:rPr>
                <w:b/>
                <w:sz w:val="22"/>
              </w:rPr>
            </w:pPr>
            <w:r>
              <w:rPr>
                <w:b/>
                <w:strike/>
                <w:color w:val="2E97D3"/>
                <w:sz w:val="22"/>
              </w:rPr>
              <w:t>Total 5 Years/Fund Code</w:t>
            </w:r>
          </w:p>
        </w:tc>
        <w:tc>
          <w:tcPr>
            <w:tcW w:w="1238" w:type="dxa"/>
            <w:shd w:val="clear" w:color="auto" w:fill="DADADA"/>
          </w:tcPr>
          <w:p>
            <w:pPr>
              <w:pStyle w:val="TableParagraph"/>
              <w:rPr>
                <w:sz w:val="25"/>
              </w:rPr>
            </w:pPr>
          </w:p>
          <w:p>
            <w:pPr>
              <w:pStyle w:val="TableParagraph"/>
              <w:spacing w:line="276" w:lineRule="auto"/>
              <w:ind w:left="112" w:right="94" w:firstLine="60"/>
              <w:rPr>
                <w:b/>
                <w:sz w:val="22"/>
              </w:rPr>
            </w:pPr>
            <w:r>
              <w:rPr>
                <w:b/>
                <w:strike/>
                <w:color w:val="2E97D3"/>
                <w:sz w:val="22"/>
              </w:rPr>
              <w:t>Costs to Complete</w:t>
            </w:r>
          </w:p>
        </w:tc>
        <w:tc>
          <w:tcPr>
            <w:tcW w:w="1116" w:type="dxa"/>
            <w:shd w:val="clear" w:color="auto" w:fill="DADADA"/>
          </w:tcPr>
          <w:p>
            <w:pPr>
              <w:pStyle w:val="TableParagraph"/>
              <w:rPr>
                <w:sz w:val="25"/>
              </w:rPr>
            </w:pPr>
          </w:p>
          <w:p>
            <w:pPr>
              <w:pStyle w:val="TableParagraph"/>
              <w:spacing w:line="276" w:lineRule="auto"/>
              <w:ind w:left="290" w:right="270" w:firstLine="16"/>
              <w:rPr>
                <w:b/>
                <w:sz w:val="22"/>
              </w:rPr>
            </w:pPr>
            <w:r>
              <w:rPr>
                <w:b/>
                <w:strike/>
                <w:color w:val="2E97D3"/>
                <w:sz w:val="22"/>
              </w:rPr>
              <w:t>Cum Total</w:t>
            </w:r>
          </w:p>
        </w:tc>
      </w:tr>
      <w:tr>
        <w:trPr>
          <w:trHeight w:val="593" w:hRule="exact"/>
        </w:trPr>
        <w:tc>
          <w:tcPr>
            <w:tcW w:w="1171" w:type="dxa"/>
          </w:tcPr>
          <w:p>
            <w:pPr/>
          </w:p>
        </w:tc>
        <w:tc>
          <w:tcPr>
            <w:tcW w:w="1157" w:type="dxa"/>
          </w:tcPr>
          <w:p>
            <w:pPr/>
          </w:p>
        </w:tc>
        <w:tc>
          <w:tcPr>
            <w:tcW w:w="1670" w:type="dxa"/>
          </w:tcPr>
          <w:p>
            <w:pPr/>
          </w:p>
        </w:tc>
        <w:tc>
          <w:tcPr>
            <w:tcW w:w="1142" w:type="dxa"/>
          </w:tcPr>
          <w:p>
            <w:pPr>
              <w:pStyle w:val="TableParagraph"/>
              <w:spacing w:line="251" w:lineRule="exact"/>
              <w:ind w:left="141" w:right="141"/>
              <w:jc w:val="center"/>
              <w:rPr>
                <w:sz w:val="22"/>
              </w:rPr>
            </w:pPr>
            <w:r>
              <w:rPr>
                <w:strike/>
                <w:color w:val="2E97D3"/>
                <w:sz w:val="22"/>
              </w:rPr>
              <w:t>BY</w:t>
            </w:r>
          </w:p>
          <w:p>
            <w:pPr>
              <w:pStyle w:val="TableParagraph"/>
              <w:spacing w:before="40"/>
              <w:ind w:left="143" w:right="141"/>
              <w:jc w:val="center"/>
              <w:rPr>
                <w:sz w:val="22"/>
              </w:rPr>
            </w:pPr>
            <w:r>
              <w:rPr>
                <w:strike/>
                <w:color w:val="2E97D3"/>
                <w:sz w:val="22"/>
              </w:rPr>
              <w:t>$/Phase</w:t>
            </w:r>
          </w:p>
        </w:tc>
        <w:tc>
          <w:tcPr>
            <w:tcW w:w="1090" w:type="dxa"/>
          </w:tcPr>
          <w:p>
            <w:pPr>
              <w:pStyle w:val="TableParagraph"/>
              <w:spacing w:line="251" w:lineRule="exact"/>
              <w:ind w:left="115" w:right="115"/>
              <w:jc w:val="center"/>
              <w:rPr>
                <w:sz w:val="22"/>
              </w:rPr>
            </w:pPr>
            <w:r>
              <w:rPr>
                <w:strike/>
                <w:color w:val="2E97D3"/>
                <w:sz w:val="22"/>
              </w:rPr>
              <w:t>BY+1</w:t>
            </w:r>
          </w:p>
          <w:p>
            <w:pPr>
              <w:pStyle w:val="TableParagraph"/>
              <w:spacing w:before="40"/>
              <w:ind w:left="117" w:right="115"/>
              <w:jc w:val="center"/>
              <w:rPr>
                <w:sz w:val="22"/>
              </w:rPr>
            </w:pPr>
            <w:r>
              <w:rPr>
                <w:strike/>
                <w:color w:val="2E97D3"/>
                <w:sz w:val="22"/>
              </w:rPr>
              <w:t>$/Phase</w:t>
            </w:r>
          </w:p>
        </w:tc>
        <w:tc>
          <w:tcPr>
            <w:tcW w:w="1087" w:type="dxa"/>
          </w:tcPr>
          <w:p>
            <w:pPr>
              <w:pStyle w:val="TableParagraph"/>
              <w:spacing w:line="251" w:lineRule="exact"/>
              <w:ind w:left="115" w:right="115"/>
              <w:jc w:val="center"/>
              <w:rPr>
                <w:sz w:val="22"/>
              </w:rPr>
            </w:pPr>
            <w:r>
              <w:rPr>
                <w:strike/>
                <w:color w:val="2E97D3"/>
                <w:sz w:val="22"/>
              </w:rPr>
              <w:t>BY+2</w:t>
            </w:r>
          </w:p>
          <w:p>
            <w:pPr>
              <w:pStyle w:val="TableParagraph"/>
              <w:spacing w:before="40"/>
              <w:ind w:left="115" w:right="115"/>
              <w:jc w:val="center"/>
              <w:rPr>
                <w:sz w:val="22"/>
              </w:rPr>
            </w:pPr>
            <w:r>
              <w:rPr>
                <w:strike/>
                <w:color w:val="2E97D3"/>
                <w:sz w:val="22"/>
              </w:rPr>
              <w:t>$/Phase</w:t>
            </w:r>
          </w:p>
        </w:tc>
        <w:tc>
          <w:tcPr>
            <w:tcW w:w="1094" w:type="dxa"/>
          </w:tcPr>
          <w:p>
            <w:pPr>
              <w:pStyle w:val="TableParagraph"/>
              <w:spacing w:line="251" w:lineRule="exact"/>
              <w:ind w:left="118" w:right="118"/>
              <w:jc w:val="center"/>
              <w:rPr>
                <w:sz w:val="22"/>
              </w:rPr>
            </w:pPr>
            <w:r>
              <w:rPr>
                <w:strike/>
                <w:color w:val="2E97D3"/>
                <w:sz w:val="22"/>
              </w:rPr>
              <w:t>BY+3</w:t>
            </w:r>
          </w:p>
          <w:p>
            <w:pPr>
              <w:pStyle w:val="TableParagraph"/>
              <w:spacing w:before="40"/>
              <w:ind w:left="118" w:right="118"/>
              <w:jc w:val="center"/>
              <w:rPr>
                <w:sz w:val="22"/>
              </w:rPr>
            </w:pPr>
            <w:r>
              <w:rPr>
                <w:strike/>
                <w:color w:val="2E97D3"/>
                <w:sz w:val="22"/>
              </w:rPr>
              <w:t>$/Phase</w:t>
            </w:r>
          </w:p>
        </w:tc>
        <w:tc>
          <w:tcPr>
            <w:tcW w:w="1090" w:type="dxa"/>
          </w:tcPr>
          <w:p>
            <w:pPr>
              <w:pStyle w:val="TableParagraph"/>
              <w:spacing w:line="251" w:lineRule="exact"/>
              <w:ind w:left="117" w:right="115"/>
              <w:jc w:val="center"/>
              <w:rPr>
                <w:sz w:val="22"/>
              </w:rPr>
            </w:pPr>
            <w:r>
              <w:rPr>
                <w:strike/>
                <w:color w:val="2E97D3"/>
                <w:sz w:val="22"/>
              </w:rPr>
              <w:t>BY+4</w:t>
            </w:r>
          </w:p>
          <w:p>
            <w:pPr>
              <w:pStyle w:val="TableParagraph"/>
              <w:spacing w:before="40"/>
              <w:ind w:left="117" w:right="115"/>
              <w:jc w:val="center"/>
              <w:rPr>
                <w:sz w:val="22"/>
              </w:rPr>
            </w:pPr>
            <w:r>
              <w:rPr>
                <w:strike/>
                <w:color w:val="2E97D3"/>
                <w:sz w:val="22"/>
              </w:rPr>
              <w:t>$/Phase</w:t>
            </w:r>
          </w:p>
        </w:tc>
        <w:tc>
          <w:tcPr>
            <w:tcW w:w="1454" w:type="dxa"/>
          </w:tcPr>
          <w:p>
            <w:pPr>
              <w:pStyle w:val="TableParagraph"/>
              <w:spacing w:line="278" w:lineRule="auto"/>
              <w:ind w:left="273" w:right="275" w:firstLine="184"/>
              <w:rPr>
                <w:sz w:val="22"/>
              </w:rPr>
            </w:pPr>
            <w:r>
              <w:rPr>
                <w:strike/>
                <w:color w:val="2E97D3"/>
                <w:sz w:val="22"/>
              </w:rPr>
              <w:t>(Sum D thru</w:t>
            </w:r>
            <w:r>
              <w:rPr>
                <w:strike/>
                <w:color w:val="2E97D3"/>
                <w:spacing w:val="-4"/>
                <w:sz w:val="22"/>
              </w:rPr>
              <w:t> </w:t>
            </w:r>
            <w:r>
              <w:rPr>
                <w:strike/>
                <w:color w:val="2E97D3"/>
                <w:sz w:val="22"/>
              </w:rPr>
              <w:t>H)</w:t>
            </w:r>
          </w:p>
        </w:tc>
        <w:tc>
          <w:tcPr>
            <w:tcW w:w="1238" w:type="dxa"/>
          </w:tcPr>
          <w:p>
            <w:pPr>
              <w:pStyle w:val="TableParagraph"/>
              <w:spacing w:line="278" w:lineRule="auto"/>
              <w:ind w:left="304" w:right="186" w:hanging="101"/>
              <w:rPr>
                <w:sz w:val="22"/>
              </w:rPr>
            </w:pPr>
            <w:r>
              <w:rPr>
                <w:strike/>
                <w:color w:val="2E97D3"/>
                <w:sz w:val="22"/>
              </w:rPr>
              <w:t>(Beyond BY+4)</w:t>
            </w:r>
          </w:p>
        </w:tc>
        <w:tc>
          <w:tcPr>
            <w:tcW w:w="1116" w:type="dxa"/>
          </w:tcPr>
          <w:p>
            <w:pPr>
              <w:pStyle w:val="TableParagraph"/>
              <w:spacing w:before="144"/>
              <w:ind w:left="166" w:right="166"/>
              <w:jc w:val="center"/>
              <w:rPr>
                <w:sz w:val="22"/>
              </w:rPr>
            </w:pPr>
            <w:r>
              <w:rPr>
                <w:strike/>
                <w:color w:val="2E97D3"/>
                <w:sz w:val="22"/>
              </w:rPr>
              <w:t>(C+I+J)</w:t>
            </w:r>
          </w:p>
        </w:tc>
      </w:tr>
      <w:tr>
        <w:trPr>
          <w:trHeight w:val="590" w:hRule="exact"/>
        </w:trPr>
        <w:tc>
          <w:tcPr>
            <w:tcW w:w="1171" w:type="dxa"/>
          </w:tcPr>
          <w:p>
            <w:pPr>
              <w:pStyle w:val="TableParagraph"/>
              <w:spacing w:line="276" w:lineRule="auto"/>
              <w:ind w:left="182" w:right="164" w:firstLine="220"/>
              <w:rPr>
                <w:sz w:val="22"/>
              </w:rPr>
            </w:pPr>
            <w:r>
              <w:rPr>
                <w:strike/>
                <w:color w:val="2E97D3"/>
                <w:sz w:val="22"/>
              </w:rPr>
              <w:t>Los Angeles</w:t>
            </w:r>
          </w:p>
        </w:tc>
        <w:tc>
          <w:tcPr>
            <w:tcW w:w="1157" w:type="dxa"/>
          </w:tcPr>
          <w:p>
            <w:pPr>
              <w:pStyle w:val="TableParagraph"/>
              <w:spacing w:before="144"/>
              <w:ind w:left="101" w:right="98"/>
              <w:jc w:val="center"/>
              <w:rPr>
                <w:sz w:val="22"/>
              </w:rPr>
            </w:pPr>
            <w:r>
              <w:rPr>
                <w:strike/>
                <w:color w:val="2E97D3"/>
                <w:sz w:val="22"/>
              </w:rPr>
              <w:t>Project B</w:t>
            </w:r>
          </w:p>
        </w:tc>
        <w:tc>
          <w:tcPr>
            <w:tcW w:w="1670" w:type="dxa"/>
          </w:tcPr>
          <w:p>
            <w:pPr/>
          </w:p>
        </w:tc>
        <w:tc>
          <w:tcPr>
            <w:tcW w:w="1142" w:type="dxa"/>
          </w:tcPr>
          <w:p>
            <w:pPr/>
          </w:p>
        </w:tc>
        <w:tc>
          <w:tcPr>
            <w:tcW w:w="1090" w:type="dxa"/>
          </w:tcPr>
          <w:p>
            <w:pPr>
              <w:pStyle w:val="TableParagraph"/>
              <w:spacing w:before="144"/>
              <w:ind w:left="114" w:right="115"/>
              <w:jc w:val="center"/>
              <w:rPr>
                <w:sz w:val="22"/>
              </w:rPr>
            </w:pPr>
            <w:r>
              <w:rPr>
                <w:strike/>
                <w:color w:val="2E97D3"/>
                <w:sz w:val="22"/>
              </w:rPr>
              <w:t>50/P</w:t>
            </w:r>
          </w:p>
        </w:tc>
        <w:tc>
          <w:tcPr>
            <w:tcW w:w="1087" w:type="dxa"/>
          </w:tcPr>
          <w:p>
            <w:pPr>
              <w:pStyle w:val="TableParagraph"/>
              <w:spacing w:before="144"/>
              <w:ind w:left="115" w:right="115"/>
              <w:jc w:val="center"/>
              <w:rPr>
                <w:sz w:val="22"/>
              </w:rPr>
            </w:pPr>
            <w:r>
              <w:rPr>
                <w:strike/>
                <w:color w:val="2E97D3"/>
                <w:sz w:val="22"/>
              </w:rPr>
              <w:t>100W</w:t>
            </w:r>
          </w:p>
        </w:tc>
        <w:tc>
          <w:tcPr>
            <w:tcW w:w="1094" w:type="dxa"/>
          </w:tcPr>
          <w:p>
            <w:pPr>
              <w:pStyle w:val="TableParagraph"/>
              <w:spacing w:before="144"/>
              <w:ind w:left="118" w:right="118"/>
              <w:jc w:val="center"/>
              <w:rPr>
                <w:sz w:val="22"/>
              </w:rPr>
            </w:pPr>
            <w:r>
              <w:rPr>
                <w:strike/>
                <w:color w:val="2E97D3"/>
                <w:sz w:val="22"/>
              </w:rPr>
              <w:t>3,000/C</w:t>
            </w:r>
          </w:p>
        </w:tc>
        <w:tc>
          <w:tcPr>
            <w:tcW w:w="1090" w:type="dxa"/>
          </w:tcPr>
          <w:p>
            <w:pPr/>
          </w:p>
        </w:tc>
        <w:tc>
          <w:tcPr>
            <w:tcW w:w="1454" w:type="dxa"/>
          </w:tcPr>
          <w:p>
            <w:pPr>
              <w:pStyle w:val="TableParagraph"/>
              <w:spacing w:before="144"/>
              <w:ind w:left="90" w:right="90"/>
              <w:jc w:val="center"/>
              <w:rPr>
                <w:sz w:val="22"/>
              </w:rPr>
            </w:pPr>
            <w:r>
              <w:rPr>
                <w:strike/>
                <w:color w:val="2E97D3"/>
                <w:sz w:val="22"/>
              </w:rPr>
              <w:t>3,150/0001</w:t>
            </w:r>
          </w:p>
        </w:tc>
        <w:tc>
          <w:tcPr>
            <w:tcW w:w="1238" w:type="dxa"/>
          </w:tcPr>
          <w:p>
            <w:pPr/>
          </w:p>
        </w:tc>
        <w:tc>
          <w:tcPr>
            <w:tcW w:w="1116" w:type="dxa"/>
          </w:tcPr>
          <w:p>
            <w:pPr>
              <w:pStyle w:val="TableParagraph"/>
              <w:spacing w:before="144"/>
              <w:ind w:left="166" w:right="164"/>
              <w:jc w:val="center"/>
              <w:rPr>
                <w:sz w:val="22"/>
              </w:rPr>
            </w:pPr>
            <w:r>
              <w:rPr>
                <w:strike/>
                <w:color w:val="2E97D3"/>
                <w:sz w:val="22"/>
              </w:rPr>
              <w:t>3,150</w:t>
            </w:r>
          </w:p>
        </w:tc>
      </w:tr>
      <w:tr>
        <w:trPr>
          <w:trHeight w:val="593" w:hRule="exact"/>
        </w:trPr>
        <w:tc>
          <w:tcPr>
            <w:tcW w:w="1171" w:type="dxa"/>
          </w:tcPr>
          <w:p>
            <w:pPr>
              <w:pStyle w:val="TableParagraph"/>
              <w:spacing w:line="276" w:lineRule="auto"/>
              <w:ind w:left="292" w:right="274" w:firstLine="91"/>
              <w:rPr>
                <w:sz w:val="22"/>
              </w:rPr>
            </w:pPr>
            <w:r>
              <w:rPr>
                <w:strike/>
                <w:color w:val="2E97D3"/>
                <w:sz w:val="22"/>
              </w:rPr>
              <w:t>San Diego</w:t>
            </w:r>
          </w:p>
        </w:tc>
        <w:tc>
          <w:tcPr>
            <w:tcW w:w="1157" w:type="dxa"/>
          </w:tcPr>
          <w:p>
            <w:pPr>
              <w:pStyle w:val="TableParagraph"/>
              <w:spacing w:before="144"/>
              <w:ind w:left="101" w:right="98"/>
              <w:jc w:val="center"/>
              <w:rPr>
                <w:sz w:val="22"/>
              </w:rPr>
            </w:pPr>
            <w:r>
              <w:rPr>
                <w:strike/>
                <w:color w:val="2E97D3"/>
                <w:sz w:val="22"/>
              </w:rPr>
              <w:t>Project A</w:t>
            </w:r>
          </w:p>
        </w:tc>
        <w:tc>
          <w:tcPr>
            <w:tcW w:w="1670" w:type="dxa"/>
          </w:tcPr>
          <w:p>
            <w:pPr>
              <w:pStyle w:val="TableParagraph"/>
              <w:spacing w:before="144"/>
              <w:ind w:left="157" w:right="153"/>
              <w:jc w:val="center"/>
              <w:rPr>
                <w:sz w:val="22"/>
              </w:rPr>
            </w:pPr>
            <w:r>
              <w:rPr>
                <w:strike/>
                <w:color w:val="2E97D3"/>
                <w:sz w:val="22"/>
              </w:rPr>
              <w:t>1,300/A/0001</w:t>
            </w:r>
          </w:p>
        </w:tc>
        <w:tc>
          <w:tcPr>
            <w:tcW w:w="1142" w:type="dxa"/>
          </w:tcPr>
          <w:p>
            <w:pPr>
              <w:pStyle w:val="TableParagraph"/>
              <w:spacing w:before="144"/>
              <w:ind w:left="141" w:right="141"/>
              <w:jc w:val="center"/>
              <w:rPr>
                <w:sz w:val="22"/>
              </w:rPr>
            </w:pPr>
            <w:r>
              <w:rPr>
                <w:strike/>
                <w:color w:val="2E97D3"/>
                <w:sz w:val="22"/>
              </w:rPr>
              <w:t>100/P</w:t>
            </w:r>
          </w:p>
        </w:tc>
        <w:tc>
          <w:tcPr>
            <w:tcW w:w="1090" w:type="dxa"/>
          </w:tcPr>
          <w:p>
            <w:pPr>
              <w:pStyle w:val="TableParagraph"/>
              <w:spacing w:before="144"/>
              <w:ind w:left="112" w:right="115"/>
              <w:jc w:val="center"/>
              <w:rPr>
                <w:sz w:val="22"/>
              </w:rPr>
            </w:pPr>
            <w:r>
              <w:rPr>
                <w:strike/>
                <w:color w:val="2E97D3"/>
                <w:sz w:val="22"/>
              </w:rPr>
              <w:t>200/W</w:t>
            </w:r>
          </w:p>
        </w:tc>
        <w:tc>
          <w:tcPr>
            <w:tcW w:w="1087" w:type="dxa"/>
          </w:tcPr>
          <w:p>
            <w:pPr>
              <w:pStyle w:val="TableParagraph"/>
              <w:spacing w:before="144"/>
              <w:ind w:left="115" w:right="115"/>
              <w:jc w:val="center"/>
              <w:rPr>
                <w:sz w:val="22"/>
              </w:rPr>
            </w:pPr>
            <w:r>
              <w:rPr>
                <w:strike/>
                <w:color w:val="2E97D3"/>
                <w:sz w:val="22"/>
              </w:rPr>
              <w:t>1,000/E</w:t>
            </w:r>
          </w:p>
        </w:tc>
        <w:tc>
          <w:tcPr>
            <w:tcW w:w="1094" w:type="dxa"/>
          </w:tcPr>
          <w:p>
            <w:pPr/>
          </w:p>
        </w:tc>
        <w:tc>
          <w:tcPr>
            <w:tcW w:w="1090" w:type="dxa"/>
          </w:tcPr>
          <w:p>
            <w:pPr/>
          </w:p>
        </w:tc>
        <w:tc>
          <w:tcPr>
            <w:tcW w:w="1454" w:type="dxa"/>
          </w:tcPr>
          <w:p>
            <w:pPr/>
          </w:p>
        </w:tc>
        <w:tc>
          <w:tcPr>
            <w:tcW w:w="1238" w:type="dxa"/>
          </w:tcPr>
          <w:p>
            <w:pPr/>
          </w:p>
        </w:tc>
        <w:tc>
          <w:tcPr>
            <w:tcW w:w="1116" w:type="dxa"/>
          </w:tcPr>
          <w:p>
            <w:pPr/>
          </w:p>
        </w:tc>
      </w:tr>
      <w:tr>
        <w:trPr>
          <w:trHeight w:val="300" w:hRule="exact"/>
        </w:trPr>
        <w:tc>
          <w:tcPr>
            <w:tcW w:w="1171" w:type="dxa"/>
          </w:tcPr>
          <w:p>
            <w:pPr/>
          </w:p>
        </w:tc>
        <w:tc>
          <w:tcPr>
            <w:tcW w:w="1157" w:type="dxa"/>
          </w:tcPr>
          <w:p>
            <w:pPr/>
          </w:p>
        </w:tc>
        <w:tc>
          <w:tcPr>
            <w:tcW w:w="1670" w:type="dxa"/>
          </w:tcPr>
          <w:p>
            <w:pPr/>
          </w:p>
        </w:tc>
        <w:tc>
          <w:tcPr>
            <w:tcW w:w="1142" w:type="dxa"/>
          </w:tcPr>
          <w:p>
            <w:pPr/>
          </w:p>
        </w:tc>
        <w:tc>
          <w:tcPr>
            <w:tcW w:w="1090" w:type="dxa"/>
          </w:tcPr>
          <w:p>
            <w:pPr>
              <w:pStyle w:val="TableParagraph"/>
              <w:spacing w:line="251" w:lineRule="exact"/>
              <w:ind w:left="115" w:right="115"/>
              <w:jc w:val="center"/>
              <w:rPr>
                <w:sz w:val="22"/>
              </w:rPr>
            </w:pPr>
            <w:r>
              <w:rPr>
                <w:strike/>
                <w:color w:val="2E97D3"/>
                <w:sz w:val="22"/>
              </w:rPr>
              <w:t>9,000/C</w:t>
            </w:r>
          </w:p>
        </w:tc>
        <w:tc>
          <w:tcPr>
            <w:tcW w:w="1087" w:type="dxa"/>
          </w:tcPr>
          <w:p>
            <w:pPr/>
          </w:p>
        </w:tc>
        <w:tc>
          <w:tcPr>
            <w:tcW w:w="1094" w:type="dxa"/>
          </w:tcPr>
          <w:p>
            <w:pPr/>
          </w:p>
        </w:tc>
        <w:tc>
          <w:tcPr>
            <w:tcW w:w="1090" w:type="dxa"/>
          </w:tcPr>
          <w:p>
            <w:pPr/>
          </w:p>
        </w:tc>
        <w:tc>
          <w:tcPr>
            <w:tcW w:w="1454" w:type="dxa"/>
          </w:tcPr>
          <w:p>
            <w:pPr/>
          </w:p>
        </w:tc>
        <w:tc>
          <w:tcPr>
            <w:tcW w:w="1238" w:type="dxa"/>
          </w:tcPr>
          <w:p>
            <w:pPr/>
          </w:p>
        </w:tc>
        <w:tc>
          <w:tcPr>
            <w:tcW w:w="1116" w:type="dxa"/>
          </w:tcPr>
          <w:p>
            <w:pPr/>
          </w:p>
        </w:tc>
      </w:tr>
      <w:tr>
        <w:trPr>
          <w:trHeight w:val="883" w:hRule="exact"/>
        </w:trPr>
        <w:tc>
          <w:tcPr>
            <w:tcW w:w="1171" w:type="dxa"/>
          </w:tcPr>
          <w:p>
            <w:pPr/>
          </w:p>
        </w:tc>
        <w:tc>
          <w:tcPr>
            <w:tcW w:w="1157" w:type="dxa"/>
          </w:tcPr>
          <w:p>
            <w:pPr>
              <w:pStyle w:val="TableParagraph"/>
              <w:spacing w:line="276" w:lineRule="auto"/>
              <w:ind w:left="139" w:right="135" w:hanging="4"/>
              <w:jc w:val="center"/>
              <w:rPr>
                <w:sz w:val="22"/>
              </w:rPr>
            </w:pPr>
            <w:r>
              <w:rPr>
                <w:strike/>
                <w:color w:val="2E97D3"/>
                <w:sz w:val="22"/>
              </w:rPr>
              <w:t>Subtotal I, Project A</w:t>
            </w:r>
          </w:p>
        </w:tc>
        <w:tc>
          <w:tcPr>
            <w:tcW w:w="1670" w:type="dxa"/>
          </w:tcPr>
          <w:p>
            <w:pPr>
              <w:pStyle w:val="TableParagraph"/>
              <w:spacing w:before="2"/>
              <w:rPr>
                <w:sz w:val="25"/>
              </w:rPr>
            </w:pPr>
          </w:p>
          <w:p>
            <w:pPr>
              <w:pStyle w:val="TableParagraph"/>
              <w:spacing w:before="1"/>
              <w:ind w:left="157" w:right="153"/>
              <w:jc w:val="center"/>
              <w:rPr>
                <w:sz w:val="22"/>
              </w:rPr>
            </w:pPr>
            <w:r>
              <w:rPr>
                <w:strike/>
                <w:color w:val="2E97D3"/>
                <w:sz w:val="22"/>
              </w:rPr>
              <w:t>1,300</w:t>
            </w:r>
          </w:p>
        </w:tc>
        <w:tc>
          <w:tcPr>
            <w:tcW w:w="1142" w:type="dxa"/>
          </w:tcPr>
          <w:p>
            <w:pPr>
              <w:pStyle w:val="TableParagraph"/>
              <w:spacing w:before="2"/>
              <w:rPr>
                <w:sz w:val="25"/>
              </w:rPr>
            </w:pPr>
          </w:p>
          <w:p>
            <w:pPr>
              <w:pStyle w:val="TableParagraph"/>
              <w:spacing w:before="1"/>
              <w:ind w:left="141" w:right="141"/>
              <w:jc w:val="center"/>
              <w:rPr>
                <w:sz w:val="22"/>
              </w:rPr>
            </w:pPr>
            <w:r>
              <w:rPr>
                <w:strike/>
                <w:color w:val="2E97D3"/>
                <w:sz w:val="22"/>
              </w:rPr>
              <w:t>100</w:t>
            </w:r>
          </w:p>
        </w:tc>
        <w:tc>
          <w:tcPr>
            <w:tcW w:w="1090" w:type="dxa"/>
          </w:tcPr>
          <w:p>
            <w:pPr>
              <w:pStyle w:val="TableParagraph"/>
              <w:spacing w:before="2"/>
              <w:rPr>
                <w:sz w:val="25"/>
              </w:rPr>
            </w:pPr>
          </w:p>
          <w:p>
            <w:pPr>
              <w:pStyle w:val="TableParagraph"/>
              <w:spacing w:before="1"/>
              <w:ind w:left="115" w:right="115"/>
              <w:jc w:val="center"/>
              <w:rPr>
                <w:sz w:val="22"/>
              </w:rPr>
            </w:pPr>
            <w:r>
              <w:rPr>
                <w:strike/>
                <w:color w:val="2E97D3"/>
                <w:sz w:val="22"/>
              </w:rPr>
              <w:t>9,200</w:t>
            </w:r>
          </w:p>
        </w:tc>
        <w:tc>
          <w:tcPr>
            <w:tcW w:w="1087" w:type="dxa"/>
          </w:tcPr>
          <w:p>
            <w:pPr>
              <w:pStyle w:val="TableParagraph"/>
              <w:spacing w:before="2"/>
              <w:rPr>
                <w:sz w:val="25"/>
              </w:rPr>
            </w:pPr>
          </w:p>
          <w:p>
            <w:pPr>
              <w:pStyle w:val="TableParagraph"/>
              <w:spacing w:before="1"/>
              <w:ind w:left="115" w:right="113"/>
              <w:jc w:val="center"/>
              <w:rPr>
                <w:sz w:val="22"/>
              </w:rPr>
            </w:pPr>
            <w:r>
              <w:rPr>
                <w:strike/>
                <w:color w:val="2E97D3"/>
                <w:sz w:val="22"/>
              </w:rPr>
              <w:t>1,000</w:t>
            </w:r>
          </w:p>
        </w:tc>
        <w:tc>
          <w:tcPr>
            <w:tcW w:w="1094" w:type="dxa"/>
          </w:tcPr>
          <w:p>
            <w:pPr/>
          </w:p>
        </w:tc>
        <w:tc>
          <w:tcPr>
            <w:tcW w:w="1090" w:type="dxa"/>
          </w:tcPr>
          <w:p>
            <w:pPr/>
          </w:p>
        </w:tc>
        <w:tc>
          <w:tcPr>
            <w:tcW w:w="1454" w:type="dxa"/>
          </w:tcPr>
          <w:p>
            <w:pPr>
              <w:pStyle w:val="TableParagraph"/>
              <w:spacing w:before="2"/>
              <w:rPr>
                <w:sz w:val="25"/>
              </w:rPr>
            </w:pPr>
          </w:p>
          <w:p>
            <w:pPr>
              <w:pStyle w:val="TableParagraph"/>
              <w:spacing w:before="1"/>
              <w:ind w:left="90" w:right="91"/>
              <w:jc w:val="center"/>
              <w:rPr>
                <w:sz w:val="22"/>
              </w:rPr>
            </w:pPr>
            <w:r>
              <w:rPr>
                <w:strike/>
                <w:color w:val="2E97D3"/>
                <w:sz w:val="22"/>
              </w:rPr>
              <w:t>10,300/0001</w:t>
            </w:r>
          </w:p>
        </w:tc>
        <w:tc>
          <w:tcPr>
            <w:tcW w:w="1238" w:type="dxa"/>
          </w:tcPr>
          <w:p>
            <w:pPr/>
          </w:p>
        </w:tc>
        <w:tc>
          <w:tcPr>
            <w:tcW w:w="1116" w:type="dxa"/>
          </w:tcPr>
          <w:p>
            <w:pPr>
              <w:pStyle w:val="TableParagraph"/>
              <w:spacing w:before="2"/>
              <w:rPr>
                <w:sz w:val="25"/>
              </w:rPr>
            </w:pPr>
          </w:p>
          <w:p>
            <w:pPr>
              <w:pStyle w:val="TableParagraph"/>
              <w:spacing w:before="1"/>
              <w:ind w:left="166" w:right="166"/>
              <w:jc w:val="center"/>
              <w:rPr>
                <w:sz w:val="22"/>
              </w:rPr>
            </w:pPr>
            <w:r>
              <w:rPr>
                <w:strike/>
                <w:color w:val="2E97D3"/>
                <w:sz w:val="22"/>
              </w:rPr>
              <w:t>11,600</w:t>
            </w:r>
          </w:p>
        </w:tc>
      </w:tr>
      <w:tr>
        <w:trPr>
          <w:trHeight w:val="302" w:hRule="exact"/>
        </w:trPr>
        <w:tc>
          <w:tcPr>
            <w:tcW w:w="1171" w:type="dxa"/>
          </w:tcPr>
          <w:p>
            <w:pPr/>
          </w:p>
        </w:tc>
        <w:tc>
          <w:tcPr>
            <w:tcW w:w="1157" w:type="dxa"/>
          </w:tcPr>
          <w:p>
            <w:pPr>
              <w:pStyle w:val="TableParagraph"/>
              <w:spacing w:line="251" w:lineRule="exact"/>
              <w:ind w:left="101" w:right="101"/>
              <w:jc w:val="center"/>
              <w:rPr>
                <w:sz w:val="22"/>
              </w:rPr>
            </w:pPr>
            <w:r>
              <w:rPr>
                <w:strike/>
                <w:color w:val="2E97D3"/>
                <w:sz w:val="22"/>
              </w:rPr>
              <w:t>Project D</w:t>
            </w:r>
          </w:p>
        </w:tc>
        <w:tc>
          <w:tcPr>
            <w:tcW w:w="1670" w:type="dxa"/>
          </w:tcPr>
          <w:p>
            <w:pPr/>
          </w:p>
        </w:tc>
        <w:tc>
          <w:tcPr>
            <w:tcW w:w="1142" w:type="dxa"/>
          </w:tcPr>
          <w:p>
            <w:pPr/>
          </w:p>
        </w:tc>
        <w:tc>
          <w:tcPr>
            <w:tcW w:w="1090" w:type="dxa"/>
          </w:tcPr>
          <w:p>
            <w:pPr/>
          </w:p>
        </w:tc>
        <w:tc>
          <w:tcPr>
            <w:tcW w:w="1087" w:type="dxa"/>
          </w:tcPr>
          <w:p>
            <w:pPr/>
          </w:p>
        </w:tc>
        <w:tc>
          <w:tcPr>
            <w:tcW w:w="1094" w:type="dxa"/>
          </w:tcPr>
          <w:p>
            <w:pPr/>
          </w:p>
        </w:tc>
        <w:tc>
          <w:tcPr>
            <w:tcW w:w="1090" w:type="dxa"/>
          </w:tcPr>
          <w:p>
            <w:pPr>
              <w:pStyle w:val="TableParagraph"/>
              <w:spacing w:line="251" w:lineRule="exact"/>
              <w:ind w:left="117" w:right="115"/>
              <w:jc w:val="center"/>
              <w:rPr>
                <w:sz w:val="22"/>
              </w:rPr>
            </w:pPr>
            <w:r>
              <w:rPr>
                <w:strike/>
                <w:color w:val="2E97D3"/>
                <w:sz w:val="22"/>
              </w:rPr>
              <w:t>1,275/P</w:t>
            </w:r>
          </w:p>
        </w:tc>
        <w:tc>
          <w:tcPr>
            <w:tcW w:w="1454" w:type="dxa"/>
          </w:tcPr>
          <w:p>
            <w:pPr>
              <w:pStyle w:val="TableParagraph"/>
              <w:spacing w:line="251" w:lineRule="exact"/>
              <w:ind w:left="90" w:right="90"/>
              <w:jc w:val="center"/>
              <w:rPr>
                <w:sz w:val="22"/>
              </w:rPr>
            </w:pPr>
            <w:r>
              <w:rPr>
                <w:strike/>
                <w:color w:val="2E97D3"/>
                <w:sz w:val="22"/>
              </w:rPr>
              <w:t>1,275/0001</w:t>
            </w:r>
          </w:p>
        </w:tc>
        <w:tc>
          <w:tcPr>
            <w:tcW w:w="1238" w:type="dxa"/>
          </w:tcPr>
          <w:p>
            <w:pPr>
              <w:pStyle w:val="TableParagraph"/>
              <w:spacing w:line="251" w:lineRule="exact"/>
              <w:ind w:left="256" w:right="256"/>
              <w:jc w:val="center"/>
              <w:rPr>
                <w:sz w:val="22"/>
              </w:rPr>
            </w:pPr>
            <w:r>
              <w:rPr>
                <w:strike/>
                <w:color w:val="2E97D3"/>
                <w:sz w:val="22"/>
              </w:rPr>
              <w:t>6,750</w:t>
            </w:r>
          </w:p>
        </w:tc>
        <w:tc>
          <w:tcPr>
            <w:tcW w:w="1116" w:type="dxa"/>
          </w:tcPr>
          <w:p>
            <w:pPr>
              <w:pStyle w:val="TableParagraph"/>
              <w:spacing w:line="251" w:lineRule="exact"/>
              <w:ind w:left="166" w:right="164"/>
              <w:jc w:val="center"/>
              <w:rPr>
                <w:sz w:val="22"/>
              </w:rPr>
            </w:pPr>
            <w:r>
              <w:rPr>
                <w:strike/>
                <w:color w:val="2E97D3"/>
                <w:sz w:val="22"/>
              </w:rPr>
              <w:t>8,025</w:t>
            </w:r>
          </w:p>
        </w:tc>
      </w:tr>
      <w:tr>
        <w:trPr>
          <w:trHeight w:val="590" w:hRule="exact"/>
        </w:trPr>
        <w:tc>
          <w:tcPr>
            <w:tcW w:w="1171" w:type="dxa"/>
          </w:tcPr>
          <w:p>
            <w:pPr>
              <w:pStyle w:val="TableParagraph"/>
              <w:spacing w:line="276" w:lineRule="auto"/>
              <w:ind w:left="103" w:right="85" w:firstLine="280"/>
              <w:rPr>
                <w:sz w:val="22"/>
              </w:rPr>
            </w:pPr>
            <w:r>
              <w:rPr>
                <w:strike/>
                <w:color w:val="2E97D3"/>
                <w:sz w:val="22"/>
              </w:rPr>
              <w:t>San Francisco</w:t>
            </w:r>
          </w:p>
        </w:tc>
        <w:tc>
          <w:tcPr>
            <w:tcW w:w="1157" w:type="dxa"/>
          </w:tcPr>
          <w:p>
            <w:pPr>
              <w:pStyle w:val="TableParagraph"/>
              <w:spacing w:before="141"/>
              <w:ind w:left="101" w:right="101"/>
              <w:jc w:val="center"/>
              <w:rPr>
                <w:sz w:val="22"/>
              </w:rPr>
            </w:pPr>
            <w:r>
              <w:rPr>
                <w:strike/>
                <w:color w:val="2E97D3"/>
                <w:sz w:val="22"/>
              </w:rPr>
              <w:t>Project C</w:t>
            </w:r>
          </w:p>
        </w:tc>
        <w:tc>
          <w:tcPr>
            <w:tcW w:w="1670" w:type="dxa"/>
          </w:tcPr>
          <w:p>
            <w:pPr/>
          </w:p>
        </w:tc>
        <w:tc>
          <w:tcPr>
            <w:tcW w:w="1142" w:type="dxa"/>
          </w:tcPr>
          <w:p>
            <w:pPr/>
          </w:p>
        </w:tc>
        <w:tc>
          <w:tcPr>
            <w:tcW w:w="1090" w:type="dxa"/>
          </w:tcPr>
          <w:p>
            <w:pPr/>
          </w:p>
        </w:tc>
        <w:tc>
          <w:tcPr>
            <w:tcW w:w="1087" w:type="dxa"/>
          </w:tcPr>
          <w:p>
            <w:pPr/>
          </w:p>
        </w:tc>
        <w:tc>
          <w:tcPr>
            <w:tcW w:w="1094" w:type="dxa"/>
          </w:tcPr>
          <w:p>
            <w:pPr/>
          </w:p>
        </w:tc>
        <w:tc>
          <w:tcPr>
            <w:tcW w:w="1090" w:type="dxa"/>
          </w:tcPr>
          <w:p>
            <w:pPr>
              <w:pStyle w:val="TableParagraph"/>
              <w:spacing w:before="141"/>
              <w:ind w:left="117" w:right="115"/>
              <w:jc w:val="center"/>
              <w:rPr>
                <w:sz w:val="22"/>
              </w:rPr>
            </w:pPr>
            <w:r>
              <w:rPr>
                <w:strike/>
                <w:color w:val="2E97D3"/>
                <w:sz w:val="22"/>
              </w:rPr>
              <w:t>2,500/A</w:t>
            </w:r>
          </w:p>
        </w:tc>
        <w:tc>
          <w:tcPr>
            <w:tcW w:w="1454" w:type="dxa"/>
          </w:tcPr>
          <w:p>
            <w:pPr>
              <w:pStyle w:val="TableParagraph"/>
              <w:spacing w:before="141"/>
              <w:ind w:left="90" w:right="90"/>
              <w:jc w:val="center"/>
              <w:rPr>
                <w:sz w:val="22"/>
              </w:rPr>
            </w:pPr>
            <w:r>
              <w:rPr>
                <w:strike/>
                <w:color w:val="2E97D3"/>
                <w:sz w:val="22"/>
              </w:rPr>
              <w:t>2,500/0001</w:t>
            </w:r>
          </w:p>
        </w:tc>
        <w:tc>
          <w:tcPr>
            <w:tcW w:w="1238" w:type="dxa"/>
          </w:tcPr>
          <w:p>
            <w:pPr>
              <w:pStyle w:val="TableParagraph"/>
              <w:spacing w:before="141"/>
              <w:ind w:left="258" w:right="256"/>
              <w:jc w:val="center"/>
              <w:rPr>
                <w:sz w:val="22"/>
              </w:rPr>
            </w:pPr>
            <w:r>
              <w:rPr>
                <w:strike/>
                <w:color w:val="2E97D3"/>
                <w:sz w:val="22"/>
              </w:rPr>
              <w:t>15,250</w:t>
            </w:r>
          </w:p>
        </w:tc>
        <w:tc>
          <w:tcPr>
            <w:tcW w:w="1116" w:type="dxa"/>
          </w:tcPr>
          <w:p>
            <w:pPr>
              <w:pStyle w:val="TableParagraph"/>
              <w:spacing w:before="141"/>
              <w:ind w:left="166" w:right="166"/>
              <w:jc w:val="center"/>
              <w:rPr>
                <w:sz w:val="22"/>
              </w:rPr>
            </w:pPr>
            <w:r>
              <w:rPr>
                <w:strike/>
                <w:color w:val="2E97D3"/>
                <w:sz w:val="22"/>
              </w:rPr>
              <w:t>17,750</w:t>
            </w:r>
          </w:p>
        </w:tc>
      </w:tr>
      <w:tr>
        <w:trPr>
          <w:trHeight w:val="302" w:hRule="exact"/>
        </w:trPr>
        <w:tc>
          <w:tcPr>
            <w:tcW w:w="1171" w:type="dxa"/>
          </w:tcPr>
          <w:p>
            <w:pPr/>
          </w:p>
        </w:tc>
        <w:tc>
          <w:tcPr>
            <w:tcW w:w="1157" w:type="dxa"/>
          </w:tcPr>
          <w:p>
            <w:pPr>
              <w:pStyle w:val="TableParagraph"/>
              <w:spacing w:line="248" w:lineRule="exact"/>
              <w:ind w:left="94" w:right="101"/>
              <w:jc w:val="center"/>
              <w:rPr>
                <w:b/>
                <w:sz w:val="22"/>
              </w:rPr>
            </w:pPr>
            <w:r>
              <w:rPr>
                <w:b/>
                <w:strike/>
                <w:color w:val="2E97D3"/>
                <w:sz w:val="22"/>
              </w:rPr>
              <w:t>TOTAL</w:t>
            </w:r>
          </w:p>
        </w:tc>
        <w:tc>
          <w:tcPr>
            <w:tcW w:w="1670" w:type="dxa"/>
          </w:tcPr>
          <w:p>
            <w:pPr>
              <w:pStyle w:val="TableParagraph"/>
              <w:spacing w:line="248" w:lineRule="exact"/>
              <w:ind w:left="157" w:right="153"/>
              <w:jc w:val="center"/>
              <w:rPr>
                <w:b/>
                <w:sz w:val="22"/>
              </w:rPr>
            </w:pPr>
            <w:r>
              <w:rPr>
                <w:b/>
                <w:strike/>
                <w:color w:val="2E97D3"/>
                <w:sz w:val="22"/>
              </w:rPr>
              <w:t>1,300</w:t>
            </w:r>
          </w:p>
        </w:tc>
        <w:tc>
          <w:tcPr>
            <w:tcW w:w="1142" w:type="dxa"/>
          </w:tcPr>
          <w:p>
            <w:pPr>
              <w:pStyle w:val="TableParagraph"/>
              <w:spacing w:line="248" w:lineRule="exact"/>
              <w:ind w:left="141" w:right="141"/>
              <w:jc w:val="center"/>
              <w:rPr>
                <w:b/>
                <w:sz w:val="22"/>
              </w:rPr>
            </w:pPr>
            <w:r>
              <w:rPr>
                <w:b/>
                <w:strike/>
                <w:color w:val="2E97D3"/>
                <w:sz w:val="22"/>
              </w:rPr>
              <w:t>100</w:t>
            </w:r>
          </w:p>
        </w:tc>
        <w:tc>
          <w:tcPr>
            <w:tcW w:w="1090" w:type="dxa"/>
          </w:tcPr>
          <w:p>
            <w:pPr>
              <w:pStyle w:val="TableParagraph"/>
              <w:spacing w:line="248" w:lineRule="exact"/>
              <w:ind w:left="115" w:right="115"/>
              <w:jc w:val="center"/>
              <w:rPr>
                <w:b/>
                <w:sz w:val="22"/>
              </w:rPr>
            </w:pPr>
            <w:r>
              <w:rPr>
                <w:b/>
                <w:strike/>
                <w:color w:val="2E97D3"/>
                <w:sz w:val="22"/>
              </w:rPr>
              <w:t>9,250</w:t>
            </w:r>
          </w:p>
        </w:tc>
        <w:tc>
          <w:tcPr>
            <w:tcW w:w="1087" w:type="dxa"/>
          </w:tcPr>
          <w:p>
            <w:pPr>
              <w:pStyle w:val="TableParagraph"/>
              <w:spacing w:line="248" w:lineRule="exact"/>
              <w:ind w:left="115" w:right="113"/>
              <w:jc w:val="center"/>
              <w:rPr>
                <w:b/>
                <w:sz w:val="22"/>
              </w:rPr>
            </w:pPr>
            <w:r>
              <w:rPr>
                <w:b/>
                <w:strike/>
                <w:color w:val="2E97D3"/>
                <w:sz w:val="22"/>
              </w:rPr>
              <w:t>1,100</w:t>
            </w:r>
          </w:p>
        </w:tc>
        <w:tc>
          <w:tcPr>
            <w:tcW w:w="1094" w:type="dxa"/>
          </w:tcPr>
          <w:p>
            <w:pPr>
              <w:pStyle w:val="TableParagraph"/>
              <w:spacing w:line="248" w:lineRule="exact"/>
              <w:ind w:left="118" w:right="118"/>
              <w:jc w:val="center"/>
              <w:rPr>
                <w:b/>
                <w:sz w:val="22"/>
              </w:rPr>
            </w:pPr>
            <w:r>
              <w:rPr>
                <w:b/>
                <w:strike/>
                <w:color w:val="2E97D3"/>
                <w:sz w:val="22"/>
              </w:rPr>
              <w:t>3,000</w:t>
            </w:r>
          </w:p>
        </w:tc>
        <w:tc>
          <w:tcPr>
            <w:tcW w:w="1090" w:type="dxa"/>
          </w:tcPr>
          <w:p>
            <w:pPr>
              <w:pStyle w:val="TableParagraph"/>
              <w:spacing w:line="248" w:lineRule="exact"/>
              <w:ind w:left="117" w:right="113"/>
              <w:jc w:val="center"/>
              <w:rPr>
                <w:b/>
                <w:sz w:val="22"/>
              </w:rPr>
            </w:pPr>
            <w:r>
              <w:rPr>
                <w:b/>
                <w:strike/>
                <w:color w:val="2E97D3"/>
                <w:sz w:val="22"/>
              </w:rPr>
              <w:t>3,775</w:t>
            </w:r>
          </w:p>
        </w:tc>
        <w:tc>
          <w:tcPr>
            <w:tcW w:w="1454" w:type="dxa"/>
          </w:tcPr>
          <w:p>
            <w:pPr>
              <w:pStyle w:val="TableParagraph"/>
              <w:spacing w:line="248" w:lineRule="exact"/>
              <w:ind w:left="90" w:right="90"/>
              <w:jc w:val="center"/>
              <w:rPr>
                <w:b/>
                <w:sz w:val="22"/>
              </w:rPr>
            </w:pPr>
            <w:r>
              <w:rPr>
                <w:b/>
                <w:strike/>
                <w:color w:val="2E97D3"/>
                <w:sz w:val="22"/>
              </w:rPr>
              <w:t>17,225</w:t>
            </w:r>
          </w:p>
        </w:tc>
        <w:tc>
          <w:tcPr>
            <w:tcW w:w="1238" w:type="dxa"/>
          </w:tcPr>
          <w:p>
            <w:pPr>
              <w:pStyle w:val="TableParagraph"/>
              <w:spacing w:line="248" w:lineRule="exact"/>
              <w:ind w:left="258" w:right="256"/>
              <w:jc w:val="center"/>
              <w:rPr>
                <w:b/>
                <w:sz w:val="22"/>
              </w:rPr>
            </w:pPr>
            <w:r>
              <w:rPr>
                <w:b/>
                <w:strike/>
                <w:color w:val="2E97D3"/>
                <w:sz w:val="22"/>
              </w:rPr>
              <w:t>22,000</w:t>
            </w:r>
          </w:p>
        </w:tc>
        <w:tc>
          <w:tcPr>
            <w:tcW w:w="1116" w:type="dxa"/>
          </w:tcPr>
          <w:p>
            <w:pPr>
              <w:pStyle w:val="TableParagraph"/>
              <w:spacing w:line="248" w:lineRule="exact"/>
              <w:ind w:left="166" w:right="166"/>
              <w:jc w:val="center"/>
              <w:rPr>
                <w:b/>
                <w:sz w:val="22"/>
              </w:rPr>
            </w:pPr>
            <w:r>
              <w:rPr>
                <w:b/>
                <w:strike/>
                <w:color w:val="2E97D3"/>
                <w:sz w:val="22"/>
              </w:rPr>
              <w:t>40,025</w:t>
            </w:r>
          </w:p>
        </w:tc>
      </w:tr>
    </w:tbl>
    <w:p>
      <w:pPr>
        <w:spacing w:before="0"/>
        <w:ind w:left="640" w:right="0" w:firstLine="0"/>
        <w:jc w:val="left"/>
        <w:rPr>
          <w:i/>
          <w:sz w:val="24"/>
        </w:rPr>
      </w:pPr>
      <w:r>
        <w:rPr>
          <w:i/>
          <w:strike/>
          <w:color w:val="2E97D3"/>
          <w:sz w:val="24"/>
        </w:rPr>
        <w:t>(Dollars in Thousands)</w:t>
      </w:r>
    </w:p>
    <w:p>
      <w:pPr>
        <w:pStyle w:val="Heading2"/>
        <w:spacing w:before="122"/>
        <w:ind w:left="640"/>
      </w:pPr>
      <w:r>
        <w:rPr>
          <w:strike/>
          <w:color w:val="2E97D3"/>
        </w:rPr>
        <w:t>Phase Codes:</w:t>
      </w:r>
    </w:p>
    <w:p>
      <w:pPr>
        <w:pStyle w:val="BodyText"/>
        <w:ind w:left="640"/>
      </w:pPr>
      <w:r>
        <w:rPr>
          <w:b/>
          <w:strike/>
          <w:color w:val="2E97D3"/>
        </w:rPr>
        <w:t>Fund Codes: </w:t>
      </w:r>
      <w:r>
        <w:rPr>
          <w:strike/>
          <w:color w:val="2E97D3"/>
        </w:rPr>
        <w:t>check with departmental budget officer or Uniform Codes Manual (available in Accounting Office)</w:t>
      </w:r>
    </w:p>
    <w:p>
      <w:pPr>
        <w:pStyle w:val="BodyText"/>
        <w:rPr>
          <w:sz w:val="16"/>
        </w:rPr>
      </w:pPr>
    </w:p>
    <w:p>
      <w:pPr>
        <w:spacing w:after="0"/>
        <w:rPr>
          <w:sz w:val="16"/>
        </w:rPr>
        <w:sectPr>
          <w:footerReference w:type="default" r:id="rId264"/>
          <w:pgSz w:w="15840" w:h="12240" w:orient="landscape"/>
          <w:pgMar w:footer="1068" w:header="724" w:top="1260" w:bottom="1260" w:left="440" w:right="1320"/>
        </w:sectPr>
      </w:pPr>
    </w:p>
    <w:p>
      <w:pPr>
        <w:pStyle w:val="BodyText"/>
        <w:spacing w:before="92"/>
        <w:ind w:left="640"/>
      </w:pPr>
      <w:r>
        <w:rPr/>
        <w:pict>
          <v:line style="position:absolute;mso-position-horizontal-relative:page;mso-position-vertical-relative:page;z-index:25864" from="27.360001pt,63.599998pt" to="27.360001pt,520.799998pt" stroked="true" strokeweight=".72pt" strokecolor="#000000">
            <v:stroke dashstyle="solid"/>
            <w10:wrap type="none"/>
          </v:line>
        </w:pict>
      </w:r>
      <w:r>
        <w:rPr>
          <w:strike/>
          <w:color w:val="2E97D3"/>
        </w:rPr>
        <w:t>S=Studies </w:t>
      </w:r>
      <w:r>
        <w:rPr>
          <w:strike/>
          <w:color w:val="2E97D3"/>
          <w:w w:val="95"/>
        </w:rPr>
        <w:t>A=Acquistions</w:t>
      </w:r>
    </w:p>
    <w:p>
      <w:pPr>
        <w:pStyle w:val="BodyText"/>
        <w:spacing w:before="92"/>
        <w:ind w:left="640" w:right="-13"/>
      </w:pPr>
      <w:r>
        <w:rPr/>
        <w:br w:type="column"/>
      </w:r>
      <w:r>
        <w:rPr>
          <w:strike/>
          <w:color w:val="2E97D3"/>
        </w:rPr>
        <w:t>P=Preliminary Plans W=Working</w:t>
      </w:r>
      <w:r>
        <w:rPr>
          <w:strike/>
          <w:color w:val="2E97D3"/>
          <w:spacing w:val="-11"/>
        </w:rPr>
        <w:t> </w:t>
      </w:r>
      <w:r>
        <w:rPr>
          <w:strike/>
          <w:color w:val="2E97D3"/>
        </w:rPr>
        <w:t>Drawings C=Construction</w:t>
      </w:r>
    </w:p>
    <w:p>
      <w:pPr>
        <w:pStyle w:val="BodyText"/>
        <w:spacing w:before="92"/>
        <w:ind w:left="640"/>
      </w:pPr>
      <w:r>
        <w:rPr/>
        <w:br w:type="column"/>
      </w:r>
      <w:r>
        <w:rPr>
          <w:strike/>
          <w:color w:val="2E97D3"/>
        </w:rPr>
        <w:t>E=Equipment</w:t>
      </w:r>
    </w:p>
    <w:p>
      <w:pPr>
        <w:pStyle w:val="BodyText"/>
        <w:ind w:left="640" w:right="1525"/>
      </w:pPr>
      <w:r>
        <w:rPr>
          <w:strike/>
          <w:color w:val="2E97D3"/>
        </w:rPr>
        <w:t>(i.e., group 2 equipment O=Other</w:t>
      </w:r>
    </w:p>
    <w:p>
      <w:pPr>
        <w:spacing w:after="0"/>
        <w:sectPr>
          <w:type w:val="continuous"/>
          <w:pgSz w:w="15840" w:h="12240" w:orient="landscape"/>
          <w:pgMar w:top="560" w:bottom="280" w:left="440" w:right="1320"/>
          <w:cols w:num="3" w:equalWidth="0">
            <w:col w:w="2170" w:space="2510"/>
            <w:col w:w="2950" w:space="1730"/>
            <w:col w:w="4720"/>
          </w:cols>
        </w:sectPr>
      </w:pPr>
    </w:p>
    <w:p>
      <w:pPr>
        <w:pStyle w:val="BodyText"/>
        <w:spacing w:before="4"/>
        <w:rPr>
          <w:sz w:val="26"/>
        </w:rPr>
      </w:pPr>
    </w:p>
    <w:p>
      <w:pPr>
        <w:pStyle w:val="BodyText"/>
        <w:spacing w:before="93"/>
        <w:ind w:left="640"/>
      </w:pPr>
      <w:r>
        <w:rPr/>
        <w:pict>
          <v:line style="position:absolute;mso-position-horizontal-relative:page;mso-position-vertical-relative:paragraph;z-index:25888" from="27.360001pt,-1.133155pt" to="27.360001pt,24.665845pt" stroked="true" strokeweight=".72pt" strokecolor="#000000">
            <v:stroke dashstyle="solid"/>
            <w10:wrap type="none"/>
          </v:line>
        </w:pict>
      </w:r>
      <w:r>
        <w:rPr>
          <w:strike/>
          <w:color w:val="2E97D3"/>
        </w:rPr>
        <w:t>(Continued)</w:t>
      </w:r>
    </w:p>
    <w:p>
      <w:pPr>
        <w:spacing w:after="0"/>
        <w:sectPr>
          <w:headerReference w:type="default" r:id="rId265"/>
          <w:pgSz w:w="15840" w:h="12240" w:orient="landscape"/>
          <w:pgMar w:header="724" w:footer="1068" w:top="980" w:bottom="1260" w:left="440" w:right="2260"/>
        </w:sectPr>
      </w:pPr>
    </w:p>
    <w:p>
      <w:pPr>
        <w:pStyle w:val="BodyText"/>
        <w:rPr>
          <w:sz w:val="20"/>
        </w:rPr>
      </w:pPr>
      <w:r>
        <w:rPr/>
        <w:pict>
          <v:line style="position:absolute;mso-position-horizontal-relative:page;mso-position-vertical-relative:page;z-index:25912" from="36.360001pt,72pt" to="36.360001pt,725.88pt" stroked="true" strokeweight=".72pt" strokecolor="#000000">
            <v:stroke dashstyle="solid"/>
            <w10:wrap type="none"/>
          </v:line>
        </w:pict>
      </w:r>
    </w:p>
    <w:p>
      <w:pPr>
        <w:pStyle w:val="BodyText"/>
        <w:spacing w:before="216"/>
        <w:ind w:left="820"/>
      </w:pPr>
      <w:r>
        <w:rPr>
          <w:strike/>
          <w:color w:val="2E97D3"/>
        </w:rPr>
        <w:t>(Continued)</w:t>
      </w:r>
    </w:p>
    <w:p>
      <w:pPr>
        <w:pStyle w:val="BodyText"/>
        <w:spacing w:before="9"/>
        <w:rPr>
          <w:sz w:val="20"/>
        </w:rPr>
      </w:pPr>
    </w:p>
    <w:p>
      <w:pPr>
        <w:pStyle w:val="Heading2"/>
        <w:ind w:left="1499"/>
      </w:pPr>
      <w:r>
        <w:rPr>
          <w:strike/>
          <w:color w:val="2E97D3"/>
        </w:rPr>
        <w:t>PLANNED CAPITAL OUTLAY PROJECTS FOR THE NEXT FIVE YEARS</w:t>
      </w:r>
    </w:p>
    <w:p>
      <w:pPr>
        <w:pStyle w:val="ListParagraph"/>
        <w:numPr>
          <w:ilvl w:val="1"/>
          <w:numId w:val="71"/>
        </w:numPr>
        <w:tabs>
          <w:tab w:pos="1180" w:val="left" w:leader="none"/>
        </w:tabs>
        <w:spacing w:line="240" w:lineRule="auto" w:before="119" w:after="0"/>
        <w:ind w:left="1180" w:right="0" w:hanging="360"/>
        <w:jc w:val="left"/>
        <w:rPr>
          <w:sz w:val="24"/>
        </w:rPr>
      </w:pPr>
      <w:r>
        <w:rPr>
          <w:strike/>
          <w:color w:val="2E97D3"/>
          <w:sz w:val="24"/>
        </w:rPr>
        <w:t>Project Background</w:t>
      </w:r>
      <w:r>
        <w:rPr>
          <w:strike/>
          <w:color w:val="2E97D3"/>
          <w:spacing w:val="-13"/>
          <w:sz w:val="24"/>
        </w:rPr>
        <w:t> </w:t>
      </w:r>
      <w:r>
        <w:rPr>
          <w:strike/>
          <w:color w:val="2E97D3"/>
          <w:sz w:val="24"/>
        </w:rPr>
        <w:t>Information:</w:t>
      </w:r>
    </w:p>
    <w:p>
      <w:pPr>
        <w:pStyle w:val="BodyText"/>
        <w:spacing w:before="8" w:after="1"/>
        <w:rPr>
          <w:sz w:val="10"/>
        </w:rPr>
      </w:pPr>
    </w:p>
    <w:tbl>
      <w:tblPr>
        <w:tblW w:w="0" w:type="auto"/>
        <w:jc w:val="left"/>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322"/>
        <w:gridCol w:w="1817"/>
        <w:gridCol w:w="1193"/>
        <w:gridCol w:w="1471"/>
        <w:gridCol w:w="1157"/>
        <w:gridCol w:w="1322"/>
      </w:tblGrid>
      <w:tr>
        <w:trPr>
          <w:trHeight w:val="562" w:hRule="exact"/>
        </w:trPr>
        <w:tc>
          <w:tcPr>
            <w:tcW w:w="1068" w:type="dxa"/>
            <w:shd w:val="clear" w:color="auto" w:fill="DADADA"/>
          </w:tcPr>
          <w:p>
            <w:pPr>
              <w:pStyle w:val="TableParagraph"/>
              <w:spacing w:before="132"/>
              <w:ind w:left="215" w:right="215"/>
              <w:jc w:val="center"/>
              <w:rPr>
                <w:b/>
                <w:sz w:val="24"/>
              </w:rPr>
            </w:pPr>
            <w:r>
              <w:rPr>
                <w:b/>
                <w:strike/>
                <w:color w:val="2E97D3"/>
                <w:sz w:val="24"/>
              </w:rPr>
              <w:t>Rank</w:t>
            </w:r>
          </w:p>
        </w:tc>
        <w:tc>
          <w:tcPr>
            <w:tcW w:w="1322" w:type="dxa"/>
            <w:shd w:val="clear" w:color="auto" w:fill="DADADA"/>
          </w:tcPr>
          <w:p>
            <w:pPr>
              <w:pStyle w:val="TableParagraph"/>
              <w:spacing w:before="132"/>
              <w:ind w:left="155"/>
              <w:rPr>
                <w:b/>
                <w:sz w:val="24"/>
              </w:rPr>
            </w:pPr>
            <w:r>
              <w:rPr>
                <w:b/>
                <w:strike/>
                <w:color w:val="2E97D3"/>
                <w:sz w:val="24"/>
              </w:rPr>
              <w:t>Location</w:t>
            </w:r>
          </w:p>
        </w:tc>
        <w:tc>
          <w:tcPr>
            <w:tcW w:w="1817" w:type="dxa"/>
            <w:shd w:val="clear" w:color="auto" w:fill="DADADA"/>
          </w:tcPr>
          <w:p>
            <w:pPr>
              <w:pStyle w:val="TableParagraph"/>
              <w:ind w:left="100" w:right="86" w:firstLine="374"/>
              <w:rPr>
                <w:b/>
                <w:sz w:val="24"/>
              </w:rPr>
            </w:pPr>
            <w:r>
              <w:rPr>
                <w:b/>
                <w:strike/>
                <w:color w:val="2E97D3"/>
                <w:sz w:val="24"/>
              </w:rPr>
              <w:t>Type of Facility/Lands</w:t>
            </w:r>
          </w:p>
        </w:tc>
        <w:tc>
          <w:tcPr>
            <w:tcW w:w="1193" w:type="dxa"/>
            <w:shd w:val="clear" w:color="auto" w:fill="DADADA"/>
          </w:tcPr>
          <w:p>
            <w:pPr>
              <w:pStyle w:val="TableParagraph"/>
              <w:ind w:left="263" w:right="166" w:hanging="80"/>
              <w:rPr>
                <w:b/>
                <w:sz w:val="24"/>
              </w:rPr>
            </w:pPr>
            <w:r>
              <w:rPr>
                <w:b/>
                <w:strike/>
                <w:color w:val="2E97D3"/>
                <w:sz w:val="24"/>
              </w:rPr>
              <w:t>Project Name</w:t>
            </w:r>
          </w:p>
        </w:tc>
        <w:tc>
          <w:tcPr>
            <w:tcW w:w="1471" w:type="dxa"/>
            <w:shd w:val="clear" w:color="auto" w:fill="DADADA"/>
          </w:tcPr>
          <w:p>
            <w:pPr>
              <w:pStyle w:val="TableParagraph"/>
              <w:ind w:left="429" w:right="154" w:hanging="262"/>
              <w:rPr>
                <w:b/>
                <w:sz w:val="24"/>
              </w:rPr>
            </w:pPr>
            <w:r>
              <w:rPr>
                <w:b/>
                <w:strike/>
                <w:color w:val="2E97D3"/>
                <w:sz w:val="24"/>
              </w:rPr>
              <w:t>Project ID Code</w:t>
            </w:r>
          </w:p>
        </w:tc>
        <w:tc>
          <w:tcPr>
            <w:tcW w:w="1157" w:type="dxa"/>
            <w:shd w:val="clear" w:color="auto" w:fill="DADADA"/>
          </w:tcPr>
          <w:p>
            <w:pPr>
              <w:pStyle w:val="TableParagraph"/>
              <w:ind w:left="273" w:right="179" w:hanging="72"/>
              <w:rPr>
                <w:b/>
                <w:sz w:val="24"/>
              </w:rPr>
            </w:pPr>
            <w:r>
              <w:rPr>
                <w:b/>
                <w:strike/>
                <w:color w:val="2E97D3"/>
                <w:sz w:val="24"/>
              </w:rPr>
              <w:t>Action Code</w:t>
            </w:r>
          </w:p>
        </w:tc>
        <w:tc>
          <w:tcPr>
            <w:tcW w:w="1322" w:type="dxa"/>
            <w:shd w:val="clear" w:color="auto" w:fill="DADADA"/>
          </w:tcPr>
          <w:p>
            <w:pPr>
              <w:pStyle w:val="TableParagraph"/>
              <w:ind w:left="136" w:right="116" w:firstLine="112"/>
              <w:rPr>
                <w:b/>
                <w:sz w:val="24"/>
              </w:rPr>
            </w:pPr>
            <w:r>
              <w:rPr>
                <w:b/>
                <w:strike/>
                <w:color w:val="2E97D3"/>
                <w:sz w:val="24"/>
              </w:rPr>
              <w:t>Project Category</w:t>
            </w:r>
          </w:p>
        </w:tc>
      </w:tr>
      <w:tr>
        <w:trPr>
          <w:trHeight w:val="562" w:hRule="exact"/>
        </w:trPr>
        <w:tc>
          <w:tcPr>
            <w:tcW w:w="1068" w:type="dxa"/>
          </w:tcPr>
          <w:p>
            <w:pPr>
              <w:pStyle w:val="TableParagraph"/>
              <w:spacing w:before="132"/>
              <w:ind w:right="1"/>
              <w:jc w:val="center"/>
              <w:rPr>
                <w:sz w:val="24"/>
              </w:rPr>
            </w:pPr>
            <w:r>
              <w:rPr>
                <w:strike/>
                <w:color w:val="2E97D3"/>
                <w:w w:val="99"/>
                <w:sz w:val="24"/>
              </w:rPr>
              <w:t>1</w:t>
            </w:r>
          </w:p>
        </w:tc>
        <w:tc>
          <w:tcPr>
            <w:tcW w:w="1322" w:type="dxa"/>
          </w:tcPr>
          <w:p>
            <w:pPr>
              <w:pStyle w:val="TableParagraph"/>
              <w:ind w:left="343" w:right="322" w:firstLine="98"/>
              <w:rPr>
                <w:sz w:val="24"/>
              </w:rPr>
            </w:pPr>
            <w:r>
              <w:rPr>
                <w:strike/>
                <w:color w:val="2E97D3"/>
                <w:sz w:val="24"/>
              </w:rPr>
              <w:t>San Diego</w:t>
            </w:r>
          </w:p>
        </w:tc>
        <w:tc>
          <w:tcPr>
            <w:tcW w:w="1817" w:type="dxa"/>
          </w:tcPr>
          <w:p>
            <w:pPr>
              <w:pStyle w:val="TableParagraph"/>
              <w:spacing w:before="132"/>
              <w:ind w:left="109" w:right="110"/>
              <w:jc w:val="center"/>
              <w:rPr>
                <w:sz w:val="24"/>
              </w:rPr>
            </w:pPr>
            <w:r>
              <w:rPr>
                <w:strike/>
                <w:color w:val="2E97D3"/>
                <w:sz w:val="24"/>
              </w:rPr>
              <w:t>General Office</w:t>
            </w:r>
          </w:p>
        </w:tc>
        <w:tc>
          <w:tcPr>
            <w:tcW w:w="1193" w:type="dxa"/>
          </w:tcPr>
          <w:p>
            <w:pPr>
              <w:pStyle w:val="TableParagraph"/>
              <w:spacing w:before="132"/>
              <w:ind w:left="103"/>
              <w:rPr>
                <w:sz w:val="24"/>
              </w:rPr>
            </w:pPr>
            <w:r>
              <w:rPr>
                <w:strike/>
                <w:color w:val="2E97D3"/>
                <w:sz w:val="24"/>
              </w:rPr>
              <w:t>Project A</w:t>
            </w:r>
          </w:p>
        </w:tc>
        <w:tc>
          <w:tcPr>
            <w:tcW w:w="1471" w:type="dxa"/>
          </w:tcPr>
          <w:p>
            <w:pPr>
              <w:pStyle w:val="TableParagraph"/>
              <w:spacing w:before="132"/>
              <w:ind w:left="83" w:right="83"/>
              <w:jc w:val="center"/>
              <w:rPr>
                <w:sz w:val="24"/>
              </w:rPr>
            </w:pPr>
            <w:r>
              <w:rPr>
                <w:strike/>
                <w:color w:val="2E97D3"/>
                <w:sz w:val="24"/>
              </w:rPr>
              <w:t>XX.XX.XXX</w:t>
            </w:r>
          </w:p>
        </w:tc>
        <w:tc>
          <w:tcPr>
            <w:tcW w:w="1157" w:type="dxa"/>
          </w:tcPr>
          <w:p>
            <w:pPr>
              <w:pStyle w:val="TableParagraph"/>
              <w:spacing w:before="132"/>
              <w:ind w:left="380" w:right="380"/>
              <w:jc w:val="center"/>
              <w:rPr>
                <w:sz w:val="24"/>
              </w:rPr>
            </w:pPr>
            <w:r>
              <w:rPr>
                <w:strike/>
                <w:color w:val="2E97D3"/>
                <w:sz w:val="24"/>
              </w:rPr>
              <w:t>CN</w:t>
            </w:r>
          </w:p>
        </w:tc>
        <w:tc>
          <w:tcPr>
            <w:tcW w:w="1322" w:type="dxa"/>
          </w:tcPr>
          <w:p>
            <w:pPr/>
          </w:p>
        </w:tc>
      </w:tr>
      <w:tr>
        <w:trPr>
          <w:trHeight w:val="562" w:hRule="exact"/>
        </w:trPr>
        <w:tc>
          <w:tcPr>
            <w:tcW w:w="1068" w:type="dxa"/>
          </w:tcPr>
          <w:p>
            <w:pPr>
              <w:pStyle w:val="TableParagraph"/>
              <w:spacing w:before="135"/>
              <w:ind w:right="1"/>
              <w:jc w:val="center"/>
              <w:rPr>
                <w:sz w:val="24"/>
              </w:rPr>
            </w:pPr>
            <w:r>
              <w:rPr>
                <w:strike/>
                <w:color w:val="2E97D3"/>
                <w:w w:val="99"/>
                <w:sz w:val="24"/>
              </w:rPr>
              <w:t>2</w:t>
            </w:r>
          </w:p>
        </w:tc>
        <w:tc>
          <w:tcPr>
            <w:tcW w:w="1322" w:type="dxa"/>
          </w:tcPr>
          <w:p>
            <w:pPr>
              <w:pStyle w:val="TableParagraph"/>
              <w:ind w:left="223" w:right="202" w:firstLine="237"/>
              <w:rPr>
                <w:sz w:val="24"/>
              </w:rPr>
            </w:pPr>
            <w:r>
              <w:rPr>
                <w:strike/>
                <w:color w:val="2E97D3"/>
                <w:sz w:val="24"/>
              </w:rPr>
              <w:t>Los Angeles</w:t>
            </w:r>
          </w:p>
        </w:tc>
        <w:tc>
          <w:tcPr>
            <w:tcW w:w="1817" w:type="dxa"/>
          </w:tcPr>
          <w:p>
            <w:pPr>
              <w:pStyle w:val="TableParagraph"/>
              <w:spacing w:before="135"/>
              <w:ind w:left="108" w:right="110"/>
              <w:jc w:val="center"/>
              <w:rPr>
                <w:sz w:val="24"/>
              </w:rPr>
            </w:pPr>
            <w:r>
              <w:rPr>
                <w:strike/>
                <w:color w:val="2E97D3"/>
                <w:sz w:val="24"/>
              </w:rPr>
              <w:t>Laboratory</w:t>
            </w:r>
          </w:p>
        </w:tc>
        <w:tc>
          <w:tcPr>
            <w:tcW w:w="1193" w:type="dxa"/>
          </w:tcPr>
          <w:p>
            <w:pPr>
              <w:pStyle w:val="TableParagraph"/>
              <w:spacing w:before="135"/>
              <w:ind w:left="103"/>
              <w:rPr>
                <w:sz w:val="24"/>
              </w:rPr>
            </w:pPr>
            <w:r>
              <w:rPr>
                <w:strike/>
                <w:color w:val="2E97D3"/>
                <w:sz w:val="24"/>
              </w:rPr>
              <w:t>Project B</w:t>
            </w:r>
          </w:p>
        </w:tc>
        <w:tc>
          <w:tcPr>
            <w:tcW w:w="1471" w:type="dxa"/>
          </w:tcPr>
          <w:p>
            <w:pPr>
              <w:pStyle w:val="TableParagraph"/>
              <w:spacing w:before="135"/>
              <w:ind w:left="78" w:right="83"/>
              <w:jc w:val="center"/>
              <w:rPr>
                <w:sz w:val="24"/>
              </w:rPr>
            </w:pPr>
            <w:r>
              <w:rPr>
                <w:strike/>
                <w:color w:val="2E97D3"/>
                <w:sz w:val="24"/>
              </w:rPr>
              <w:t>NA</w:t>
            </w:r>
          </w:p>
        </w:tc>
        <w:tc>
          <w:tcPr>
            <w:tcW w:w="1157" w:type="dxa"/>
          </w:tcPr>
          <w:p>
            <w:pPr>
              <w:pStyle w:val="TableParagraph"/>
              <w:spacing w:before="135"/>
              <w:jc w:val="center"/>
              <w:rPr>
                <w:sz w:val="24"/>
              </w:rPr>
            </w:pPr>
            <w:r>
              <w:rPr>
                <w:strike/>
                <w:color w:val="2E97D3"/>
                <w:w w:val="99"/>
                <w:sz w:val="24"/>
              </w:rPr>
              <w:t>R</w:t>
            </w:r>
          </w:p>
        </w:tc>
        <w:tc>
          <w:tcPr>
            <w:tcW w:w="1322" w:type="dxa"/>
          </w:tcPr>
          <w:p>
            <w:pPr/>
          </w:p>
        </w:tc>
      </w:tr>
      <w:tr>
        <w:trPr>
          <w:trHeight w:val="562" w:hRule="exact"/>
        </w:trPr>
        <w:tc>
          <w:tcPr>
            <w:tcW w:w="1068" w:type="dxa"/>
          </w:tcPr>
          <w:p>
            <w:pPr>
              <w:pStyle w:val="TableParagraph"/>
              <w:spacing w:before="135"/>
              <w:ind w:right="1"/>
              <w:jc w:val="center"/>
              <w:rPr>
                <w:sz w:val="24"/>
              </w:rPr>
            </w:pPr>
            <w:r>
              <w:rPr>
                <w:strike/>
                <w:color w:val="2E97D3"/>
                <w:w w:val="99"/>
                <w:sz w:val="24"/>
              </w:rPr>
              <w:t>3</w:t>
            </w:r>
          </w:p>
        </w:tc>
        <w:tc>
          <w:tcPr>
            <w:tcW w:w="1322" w:type="dxa"/>
          </w:tcPr>
          <w:p>
            <w:pPr>
              <w:pStyle w:val="TableParagraph"/>
              <w:ind w:left="136" w:right="116" w:firstLine="304"/>
              <w:rPr>
                <w:sz w:val="24"/>
              </w:rPr>
            </w:pPr>
            <w:r>
              <w:rPr>
                <w:strike/>
                <w:color w:val="2E97D3"/>
                <w:sz w:val="24"/>
              </w:rPr>
              <w:t>San Francisco</w:t>
            </w:r>
          </w:p>
        </w:tc>
        <w:tc>
          <w:tcPr>
            <w:tcW w:w="1817" w:type="dxa"/>
          </w:tcPr>
          <w:p>
            <w:pPr>
              <w:pStyle w:val="TableParagraph"/>
              <w:spacing w:before="135"/>
              <w:ind w:left="107" w:right="110"/>
              <w:jc w:val="center"/>
              <w:rPr>
                <w:sz w:val="24"/>
              </w:rPr>
            </w:pPr>
            <w:r>
              <w:rPr>
                <w:strike/>
                <w:color w:val="2E97D3"/>
                <w:sz w:val="24"/>
              </w:rPr>
              <w:t>Field Office</w:t>
            </w:r>
          </w:p>
        </w:tc>
        <w:tc>
          <w:tcPr>
            <w:tcW w:w="1193" w:type="dxa"/>
          </w:tcPr>
          <w:p>
            <w:pPr>
              <w:pStyle w:val="TableParagraph"/>
              <w:ind w:left="503" w:right="201" w:hanging="288"/>
              <w:rPr>
                <w:sz w:val="24"/>
              </w:rPr>
            </w:pPr>
            <w:r>
              <w:rPr>
                <w:strike/>
                <w:color w:val="2E97D3"/>
                <w:sz w:val="24"/>
              </w:rPr>
              <w:t>Project C</w:t>
            </w:r>
          </w:p>
        </w:tc>
        <w:tc>
          <w:tcPr>
            <w:tcW w:w="1471" w:type="dxa"/>
          </w:tcPr>
          <w:p>
            <w:pPr>
              <w:pStyle w:val="TableParagraph"/>
              <w:spacing w:before="135"/>
              <w:ind w:left="78" w:right="83"/>
              <w:jc w:val="center"/>
              <w:rPr>
                <w:sz w:val="24"/>
              </w:rPr>
            </w:pPr>
            <w:r>
              <w:rPr>
                <w:strike/>
                <w:color w:val="2E97D3"/>
                <w:sz w:val="24"/>
              </w:rPr>
              <w:t>NA</w:t>
            </w:r>
          </w:p>
        </w:tc>
        <w:tc>
          <w:tcPr>
            <w:tcW w:w="1157" w:type="dxa"/>
          </w:tcPr>
          <w:p>
            <w:pPr>
              <w:pStyle w:val="TableParagraph"/>
              <w:spacing w:before="135"/>
              <w:ind w:right="1"/>
              <w:jc w:val="center"/>
              <w:rPr>
                <w:sz w:val="24"/>
              </w:rPr>
            </w:pPr>
            <w:r>
              <w:rPr>
                <w:strike/>
                <w:color w:val="2E97D3"/>
                <w:w w:val="100"/>
                <w:sz w:val="24"/>
              </w:rPr>
              <w:t>A</w:t>
            </w:r>
          </w:p>
        </w:tc>
        <w:tc>
          <w:tcPr>
            <w:tcW w:w="1322" w:type="dxa"/>
          </w:tcPr>
          <w:p>
            <w:pPr/>
          </w:p>
        </w:tc>
      </w:tr>
      <w:tr>
        <w:trPr>
          <w:trHeight w:val="562" w:hRule="exact"/>
        </w:trPr>
        <w:tc>
          <w:tcPr>
            <w:tcW w:w="1068" w:type="dxa"/>
          </w:tcPr>
          <w:p>
            <w:pPr>
              <w:pStyle w:val="TableParagraph"/>
              <w:spacing w:before="135"/>
              <w:ind w:right="1"/>
              <w:jc w:val="center"/>
              <w:rPr>
                <w:sz w:val="24"/>
              </w:rPr>
            </w:pPr>
            <w:r>
              <w:rPr>
                <w:strike/>
                <w:color w:val="2E97D3"/>
                <w:w w:val="99"/>
                <w:sz w:val="24"/>
              </w:rPr>
              <w:t>4</w:t>
            </w:r>
          </w:p>
        </w:tc>
        <w:tc>
          <w:tcPr>
            <w:tcW w:w="1322" w:type="dxa"/>
          </w:tcPr>
          <w:p>
            <w:pPr>
              <w:pStyle w:val="TableParagraph"/>
              <w:ind w:left="343" w:right="322" w:firstLine="98"/>
              <w:rPr>
                <w:sz w:val="24"/>
              </w:rPr>
            </w:pPr>
            <w:r>
              <w:rPr>
                <w:strike/>
                <w:color w:val="2E97D3"/>
                <w:sz w:val="24"/>
              </w:rPr>
              <w:t>San Diego</w:t>
            </w:r>
          </w:p>
        </w:tc>
        <w:tc>
          <w:tcPr>
            <w:tcW w:w="1817" w:type="dxa"/>
          </w:tcPr>
          <w:p>
            <w:pPr>
              <w:pStyle w:val="TableParagraph"/>
              <w:spacing w:before="135"/>
              <w:ind w:left="109" w:right="109"/>
              <w:jc w:val="center"/>
              <w:rPr>
                <w:sz w:val="24"/>
              </w:rPr>
            </w:pPr>
            <w:r>
              <w:rPr>
                <w:strike/>
                <w:color w:val="2E97D3"/>
                <w:sz w:val="24"/>
              </w:rPr>
              <w:t>Wetlands</w:t>
            </w:r>
          </w:p>
        </w:tc>
        <w:tc>
          <w:tcPr>
            <w:tcW w:w="1193" w:type="dxa"/>
          </w:tcPr>
          <w:p>
            <w:pPr>
              <w:pStyle w:val="TableParagraph"/>
              <w:ind w:left="503" w:right="201" w:hanging="288"/>
              <w:rPr>
                <w:sz w:val="24"/>
              </w:rPr>
            </w:pPr>
            <w:r>
              <w:rPr>
                <w:strike/>
                <w:color w:val="2E97D3"/>
                <w:sz w:val="24"/>
              </w:rPr>
              <w:t>Project D</w:t>
            </w:r>
          </w:p>
        </w:tc>
        <w:tc>
          <w:tcPr>
            <w:tcW w:w="1471" w:type="dxa"/>
          </w:tcPr>
          <w:p>
            <w:pPr>
              <w:pStyle w:val="TableParagraph"/>
              <w:spacing w:before="135"/>
              <w:ind w:left="78" w:right="83"/>
              <w:jc w:val="center"/>
              <w:rPr>
                <w:sz w:val="24"/>
              </w:rPr>
            </w:pPr>
            <w:r>
              <w:rPr>
                <w:strike/>
                <w:color w:val="2E97D3"/>
                <w:sz w:val="24"/>
              </w:rPr>
              <w:t>NA</w:t>
            </w:r>
          </w:p>
        </w:tc>
        <w:tc>
          <w:tcPr>
            <w:tcW w:w="1157" w:type="dxa"/>
          </w:tcPr>
          <w:p>
            <w:pPr>
              <w:pStyle w:val="TableParagraph"/>
              <w:spacing w:before="135"/>
              <w:ind w:right="1"/>
              <w:jc w:val="center"/>
              <w:rPr>
                <w:sz w:val="24"/>
              </w:rPr>
            </w:pPr>
            <w:r>
              <w:rPr>
                <w:strike/>
                <w:color w:val="2E97D3"/>
                <w:w w:val="100"/>
                <w:sz w:val="24"/>
              </w:rPr>
              <w:t>A</w:t>
            </w:r>
          </w:p>
        </w:tc>
        <w:tc>
          <w:tcPr>
            <w:tcW w:w="1322" w:type="dxa"/>
          </w:tcPr>
          <w:p>
            <w:pPr/>
          </w:p>
        </w:tc>
      </w:tr>
    </w:tbl>
    <w:p>
      <w:pPr>
        <w:pStyle w:val="BodyText"/>
        <w:rPr>
          <w:sz w:val="34"/>
        </w:rPr>
      </w:pPr>
    </w:p>
    <w:p>
      <w:pPr>
        <w:pStyle w:val="BodyText"/>
        <w:ind w:left="820" w:right="349"/>
      </w:pPr>
      <w:r>
        <w:rPr>
          <w:b/>
          <w:strike/>
          <w:color w:val="2E97D3"/>
        </w:rPr>
        <w:t>Project ID Codes: </w:t>
      </w:r>
      <w:r>
        <w:rPr>
          <w:strike/>
          <w:color w:val="2E97D3"/>
        </w:rPr>
        <w:t>For continuing phases of existing projects, use same code as prior phases.  See </w:t>
      </w:r>
      <w:r>
        <w:rPr>
          <w:strike/>
          <w:color w:val="2E97D3"/>
          <w:u w:val="single" w:color="2E97D3"/>
        </w:rPr>
        <w:t>SAM </w:t>
      </w:r>
      <w:r>
        <w:rPr>
          <w:strike/>
          <w:color w:val="2E97D3"/>
        </w:rPr>
        <w:t>Section 6839 for instructions.</w:t>
      </w:r>
    </w:p>
    <w:p>
      <w:pPr>
        <w:pStyle w:val="BodyText"/>
        <w:spacing w:before="3"/>
      </w:pPr>
    </w:p>
    <w:tbl>
      <w:tblPr>
        <w:tblW w:w="0" w:type="auto"/>
        <w:jc w:val="left"/>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2249"/>
        <w:gridCol w:w="991"/>
        <w:gridCol w:w="5489"/>
      </w:tblGrid>
      <w:tr>
        <w:trPr>
          <w:trHeight w:val="557" w:hRule="exact"/>
        </w:trPr>
        <w:tc>
          <w:tcPr>
            <w:tcW w:w="2808" w:type="dxa"/>
            <w:gridSpan w:val="2"/>
            <w:tcBorders>
              <w:top w:val="nil"/>
              <w:left w:val="nil"/>
            </w:tcBorders>
          </w:tcPr>
          <w:p>
            <w:pPr>
              <w:pStyle w:val="TableParagraph"/>
              <w:spacing w:before="135"/>
              <w:ind w:left="628"/>
              <w:rPr>
                <w:b/>
                <w:sz w:val="24"/>
              </w:rPr>
            </w:pPr>
            <w:r>
              <w:rPr>
                <w:b/>
                <w:strike/>
                <w:color w:val="2E97D3"/>
                <w:sz w:val="24"/>
              </w:rPr>
              <w:t>Action Codes</w:t>
            </w:r>
          </w:p>
        </w:tc>
        <w:tc>
          <w:tcPr>
            <w:tcW w:w="6480" w:type="dxa"/>
            <w:gridSpan w:val="2"/>
            <w:tcBorders>
              <w:top w:val="nil"/>
              <w:right w:val="nil"/>
            </w:tcBorders>
          </w:tcPr>
          <w:p>
            <w:pPr>
              <w:pStyle w:val="TableParagraph"/>
              <w:spacing w:line="272" w:lineRule="exact"/>
              <w:ind w:left="180" w:right="183"/>
              <w:jc w:val="center"/>
              <w:rPr>
                <w:sz w:val="24"/>
              </w:rPr>
            </w:pPr>
            <w:r>
              <w:rPr>
                <w:b/>
                <w:strike/>
                <w:color w:val="2E97D3"/>
                <w:sz w:val="24"/>
              </w:rPr>
              <w:t>Project Category Codes</w:t>
            </w:r>
            <w:r>
              <w:rPr>
                <w:strike/>
                <w:color w:val="2E97D3"/>
                <w:sz w:val="24"/>
              </w:rPr>
              <w:t>:</w:t>
            </w:r>
          </w:p>
          <w:p>
            <w:pPr>
              <w:pStyle w:val="TableParagraph"/>
              <w:ind w:left="181" w:right="183"/>
              <w:jc w:val="center"/>
              <w:rPr>
                <w:sz w:val="24"/>
              </w:rPr>
            </w:pPr>
            <w:r>
              <w:rPr>
                <w:strike/>
                <w:color w:val="2E97D3"/>
                <w:sz w:val="24"/>
              </w:rPr>
              <w:t>(See SAM 6839 for additional descriptions of categories.)</w:t>
            </w:r>
          </w:p>
        </w:tc>
      </w:tr>
      <w:tr>
        <w:trPr>
          <w:trHeight w:val="564" w:hRule="exact"/>
        </w:trPr>
        <w:tc>
          <w:tcPr>
            <w:tcW w:w="559" w:type="dxa"/>
            <w:tcBorders>
              <w:left w:val="nil"/>
            </w:tcBorders>
          </w:tcPr>
          <w:p>
            <w:pPr>
              <w:pStyle w:val="TableParagraph"/>
              <w:ind w:left="191" w:right="187"/>
              <w:jc w:val="center"/>
              <w:rPr>
                <w:sz w:val="24"/>
              </w:rPr>
            </w:pPr>
            <w:r>
              <w:rPr>
                <w:strike/>
                <w:color w:val="2E97D3"/>
                <w:sz w:val="24"/>
              </w:rPr>
              <w:t>C</w:t>
            </w:r>
            <w:r>
              <w:rPr>
                <w:strike w:val="0"/>
                <w:color w:val="2E97D3"/>
                <w:w w:val="99"/>
                <w:sz w:val="24"/>
              </w:rPr>
              <w:t> </w:t>
            </w:r>
            <w:r>
              <w:rPr>
                <w:strike/>
                <w:color w:val="2E97D3"/>
                <w:sz w:val="24"/>
              </w:rPr>
              <w:t>N</w:t>
            </w:r>
          </w:p>
        </w:tc>
        <w:tc>
          <w:tcPr>
            <w:tcW w:w="2249" w:type="dxa"/>
          </w:tcPr>
          <w:p>
            <w:pPr>
              <w:pStyle w:val="TableParagraph"/>
              <w:ind w:left="669" w:right="302" w:hanging="353"/>
              <w:rPr>
                <w:sz w:val="24"/>
              </w:rPr>
            </w:pPr>
            <w:r>
              <w:rPr>
                <w:strike/>
                <w:color w:val="2E97D3"/>
                <w:sz w:val="24"/>
              </w:rPr>
              <w:t>Construct, new program</w:t>
            </w:r>
          </w:p>
        </w:tc>
        <w:tc>
          <w:tcPr>
            <w:tcW w:w="991" w:type="dxa"/>
          </w:tcPr>
          <w:p>
            <w:pPr>
              <w:pStyle w:val="TableParagraph"/>
              <w:spacing w:before="135"/>
              <w:ind w:left="123" w:right="124"/>
              <w:jc w:val="center"/>
              <w:rPr>
                <w:sz w:val="24"/>
              </w:rPr>
            </w:pPr>
            <w:r>
              <w:rPr>
                <w:strike/>
                <w:color w:val="2E97D3"/>
                <w:sz w:val="24"/>
              </w:rPr>
              <w:t>FLS</w:t>
            </w:r>
          </w:p>
        </w:tc>
        <w:tc>
          <w:tcPr>
            <w:tcW w:w="5489" w:type="dxa"/>
            <w:tcBorders>
              <w:right w:val="nil"/>
            </w:tcBorders>
          </w:tcPr>
          <w:p>
            <w:pPr>
              <w:pStyle w:val="TableParagraph"/>
              <w:spacing w:line="274" w:lineRule="exact"/>
              <w:ind w:left="220" w:right="226"/>
              <w:jc w:val="center"/>
              <w:rPr>
                <w:sz w:val="24"/>
              </w:rPr>
            </w:pPr>
            <w:r>
              <w:rPr>
                <w:strike/>
                <w:color w:val="2E97D3"/>
                <w:sz w:val="24"/>
              </w:rPr>
              <w:t>Fire/life safety (imminent threat)</w:t>
            </w:r>
          </w:p>
        </w:tc>
      </w:tr>
      <w:tr>
        <w:trPr>
          <w:trHeight w:val="838" w:hRule="exact"/>
        </w:trPr>
        <w:tc>
          <w:tcPr>
            <w:tcW w:w="559" w:type="dxa"/>
            <w:tcBorders>
              <w:left w:val="nil"/>
            </w:tcBorders>
          </w:tcPr>
          <w:p>
            <w:pPr>
              <w:pStyle w:val="TableParagraph"/>
              <w:spacing w:before="132"/>
              <w:ind w:left="191" w:right="187"/>
              <w:jc w:val="center"/>
              <w:rPr>
                <w:sz w:val="24"/>
              </w:rPr>
            </w:pPr>
            <w:r>
              <w:rPr>
                <w:strike/>
                <w:color w:val="2E97D3"/>
                <w:sz w:val="24"/>
              </w:rPr>
              <w:t>C</w:t>
            </w:r>
            <w:r>
              <w:rPr>
                <w:strike w:val="0"/>
                <w:color w:val="2E97D3"/>
                <w:w w:val="99"/>
                <w:sz w:val="24"/>
              </w:rPr>
              <w:t> </w:t>
            </w:r>
            <w:r>
              <w:rPr>
                <w:strike/>
                <w:color w:val="2E97D3"/>
                <w:sz w:val="24"/>
              </w:rPr>
              <w:t>R</w:t>
            </w:r>
          </w:p>
        </w:tc>
        <w:tc>
          <w:tcPr>
            <w:tcW w:w="2249" w:type="dxa"/>
          </w:tcPr>
          <w:p>
            <w:pPr>
              <w:pStyle w:val="TableParagraph"/>
              <w:ind w:left="455" w:right="459"/>
              <w:jc w:val="center"/>
              <w:rPr>
                <w:sz w:val="24"/>
              </w:rPr>
            </w:pPr>
            <w:r>
              <w:rPr>
                <w:strike/>
                <w:color w:val="2E97D3"/>
                <w:sz w:val="24"/>
              </w:rPr>
              <w:t>Construct replacement facility</w:t>
            </w:r>
          </w:p>
        </w:tc>
        <w:tc>
          <w:tcPr>
            <w:tcW w:w="991" w:type="dxa"/>
          </w:tcPr>
          <w:p>
            <w:pPr>
              <w:pStyle w:val="TableParagraph"/>
              <w:spacing w:before="7"/>
              <w:rPr>
                <w:sz w:val="23"/>
              </w:rPr>
            </w:pPr>
          </w:p>
          <w:p>
            <w:pPr>
              <w:pStyle w:val="TableParagraph"/>
              <w:ind w:left="123" w:right="124"/>
              <w:jc w:val="center"/>
              <w:rPr>
                <w:sz w:val="24"/>
              </w:rPr>
            </w:pPr>
            <w:r>
              <w:rPr>
                <w:strike/>
                <w:color w:val="2E97D3"/>
                <w:sz w:val="24"/>
              </w:rPr>
              <w:t>CRI</w:t>
            </w:r>
          </w:p>
        </w:tc>
        <w:tc>
          <w:tcPr>
            <w:tcW w:w="5489" w:type="dxa"/>
            <w:tcBorders>
              <w:right w:val="nil"/>
            </w:tcBorders>
          </w:tcPr>
          <w:p>
            <w:pPr>
              <w:pStyle w:val="TableParagraph"/>
              <w:ind w:left="1682" w:right="447" w:hanging="1227"/>
              <w:rPr>
                <w:sz w:val="24"/>
              </w:rPr>
            </w:pPr>
            <w:r>
              <w:rPr>
                <w:strike/>
                <w:color w:val="2E97D3"/>
                <w:sz w:val="24"/>
              </w:rPr>
              <w:t>Critical infrastructure deficiencies impairing delivery of services.</w:t>
            </w:r>
          </w:p>
        </w:tc>
      </w:tr>
      <w:tr>
        <w:trPr>
          <w:trHeight w:val="562" w:hRule="exact"/>
        </w:trPr>
        <w:tc>
          <w:tcPr>
            <w:tcW w:w="559" w:type="dxa"/>
            <w:tcBorders>
              <w:left w:val="nil"/>
            </w:tcBorders>
          </w:tcPr>
          <w:p>
            <w:pPr>
              <w:pStyle w:val="TableParagraph"/>
              <w:spacing w:before="132"/>
              <w:ind w:left="191"/>
              <w:rPr>
                <w:sz w:val="24"/>
              </w:rPr>
            </w:pPr>
            <w:r>
              <w:rPr>
                <w:strike/>
                <w:color w:val="2E97D3"/>
                <w:w w:val="99"/>
                <w:sz w:val="24"/>
              </w:rPr>
              <w:t>R</w:t>
            </w:r>
          </w:p>
        </w:tc>
        <w:tc>
          <w:tcPr>
            <w:tcW w:w="2249" w:type="dxa"/>
          </w:tcPr>
          <w:p>
            <w:pPr>
              <w:pStyle w:val="TableParagraph"/>
              <w:spacing w:before="132"/>
              <w:ind w:left="455" w:right="458"/>
              <w:jc w:val="center"/>
              <w:rPr>
                <w:sz w:val="24"/>
              </w:rPr>
            </w:pPr>
            <w:r>
              <w:rPr>
                <w:strike/>
                <w:color w:val="2E97D3"/>
                <w:sz w:val="24"/>
              </w:rPr>
              <w:t>Renovate</w:t>
            </w:r>
          </w:p>
        </w:tc>
        <w:tc>
          <w:tcPr>
            <w:tcW w:w="991" w:type="dxa"/>
          </w:tcPr>
          <w:p>
            <w:pPr>
              <w:pStyle w:val="TableParagraph"/>
              <w:spacing w:before="132"/>
              <w:ind w:left="123" w:right="123"/>
              <w:jc w:val="center"/>
              <w:rPr>
                <w:sz w:val="24"/>
              </w:rPr>
            </w:pPr>
            <w:r>
              <w:rPr>
                <w:strike/>
                <w:color w:val="2E97D3"/>
                <w:sz w:val="24"/>
              </w:rPr>
              <w:t>CD</w:t>
            </w:r>
          </w:p>
        </w:tc>
        <w:tc>
          <w:tcPr>
            <w:tcW w:w="5489" w:type="dxa"/>
            <w:tcBorders>
              <w:right w:val="nil"/>
            </w:tcBorders>
          </w:tcPr>
          <w:p>
            <w:pPr>
              <w:pStyle w:val="TableParagraph"/>
              <w:spacing w:line="272" w:lineRule="exact"/>
              <w:ind w:left="220" w:right="227"/>
              <w:jc w:val="center"/>
              <w:rPr>
                <w:sz w:val="24"/>
              </w:rPr>
            </w:pPr>
            <w:r>
              <w:rPr>
                <w:strike/>
                <w:color w:val="2E97D3"/>
                <w:sz w:val="24"/>
              </w:rPr>
              <w:t>Code deficiency</w:t>
            </w:r>
          </w:p>
        </w:tc>
      </w:tr>
      <w:tr>
        <w:trPr>
          <w:trHeight w:val="562" w:hRule="exact"/>
        </w:trPr>
        <w:tc>
          <w:tcPr>
            <w:tcW w:w="559" w:type="dxa"/>
            <w:tcBorders>
              <w:left w:val="nil"/>
            </w:tcBorders>
          </w:tcPr>
          <w:p>
            <w:pPr>
              <w:pStyle w:val="TableParagraph"/>
              <w:spacing w:before="132"/>
              <w:ind w:left="199"/>
              <w:rPr>
                <w:sz w:val="24"/>
              </w:rPr>
            </w:pPr>
            <w:r>
              <w:rPr>
                <w:strike/>
                <w:color w:val="2E97D3"/>
                <w:w w:val="100"/>
                <w:sz w:val="24"/>
              </w:rPr>
              <w:t>A</w:t>
            </w:r>
          </w:p>
        </w:tc>
        <w:tc>
          <w:tcPr>
            <w:tcW w:w="2249" w:type="dxa"/>
          </w:tcPr>
          <w:p>
            <w:pPr>
              <w:pStyle w:val="TableParagraph"/>
              <w:spacing w:before="132"/>
              <w:ind w:left="455" w:right="458"/>
              <w:jc w:val="center"/>
              <w:rPr>
                <w:sz w:val="24"/>
              </w:rPr>
            </w:pPr>
            <w:r>
              <w:rPr>
                <w:strike/>
                <w:color w:val="2E97D3"/>
                <w:sz w:val="24"/>
              </w:rPr>
              <w:t>Acquire</w:t>
            </w:r>
          </w:p>
        </w:tc>
        <w:tc>
          <w:tcPr>
            <w:tcW w:w="991" w:type="dxa"/>
          </w:tcPr>
          <w:p>
            <w:pPr>
              <w:pStyle w:val="TableParagraph"/>
              <w:spacing w:before="132"/>
              <w:ind w:left="123" w:right="124"/>
              <w:jc w:val="center"/>
              <w:rPr>
                <w:sz w:val="24"/>
              </w:rPr>
            </w:pPr>
            <w:r>
              <w:rPr>
                <w:strike/>
                <w:color w:val="2E97D3"/>
                <w:sz w:val="24"/>
              </w:rPr>
              <w:t>SC</w:t>
            </w:r>
          </w:p>
        </w:tc>
        <w:tc>
          <w:tcPr>
            <w:tcW w:w="5489" w:type="dxa"/>
            <w:tcBorders>
              <w:right w:val="nil"/>
            </w:tcBorders>
          </w:tcPr>
          <w:p>
            <w:pPr>
              <w:pStyle w:val="TableParagraph"/>
              <w:spacing w:line="272" w:lineRule="exact"/>
              <w:ind w:left="220" w:right="225"/>
              <w:jc w:val="center"/>
              <w:rPr>
                <w:sz w:val="24"/>
              </w:rPr>
            </w:pPr>
            <w:r>
              <w:rPr>
                <w:strike/>
                <w:color w:val="2E97D3"/>
                <w:sz w:val="24"/>
              </w:rPr>
              <w:t>Security</w:t>
            </w:r>
          </w:p>
        </w:tc>
      </w:tr>
      <w:tr>
        <w:trPr>
          <w:trHeight w:val="562" w:hRule="exact"/>
        </w:trPr>
        <w:tc>
          <w:tcPr>
            <w:tcW w:w="559" w:type="dxa"/>
            <w:tcBorders>
              <w:left w:val="nil"/>
            </w:tcBorders>
          </w:tcPr>
          <w:p>
            <w:pPr>
              <w:pStyle w:val="TableParagraph"/>
              <w:spacing w:before="135"/>
              <w:ind w:left="191"/>
              <w:rPr>
                <w:sz w:val="24"/>
              </w:rPr>
            </w:pPr>
            <w:r>
              <w:rPr>
                <w:strike/>
                <w:color w:val="2E97D3"/>
                <w:w w:val="99"/>
                <w:sz w:val="24"/>
              </w:rPr>
              <w:t>D</w:t>
            </w:r>
          </w:p>
        </w:tc>
        <w:tc>
          <w:tcPr>
            <w:tcW w:w="2249" w:type="dxa"/>
          </w:tcPr>
          <w:p>
            <w:pPr>
              <w:pStyle w:val="TableParagraph"/>
              <w:spacing w:before="135"/>
              <w:ind w:left="455" w:right="456"/>
              <w:jc w:val="center"/>
              <w:rPr>
                <w:sz w:val="24"/>
              </w:rPr>
            </w:pPr>
            <w:r>
              <w:rPr>
                <w:strike/>
                <w:color w:val="2E97D3"/>
                <w:sz w:val="24"/>
              </w:rPr>
              <w:t>Demolish</w:t>
            </w:r>
          </w:p>
        </w:tc>
        <w:tc>
          <w:tcPr>
            <w:tcW w:w="991" w:type="dxa"/>
          </w:tcPr>
          <w:p>
            <w:pPr>
              <w:pStyle w:val="TableParagraph"/>
              <w:spacing w:before="135"/>
              <w:ind w:left="123" w:right="123"/>
              <w:jc w:val="center"/>
              <w:rPr>
                <w:sz w:val="24"/>
              </w:rPr>
            </w:pPr>
            <w:r>
              <w:rPr>
                <w:strike/>
                <w:color w:val="2E97D3"/>
                <w:sz w:val="24"/>
              </w:rPr>
              <w:t>SM</w:t>
            </w:r>
          </w:p>
        </w:tc>
        <w:tc>
          <w:tcPr>
            <w:tcW w:w="5489" w:type="dxa"/>
            <w:tcBorders>
              <w:right w:val="nil"/>
            </w:tcBorders>
          </w:tcPr>
          <w:p>
            <w:pPr>
              <w:pStyle w:val="TableParagraph"/>
              <w:spacing w:line="272" w:lineRule="exact"/>
              <w:ind w:left="220" w:right="228"/>
              <w:jc w:val="center"/>
              <w:rPr>
                <w:sz w:val="24"/>
              </w:rPr>
            </w:pPr>
            <w:r>
              <w:rPr>
                <w:strike/>
                <w:color w:val="2E97D3"/>
                <w:sz w:val="24"/>
              </w:rPr>
              <w:t>Seismic</w:t>
            </w:r>
          </w:p>
        </w:tc>
      </w:tr>
      <w:tr>
        <w:trPr>
          <w:trHeight w:val="562" w:hRule="exact"/>
        </w:trPr>
        <w:tc>
          <w:tcPr>
            <w:tcW w:w="559" w:type="dxa"/>
            <w:tcBorders>
              <w:left w:val="nil"/>
            </w:tcBorders>
          </w:tcPr>
          <w:p>
            <w:pPr>
              <w:pStyle w:val="TableParagraph"/>
              <w:spacing w:before="135"/>
              <w:ind w:left="199"/>
              <w:rPr>
                <w:sz w:val="24"/>
              </w:rPr>
            </w:pPr>
            <w:r>
              <w:rPr>
                <w:strike/>
                <w:color w:val="2E97D3"/>
                <w:w w:val="100"/>
                <w:sz w:val="24"/>
              </w:rPr>
              <w:t>E</w:t>
            </w:r>
          </w:p>
        </w:tc>
        <w:tc>
          <w:tcPr>
            <w:tcW w:w="2249" w:type="dxa"/>
          </w:tcPr>
          <w:p>
            <w:pPr>
              <w:pStyle w:val="TableParagraph"/>
              <w:spacing w:before="135"/>
              <w:ind w:left="453" w:right="459"/>
              <w:jc w:val="center"/>
              <w:rPr>
                <w:sz w:val="24"/>
              </w:rPr>
            </w:pPr>
            <w:r>
              <w:rPr>
                <w:strike/>
                <w:color w:val="2E97D3"/>
                <w:sz w:val="24"/>
              </w:rPr>
              <w:t>Equip</w:t>
            </w:r>
          </w:p>
        </w:tc>
        <w:tc>
          <w:tcPr>
            <w:tcW w:w="991" w:type="dxa"/>
          </w:tcPr>
          <w:p>
            <w:pPr>
              <w:pStyle w:val="TableParagraph"/>
              <w:spacing w:before="135"/>
              <w:ind w:left="123" w:right="123"/>
              <w:jc w:val="center"/>
              <w:rPr>
                <w:sz w:val="24"/>
              </w:rPr>
            </w:pPr>
            <w:r>
              <w:rPr>
                <w:strike/>
                <w:color w:val="2E97D3"/>
                <w:sz w:val="24"/>
              </w:rPr>
              <w:t>ADA1</w:t>
            </w:r>
          </w:p>
        </w:tc>
        <w:tc>
          <w:tcPr>
            <w:tcW w:w="5489" w:type="dxa"/>
            <w:tcBorders>
              <w:right w:val="nil"/>
            </w:tcBorders>
          </w:tcPr>
          <w:p>
            <w:pPr>
              <w:pStyle w:val="TableParagraph"/>
              <w:ind w:left="475" w:right="304" w:hanging="180"/>
              <w:rPr>
                <w:sz w:val="24"/>
              </w:rPr>
            </w:pPr>
            <w:r>
              <w:rPr>
                <w:strike/>
                <w:color w:val="2E97D3"/>
                <w:sz w:val="24"/>
              </w:rPr>
              <w:t>Americans with Disabilities Act compliance for 24-hour care facilities and institutions only.</w:t>
            </w:r>
          </w:p>
        </w:tc>
      </w:tr>
      <w:tr>
        <w:trPr>
          <w:trHeight w:val="286" w:hRule="exact"/>
        </w:trPr>
        <w:tc>
          <w:tcPr>
            <w:tcW w:w="559" w:type="dxa"/>
            <w:tcBorders>
              <w:left w:val="nil"/>
            </w:tcBorders>
          </w:tcPr>
          <w:p>
            <w:pPr>
              <w:pStyle w:val="TableParagraph"/>
              <w:spacing w:line="272" w:lineRule="exact"/>
              <w:ind w:left="184"/>
              <w:rPr>
                <w:sz w:val="24"/>
              </w:rPr>
            </w:pPr>
            <w:r>
              <w:rPr>
                <w:strike/>
                <w:color w:val="2E97D3"/>
                <w:w w:val="100"/>
                <w:sz w:val="24"/>
              </w:rPr>
              <w:t>O</w:t>
            </w:r>
          </w:p>
        </w:tc>
        <w:tc>
          <w:tcPr>
            <w:tcW w:w="2249" w:type="dxa"/>
          </w:tcPr>
          <w:p>
            <w:pPr>
              <w:pStyle w:val="TableParagraph"/>
              <w:spacing w:line="272" w:lineRule="exact"/>
              <w:ind w:left="455" w:right="457"/>
              <w:jc w:val="center"/>
              <w:rPr>
                <w:sz w:val="24"/>
              </w:rPr>
            </w:pPr>
            <w:r>
              <w:rPr>
                <w:strike/>
                <w:color w:val="2E97D3"/>
                <w:sz w:val="24"/>
              </w:rPr>
              <w:t>Other</w:t>
            </w:r>
          </w:p>
        </w:tc>
        <w:tc>
          <w:tcPr>
            <w:tcW w:w="991" w:type="dxa"/>
          </w:tcPr>
          <w:p>
            <w:pPr>
              <w:pStyle w:val="TableParagraph"/>
              <w:spacing w:line="272" w:lineRule="exact"/>
              <w:ind w:left="123" w:right="123"/>
              <w:jc w:val="center"/>
              <w:rPr>
                <w:sz w:val="24"/>
              </w:rPr>
            </w:pPr>
            <w:r>
              <w:rPr>
                <w:strike/>
                <w:color w:val="2E97D3"/>
                <w:sz w:val="24"/>
              </w:rPr>
              <w:t>ADA2</w:t>
            </w:r>
          </w:p>
        </w:tc>
        <w:tc>
          <w:tcPr>
            <w:tcW w:w="5489" w:type="dxa"/>
            <w:tcBorders>
              <w:right w:val="nil"/>
            </w:tcBorders>
          </w:tcPr>
          <w:p>
            <w:pPr>
              <w:pStyle w:val="TableParagraph"/>
              <w:spacing w:line="272" w:lineRule="exact"/>
              <w:ind w:left="220" w:right="228"/>
              <w:jc w:val="center"/>
              <w:rPr>
                <w:sz w:val="24"/>
              </w:rPr>
            </w:pPr>
            <w:r>
              <w:rPr>
                <w:strike/>
                <w:color w:val="2E97D3"/>
                <w:sz w:val="24"/>
              </w:rPr>
              <w:t>All other ADA compliance</w:t>
            </w:r>
          </w:p>
        </w:tc>
      </w:tr>
      <w:tr>
        <w:trPr>
          <w:trHeight w:val="288" w:hRule="exact"/>
        </w:trPr>
        <w:tc>
          <w:tcPr>
            <w:tcW w:w="559" w:type="dxa"/>
            <w:tcBorders>
              <w:left w:val="nil"/>
            </w:tcBorders>
          </w:tcPr>
          <w:p>
            <w:pPr/>
          </w:p>
        </w:tc>
        <w:tc>
          <w:tcPr>
            <w:tcW w:w="2249" w:type="dxa"/>
          </w:tcPr>
          <w:p>
            <w:pPr/>
          </w:p>
        </w:tc>
        <w:tc>
          <w:tcPr>
            <w:tcW w:w="991" w:type="dxa"/>
          </w:tcPr>
          <w:p>
            <w:pPr>
              <w:pStyle w:val="TableParagraph"/>
              <w:spacing w:line="274" w:lineRule="exact"/>
              <w:ind w:left="123" w:right="123"/>
              <w:jc w:val="center"/>
              <w:rPr>
                <w:sz w:val="24"/>
              </w:rPr>
            </w:pPr>
            <w:r>
              <w:rPr>
                <w:strike/>
                <w:color w:val="2E97D3"/>
                <w:sz w:val="24"/>
              </w:rPr>
              <w:t>PS</w:t>
            </w:r>
          </w:p>
        </w:tc>
        <w:tc>
          <w:tcPr>
            <w:tcW w:w="5489" w:type="dxa"/>
            <w:tcBorders>
              <w:right w:val="nil"/>
            </w:tcBorders>
          </w:tcPr>
          <w:p>
            <w:pPr>
              <w:pStyle w:val="TableParagraph"/>
              <w:spacing w:line="274" w:lineRule="exact"/>
              <w:ind w:left="220" w:right="225"/>
              <w:jc w:val="center"/>
              <w:rPr>
                <w:sz w:val="24"/>
              </w:rPr>
            </w:pPr>
            <w:r>
              <w:rPr>
                <w:strike/>
                <w:color w:val="2E97D3"/>
                <w:sz w:val="24"/>
              </w:rPr>
              <w:t>Public safety</w:t>
            </w:r>
          </w:p>
        </w:tc>
      </w:tr>
      <w:tr>
        <w:trPr>
          <w:trHeight w:val="562" w:hRule="exact"/>
        </w:trPr>
        <w:tc>
          <w:tcPr>
            <w:tcW w:w="559" w:type="dxa"/>
            <w:tcBorders>
              <w:left w:val="nil"/>
            </w:tcBorders>
          </w:tcPr>
          <w:p>
            <w:pPr/>
          </w:p>
        </w:tc>
        <w:tc>
          <w:tcPr>
            <w:tcW w:w="2249" w:type="dxa"/>
          </w:tcPr>
          <w:p>
            <w:pPr/>
          </w:p>
        </w:tc>
        <w:tc>
          <w:tcPr>
            <w:tcW w:w="991" w:type="dxa"/>
          </w:tcPr>
          <w:p>
            <w:pPr>
              <w:pStyle w:val="TableParagraph"/>
              <w:spacing w:before="132"/>
              <w:ind w:left="123" w:right="124"/>
              <w:jc w:val="center"/>
              <w:rPr>
                <w:sz w:val="24"/>
              </w:rPr>
            </w:pPr>
            <w:r>
              <w:rPr>
                <w:strike/>
                <w:color w:val="2E97D3"/>
                <w:sz w:val="24"/>
              </w:rPr>
              <w:t>ECP</w:t>
            </w:r>
          </w:p>
        </w:tc>
        <w:tc>
          <w:tcPr>
            <w:tcW w:w="5489" w:type="dxa"/>
            <w:tcBorders>
              <w:right w:val="nil"/>
            </w:tcBorders>
          </w:tcPr>
          <w:p>
            <w:pPr>
              <w:pStyle w:val="TableParagraph"/>
              <w:ind w:left="448" w:right="440" w:firstLine="24"/>
              <w:rPr>
                <w:sz w:val="24"/>
              </w:rPr>
            </w:pPr>
            <w:r>
              <w:rPr>
                <w:strike/>
                <w:color w:val="2E97D3"/>
                <w:sz w:val="24"/>
              </w:rPr>
              <w:t>Enrollment/caseload/population (but report correctional ECP projects as public safety).</w:t>
            </w:r>
          </w:p>
        </w:tc>
      </w:tr>
      <w:tr>
        <w:trPr>
          <w:trHeight w:val="562" w:hRule="exact"/>
        </w:trPr>
        <w:tc>
          <w:tcPr>
            <w:tcW w:w="559" w:type="dxa"/>
            <w:tcBorders>
              <w:left w:val="nil"/>
            </w:tcBorders>
          </w:tcPr>
          <w:p>
            <w:pPr/>
          </w:p>
        </w:tc>
        <w:tc>
          <w:tcPr>
            <w:tcW w:w="2249" w:type="dxa"/>
          </w:tcPr>
          <w:p>
            <w:pPr/>
          </w:p>
        </w:tc>
        <w:tc>
          <w:tcPr>
            <w:tcW w:w="991" w:type="dxa"/>
          </w:tcPr>
          <w:p>
            <w:pPr>
              <w:pStyle w:val="TableParagraph"/>
              <w:spacing w:before="132"/>
              <w:ind w:left="123" w:right="124"/>
              <w:jc w:val="center"/>
              <w:rPr>
                <w:sz w:val="24"/>
              </w:rPr>
            </w:pPr>
            <w:r>
              <w:rPr>
                <w:strike/>
                <w:color w:val="2E97D3"/>
                <w:sz w:val="24"/>
              </w:rPr>
              <w:t>WRK</w:t>
            </w:r>
          </w:p>
        </w:tc>
        <w:tc>
          <w:tcPr>
            <w:tcW w:w="5489" w:type="dxa"/>
            <w:tcBorders>
              <w:right w:val="nil"/>
            </w:tcBorders>
          </w:tcPr>
          <w:p>
            <w:pPr>
              <w:pStyle w:val="TableParagraph"/>
              <w:ind w:left="2229" w:right="365" w:hanging="1853"/>
              <w:rPr>
                <w:sz w:val="24"/>
              </w:rPr>
            </w:pPr>
            <w:r>
              <w:rPr>
                <w:strike/>
                <w:color w:val="2E97D3"/>
                <w:sz w:val="24"/>
              </w:rPr>
              <w:t>Workload-driven projects, relating to existing programs</w:t>
            </w:r>
          </w:p>
        </w:tc>
      </w:tr>
      <w:tr>
        <w:trPr>
          <w:trHeight w:val="562" w:hRule="exact"/>
        </w:trPr>
        <w:tc>
          <w:tcPr>
            <w:tcW w:w="559" w:type="dxa"/>
            <w:tcBorders>
              <w:left w:val="nil"/>
            </w:tcBorders>
          </w:tcPr>
          <w:p>
            <w:pPr/>
          </w:p>
        </w:tc>
        <w:tc>
          <w:tcPr>
            <w:tcW w:w="2249" w:type="dxa"/>
          </w:tcPr>
          <w:p>
            <w:pPr/>
          </w:p>
        </w:tc>
        <w:tc>
          <w:tcPr>
            <w:tcW w:w="991" w:type="dxa"/>
          </w:tcPr>
          <w:p>
            <w:pPr>
              <w:pStyle w:val="TableParagraph"/>
              <w:spacing w:before="135"/>
              <w:ind w:left="123" w:right="123"/>
              <w:jc w:val="center"/>
              <w:rPr>
                <w:sz w:val="24"/>
              </w:rPr>
            </w:pPr>
            <w:r>
              <w:rPr>
                <w:strike/>
                <w:color w:val="2E97D3"/>
                <w:sz w:val="24"/>
              </w:rPr>
              <w:t>POL</w:t>
            </w:r>
          </w:p>
        </w:tc>
        <w:tc>
          <w:tcPr>
            <w:tcW w:w="5489" w:type="dxa"/>
            <w:tcBorders>
              <w:right w:val="nil"/>
            </w:tcBorders>
          </w:tcPr>
          <w:p>
            <w:pPr>
              <w:pStyle w:val="TableParagraph"/>
              <w:ind w:left="1936" w:right="332" w:hanging="1594"/>
              <w:rPr>
                <w:sz w:val="24"/>
              </w:rPr>
            </w:pPr>
            <w:r>
              <w:rPr>
                <w:strike/>
                <w:color w:val="2E97D3"/>
                <w:sz w:val="24"/>
              </w:rPr>
              <w:t>Program change of a policy nature (generally new programs)</w:t>
            </w:r>
          </w:p>
        </w:tc>
      </w:tr>
      <w:tr>
        <w:trPr>
          <w:trHeight w:val="838" w:hRule="exact"/>
        </w:trPr>
        <w:tc>
          <w:tcPr>
            <w:tcW w:w="559" w:type="dxa"/>
            <w:tcBorders>
              <w:left w:val="nil"/>
            </w:tcBorders>
          </w:tcPr>
          <w:p>
            <w:pPr/>
          </w:p>
        </w:tc>
        <w:tc>
          <w:tcPr>
            <w:tcW w:w="2249" w:type="dxa"/>
          </w:tcPr>
          <w:p>
            <w:pPr/>
          </w:p>
        </w:tc>
        <w:tc>
          <w:tcPr>
            <w:tcW w:w="991" w:type="dxa"/>
          </w:tcPr>
          <w:p>
            <w:pPr>
              <w:pStyle w:val="TableParagraph"/>
              <w:spacing w:before="7"/>
              <w:rPr>
                <w:sz w:val="23"/>
              </w:rPr>
            </w:pPr>
          </w:p>
          <w:p>
            <w:pPr>
              <w:pStyle w:val="TableParagraph"/>
              <w:ind w:left="123" w:right="125"/>
              <w:jc w:val="center"/>
              <w:rPr>
                <w:sz w:val="24"/>
              </w:rPr>
            </w:pPr>
            <w:r>
              <w:rPr>
                <w:strike/>
                <w:color w:val="2E97D3"/>
                <w:sz w:val="24"/>
              </w:rPr>
              <w:t>ECON</w:t>
            </w:r>
          </w:p>
        </w:tc>
        <w:tc>
          <w:tcPr>
            <w:tcW w:w="5489" w:type="dxa"/>
            <w:tcBorders>
              <w:right w:val="nil"/>
            </w:tcBorders>
          </w:tcPr>
          <w:p>
            <w:pPr>
              <w:pStyle w:val="TableParagraph"/>
              <w:ind w:left="220" w:right="230"/>
              <w:jc w:val="center"/>
              <w:rPr>
                <w:sz w:val="24"/>
              </w:rPr>
            </w:pPr>
            <w:r>
              <w:rPr>
                <w:strike/>
                <w:color w:val="2E97D3"/>
                <w:sz w:val="24"/>
              </w:rPr>
              <w:t>Projects justified primarily by economic impacts such as savings, cost avoidance or revenue generation.</w:t>
            </w:r>
          </w:p>
        </w:tc>
      </w:tr>
      <w:tr>
        <w:trPr>
          <w:trHeight w:val="281" w:hRule="exact"/>
        </w:trPr>
        <w:tc>
          <w:tcPr>
            <w:tcW w:w="559" w:type="dxa"/>
            <w:tcBorders>
              <w:left w:val="nil"/>
              <w:bottom w:val="nil"/>
            </w:tcBorders>
          </w:tcPr>
          <w:p>
            <w:pPr/>
          </w:p>
        </w:tc>
        <w:tc>
          <w:tcPr>
            <w:tcW w:w="2249" w:type="dxa"/>
            <w:tcBorders>
              <w:bottom w:val="nil"/>
            </w:tcBorders>
          </w:tcPr>
          <w:p>
            <w:pPr/>
          </w:p>
        </w:tc>
        <w:tc>
          <w:tcPr>
            <w:tcW w:w="991" w:type="dxa"/>
            <w:tcBorders>
              <w:bottom w:val="nil"/>
            </w:tcBorders>
          </w:tcPr>
          <w:p>
            <w:pPr>
              <w:pStyle w:val="TableParagraph"/>
              <w:spacing w:line="272" w:lineRule="exact"/>
              <w:jc w:val="center"/>
              <w:rPr>
                <w:sz w:val="24"/>
              </w:rPr>
            </w:pPr>
            <w:r>
              <w:rPr>
                <w:strike/>
                <w:color w:val="2E97D3"/>
                <w:w w:val="100"/>
                <w:sz w:val="24"/>
              </w:rPr>
              <w:t>O</w:t>
            </w:r>
          </w:p>
        </w:tc>
        <w:tc>
          <w:tcPr>
            <w:tcW w:w="5489" w:type="dxa"/>
            <w:tcBorders>
              <w:bottom w:val="nil"/>
              <w:right w:val="nil"/>
            </w:tcBorders>
          </w:tcPr>
          <w:p>
            <w:pPr>
              <w:pStyle w:val="TableParagraph"/>
              <w:spacing w:line="272" w:lineRule="exact"/>
              <w:ind w:left="220" w:right="226"/>
              <w:jc w:val="center"/>
              <w:rPr>
                <w:sz w:val="24"/>
              </w:rPr>
            </w:pPr>
            <w:r>
              <w:rPr>
                <w:strike/>
                <w:color w:val="2E97D3"/>
                <w:sz w:val="24"/>
              </w:rPr>
              <w:t>Other</w:t>
            </w:r>
          </w:p>
        </w:tc>
      </w:tr>
    </w:tbl>
    <w:p>
      <w:pPr>
        <w:spacing w:after="0" w:line="272" w:lineRule="exact"/>
        <w:jc w:val="center"/>
        <w:rPr>
          <w:sz w:val="24"/>
        </w:rPr>
        <w:sectPr>
          <w:headerReference w:type="default" r:id="rId266"/>
          <w:footerReference w:type="default" r:id="rId267"/>
          <w:pgSz w:w="12240" w:h="15840"/>
          <w:pgMar w:header="724" w:footer="1079" w:top="980" w:bottom="1260" w:left="620" w:right="1320"/>
        </w:sectPr>
      </w:pPr>
    </w:p>
    <w:p>
      <w:pPr>
        <w:pStyle w:val="BodyText"/>
        <w:rPr>
          <w:sz w:val="20"/>
        </w:rPr>
      </w:pPr>
    </w:p>
    <w:p>
      <w:pPr>
        <w:pStyle w:val="BodyText"/>
        <w:spacing w:before="214"/>
        <w:ind w:left="820"/>
      </w:pPr>
      <w:r>
        <w:rPr/>
        <w:pict>
          <v:line style="position:absolute;mso-position-horizontal-relative:page;mso-position-vertical-relative:paragraph;z-index:25936" from="36.360001pt,10.915881pt" to="36.360001pt,166.915881pt" stroked="true" strokeweight=".72pt" strokecolor="#000000">
            <v:stroke dashstyle="solid"/>
            <w10:wrap type="none"/>
          </v:line>
        </w:pict>
      </w:r>
      <w:r>
        <w:rPr>
          <w:color w:val="2E97D3"/>
          <w:u w:val="single" w:color="2E97D3"/>
        </w:rPr>
        <w:t>14.</w:t>
      </w:r>
    </w:p>
    <w:p>
      <w:pPr>
        <w:pStyle w:val="BodyText"/>
        <w:rPr>
          <w:sz w:val="20"/>
        </w:rPr>
      </w:pPr>
    </w:p>
    <w:p>
      <w:pPr>
        <w:pStyle w:val="BodyText"/>
        <w:spacing w:before="9"/>
        <w:rPr>
          <w:sz w:val="16"/>
        </w:rPr>
      </w:pPr>
    </w:p>
    <w:p>
      <w:pPr>
        <w:pStyle w:val="BodyText"/>
        <w:spacing w:before="93"/>
        <w:ind w:left="820" w:right="114"/>
      </w:pPr>
      <w:r>
        <w:rPr>
          <w:color w:val="2E97D3"/>
          <w:u w:val="single" w:color="2E97D3"/>
        </w:rPr>
        <w:t>Executive Order (EO) B-30-15: In April 2015, the Governor issued EO B-30-15, establishing greenhouse gas reduction targets and specifying steps for consideration of climate impacts. The EO requires all state agencies to consider the impacts of climate change in all planning and investment activities, including capital outlay projects. All Five-Year Infrastructure Plans must include information about how departments will integrate climate adaptation strategies into planning their infrastructure projects, and how this information will be used to inform the development of future guidance for incorporating climate adaptation and resilience into infrastructure planning.</w:t>
      </w:r>
    </w:p>
    <w:p>
      <w:pPr>
        <w:spacing w:after="0"/>
        <w:sectPr>
          <w:pgSz w:w="12240" w:h="15840"/>
          <w:pgMar w:header="724" w:footer="1079" w:top="980" w:bottom="1260" w:left="620" w:right="1340"/>
        </w:sectPr>
      </w:pPr>
    </w:p>
    <w:p>
      <w:pPr>
        <w:pStyle w:val="BodyText"/>
        <w:rPr>
          <w:sz w:val="20"/>
        </w:rPr>
      </w:pPr>
    </w:p>
    <w:p>
      <w:pPr>
        <w:tabs>
          <w:tab w:pos="9204" w:val="left" w:leader="none"/>
        </w:tabs>
        <w:spacing w:before="214"/>
        <w:ind w:left="106" w:right="0" w:firstLine="0"/>
        <w:jc w:val="left"/>
        <w:rPr>
          <w:b/>
          <w:sz w:val="24"/>
        </w:rPr>
      </w:pPr>
      <w:r>
        <w:rPr>
          <w:b/>
          <w:sz w:val="24"/>
        </w:rPr>
        <w:t>PROTOTYPE</w:t>
      </w:r>
      <w:r>
        <w:rPr>
          <w:b/>
          <w:spacing w:val="-6"/>
          <w:sz w:val="24"/>
        </w:rPr>
        <w:t> </w:t>
      </w:r>
      <w:r>
        <w:rPr>
          <w:b/>
          <w:sz w:val="24"/>
        </w:rPr>
        <w:t>DEVELOPMENT/CHANGES</w:t>
        <w:tab/>
        <w:t>6821</w:t>
      </w:r>
    </w:p>
    <w:p>
      <w:pPr>
        <w:pStyle w:val="BodyText"/>
        <w:ind w:left="106"/>
      </w:pPr>
      <w:r>
        <w:rPr/>
        <w:t>(New 5/1998)</w:t>
      </w:r>
    </w:p>
    <w:p>
      <w:pPr>
        <w:pStyle w:val="BodyText"/>
        <w:spacing w:before="10"/>
        <w:rPr>
          <w:sz w:val="20"/>
        </w:rPr>
      </w:pPr>
    </w:p>
    <w:p>
      <w:pPr>
        <w:pStyle w:val="BodyText"/>
        <w:ind w:left="106"/>
      </w:pPr>
      <w:bookmarkStart w:name="DOF encourages the use of prototype plan" w:id="82"/>
      <w:bookmarkEnd w:id="82"/>
      <w:r>
        <w:rPr/>
      </w:r>
      <w:r>
        <w:rPr/>
        <w:t>DOF encourages the use of prototype plans in construction programs. The process for authorizing a facility prototype has three steps:</w:t>
      </w:r>
    </w:p>
    <w:p>
      <w:pPr>
        <w:pStyle w:val="BodyText"/>
        <w:spacing w:before="10"/>
        <w:rPr>
          <w:sz w:val="20"/>
        </w:rPr>
      </w:pPr>
    </w:p>
    <w:p>
      <w:pPr>
        <w:pStyle w:val="ListParagraph"/>
        <w:numPr>
          <w:ilvl w:val="0"/>
          <w:numId w:val="79"/>
        </w:numPr>
        <w:tabs>
          <w:tab w:pos="467" w:val="left" w:leader="none"/>
        </w:tabs>
        <w:spacing w:line="240" w:lineRule="auto" w:before="0" w:after="0"/>
        <w:ind w:left="466" w:right="1354" w:hanging="360"/>
        <w:jc w:val="left"/>
        <w:rPr>
          <w:sz w:val="24"/>
        </w:rPr>
      </w:pPr>
      <w:bookmarkStart w:name="1. Assessing whether a department’s cons" w:id="83"/>
      <w:bookmarkEnd w:id="83"/>
      <w:r>
        <w:rPr/>
      </w:r>
      <w:bookmarkStart w:name="1. Assessing whether a department’s cons" w:id="84"/>
      <w:bookmarkEnd w:id="84"/>
      <w:r>
        <w:rPr>
          <w:sz w:val="24"/>
        </w:rPr>
        <w:t>Ass</w:t>
      </w:r>
      <w:r>
        <w:rPr>
          <w:sz w:val="24"/>
        </w:rPr>
        <w:t>essing whether a department’s construction program would benefit from development of a</w:t>
      </w:r>
      <w:r>
        <w:rPr>
          <w:spacing w:val="-16"/>
          <w:sz w:val="24"/>
        </w:rPr>
        <w:t> </w:t>
      </w:r>
      <w:r>
        <w:rPr>
          <w:sz w:val="24"/>
        </w:rPr>
        <w:t>prototype;</w:t>
      </w:r>
    </w:p>
    <w:p>
      <w:pPr>
        <w:pStyle w:val="BodyText"/>
        <w:spacing w:before="2"/>
        <w:rPr>
          <w:sz w:val="29"/>
        </w:rPr>
      </w:pPr>
    </w:p>
    <w:p>
      <w:pPr>
        <w:pStyle w:val="ListParagraph"/>
        <w:numPr>
          <w:ilvl w:val="0"/>
          <w:numId w:val="79"/>
        </w:numPr>
        <w:tabs>
          <w:tab w:pos="467" w:val="left" w:leader="none"/>
        </w:tabs>
        <w:spacing w:line="240" w:lineRule="auto" w:before="0" w:after="0"/>
        <w:ind w:left="466" w:right="0" w:hanging="360"/>
        <w:jc w:val="left"/>
        <w:rPr>
          <w:sz w:val="24"/>
        </w:rPr>
      </w:pPr>
      <w:bookmarkStart w:name="2. Development of the budget package for" w:id="85"/>
      <w:bookmarkEnd w:id="85"/>
      <w:r>
        <w:rPr/>
      </w:r>
      <w:bookmarkStart w:name="2. Development of the budget package for" w:id="86"/>
      <w:bookmarkEnd w:id="86"/>
      <w:r>
        <w:rPr>
          <w:sz w:val="24"/>
        </w:rPr>
        <w:t>D</w:t>
      </w:r>
      <w:r>
        <w:rPr>
          <w:sz w:val="24"/>
        </w:rPr>
        <w:t>evelopment of the budget package for the prototype by DGS;</w:t>
      </w:r>
      <w:r>
        <w:rPr>
          <w:spacing w:val="-32"/>
          <w:sz w:val="24"/>
        </w:rPr>
        <w:t> </w:t>
      </w:r>
      <w:r>
        <w:rPr>
          <w:sz w:val="24"/>
        </w:rPr>
        <w:t>and</w:t>
      </w:r>
    </w:p>
    <w:p>
      <w:pPr>
        <w:pStyle w:val="BodyText"/>
        <w:spacing w:before="2"/>
        <w:rPr>
          <w:sz w:val="29"/>
        </w:rPr>
      </w:pPr>
    </w:p>
    <w:p>
      <w:pPr>
        <w:pStyle w:val="ListParagraph"/>
        <w:numPr>
          <w:ilvl w:val="0"/>
          <w:numId w:val="79"/>
        </w:numPr>
        <w:tabs>
          <w:tab w:pos="467" w:val="left" w:leader="none"/>
        </w:tabs>
        <w:spacing w:line="240" w:lineRule="auto" w:before="0" w:after="0"/>
        <w:ind w:left="466" w:right="678" w:hanging="360"/>
        <w:jc w:val="left"/>
        <w:rPr>
          <w:sz w:val="24"/>
        </w:rPr>
      </w:pPr>
      <w:bookmarkStart w:name="3. Evaluation and adoption of the protot" w:id="87"/>
      <w:bookmarkEnd w:id="87"/>
      <w:r>
        <w:rPr/>
      </w:r>
      <w:bookmarkStart w:name="3. Evaluation and adoption of the protot" w:id="88"/>
      <w:bookmarkEnd w:id="88"/>
      <w:r>
        <w:rPr>
          <w:sz w:val="24"/>
        </w:rPr>
        <w:t>E</w:t>
      </w:r>
      <w:r>
        <w:rPr>
          <w:sz w:val="24"/>
        </w:rPr>
        <w:t>valuation and adoption of the prototype for capital outlay planning and budgeting purposes.</w:t>
      </w:r>
    </w:p>
    <w:p>
      <w:pPr>
        <w:pStyle w:val="BodyText"/>
        <w:spacing w:before="10"/>
        <w:rPr>
          <w:sz w:val="20"/>
        </w:rPr>
      </w:pPr>
    </w:p>
    <w:p>
      <w:pPr>
        <w:pStyle w:val="BodyText"/>
        <w:ind w:left="106" w:right="136"/>
      </w:pPr>
      <w:bookmarkStart w:name="DOF participates in the first and third " w:id="89"/>
      <w:bookmarkEnd w:id="89"/>
      <w:r>
        <w:rPr/>
      </w:r>
      <w:r>
        <w:rPr/>
        <w:t>DOF participates in the first and third step; LAO participates in the third step only. Any department planning to propose the use of prototype plans, or to amend an existing prototype, should contact its DOF capital outlay budget analyst to determine specific information needs. In general, submit requests to use or change prototypes along with the five-year capitalized assets plan (Section 6816). This allows DOF and LAO to review the proposed change within the context of the overall program.  DOF may authorize exceptions to this submittal time-frame for projects on critical time paths.</w:t>
      </w:r>
    </w:p>
    <w:p>
      <w:pPr>
        <w:spacing w:after="0"/>
        <w:sectPr>
          <w:footerReference w:type="default" r:id="rId268"/>
          <w:pgSz w:w="12240" w:h="15840"/>
          <w:pgMar w:footer="792" w:header="724" w:top="980" w:bottom="980" w:left="1060" w:right="1340"/>
        </w:sectPr>
      </w:pPr>
    </w:p>
    <w:p>
      <w:pPr>
        <w:pStyle w:val="BodyText"/>
        <w:rPr>
          <w:sz w:val="20"/>
        </w:rPr>
      </w:pPr>
    </w:p>
    <w:p>
      <w:pPr>
        <w:pStyle w:val="Heading2"/>
        <w:tabs>
          <w:tab w:pos="9204" w:val="left" w:leader="none"/>
        </w:tabs>
        <w:spacing w:before="214"/>
        <w:ind w:left="106"/>
      </w:pPr>
      <w:r>
        <w:rPr/>
        <w:t>HISTORICAL</w:t>
      </w:r>
      <w:r>
        <w:rPr>
          <w:spacing w:val="-4"/>
        </w:rPr>
        <w:t> </w:t>
      </w:r>
      <w:r>
        <w:rPr/>
        <w:t>RESOURCES</w:t>
        <w:tab/>
        <w:t>6822</w:t>
      </w:r>
    </w:p>
    <w:p>
      <w:pPr>
        <w:pStyle w:val="BodyText"/>
        <w:ind w:left="106"/>
      </w:pPr>
      <w:r>
        <w:rPr/>
        <w:t>(Revised 5/1998)</w:t>
      </w:r>
    </w:p>
    <w:p>
      <w:pPr>
        <w:pStyle w:val="BodyText"/>
        <w:spacing w:before="120"/>
        <w:ind w:left="106"/>
      </w:pPr>
      <w:r>
        <w:rPr/>
        <w:t>The State Historical Building Code (</w:t>
      </w:r>
      <w:hyperlink r:id="rId269">
        <w:r>
          <w:rPr>
            <w:color w:val="0000FF"/>
            <w:u w:val="single" w:color="0000FF"/>
          </w:rPr>
          <w:t>Title 24, California Code of Regulations</w:t>
        </w:r>
      </w:hyperlink>
      <w:r>
        <w:rPr/>
        <w:t>) allows alternatives to any and all prevailing codes as they relate to qualified historical buildings.</w:t>
      </w:r>
    </w:p>
    <w:p>
      <w:pPr>
        <w:pStyle w:val="BodyText"/>
        <w:spacing w:before="120"/>
        <w:ind w:left="106" w:right="162"/>
      </w:pPr>
      <w:r>
        <w:rPr/>
        <w:t>An historical resource is defined as any state-owned structure, over 50 years of age which is listed—or could be listed—either on the National Register of Historic Places maintained by the United States Department of the Interior or as a state historical landmark. Under Public Resources Code 5024, each department must:</w:t>
      </w:r>
    </w:p>
    <w:p>
      <w:pPr>
        <w:pStyle w:val="ListParagraph"/>
        <w:numPr>
          <w:ilvl w:val="0"/>
          <w:numId w:val="80"/>
        </w:numPr>
        <w:tabs>
          <w:tab w:pos="467" w:val="left" w:leader="none"/>
        </w:tabs>
        <w:spacing w:line="242" w:lineRule="auto" w:before="117" w:after="0"/>
        <w:ind w:left="466" w:right="549" w:hanging="360"/>
        <w:jc w:val="left"/>
        <w:rPr>
          <w:sz w:val="24"/>
        </w:rPr>
      </w:pPr>
      <w:r>
        <w:rPr>
          <w:sz w:val="24"/>
        </w:rPr>
        <w:t>Prepare and annually update its </w:t>
      </w:r>
      <w:r>
        <w:rPr>
          <w:i/>
          <w:sz w:val="24"/>
        </w:rPr>
        <w:t>Historic Resources Inventory </w:t>
      </w:r>
      <w:r>
        <w:rPr>
          <w:sz w:val="24"/>
        </w:rPr>
        <w:t>(DPR-523) listing the structures under its jurisdiction which are over 50 years of</w:t>
      </w:r>
      <w:r>
        <w:rPr>
          <w:spacing w:val="-28"/>
          <w:sz w:val="24"/>
        </w:rPr>
        <w:t> </w:t>
      </w:r>
      <w:r>
        <w:rPr>
          <w:sz w:val="24"/>
        </w:rPr>
        <w:t>age:</w:t>
      </w:r>
    </w:p>
    <w:p>
      <w:pPr>
        <w:pStyle w:val="BodyText"/>
        <w:spacing w:before="8"/>
        <w:rPr>
          <w:sz w:val="23"/>
        </w:rPr>
      </w:pPr>
    </w:p>
    <w:p>
      <w:pPr>
        <w:pStyle w:val="ListParagraph"/>
        <w:numPr>
          <w:ilvl w:val="1"/>
          <w:numId w:val="80"/>
        </w:numPr>
        <w:tabs>
          <w:tab w:pos="827" w:val="left" w:leader="none"/>
        </w:tabs>
        <w:spacing w:line="240" w:lineRule="auto" w:before="0" w:after="0"/>
        <w:ind w:left="826" w:right="123" w:hanging="360"/>
        <w:jc w:val="both"/>
        <w:rPr>
          <w:sz w:val="24"/>
        </w:rPr>
      </w:pPr>
      <w:r>
        <w:rPr>
          <w:sz w:val="24"/>
        </w:rPr>
        <w:t>Contact the State Historic Preservation Officer at the Office of Historic Preservation, Department of Parks and Recreation for the latest version of the inventory form and instructions on how to complete</w:t>
      </w:r>
      <w:r>
        <w:rPr>
          <w:spacing w:val="-15"/>
          <w:sz w:val="24"/>
        </w:rPr>
        <w:t> </w:t>
      </w:r>
      <w:r>
        <w:rPr>
          <w:sz w:val="24"/>
        </w:rPr>
        <w:t>it.</w:t>
      </w:r>
    </w:p>
    <w:p>
      <w:pPr>
        <w:pStyle w:val="BodyText"/>
        <w:spacing w:before="11"/>
        <w:rPr>
          <w:sz w:val="23"/>
        </w:rPr>
      </w:pPr>
    </w:p>
    <w:p>
      <w:pPr>
        <w:pStyle w:val="ListParagraph"/>
        <w:numPr>
          <w:ilvl w:val="1"/>
          <w:numId w:val="80"/>
        </w:numPr>
        <w:tabs>
          <w:tab w:pos="827" w:val="left" w:leader="none"/>
        </w:tabs>
        <w:spacing w:line="240" w:lineRule="auto" w:before="0" w:after="0"/>
        <w:ind w:left="826" w:right="230" w:hanging="360"/>
        <w:jc w:val="left"/>
        <w:rPr>
          <w:sz w:val="24"/>
        </w:rPr>
      </w:pPr>
      <w:r>
        <w:rPr>
          <w:sz w:val="24"/>
        </w:rPr>
        <w:t>Each department should assign a staff member as a cultural resources coordinator to prepare and maintain the</w:t>
      </w:r>
      <w:r>
        <w:rPr>
          <w:spacing w:val="-19"/>
          <w:sz w:val="24"/>
        </w:rPr>
        <w:t> </w:t>
      </w:r>
      <w:r>
        <w:rPr>
          <w:sz w:val="24"/>
        </w:rPr>
        <w:t>inventory.</w:t>
      </w:r>
    </w:p>
    <w:p>
      <w:pPr>
        <w:pStyle w:val="BodyText"/>
        <w:spacing w:before="11"/>
        <w:rPr>
          <w:sz w:val="23"/>
        </w:rPr>
      </w:pPr>
    </w:p>
    <w:p>
      <w:pPr>
        <w:pStyle w:val="ListParagraph"/>
        <w:numPr>
          <w:ilvl w:val="0"/>
          <w:numId w:val="80"/>
        </w:numPr>
        <w:tabs>
          <w:tab w:pos="467" w:val="left" w:leader="none"/>
        </w:tabs>
        <w:spacing w:line="240" w:lineRule="auto" w:before="0" w:after="0"/>
        <w:ind w:left="466" w:right="0" w:hanging="360"/>
        <w:jc w:val="left"/>
        <w:rPr>
          <w:sz w:val="24"/>
        </w:rPr>
      </w:pPr>
      <w:r>
        <w:rPr>
          <w:sz w:val="24"/>
        </w:rPr>
        <w:t>Submit the inventory annually to the State Historic Preservation</w:t>
      </w:r>
      <w:r>
        <w:rPr>
          <w:spacing w:val="-34"/>
          <w:sz w:val="24"/>
        </w:rPr>
        <w:t> </w:t>
      </w:r>
      <w:r>
        <w:rPr>
          <w:sz w:val="24"/>
        </w:rPr>
        <w:t>Officer.</w:t>
      </w:r>
    </w:p>
    <w:p>
      <w:pPr>
        <w:pStyle w:val="BodyText"/>
        <w:spacing w:before="4"/>
        <w:rPr>
          <w:sz w:val="34"/>
        </w:rPr>
      </w:pPr>
    </w:p>
    <w:p>
      <w:pPr>
        <w:pStyle w:val="ListParagraph"/>
        <w:numPr>
          <w:ilvl w:val="0"/>
          <w:numId w:val="80"/>
        </w:numPr>
        <w:tabs>
          <w:tab w:pos="467" w:val="left" w:leader="none"/>
        </w:tabs>
        <w:spacing w:line="240" w:lineRule="auto" w:before="1" w:after="0"/>
        <w:ind w:left="466" w:right="711" w:hanging="360"/>
        <w:jc w:val="left"/>
        <w:rPr>
          <w:i/>
          <w:sz w:val="24"/>
        </w:rPr>
      </w:pPr>
      <w:r>
        <w:rPr>
          <w:sz w:val="24"/>
        </w:rPr>
        <w:t>Notify the State Historic Preservation Officer of any capital outlay or special repair project which proposes any alteration, transfer of ownership, or demolition of any structure on the inventory</w:t>
      </w:r>
      <w:r>
        <w:rPr>
          <w:i/>
          <w:sz w:val="24"/>
        </w:rPr>
        <w:t>, prior to requesting funds for the</w:t>
      </w:r>
      <w:r>
        <w:rPr>
          <w:i/>
          <w:spacing w:val="-30"/>
          <w:sz w:val="24"/>
        </w:rPr>
        <w:t> </w:t>
      </w:r>
      <w:r>
        <w:rPr>
          <w:i/>
          <w:sz w:val="24"/>
        </w:rPr>
        <w:t>project.</w:t>
      </w:r>
    </w:p>
    <w:p>
      <w:pPr>
        <w:pStyle w:val="BodyText"/>
        <w:spacing w:before="122"/>
        <w:ind w:left="106" w:right="242"/>
      </w:pPr>
      <w:r>
        <w:rPr/>
        <w:t>The State Historic Preservation Officer has 30 days to comment on the project (Public Resources Code </w:t>
      </w:r>
      <w:hyperlink r:id="rId270">
        <w:r>
          <w:rPr>
            <w:color w:val="0000FF"/>
            <w:u w:val="single" w:color="0000FF"/>
          </w:rPr>
          <w:t>5024.5</w:t>
        </w:r>
      </w:hyperlink>
      <w:r>
        <w:rPr/>
        <w:t>). Based upon review of the inventory, if the officer determines the structure is potentially eligible for the National Register of Historic Places and that a proposed project will have an adverse effect, the officer may propose measures to eliminate or mitigate adverse impacts. If a department and the officer cannot concur on mitigations or alternatives, the Office of Planning and Research mediates the issue.</w:t>
      </w:r>
    </w:p>
    <w:p>
      <w:pPr>
        <w:pStyle w:val="BodyText"/>
        <w:spacing w:before="119"/>
        <w:ind w:left="106" w:right="683"/>
        <w:jc w:val="both"/>
      </w:pPr>
      <w:r>
        <w:rPr>
          <w:b/>
        </w:rPr>
        <w:t>Requirements for COBCPs</w:t>
      </w:r>
      <w:r>
        <w:rPr/>
        <w:t>: The department must note on the COBCP whether the project potentially affects a structure which is on, or could be on, the inventory. If the outcome of the historical resources review process affects project costs or scope, the client department must notify the DOF Capital Outlay unit.</w:t>
      </w:r>
    </w:p>
    <w:p>
      <w:pPr>
        <w:spacing w:after="0"/>
        <w:jc w:val="both"/>
        <w:sectPr>
          <w:pgSz w:w="12240" w:h="15840"/>
          <w:pgMar w:header="724" w:footer="792" w:top="980" w:bottom="980" w:left="1060" w:right="1340"/>
        </w:sectPr>
      </w:pPr>
    </w:p>
    <w:p>
      <w:pPr>
        <w:pStyle w:val="BodyText"/>
        <w:rPr>
          <w:sz w:val="20"/>
        </w:rPr>
      </w:pPr>
    </w:p>
    <w:p>
      <w:pPr>
        <w:tabs>
          <w:tab w:pos="9784" w:val="left" w:leader="none"/>
        </w:tabs>
        <w:spacing w:before="214"/>
        <w:ind w:left="686" w:right="0" w:firstLine="0"/>
        <w:jc w:val="left"/>
        <w:rPr>
          <w:b/>
          <w:sz w:val="24"/>
        </w:rPr>
      </w:pPr>
      <w:r>
        <w:rPr/>
        <w:pict>
          <v:line style="position:absolute;mso-position-horizontal-relative:page;mso-position-vertical-relative:paragraph;z-index:25984" from="29.4pt,24.715881pt" to="29.4pt,44.515881pt" stroked="true" strokeweight=".72pt" strokecolor="#000000">
            <v:stroke dashstyle="solid"/>
            <w10:wrap type="none"/>
          </v:line>
        </w:pict>
      </w:r>
      <w:r>
        <w:rPr>
          <w:b/>
          <w:sz w:val="24"/>
        </w:rPr>
        <w:t>USE</w:t>
      </w:r>
      <w:r>
        <w:rPr>
          <w:b/>
          <w:spacing w:val="-1"/>
          <w:sz w:val="24"/>
        </w:rPr>
        <w:t> </w:t>
      </w:r>
      <w:r>
        <w:rPr>
          <w:b/>
          <w:sz w:val="24"/>
        </w:rPr>
        <w:t>OF</w:t>
      </w:r>
      <w:r>
        <w:rPr>
          <w:b/>
          <w:spacing w:val="-2"/>
          <w:sz w:val="24"/>
        </w:rPr>
        <w:t> </w:t>
      </w:r>
      <w:r>
        <w:rPr>
          <w:b/>
          <w:sz w:val="24"/>
        </w:rPr>
        <w:t>CONSULTANTS</w:t>
        <w:tab/>
        <w:t>6823</w:t>
      </w:r>
    </w:p>
    <w:p>
      <w:pPr>
        <w:pStyle w:val="BodyText"/>
        <w:ind w:left="686"/>
      </w:pPr>
      <w:r>
        <w:rPr/>
        <w:t>(Revised </w:t>
      </w:r>
      <w:r>
        <w:rPr>
          <w:strike/>
          <w:color w:val="2E97D3"/>
        </w:rPr>
        <w:t>5/1998</w:t>
      </w:r>
      <w:r>
        <w:rPr>
          <w:strike w:val="0"/>
          <w:color w:val="2E97D3"/>
          <w:u w:val="single" w:color="2E97D3"/>
        </w:rPr>
        <w:t>9/2017</w:t>
      </w:r>
      <w:r>
        <w:rPr>
          <w:strike w:val="0"/>
        </w:rPr>
        <w:t>)</w:t>
      </w:r>
    </w:p>
    <w:p>
      <w:pPr>
        <w:pStyle w:val="BodyText"/>
        <w:spacing w:before="120"/>
        <w:ind w:left="686" w:right="215"/>
      </w:pPr>
      <w:r>
        <w:rPr/>
        <w:pict>
          <v:line style="position:absolute;mso-position-horizontal-relative:page;mso-position-vertical-relative:paragraph;z-index:26008" from="29.4pt,33.815845pt" to="29.4pt,61.415845pt" stroked="true" strokeweight=".72pt" strokecolor="#000000">
            <v:stroke dashstyle="solid"/>
            <w10:wrap type="none"/>
          </v:line>
        </w:pict>
      </w:r>
      <w:r>
        <w:rPr/>
        <w:pict>
          <v:line style="position:absolute;mso-position-horizontal-relative:page;mso-position-vertical-relative:paragraph;z-index:26032" from="29.4pt,89.014847pt" to="29.4pt,102.815847pt" stroked="true" strokeweight=".72pt" strokecolor="#000000">
            <v:stroke dashstyle="solid"/>
            <w10:wrap type="none"/>
          </v:line>
        </w:pict>
      </w:r>
      <w:r>
        <w:rPr>
          <w:b/>
        </w:rPr>
        <w:t>Technical consultant assistance: </w:t>
      </w:r>
      <w:r>
        <w:rPr/>
        <w:t>Departments may need professional input from consulting architects, facilities planners, engineers, or contractors in the development of a potential </w:t>
      </w:r>
      <w:r>
        <w:rPr>
          <w:color w:val="2E97D3"/>
          <w:u w:val="single" w:color="2E97D3"/>
        </w:rPr>
        <w:t>Capital Outlay Budget Change Proposal (</w:t>
      </w:r>
      <w:r>
        <w:rPr/>
        <w:t>COBCP</w:t>
      </w:r>
      <w:r>
        <w:rPr>
          <w:strike/>
          <w:color w:val="2E97D3"/>
        </w:rPr>
        <w:t>. For example, such</w:t>
      </w:r>
      <w:r>
        <w:rPr>
          <w:strike w:val="0"/>
          <w:color w:val="2E97D3"/>
          <w:u w:val="single" w:color="2E97D3"/>
        </w:rPr>
        <w:t>) or the completion of a study/budget package.  Such </w:t>
      </w:r>
      <w:r>
        <w:rPr>
          <w:strike w:val="0"/>
        </w:rPr>
        <w:t>assistance may </w:t>
      </w:r>
      <w:r>
        <w:rPr>
          <w:strike w:val="0"/>
          <w:color w:val="2E97D3"/>
          <w:u w:val="single" w:color="2E97D3"/>
        </w:rPr>
        <w:t>also </w:t>
      </w:r>
      <w:r>
        <w:rPr>
          <w:strike w:val="0"/>
        </w:rPr>
        <w:t>be solicited to prepare a needs assessment or facilities plan which examines current and future space and employee data, transportation issues, etc. DGS can assist in preparing such plans. In addition, </w:t>
      </w:r>
      <w:r>
        <w:rPr>
          <w:strike/>
          <w:color w:val="2E97D3"/>
        </w:rPr>
        <w:t>DOF’s</w:t>
      </w:r>
      <w:r>
        <w:rPr>
          <w:strike w:val="0"/>
          <w:color w:val="2E97D3"/>
          <w:u w:val="single" w:color="2E97D3"/>
        </w:rPr>
        <w:t>the Department of </w:t>
      </w:r>
      <w:r>
        <w:rPr>
          <w:strike w:val="0"/>
        </w:rPr>
        <w:t>Technology </w:t>
      </w:r>
      <w:r>
        <w:rPr>
          <w:strike/>
          <w:color w:val="2E97D3"/>
        </w:rPr>
        <w:t>Investment Review Unit (TIRU) </w:t>
      </w:r>
      <w:r>
        <w:rPr>
          <w:strike w:val="0"/>
        </w:rPr>
        <w:t>is a resource for technology phases of projects. Services from both offices are available on a reimbursable basis.</w:t>
      </w:r>
    </w:p>
    <w:p>
      <w:pPr>
        <w:pStyle w:val="BodyText"/>
        <w:spacing w:before="120"/>
        <w:ind w:left="686" w:right="406"/>
      </w:pPr>
      <w:r>
        <w:rPr/>
        <w:pict>
          <v:line style="position:absolute;mso-position-horizontal-relative:page;mso-position-vertical-relative:paragraph;z-index:-446704" from="262.559998pt,14.435833pt" to="265.920998pt,14.435833pt" stroked="true" strokeweight=".6pt" strokecolor="#2e97d3">
            <v:stroke dashstyle="solid"/>
            <w10:wrap type="none"/>
          </v:line>
        </w:pict>
      </w:r>
      <w:r>
        <w:rPr/>
        <w:pict>
          <v:line style="position:absolute;mso-position-horizontal-relative:page;mso-position-vertical-relative:paragraph;z-index:26056" from="29.4pt,6.215833pt" to="29.4pt,20.015833pt" stroked="true" strokeweight=".72pt" strokecolor="#000000">
            <v:stroke dashstyle="solid"/>
            <w10:wrap type="none"/>
          </v:line>
        </w:pict>
      </w:r>
      <w:r>
        <w:rPr/>
        <w:pict>
          <v:line style="position:absolute;mso-position-horizontal-relative:page;mso-position-vertical-relative:paragraph;z-index:26080" from="29.4pt,47.615833pt" to="29.4pt,81.215833pt" stroked="true" strokeweight=".72pt" strokecolor="#000000">
            <v:stroke dashstyle="solid"/>
            <w10:wrap type="none"/>
          </v:line>
        </w:pict>
      </w:r>
      <w:r>
        <w:rPr>
          <w:b/>
        </w:rPr>
        <w:t>Program management consultants</w:t>
      </w:r>
      <w:r>
        <w:rPr/>
        <w:t>: For large/complex projects, or a series of related projects which comprise a program, a department may need the services of a program management consultant to provide expertise in the unique needs of the agency. In this case, the consultant assists in the preparation of a long-range, multiple-year program </w:t>
      </w:r>
      <w:r>
        <w:rPr>
          <w:strike/>
          <w:color w:val="2E97D3"/>
        </w:rPr>
        <w:t>in order </w:t>
      </w:r>
      <w:r>
        <w:rPr>
          <w:strike w:val="0"/>
        </w:rPr>
        <w:t>to:</w:t>
      </w:r>
    </w:p>
    <w:p>
      <w:pPr>
        <w:pStyle w:val="BodyText"/>
        <w:tabs>
          <w:tab w:pos="2126" w:val="left" w:leader="none"/>
        </w:tabs>
        <w:spacing w:before="120"/>
        <w:ind w:left="1406"/>
      </w:pPr>
      <w:r>
        <w:rPr>
          <w:strike/>
          <w:color w:val="2E97D3"/>
        </w:rPr>
        <w:t>1.</w:t>
      </w:r>
      <w:r>
        <w:rPr>
          <w:strike w:val="0"/>
          <w:color w:val="2E97D3"/>
          <w:u w:val="single" w:color="2E97D3"/>
        </w:rPr>
        <w:t>(1)</w:t>
        <w:tab/>
      </w:r>
      <w:r>
        <w:rPr>
          <w:strike w:val="0"/>
        </w:rPr>
        <w:t>Establish facilities planning criteria and</w:t>
      </w:r>
      <w:r>
        <w:rPr>
          <w:strike w:val="0"/>
          <w:spacing w:val="-28"/>
        </w:rPr>
        <w:t> </w:t>
      </w:r>
      <w:r>
        <w:rPr>
          <w:strike w:val="0"/>
        </w:rPr>
        <w:t>objectives;</w:t>
      </w:r>
    </w:p>
    <w:p>
      <w:pPr>
        <w:pStyle w:val="BodyText"/>
        <w:tabs>
          <w:tab w:pos="2126" w:val="left" w:leader="none"/>
        </w:tabs>
        <w:spacing w:line="343" w:lineRule="auto" w:before="120"/>
        <w:ind w:left="1406" w:right="349"/>
      </w:pPr>
      <w:r>
        <w:rPr>
          <w:strike/>
          <w:color w:val="2E97D3"/>
        </w:rPr>
        <w:t>2.</w:t>
      </w:r>
      <w:r>
        <w:rPr>
          <w:strike w:val="0"/>
          <w:color w:val="2E97D3"/>
          <w:u w:val="single" w:color="2E97D3"/>
        </w:rPr>
        <w:t>(2)</w:t>
        <w:tab/>
      </w:r>
      <w:r>
        <w:rPr>
          <w:strike w:val="0"/>
        </w:rPr>
        <w:t>Develop time-lines for designing and constructing the various</w:t>
      </w:r>
      <w:r>
        <w:rPr>
          <w:strike w:val="0"/>
          <w:spacing w:val="-35"/>
        </w:rPr>
        <w:t> </w:t>
      </w:r>
      <w:r>
        <w:rPr>
          <w:strike w:val="0"/>
        </w:rPr>
        <w:t>facilities;</w:t>
      </w:r>
      <w:r>
        <w:rPr>
          <w:strike w:val="0"/>
          <w:spacing w:val="-3"/>
        </w:rPr>
        <w:t> </w:t>
      </w:r>
      <w:r>
        <w:rPr>
          <w:strike w:val="0"/>
        </w:rPr>
        <w:t>and</w:t>
      </w:r>
      <w:r>
        <w:rPr>
          <w:strike w:val="0"/>
          <w:w w:val="99"/>
        </w:rPr>
        <w:t> </w:t>
      </w:r>
      <w:r>
        <w:rPr>
          <w:strike/>
          <w:color w:val="2E97D3"/>
        </w:rPr>
        <w:t>3.</w:t>
      </w:r>
      <w:r>
        <w:rPr>
          <w:strike w:val="0"/>
          <w:color w:val="2E97D3"/>
          <w:u w:val="single" w:color="2E97D3"/>
        </w:rPr>
        <w:t>(3)</w:t>
        <w:tab/>
      </w:r>
      <w:r>
        <w:rPr>
          <w:strike w:val="0"/>
        </w:rPr>
        <w:t>Estimate the design, construction, and related costs for each</w:t>
      </w:r>
      <w:r>
        <w:rPr>
          <w:strike w:val="0"/>
          <w:spacing w:val="-29"/>
        </w:rPr>
        <w:t> </w:t>
      </w:r>
      <w:r>
        <w:rPr>
          <w:strike w:val="0"/>
        </w:rPr>
        <w:t>facility.</w:t>
      </w:r>
    </w:p>
    <w:p>
      <w:pPr>
        <w:pStyle w:val="BodyText"/>
        <w:spacing w:before="4"/>
        <w:ind w:left="686" w:right="402"/>
      </w:pPr>
      <w:r>
        <w:rPr/>
        <w:pict>
          <v:line style="position:absolute;mso-position-horizontal-relative:page;mso-position-vertical-relative:paragraph;z-index:26104" from="29.4pt,14.215869pt" to="29.4pt,55.615869pt" stroked="true" strokeweight=".72pt" strokecolor="#000000">
            <v:stroke dashstyle="solid"/>
            <w10:wrap type="none"/>
          </v:line>
        </w:pict>
      </w:r>
      <w:r>
        <w:rPr/>
        <w:t>The consultant may also help prepare a multiple year budget for the total program, work with DGS </w:t>
      </w:r>
      <w:r>
        <w:rPr>
          <w:strike/>
          <w:color w:val="2E97D3"/>
        </w:rPr>
        <w:t>in obtaining</w:t>
      </w:r>
      <w:r>
        <w:rPr>
          <w:strike w:val="0"/>
          <w:color w:val="2E97D3"/>
          <w:u w:val="single" w:color="2E97D3"/>
        </w:rPr>
        <w:t>to obtain </w:t>
      </w:r>
      <w:r>
        <w:rPr>
          <w:strike w:val="0"/>
        </w:rPr>
        <w:t>the services of design</w:t>
      </w:r>
      <w:r>
        <w:rPr>
          <w:strike w:val="0"/>
          <w:color w:val="2E97D3"/>
          <w:u w:val="single" w:color="2E97D3"/>
        </w:rPr>
        <w:t>, construction management, </w:t>
      </w:r>
      <w:r>
        <w:rPr>
          <w:strike w:val="0"/>
        </w:rPr>
        <w:t>and other consultants, and assist in </w:t>
      </w:r>
      <w:r>
        <w:rPr>
          <w:strike/>
          <w:color w:val="2E97D3"/>
        </w:rPr>
        <w:t>preparing</w:t>
      </w:r>
      <w:r>
        <w:rPr>
          <w:strike w:val="0"/>
          <w:color w:val="2E97D3"/>
          <w:u w:val="single" w:color="2E97D3"/>
        </w:rPr>
        <w:t>the preparation of </w:t>
      </w:r>
      <w:r>
        <w:rPr>
          <w:strike w:val="0"/>
        </w:rPr>
        <w:t>construction bid data </w:t>
      </w:r>
      <w:r>
        <w:rPr>
          <w:strike/>
          <w:color w:val="2E97D3"/>
        </w:rPr>
        <w:t>and obtaining construction management services</w:t>
      </w:r>
      <w:r>
        <w:rPr>
          <w:strike w:val="0"/>
        </w:rPr>
        <w:t>.</w:t>
      </w:r>
    </w:p>
    <w:p>
      <w:pPr>
        <w:pStyle w:val="BodyText"/>
        <w:spacing w:before="10"/>
        <w:rPr>
          <w:sz w:val="15"/>
        </w:rPr>
      </w:pPr>
    </w:p>
    <w:p>
      <w:pPr>
        <w:pStyle w:val="BodyText"/>
        <w:spacing w:before="92"/>
        <w:ind w:left="686" w:right="201"/>
      </w:pPr>
      <w:r>
        <w:rPr/>
        <w:pict>
          <v:line style="position:absolute;mso-position-horizontal-relative:page;mso-position-vertical-relative:paragraph;z-index:26128" from="29.4pt,18.61487pt" to="29.4pt,32.41587pt" stroked="true" strokeweight=".72pt" strokecolor="#000000">
            <v:stroke dashstyle="solid"/>
            <w10:wrap type="none"/>
          </v:line>
        </w:pict>
      </w:r>
      <w:r>
        <w:rPr/>
        <w:pict>
          <v:line style="position:absolute;mso-position-horizontal-relative:page;mso-position-vertical-relative:paragraph;z-index:26152" from="29.4pt,46.21587pt" to="29.4pt,73.81587pt" stroked="true" strokeweight=".72pt" strokecolor="#000000">
            <v:stroke dashstyle="solid"/>
            <w10:wrap type="none"/>
          </v:line>
        </w:pict>
      </w:r>
      <w:r>
        <w:rPr>
          <w:b/>
        </w:rPr>
        <w:t>Funding technical or program management consultants</w:t>
      </w:r>
      <w:r>
        <w:rPr/>
        <w:t>: Technical or program management consultants may be funded from either the </w:t>
      </w:r>
      <w:r>
        <w:rPr>
          <w:strike/>
          <w:color w:val="2E97D3"/>
        </w:rPr>
        <w:t>client </w:t>
      </w:r>
      <w:r>
        <w:rPr>
          <w:strike w:val="0"/>
        </w:rPr>
        <w:t>department’s state operations appropriation or as a capital outlay project, </w:t>
      </w:r>
      <w:r>
        <w:rPr>
          <w:i/>
          <w:strike w:val="0"/>
        </w:rPr>
        <w:t>depending on the timing and scope </w:t>
      </w:r>
      <w:r>
        <w:rPr>
          <w:i/>
          <w:strike w:val="0"/>
        </w:rPr>
        <w:t>of the services</w:t>
      </w:r>
      <w:r>
        <w:rPr>
          <w:strike w:val="0"/>
        </w:rPr>
        <w:t>. The </w:t>
      </w:r>
      <w:r>
        <w:rPr>
          <w:strike/>
          <w:color w:val="2E97D3"/>
        </w:rPr>
        <w:t>client </w:t>
      </w:r>
      <w:r>
        <w:rPr>
          <w:strike w:val="0"/>
        </w:rPr>
        <w:t>department should discuss budgeting alternatives with </w:t>
      </w:r>
      <w:r>
        <w:rPr>
          <w:strike/>
          <w:color w:val="2E97D3"/>
        </w:rPr>
        <w:t>DOF</w:t>
      </w:r>
      <w:r>
        <w:rPr>
          <w:strike w:val="0"/>
          <w:color w:val="2E97D3"/>
          <w:u w:val="single" w:color="2E97D3"/>
        </w:rPr>
        <w:t>Finance </w:t>
      </w:r>
      <w:r>
        <w:rPr>
          <w:strike w:val="0"/>
        </w:rPr>
        <w:t>before submitting a support </w:t>
      </w:r>
      <w:r>
        <w:rPr>
          <w:strike/>
          <w:color w:val="2E97D3"/>
        </w:rPr>
        <w:t>BCP</w:t>
      </w:r>
      <w:r>
        <w:rPr>
          <w:strike w:val="0"/>
          <w:color w:val="2E97D3"/>
          <w:u w:val="single" w:color="2E97D3"/>
        </w:rPr>
        <w:t>Budget Change Proposal</w:t>
      </w:r>
      <w:r>
        <w:rPr>
          <w:strike w:val="0"/>
        </w:rPr>
        <w:t>, a COBCP, or using existing support funding. COBCPs which include funding for these services should clearly identify these costs and provide a cost-benefit analysis.</w:t>
      </w:r>
    </w:p>
    <w:p>
      <w:pPr>
        <w:pStyle w:val="BodyText"/>
        <w:rPr>
          <w:sz w:val="26"/>
        </w:rPr>
      </w:pPr>
    </w:p>
    <w:p>
      <w:pPr>
        <w:pStyle w:val="Heading2"/>
        <w:tabs>
          <w:tab w:pos="9784" w:val="left" w:leader="none"/>
        </w:tabs>
        <w:spacing w:before="216"/>
        <w:ind w:left="686"/>
      </w:pPr>
      <w:r>
        <w:rPr/>
        <w:pict>
          <v:line style="position:absolute;mso-position-horizontal-relative:page;mso-position-vertical-relative:paragraph;z-index:26176" from="29.4pt,24.815861pt" to="29.4pt,167.015861pt" stroked="true" strokeweight=".72pt" strokecolor="#000000">
            <v:stroke dashstyle="solid"/>
            <w10:wrap type="none"/>
          </v:line>
        </w:pict>
      </w:r>
      <w:r>
        <w:rPr/>
        <w:t>DGS’</w:t>
      </w:r>
      <w:r>
        <w:rPr>
          <w:spacing w:val="-2"/>
        </w:rPr>
        <w:t> </w:t>
      </w:r>
      <w:r>
        <w:rPr/>
        <w:t>FEASIBILITY</w:t>
      </w:r>
      <w:r>
        <w:rPr>
          <w:spacing w:val="-5"/>
        </w:rPr>
        <w:t> </w:t>
      </w:r>
      <w:r>
        <w:rPr/>
        <w:t>REVIEW</w:t>
        <w:tab/>
        <w:t>6824</w:t>
      </w:r>
    </w:p>
    <w:p>
      <w:pPr>
        <w:pStyle w:val="BodyText"/>
        <w:ind w:left="686"/>
      </w:pPr>
      <w:r>
        <w:rPr>
          <w:strike/>
          <w:color w:val="2E97D3"/>
        </w:rPr>
        <w:t>(Revised 5/1998)</w:t>
      </w:r>
    </w:p>
    <w:p>
      <w:pPr>
        <w:pStyle w:val="BodyText"/>
        <w:spacing w:before="120"/>
        <w:ind w:left="686" w:right="167"/>
      </w:pPr>
      <w:r>
        <w:rPr>
          <w:strike/>
          <w:color w:val="2E97D3"/>
        </w:rPr>
        <w:t>After a preliminary review of a department’s COBCP and five-year plan, if DOF has questions about the project’s feasibility it may request DGS to review the project. If DGS determines the proposal is incomplete, not technically feasible, or inadequate as a solution, DOF will either withdraw the project from budget year consideration or request the department to modify and resubmit it immediately for reconsideration.</w:t>
      </w:r>
    </w:p>
    <w:p>
      <w:pPr>
        <w:pStyle w:val="BodyText"/>
        <w:spacing w:before="117"/>
        <w:ind w:left="686" w:right="189"/>
      </w:pPr>
      <w:r>
        <w:rPr>
          <w:strike/>
          <w:color w:val="2E97D3"/>
        </w:rPr>
        <w:t>Departments may also ask DGS to prepare a feasibility study for a project </w:t>
      </w:r>
      <w:r>
        <w:rPr>
          <w:i/>
          <w:strike/>
          <w:color w:val="2E97D3"/>
        </w:rPr>
        <w:t>before </w:t>
      </w:r>
      <w:r>
        <w:rPr>
          <w:strike/>
          <w:color w:val="2E97D3"/>
        </w:rPr>
        <w:t>deciding whether to propose a project through a COBCP. At this stage, i.e., before a project proposal is made, feasibility studies may be paid from the support budget (Section 6806).</w:t>
      </w:r>
    </w:p>
    <w:p>
      <w:pPr>
        <w:spacing w:after="0"/>
        <w:sectPr>
          <w:footerReference w:type="default" r:id="rId271"/>
          <w:pgSz w:w="12240" w:h="15840"/>
          <w:pgMar w:footer="792" w:header="724" w:top="980" w:bottom="980" w:left="480" w:right="1340"/>
        </w:sectPr>
      </w:pPr>
    </w:p>
    <w:p>
      <w:pPr>
        <w:pStyle w:val="BodyText"/>
        <w:rPr>
          <w:sz w:val="20"/>
        </w:rPr>
      </w:pPr>
    </w:p>
    <w:p>
      <w:pPr>
        <w:pStyle w:val="BodyText"/>
        <w:spacing w:before="214"/>
        <w:ind w:left="686" w:right="155"/>
      </w:pPr>
      <w:r>
        <w:rPr/>
        <w:pict>
          <v:line style="position:absolute;mso-position-horizontal-relative:page;mso-position-vertical-relative:paragraph;z-index:26200" from="29.4pt,10.915881pt" to="29.4pt,66.115881pt" stroked="true" strokeweight=".72pt" strokecolor="#000000">
            <v:stroke dashstyle="solid"/>
            <w10:wrap type="none"/>
          </v:line>
        </w:pict>
      </w:r>
      <w:r>
        <w:rPr>
          <w:strike/>
          <w:color w:val="2E97D3"/>
        </w:rPr>
        <w:t>For larger or more complicated projects, departments (or DOF) may propose that a feasibility study be performed as the first budgeted phase of a capital outlay project. A separate COBCP is required (Section 6818) and a separate appropriation is requested from the Legislature for this phase.</w:t>
      </w:r>
    </w:p>
    <w:p>
      <w:pPr>
        <w:spacing w:after="0"/>
        <w:sectPr>
          <w:pgSz w:w="12240" w:h="15840"/>
          <w:pgMar w:header="724" w:footer="792" w:top="980" w:bottom="980" w:left="480" w:right="1720"/>
        </w:sectPr>
      </w:pPr>
    </w:p>
    <w:p>
      <w:pPr>
        <w:pStyle w:val="BodyText"/>
        <w:rPr>
          <w:sz w:val="20"/>
        </w:rPr>
      </w:pPr>
    </w:p>
    <w:p>
      <w:pPr>
        <w:pStyle w:val="BodyText"/>
        <w:spacing w:before="214"/>
        <w:ind w:left="686"/>
      </w:pPr>
      <w:r>
        <w:rPr/>
        <w:pict>
          <v:line style="position:absolute;mso-position-horizontal-relative:page;mso-position-vertical-relative:paragraph;z-index:26320" from="29.4pt,10.915881pt" to="29.4pt,30.715881pt" stroked="true" strokeweight=".72pt" strokecolor="#000000">
            <v:stroke dashstyle="solid"/>
            <w10:wrap type="none"/>
          </v:line>
        </w:pict>
      </w:r>
      <w:r>
        <w:rPr>
          <w:color w:val="2E97D3"/>
          <w:u w:val="single" w:color="2E97D3"/>
        </w:rPr>
        <w:t>(Deleted 10/2017)</w:t>
      </w:r>
    </w:p>
    <w:p>
      <w:pPr>
        <w:pStyle w:val="BodyText"/>
        <w:spacing w:before="5"/>
        <w:rPr>
          <w:sz w:val="22"/>
        </w:rPr>
      </w:pPr>
    </w:p>
    <w:p>
      <w:pPr>
        <w:pStyle w:val="Heading2"/>
        <w:tabs>
          <w:tab w:pos="9784" w:val="left" w:leader="none"/>
        </w:tabs>
        <w:spacing w:before="92"/>
        <w:ind w:left="686"/>
      </w:pPr>
      <w:r>
        <w:rPr/>
        <w:t>SCOPE</w:t>
      </w:r>
      <w:r>
        <w:rPr>
          <w:spacing w:val="-1"/>
        </w:rPr>
        <w:t> </w:t>
      </w:r>
      <w:r>
        <w:rPr/>
        <w:t>MEETINGS</w:t>
        <w:tab/>
        <w:t>6826</w:t>
      </w:r>
    </w:p>
    <w:p>
      <w:pPr>
        <w:pStyle w:val="BodyText"/>
        <w:ind w:left="686"/>
      </w:pPr>
      <w:bookmarkStart w:name="(Revised 5/1998)" w:id="90"/>
      <w:bookmarkEnd w:id="90"/>
      <w:r>
        <w:rPr/>
      </w:r>
      <w:r>
        <w:rPr/>
        <w:t>(Revised 5/1998)</w:t>
      </w:r>
    </w:p>
    <w:p>
      <w:pPr>
        <w:pStyle w:val="BodyText"/>
        <w:spacing w:before="120"/>
        <w:ind w:left="686" w:right="428"/>
      </w:pPr>
      <w:r>
        <w:rPr/>
        <w:pict>
          <v:line style="position:absolute;mso-position-horizontal-relative:page;mso-position-vertical-relative:paragraph;z-index:26344" from="29.4pt,75.215836pt" to="29.4pt,604.535836pt" stroked="true" strokeweight=".72pt" strokecolor="#000000">
            <v:stroke dashstyle="solid"/>
            <w10:wrap type="none"/>
          </v:line>
        </w:pict>
      </w:r>
      <w:r>
        <w:rPr/>
        <w:t>Departments may be requested to schedule meetings and/or arrange site visits to help DOF clarify and evaluate project necessity and scope. Participants usually include DOF capital outlay staff, department staff, DGS, and LAO, and may also include other legislative staff. The scope meeting establishes a common understanding among all parties about project scope and priority.  </w:t>
      </w:r>
      <w:r>
        <w:rPr>
          <w:i/>
        </w:rPr>
        <w:t>Scope </w:t>
      </w:r>
      <w:r>
        <w:rPr/>
        <w:t>is defined in Section 6863.</w:t>
      </w:r>
    </w:p>
    <w:p>
      <w:pPr>
        <w:pStyle w:val="BodyText"/>
        <w:rPr>
          <w:sz w:val="26"/>
        </w:rPr>
      </w:pPr>
    </w:p>
    <w:p>
      <w:pPr>
        <w:pStyle w:val="Heading2"/>
        <w:tabs>
          <w:tab w:pos="9784" w:val="left" w:leader="none"/>
        </w:tabs>
        <w:spacing w:before="219"/>
        <w:ind w:left="686"/>
      </w:pPr>
      <w:r>
        <w:rPr/>
        <w:pict>
          <v:line style="position:absolute;mso-position-horizontal-relative:page;mso-position-vertical-relative:paragraph;z-index:-446440" from="58.32pt,19.386349pt" to="539.88pt,19.386349pt" stroked="true" strokeweight=".599pt" strokecolor="#2e97d3">
            <v:stroke dashstyle="solid"/>
            <w10:wrap type="none"/>
          </v:line>
        </w:pict>
      </w:r>
      <w:r>
        <w:rPr>
          <w:color w:val="2E97D3"/>
        </w:rPr>
        <w:t>BUDGET PACKAGE PREPARATION,</w:t>
      </w:r>
      <w:r>
        <w:rPr>
          <w:color w:val="2E97D3"/>
          <w:spacing w:val="-10"/>
        </w:rPr>
        <w:t> </w:t>
      </w:r>
      <w:r>
        <w:rPr>
          <w:color w:val="2E97D3"/>
        </w:rPr>
        <w:t>BUDGET</w:t>
      </w:r>
      <w:r>
        <w:rPr>
          <w:color w:val="2E97D3"/>
          <w:spacing w:val="-5"/>
        </w:rPr>
        <w:t> </w:t>
      </w:r>
      <w:r>
        <w:rPr>
          <w:color w:val="2E97D3"/>
        </w:rPr>
        <w:t>ESTIMATES</w:t>
        <w:tab/>
        <w:t>6828</w:t>
      </w:r>
    </w:p>
    <w:p>
      <w:pPr>
        <w:pStyle w:val="BodyText"/>
        <w:rPr>
          <w:b/>
          <w:sz w:val="20"/>
        </w:rPr>
      </w:pPr>
    </w:p>
    <w:p>
      <w:pPr>
        <w:pStyle w:val="BodyText"/>
        <w:rPr>
          <w:b/>
          <w:sz w:val="17"/>
        </w:rPr>
      </w:pPr>
    </w:p>
    <w:p>
      <w:pPr>
        <w:tabs>
          <w:tab w:pos="9784" w:val="left" w:leader="none"/>
        </w:tabs>
        <w:spacing w:before="93"/>
        <w:ind w:left="686" w:right="0" w:firstLine="0"/>
        <w:jc w:val="left"/>
        <w:rPr>
          <w:b/>
          <w:sz w:val="24"/>
        </w:rPr>
      </w:pPr>
      <w:r>
        <w:rPr/>
        <w:pict>
          <v:line style="position:absolute;mso-position-horizontal-relative:page;mso-position-vertical-relative:paragraph;z-index:-446416" from="58.32pt,17.825848pt" to="539.88pt,17.825848pt" stroked="true" strokeweight="1.2pt" strokecolor="#2e97d3">
            <v:stroke dashstyle="solid"/>
            <w10:wrap type="none"/>
          </v:line>
        </w:pict>
      </w:r>
      <w:bookmarkStart w:name="(Revised 5/199810/2017)" w:id="91"/>
      <w:bookmarkEnd w:id="91"/>
      <w:r>
        <w:rPr/>
      </w:r>
      <w:r>
        <w:rPr>
          <w:b/>
          <w:color w:val="2E97D3"/>
          <w:sz w:val="24"/>
        </w:rPr>
        <w:t>STUDIES</w:t>
        <w:tab/>
        <w:t>6828</w:t>
      </w:r>
    </w:p>
    <w:p>
      <w:pPr>
        <w:pStyle w:val="BodyText"/>
        <w:ind w:left="686"/>
      </w:pPr>
      <w:r>
        <w:rPr/>
        <w:t>(Revised </w:t>
      </w:r>
      <w:r>
        <w:rPr>
          <w:strike/>
          <w:color w:val="2E97D3"/>
        </w:rPr>
        <w:t>5/1998</w:t>
      </w:r>
      <w:r>
        <w:rPr>
          <w:strike w:val="0"/>
          <w:color w:val="2E97D3"/>
          <w:u w:val="single" w:color="2E97D3"/>
        </w:rPr>
        <w:t>10/2017</w:t>
      </w:r>
      <w:r>
        <w:rPr>
          <w:strike w:val="0"/>
        </w:rPr>
        <w:t>)</w:t>
      </w:r>
    </w:p>
    <w:p>
      <w:pPr>
        <w:pStyle w:val="BodyText"/>
        <w:spacing w:before="120"/>
        <w:ind w:left="686" w:right="116"/>
      </w:pPr>
      <w:r>
        <w:rPr>
          <w:strike/>
          <w:color w:val="2E97D3"/>
        </w:rPr>
        <w:t>The </w:t>
      </w:r>
      <w:r>
        <w:rPr>
          <w:strike w:val="0"/>
          <w:color w:val="2E97D3"/>
          <w:u w:val="single" w:color="2E97D3"/>
        </w:rPr>
        <w:t>After a preliminary review of the department’s Capital Outlay Budget Change Proposal (COBCP) and Five-Year Plan, or any time prior to official submittal of a proposed project, Finance may recommend funding for a study phase be included in the Budget, approve the use of existing department funds for the completion of a study, or approve the use of existing Statewide Planning and Studies funding (BU 9860)</w:t>
      </w:r>
      <w:r>
        <w:rPr>
          <w:strike w:val="0"/>
          <w:color w:val="2E97D3"/>
          <w:spacing w:val="-47"/>
          <w:u w:val="single" w:color="2E97D3"/>
        </w:rPr>
        <w:t> </w:t>
      </w:r>
      <w:r>
        <w:rPr>
          <w:strike w:val="0"/>
          <w:color w:val="2E97D3"/>
          <w:u w:val="single" w:color="2E97D3"/>
        </w:rPr>
        <w:t>for the completion of a study.</w:t>
      </w:r>
    </w:p>
    <w:p>
      <w:pPr>
        <w:pStyle w:val="BodyText"/>
        <w:ind w:left="686" w:right="129"/>
      </w:pPr>
      <w:r>
        <w:rPr>
          <w:color w:val="2E97D3"/>
          <w:u w:val="single" w:color="2E97D3"/>
        </w:rPr>
        <w:t>The objective of the study is to understand the project’s feasibility and to refine the project cost estimates. Finance then uses this information along with a revised Project Cost Summary (6828 Illustration 1), prepared by DGS, for budgetary decision making purposes.</w:t>
      </w:r>
    </w:p>
    <w:p>
      <w:pPr>
        <w:pStyle w:val="Heading2"/>
        <w:spacing w:before="120"/>
        <w:ind w:left="686"/>
      </w:pPr>
      <w:r>
        <w:rPr>
          <w:color w:val="2E97D3"/>
          <w:u w:val="thick" w:color="2E97D3"/>
        </w:rPr>
        <w:t>BUDGET PACKAGES</w:t>
      </w:r>
    </w:p>
    <w:p>
      <w:pPr>
        <w:pStyle w:val="BodyText"/>
        <w:spacing w:before="120"/>
        <w:ind w:left="686" w:right="281"/>
      </w:pPr>
      <w:r>
        <w:rPr>
          <w:color w:val="2E97D3"/>
          <w:u w:val="single" w:color="2E97D3"/>
        </w:rPr>
        <w:t>A </w:t>
      </w:r>
      <w:r>
        <w:rPr/>
        <w:t>budget package </w:t>
      </w:r>
      <w:r>
        <w:rPr>
          <w:strike/>
          <w:color w:val="2E97D3"/>
        </w:rPr>
        <w:t>refines the department’s estimate of the project’s total cost as presented in the COBCP. DOF then uses this refined estimate to prepare the </w:t>
      </w:r>
      <w:r>
        <w:rPr>
          <w:i/>
          <w:strike/>
          <w:color w:val="2E97D3"/>
        </w:rPr>
        <w:t>Governor’s </w:t>
      </w:r>
      <w:r>
        <w:rPr>
          <w:i/>
          <w:strike/>
          <w:color w:val="2E97D3"/>
        </w:rPr>
        <w:t>Budget</w:t>
      </w:r>
      <w:r>
        <w:rPr>
          <w:strike/>
          <w:color w:val="2E97D3"/>
        </w:rPr>
        <w:t>. An example of a </w:t>
      </w:r>
      <w:r>
        <w:rPr>
          <w:strike w:val="0"/>
          <w:color w:val="2E97D3"/>
          <w:u w:val="single" w:color="2E97D3"/>
        </w:rPr>
        <w:t>is the formal output used to communicate the information gathered during the study phase. The </w:t>
      </w:r>
      <w:r>
        <w:rPr>
          <w:strike w:val="0"/>
        </w:rPr>
        <w:t>budget package </w:t>
      </w:r>
      <w:r>
        <w:rPr>
          <w:strike/>
          <w:color w:val="2E97D3"/>
        </w:rPr>
        <w:t>(comprised of a cost estimate summary and a statement of cost by phase) is presented in 6828 Illustrations 1 and 2 of this section.</w:t>
      </w:r>
    </w:p>
    <w:p>
      <w:pPr>
        <w:pStyle w:val="BodyText"/>
        <w:spacing w:before="120"/>
        <w:ind w:left="686" w:right="151"/>
      </w:pPr>
      <w:r>
        <w:rPr/>
        <w:pict>
          <v:line style="position:absolute;mso-position-horizontal-relative:page;mso-position-vertical-relative:paragraph;z-index:-446392" from="176.399994pt,60.395859pt" to="179.759994pt,60.395859pt" stroked="true" strokeweight=".84pt" strokecolor="#2e97d3">
            <v:stroke dashstyle="solid"/>
            <w10:wrap type="none"/>
          </v:line>
        </w:pict>
      </w:r>
      <w:r>
        <w:rPr/>
        <w:pict>
          <v:line style="position:absolute;mso-position-horizontal-relative:page;mso-position-vertical-relative:paragraph;z-index:-446368" from="235.199997pt,60.395859pt" to="238.560997pt,60.395859pt" stroked="true" strokeweight=".84pt" strokecolor="#2e97d3">
            <v:stroke dashstyle="solid"/>
            <w10:wrap type="none"/>
          </v:line>
        </w:pict>
      </w:r>
      <w:r>
        <w:rPr>
          <w:strike/>
          <w:color w:val="2E97D3"/>
        </w:rPr>
        <w:t>DOF authorizes DGS to prepare</w:t>
      </w:r>
      <w:r>
        <w:rPr>
          <w:strike w:val="0"/>
          <w:color w:val="2E97D3"/>
          <w:u w:val="single" w:color="2E97D3"/>
        </w:rPr>
        <w:t>is distributed to DGS, departments, and Finance. DGS</w:t>
      </w:r>
      <w:r>
        <w:rPr>
          <w:strike w:val="0"/>
          <w:color w:val="2E97D3"/>
          <w:spacing w:val="-42"/>
          <w:u w:val="single" w:color="2E97D3"/>
        </w:rPr>
        <w:t> </w:t>
      </w:r>
      <w:r>
        <w:rPr>
          <w:strike w:val="0"/>
          <w:color w:val="2E97D3"/>
          <w:u w:val="single" w:color="2E97D3"/>
        </w:rPr>
        <w:t>will often prepare, and facilitate the completion of, </w:t>
      </w:r>
      <w:r>
        <w:rPr>
          <w:strike w:val="0"/>
        </w:rPr>
        <w:t>budget packages </w:t>
      </w:r>
      <w:r>
        <w:rPr>
          <w:strike/>
          <w:color w:val="2E97D3"/>
        </w:rPr>
        <w:t>only for those projects with a strong likelihood of funding. (The </w:t>
      </w:r>
      <w:r>
        <w:rPr>
          <w:strike w:val="0"/>
          <w:color w:val="2E97D3"/>
          <w:u w:val="single" w:color="2E97D3"/>
        </w:rPr>
        <w:t>for state departments; however the </w:t>
      </w:r>
      <w:r>
        <w:rPr>
          <w:strike w:val="0"/>
        </w:rPr>
        <w:t>following entities are authorized</w:t>
      </w:r>
      <w:r>
        <w:rPr>
          <w:strike w:val="0"/>
          <w:color w:val="2E97D3"/>
        </w:rPr>
        <w:t>, </w:t>
      </w:r>
      <w:r>
        <w:rPr>
          <w:strike w:val="0"/>
        </w:rPr>
        <w:t>by statute</w:t>
      </w:r>
      <w:r>
        <w:rPr>
          <w:strike w:val="0"/>
          <w:color w:val="2E97D3"/>
        </w:rPr>
        <w:t>, </w:t>
      </w:r>
      <w:r>
        <w:rPr>
          <w:strike w:val="0"/>
        </w:rPr>
        <w:t>to prepare their own budget packages: </w:t>
      </w:r>
      <w:r>
        <w:rPr>
          <w:strike/>
          <w:color w:val="2E97D3"/>
        </w:rPr>
        <w:t>the </w:t>
      </w:r>
      <w:r>
        <w:rPr>
          <w:strike w:val="0"/>
        </w:rPr>
        <w:t>higher education </w:t>
      </w:r>
      <w:r>
        <w:rPr>
          <w:strike/>
          <w:color w:val="2E97D3"/>
        </w:rPr>
        <w:t>segments</w:t>
      </w:r>
      <w:r>
        <w:rPr>
          <w:strike w:val="0"/>
        </w:rPr>
        <w:t>, the Department of Water Resources, and the California Department of Corrections </w:t>
      </w:r>
      <w:r>
        <w:rPr>
          <w:strike w:val="0"/>
          <w:color w:val="2E97D3"/>
          <w:u w:val="single" w:color="2E97D3"/>
        </w:rPr>
        <w:t>and Rehabilitation (</w:t>
      </w:r>
      <w:r>
        <w:rPr>
          <w:strike w:val="0"/>
        </w:rPr>
        <w:t>for new prison construction.)  </w:t>
      </w:r>
      <w:r>
        <w:rPr>
          <w:strike/>
          <w:color w:val="2E97D3"/>
        </w:rPr>
        <w:t>Payment for DGS’ services typically is provided by departments or—for those agencies without capital outlay programming funds—from a project planning appropriation administered by</w:t>
      </w:r>
      <w:r>
        <w:rPr>
          <w:strike/>
          <w:color w:val="2E97D3"/>
          <w:spacing w:val="-41"/>
        </w:rPr>
        <w:t> </w:t>
      </w:r>
      <w:r>
        <w:rPr>
          <w:strike/>
          <w:color w:val="2E97D3"/>
        </w:rPr>
        <w:t>DOF.</w:t>
      </w:r>
    </w:p>
    <w:p>
      <w:pPr>
        <w:pStyle w:val="BodyText"/>
        <w:ind w:left="686" w:right="182"/>
      </w:pPr>
      <w:r>
        <w:rPr>
          <w:strike/>
          <w:color w:val="2E97D3"/>
        </w:rPr>
        <w:t>Transfer of</w:t>
      </w:r>
      <w:r>
        <w:rPr>
          <w:strike w:val="0"/>
          <w:color w:val="2E97D3"/>
          <w:u w:val="single" w:color="2E97D3"/>
        </w:rPr>
        <w:t>See Section 6847 for the process of transferring </w:t>
      </w:r>
      <w:r>
        <w:rPr>
          <w:strike w:val="0"/>
        </w:rPr>
        <w:t>funds to DGS </w:t>
      </w:r>
      <w:r>
        <w:rPr>
          <w:strike/>
          <w:color w:val="2E97D3"/>
        </w:rPr>
        <w:t>is made through a Form 22, (6868 Illustration 1.)</w:t>
      </w:r>
      <w:r>
        <w:rPr>
          <w:strike w:val="0"/>
          <w:color w:val="2E97D3"/>
          <w:u w:val="single" w:color="2E97D3"/>
        </w:rPr>
        <w:t>for new projects or phases of work, such as a study.</w:t>
      </w:r>
    </w:p>
    <w:p>
      <w:pPr>
        <w:spacing w:before="120"/>
        <w:ind w:left="686" w:right="0" w:firstLine="0"/>
        <w:jc w:val="left"/>
        <w:rPr>
          <w:b/>
          <w:sz w:val="24"/>
        </w:rPr>
      </w:pPr>
      <w:r>
        <w:rPr>
          <w:strike/>
          <w:color w:val="2E97D3"/>
          <w:sz w:val="24"/>
        </w:rPr>
        <w:t>As DGS completes the</w:t>
      </w:r>
      <w:r>
        <w:rPr>
          <w:b/>
          <w:strike w:val="0"/>
          <w:color w:val="2E97D3"/>
          <w:sz w:val="24"/>
          <w:u w:val="thick" w:color="2E97D3"/>
        </w:rPr>
        <w:t>PROJECT COST SUMMARY</w:t>
      </w:r>
    </w:p>
    <w:p>
      <w:pPr>
        <w:spacing w:before="120"/>
        <w:ind w:left="686" w:right="290" w:firstLine="0"/>
        <w:jc w:val="both"/>
        <w:rPr>
          <w:sz w:val="24"/>
        </w:rPr>
      </w:pPr>
      <w:r>
        <w:rPr>
          <w:rFonts w:ascii="Times New Roman"/>
          <w:color w:val="2E97D3"/>
          <w:sz w:val="20"/>
          <w:u w:val="single" w:color="2E97D3"/>
        </w:rPr>
        <w:t>Completed </w:t>
      </w:r>
      <w:r>
        <w:rPr>
          <w:rFonts w:ascii="Times New Roman"/>
          <w:sz w:val="20"/>
        </w:rPr>
        <w:t>budget packages</w:t>
      </w:r>
      <w:r>
        <w:rPr>
          <w:strike/>
          <w:color w:val="2E97D3"/>
          <w:sz w:val="24"/>
        </w:rPr>
        <w:t>, it submits them to DOF for final policy and cost review, with a copy to the department. At that time, DOF may schedule additional meetings with</w:t>
      </w:r>
      <w:r>
        <w:rPr>
          <w:rFonts w:ascii="Times New Roman"/>
          <w:strike w:val="0"/>
          <w:color w:val="2E97D3"/>
          <w:sz w:val="20"/>
          <w:u w:val="single" w:color="2E97D3"/>
        </w:rPr>
        <w:t>/studies must be accompanied by a Project Cost Summary when they are completed and submitted to Finance and </w:t>
      </w:r>
      <w:r>
        <w:rPr>
          <w:rFonts w:ascii="Times New Roman"/>
          <w:strike w:val="0"/>
          <w:sz w:val="20"/>
        </w:rPr>
        <w:t>the department </w:t>
      </w:r>
      <w:r>
        <w:rPr>
          <w:strike/>
          <w:color w:val="2E97D3"/>
          <w:sz w:val="24"/>
        </w:rPr>
        <w:t>and</w:t>
      </w:r>
    </w:p>
    <w:p>
      <w:pPr>
        <w:spacing w:after="0"/>
        <w:jc w:val="both"/>
        <w:rPr>
          <w:sz w:val="24"/>
        </w:rPr>
        <w:sectPr>
          <w:pgSz w:w="12240" w:h="15840"/>
          <w:pgMar w:header="724" w:footer="792" w:top="980" w:bottom="980" w:left="480" w:right="1320"/>
        </w:sectPr>
      </w:pPr>
    </w:p>
    <w:p>
      <w:pPr>
        <w:pStyle w:val="BodyText"/>
        <w:rPr>
          <w:sz w:val="20"/>
        </w:rPr>
      </w:pPr>
    </w:p>
    <w:p>
      <w:pPr>
        <w:spacing w:before="214"/>
        <w:ind w:left="686" w:right="0" w:firstLine="0"/>
        <w:jc w:val="left"/>
        <w:rPr>
          <w:sz w:val="24"/>
        </w:rPr>
      </w:pPr>
      <w:r>
        <w:rPr/>
        <w:pict>
          <v:line style="position:absolute;mso-position-horizontal-relative:page;mso-position-vertical-relative:paragraph;z-index:26392" from="29.4pt,10.915881pt" to="29.4pt,168.715881pt" stroked="true" strokeweight=".72pt" strokecolor="#000000">
            <v:stroke dashstyle="solid"/>
            <w10:wrap type="none"/>
          </v:line>
        </w:pict>
      </w:r>
      <w:r>
        <w:rPr>
          <w:strike/>
          <w:color w:val="2E97D3"/>
          <w:sz w:val="24"/>
        </w:rPr>
        <w:t>DGS to complete its</w:t>
      </w:r>
      <w:r>
        <w:rPr>
          <w:rFonts w:ascii="Times New Roman"/>
          <w:strike w:val="0"/>
          <w:color w:val="2E97D3"/>
          <w:sz w:val="20"/>
          <w:u w:val="single" w:color="2E97D3"/>
        </w:rPr>
        <w:t>(if DGS is completing the budget package) for </w:t>
      </w:r>
      <w:r>
        <w:rPr>
          <w:rFonts w:ascii="Times New Roman"/>
          <w:strike w:val="0"/>
          <w:sz w:val="20"/>
        </w:rPr>
        <w:t>review. </w:t>
      </w:r>
      <w:r>
        <w:rPr>
          <w:strike/>
          <w:color w:val="2E97D3"/>
          <w:sz w:val="24"/>
        </w:rPr>
        <w:t>(See Section 6814 for a budget enactment timetable.)</w:t>
      </w:r>
    </w:p>
    <w:p>
      <w:pPr>
        <w:pStyle w:val="BodyText"/>
        <w:spacing w:before="120"/>
        <w:ind w:left="686"/>
      </w:pPr>
      <w:r>
        <w:rPr/>
        <w:pict>
          <v:line style="position:absolute;mso-position-horizontal-relative:page;mso-position-vertical-relative:paragraph;z-index:-446296" from="530.520020pt,46.595345pt" to="533.880020pt,46.595345pt" stroked="true" strokeweight=".841pt" strokecolor="#2e97d3">
            <v:stroke dashstyle="solid"/>
            <w10:wrap type="none"/>
          </v:line>
        </w:pict>
      </w:r>
      <w:r>
        <w:rPr>
          <w:strike/>
          <w:color w:val="2E97D3"/>
        </w:rPr>
        <w:t>For construction projects, budget packages consist of a project description, a project schedule, pre-schematic plans, outline specifications, and a cost estimate. </w:t>
      </w:r>
      <w:r>
        <w:rPr>
          <w:strike w:val="0"/>
        </w:rPr>
        <w:t>DGS prepares </w:t>
      </w:r>
      <w:r>
        <w:rPr>
          <w:strike/>
          <w:color w:val="2E97D3"/>
        </w:rPr>
        <w:t>these items</w:t>
      </w:r>
      <w:r>
        <w:rPr>
          <w:strike w:val="0"/>
          <w:color w:val="2E97D3"/>
          <w:u w:val="single" w:color="2E97D3"/>
        </w:rPr>
        <w:t>the Project Cost Summary </w:t>
      </w:r>
      <w:r>
        <w:rPr>
          <w:strike w:val="0"/>
        </w:rPr>
        <w:t>from information provided by the </w:t>
      </w:r>
      <w:r>
        <w:rPr>
          <w:strike/>
          <w:color w:val="2E97D3"/>
        </w:rPr>
        <w:t>client </w:t>
      </w:r>
      <w:r>
        <w:rPr>
          <w:strike w:val="0"/>
        </w:rPr>
        <w:t>department</w:t>
      </w:r>
      <w:r>
        <w:rPr>
          <w:strike w:val="0"/>
          <w:color w:val="2E97D3"/>
        </w:rPr>
        <w:t>, </w:t>
      </w:r>
      <w:r>
        <w:rPr>
          <w:strike w:val="0"/>
        </w:rPr>
        <w:t>in </w:t>
      </w:r>
      <w:r>
        <w:rPr>
          <w:strike/>
          <w:color w:val="2E97D3"/>
        </w:rPr>
        <w:t>the COBCP, in scope</w:t>
      </w:r>
      <w:r>
        <w:rPr>
          <w:strike w:val="0"/>
          <w:color w:val="2E97D3"/>
          <w:u w:val="single" w:color="2E97D3"/>
        </w:rPr>
        <w:t>scoping </w:t>
      </w:r>
      <w:r>
        <w:rPr>
          <w:strike w:val="0"/>
        </w:rPr>
        <w:t>meetings, during the environmental review process, and from data compiled during the </w:t>
      </w:r>
      <w:r>
        <w:rPr>
          <w:strike w:val="0"/>
          <w:color w:val="2E97D3"/>
          <w:u w:val="single" w:color="2E97D3"/>
        </w:rPr>
        <w:t>budget package/study </w:t>
      </w:r>
      <w:r>
        <w:rPr>
          <w:strike w:val="0"/>
        </w:rPr>
        <w:t>feasibility review process (if any).</w:t>
      </w:r>
    </w:p>
    <w:p>
      <w:pPr>
        <w:pStyle w:val="BodyText"/>
        <w:ind w:left="686" w:right="336"/>
      </w:pPr>
      <w:r>
        <w:rPr>
          <w:color w:val="2E97D3"/>
          <w:u w:val="single" w:color="2E97D3"/>
        </w:rPr>
        <w:t>See 6828 Illustration 2 for a description of the categories included in the Project Cost Summary. </w:t>
      </w:r>
      <w:r>
        <w:rPr/>
        <w:t>Any department authorized to act as its own project manager is required to provide equivalent information using the same format and </w:t>
      </w:r>
      <w:r>
        <w:rPr>
          <w:strike/>
          <w:color w:val="2E97D3"/>
        </w:rPr>
        <w:t>time-frames</w:t>
      </w:r>
      <w:r>
        <w:rPr>
          <w:strike w:val="0"/>
          <w:color w:val="2E97D3"/>
          <w:u w:val="single" w:color="2E97D3"/>
        </w:rPr>
        <w:t>business process described in this section</w:t>
      </w:r>
      <w:r>
        <w:rPr>
          <w:strike w:val="0"/>
        </w:rPr>
        <w:t>.</w:t>
      </w:r>
    </w:p>
    <w:p>
      <w:pPr>
        <w:spacing w:after="0"/>
        <w:sectPr>
          <w:pgSz w:w="12240" w:h="15840"/>
          <w:pgMar w:header="724" w:footer="792" w:top="980" w:bottom="980" w:left="480" w:right="1420"/>
        </w:sectPr>
      </w:pPr>
    </w:p>
    <w:p>
      <w:pPr>
        <w:pStyle w:val="BodyText"/>
        <w:rPr>
          <w:sz w:val="20"/>
        </w:rPr>
      </w:pPr>
      <w:r>
        <w:rPr/>
        <w:pict>
          <v:line style="position:absolute;mso-position-horizontal-relative:page;mso-position-vertical-relative:page;z-index:26416" from="29.4pt,72pt" to="29.4pt,97.92pt" stroked="true" strokeweight=".72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33"/>
        <w:ind w:left="3275" w:right="2309" w:firstLine="0"/>
        <w:jc w:val="center"/>
        <w:rPr>
          <w:b/>
          <w:sz w:val="24"/>
        </w:rPr>
      </w:pPr>
      <w:r>
        <w:rPr/>
        <w:pict>
          <v:line style="position:absolute;mso-position-horizontal-relative:page;mso-position-vertical-relative:paragraph;z-index:26440" from="29.4pt,11.865861pt" to="29.4pt,39.465861pt" stroked="true" strokeweight=".72pt" strokecolor="#000000">
            <v:stroke dashstyle="solid"/>
            <w10:wrap type="none"/>
          </v:line>
        </w:pict>
      </w:r>
      <w:r>
        <w:rPr>
          <w:b/>
          <w:sz w:val="24"/>
        </w:rPr>
        <w:t>Rev. 364</w:t>
      </w:r>
    </w:p>
    <w:p>
      <w:pPr>
        <w:spacing w:before="0"/>
        <w:ind w:left="3275" w:right="2307" w:firstLine="0"/>
        <w:jc w:val="center"/>
        <w:rPr>
          <w:b/>
          <w:i/>
          <w:sz w:val="24"/>
        </w:rPr>
      </w:pPr>
      <w:r>
        <w:rPr>
          <w:b/>
          <w:i/>
          <w:strike/>
          <w:color w:val="2E97D3"/>
          <w:sz w:val="24"/>
        </w:rPr>
        <w:t>(6828 Illustration 1)</w:t>
      </w:r>
    </w:p>
    <w:p>
      <w:pPr>
        <w:spacing w:after="0"/>
        <w:jc w:val="center"/>
        <w:rPr>
          <w:sz w:val="24"/>
        </w:rPr>
        <w:sectPr>
          <w:headerReference w:type="default" r:id="rId272"/>
          <w:footerReference w:type="default" r:id="rId273"/>
          <w:pgSz w:w="12240" w:h="15840"/>
          <w:pgMar w:header="724" w:footer="0" w:top="980" w:bottom="280" w:left="480" w:right="1720"/>
        </w:sectPr>
      </w:pPr>
    </w:p>
    <w:p>
      <w:pPr>
        <w:pStyle w:val="BodyText"/>
        <w:rPr>
          <w:b/>
          <w:i/>
          <w:sz w:val="20"/>
        </w:rPr>
      </w:pPr>
      <w:r>
        <w:rPr/>
        <w:pict>
          <v:line style="position:absolute;mso-position-horizontal-relative:page;mso-position-vertical-relative:page;z-index:26488" from="29.4pt,72pt" to="29.4pt,756pt" stroked="true" strokeweight=".72pt" strokecolor="#000000">
            <v:stroke dashstyle="solid"/>
            <w10:wrap type="none"/>
          </v:line>
        </w:pict>
      </w:r>
    </w:p>
    <w:p>
      <w:pPr>
        <w:tabs>
          <w:tab w:pos="7886" w:val="left" w:leader="none"/>
        </w:tabs>
        <w:spacing w:before="214"/>
        <w:ind w:left="686" w:right="0" w:firstLine="0"/>
        <w:jc w:val="left"/>
        <w:rPr>
          <w:b/>
          <w:sz w:val="26"/>
        </w:rPr>
      </w:pPr>
      <w:r>
        <w:rPr/>
        <w:pict>
          <v:line style="position:absolute;mso-position-horizontal-relative:page;mso-position-vertical-relative:paragraph;z-index:-446200" from="58.32pt,24.873848pt" to="528.12pt,24.873848pt" stroked="true" strokeweight="1.32pt" strokecolor="#2e97d3">
            <v:stroke dashstyle="solid"/>
            <w10:wrap type="none"/>
          </v:line>
        </w:pict>
      </w:r>
      <w:r>
        <w:rPr>
          <w:b/>
          <w:color w:val="2E97D3"/>
          <w:sz w:val="26"/>
        </w:rPr>
        <w:t>Project Cost Summary</w:t>
        <w:tab/>
        <w:t>6828 Illustration</w:t>
      </w:r>
      <w:r>
        <w:rPr>
          <w:b/>
          <w:color w:val="2E97D3"/>
          <w:spacing w:val="-7"/>
          <w:sz w:val="26"/>
        </w:rPr>
        <w:t> </w:t>
      </w:r>
      <w:r>
        <w:rPr>
          <w:b/>
          <w:color w:val="2E97D3"/>
          <w:sz w:val="26"/>
        </w:rPr>
        <w:t>2</w:t>
      </w:r>
    </w:p>
    <w:p>
      <w:pPr>
        <w:pStyle w:val="BodyText"/>
        <w:spacing w:before="11"/>
        <w:rPr>
          <w:b/>
          <w:sz w:val="15"/>
        </w:rPr>
      </w:pPr>
    </w:p>
    <w:p>
      <w:pPr>
        <w:pStyle w:val="BodyText"/>
        <w:spacing w:before="92"/>
        <w:ind w:left="686" w:right="281"/>
      </w:pPr>
      <w:r>
        <w:rPr>
          <w:color w:val="2E97D3"/>
          <w:u w:val="single" w:color="2E97D3"/>
        </w:rPr>
        <w:t>Every project should be analyzed individually to determine the appropriate fees based on the scope, location, duration, staffing levels, and disciplines required to complete the project.</w:t>
      </w:r>
    </w:p>
    <w:p>
      <w:pPr>
        <w:pStyle w:val="BodyText"/>
        <w:spacing w:before="10"/>
        <w:rPr>
          <w:sz w:val="15"/>
        </w:rPr>
      </w:pPr>
    </w:p>
    <w:p>
      <w:pPr>
        <w:spacing w:before="93"/>
        <w:ind w:left="686" w:right="0" w:firstLine="0"/>
        <w:jc w:val="left"/>
        <w:rPr>
          <w:sz w:val="24"/>
        </w:rPr>
      </w:pPr>
      <w:r>
        <w:rPr>
          <w:b/>
          <w:color w:val="2E97D3"/>
          <w:sz w:val="24"/>
          <w:u w:val="thick" w:color="2E97D3"/>
        </w:rPr>
        <w:t>Architectural and Engineering (A&amp;E) Design </w:t>
      </w:r>
      <w:r>
        <w:rPr>
          <w:color w:val="2E97D3"/>
          <w:sz w:val="24"/>
          <w:u w:val="thick" w:color="2E97D3"/>
        </w:rPr>
        <w:t>(All Phases)</w:t>
      </w:r>
    </w:p>
    <w:p>
      <w:pPr>
        <w:pStyle w:val="BodyText"/>
        <w:ind w:left="686" w:right="119"/>
      </w:pPr>
      <w:r>
        <w:rPr>
          <w:color w:val="2E97D3"/>
          <w:u w:val="single" w:color="2E97D3"/>
        </w:rPr>
        <w:t>A&amp;E fees are based on the project’s scope and are determined by a detailed task analysis of each participating design discipline (architecture, civil, structural, mechanical, electrical engineering, and estimating). This analysis considers, among other factors, the hours required to prepare a set of design (preliminary plans) and construction (working</w:t>
      </w:r>
      <w:r>
        <w:rPr>
          <w:color w:val="2E97D3"/>
          <w:spacing w:val="-44"/>
          <w:u w:val="single" w:color="2E97D3"/>
        </w:rPr>
        <w:t> </w:t>
      </w:r>
      <w:r>
        <w:rPr>
          <w:color w:val="2E97D3"/>
          <w:u w:val="single" w:color="2E97D3"/>
        </w:rPr>
        <w:t>drawings) documents, provide construction support, and complete as-built drawing preparation. No two projects are the same. While there may be design similarities (prototypes), each design and construction project must be developed based upon the specific site, the department and their programmatic needs, and current code and executive order/directive requirements (i.e. clean energy). Additional fees for renovations may be required depending on complexity, hazardous materials, and historical requirements of the</w:t>
      </w:r>
      <w:r>
        <w:rPr>
          <w:color w:val="2E97D3"/>
          <w:spacing w:val="-44"/>
          <w:u w:val="single" w:color="2E97D3"/>
        </w:rPr>
        <w:t> </w:t>
      </w:r>
      <w:r>
        <w:rPr>
          <w:color w:val="2E97D3"/>
          <w:u w:val="single" w:color="2E97D3"/>
        </w:rPr>
        <w:t>project.</w:t>
      </w:r>
    </w:p>
    <w:p>
      <w:pPr>
        <w:pStyle w:val="BodyText"/>
        <w:spacing w:before="11"/>
        <w:rPr>
          <w:sz w:val="15"/>
        </w:rPr>
      </w:pPr>
    </w:p>
    <w:p>
      <w:pPr>
        <w:spacing w:before="92"/>
        <w:ind w:left="686" w:right="0" w:firstLine="0"/>
        <w:jc w:val="left"/>
        <w:rPr>
          <w:sz w:val="24"/>
        </w:rPr>
      </w:pPr>
      <w:r>
        <w:rPr>
          <w:b/>
          <w:color w:val="2E97D3"/>
          <w:sz w:val="24"/>
          <w:u w:val="thick" w:color="2E97D3"/>
        </w:rPr>
        <w:t>Construction Inspection/Travel/Guarantee </w:t>
      </w:r>
      <w:r>
        <w:rPr>
          <w:color w:val="2E97D3"/>
          <w:sz w:val="24"/>
          <w:u w:val="thick" w:color="2E97D3"/>
        </w:rPr>
        <w:t>(Construction Phase)</w:t>
      </w:r>
    </w:p>
    <w:p>
      <w:pPr>
        <w:pStyle w:val="BodyText"/>
        <w:ind w:left="686" w:right="135"/>
      </w:pPr>
      <w:r>
        <w:rPr>
          <w:color w:val="2E97D3"/>
          <w:u w:val="single" w:color="2E97D3"/>
        </w:rPr>
        <w:t>Inspection fees are calculated on individual project needs and will vary depending on the size, type, duration, construction value, and location, as well as the services requested. Essential Services, Field Act, and Office of Statewide Health Planning and Development (OSHPD) projects will tend to have a higher fee based on the nature of the increased level of inspection and documentation required by the applicable regulatory agencies.</w:t>
      </w:r>
    </w:p>
    <w:p>
      <w:pPr>
        <w:pStyle w:val="BodyText"/>
        <w:ind w:left="686" w:right="1069"/>
      </w:pPr>
      <w:r>
        <w:rPr>
          <w:color w:val="2E97D3"/>
          <w:u w:val="single" w:color="2E97D3"/>
        </w:rPr>
        <w:t>Inspection also covers contract and code compliance at the project site as well as coordinating any regulatory or special inspections.</w:t>
      </w:r>
    </w:p>
    <w:p>
      <w:pPr>
        <w:pStyle w:val="BodyText"/>
        <w:spacing w:before="10"/>
        <w:rPr>
          <w:sz w:val="15"/>
        </w:rPr>
      </w:pPr>
    </w:p>
    <w:p>
      <w:pPr>
        <w:spacing w:before="93"/>
        <w:ind w:left="686" w:right="0" w:firstLine="0"/>
        <w:jc w:val="left"/>
        <w:rPr>
          <w:sz w:val="24"/>
        </w:rPr>
      </w:pPr>
      <w:r>
        <w:rPr>
          <w:b/>
          <w:color w:val="2E97D3"/>
          <w:sz w:val="24"/>
          <w:u w:val="single" w:color="2E97D3"/>
        </w:rPr>
        <w:t>Advertising/Printing </w:t>
      </w:r>
      <w:r>
        <w:rPr>
          <w:color w:val="2E97D3"/>
          <w:sz w:val="24"/>
          <w:u w:val="single" w:color="2E97D3"/>
        </w:rPr>
        <w:t>(Working Drawings Phase)</w:t>
      </w:r>
    </w:p>
    <w:p>
      <w:pPr>
        <w:pStyle w:val="BodyText"/>
        <w:ind w:left="686" w:right="162"/>
      </w:pPr>
      <w:r>
        <w:rPr>
          <w:color w:val="2E97D3"/>
          <w:u w:val="single" w:color="2E97D3"/>
        </w:rPr>
        <w:t>These costs are based upon the locality of the project, the number of newspapers that will receive ads, and the advertising rate. There are two paid advertisements for a project in each paper. These ads are also posted online and in magazines.  Some large projects may require more extensive advertising. Printing costs include the production of plans and specifications as needed for the project team.</w:t>
      </w:r>
    </w:p>
    <w:p>
      <w:pPr>
        <w:pStyle w:val="BodyText"/>
        <w:spacing w:before="11"/>
        <w:rPr>
          <w:sz w:val="15"/>
        </w:rPr>
      </w:pPr>
    </w:p>
    <w:p>
      <w:pPr>
        <w:spacing w:before="92"/>
        <w:ind w:left="686" w:right="0" w:firstLine="0"/>
        <w:jc w:val="left"/>
        <w:rPr>
          <w:sz w:val="24"/>
        </w:rPr>
      </w:pPr>
      <w:r>
        <w:rPr>
          <w:b/>
          <w:color w:val="2E97D3"/>
          <w:sz w:val="24"/>
          <w:u w:val="thick" w:color="2E97D3"/>
        </w:rPr>
        <w:t>Special Consultants </w:t>
      </w:r>
      <w:r>
        <w:rPr>
          <w:color w:val="2E97D3"/>
          <w:sz w:val="24"/>
          <w:u w:val="thick" w:color="2E97D3"/>
        </w:rPr>
        <w:t>(All Phases)</w:t>
      </w:r>
    </w:p>
    <w:p>
      <w:pPr>
        <w:pStyle w:val="BodyText"/>
        <w:ind w:left="686" w:right="348"/>
      </w:pPr>
      <w:r>
        <w:rPr>
          <w:color w:val="2E97D3"/>
          <w:u w:val="single" w:color="2E97D3"/>
        </w:rPr>
        <w:t>This category is calculated based on the project scope, location, and duration and may consist of the following disciplines: commissioning, Leadership in Energy and Environmental Design (LEED), Zero Net Energy, hazardous material/air monitoring, survey, geotechnical, traffic, kitchen, cultural/biological/archeological, aviation, security, landscape, telecom, urban/land planning, constructability, fire life safety, and healthcare.</w:t>
      </w:r>
    </w:p>
    <w:p>
      <w:pPr>
        <w:pStyle w:val="BodyText"/>
        <w:rPr>
          <w:sz w:val="16"/>
        </w:rPr>
      </w:pPr>
    </w:p>
    <w:p>
      <w:pPr>
        <w:spacing w:before="92"/>
        <w:ind w:left="686" w:right="0" w:firstLine="0"/>
        <w:jc w:val="left"/>
        <w:rPr>
          <w:sz w:val="24"/>
        </w:rPr>
      </w:pPr>
      <w:r>
        <w:rPr>
          <w:b/>
          <w:color w:val="2E97D3"/>
          <w:sz w:val="24"/>
          <w:u w:val="single" w:color="2E97D3"/>
        </w:rPr>
        <w:t>Materials Testing </w:t>
      </w:r>
      <w:r>
        <w:rPr>
          <w:color w:val="2E97D3"/>
          <w:sz w:val="24"/>
          <w:u w:val="single" w:color="2E97D3"/>
        </w:rPr>
        <w:t>(Construction Phase)</w:t>
      </w:r>
    </w:p>
    <w:p>
      <w:pPr>
        <w:pStyle w:val="BodyText"/>
        <w:ind w:left="686" w:right="322"/>
      </w:pPr>
      <w:r>
        <w:rPr>
          <w:color w:val="2E97D3"/>
          <w:u w:val="single" w:color="2E97D3"/>
        </w:rPr>
        <w:t>This category is calculated based on individual project requirements and may include special inspection requirements. Tests may include the measurement of material characteristics, such as properties, structure, and composition. The data and test results determine whether materials, fasteners, and treatments meet the requirements of design engineers and regulatory agencies, and are suitable for their intended application.</w:t>
      </w:r>
    </w:p>
    <w:p>
      <w:pPr>
        <w:spacing w:after="0"/>
        <w:sectPr>
          <w:footerReference w:type="default" r:id="rId274"/>
          <w:pgSz w:w="12240" w:h="15840"/>
          <w:pgMar w:footer="1068" w:header="724" w:top="980" w:bottom="1260" w:left="480" w:right="1340"/>
        </w:sectPr>
      </w:pPr>
    </w:p>
    <w:p>
      <w:pPr>
        <w:pStyle w:val="BodyText"/>
        <w:rPr>
          <w:sz w:val="20"/>
        </w:rPr>
      </w:pPr>
      <w:r>
        <w:rPr/>
        <w:pict>
          <v:line style="position:absolute;mso-position-horizontal-relative:page;mso-position-vertical-relative:page;z-index:26512" from="29.4pt,72pt" to="29.4pt,756pt" stroked="true" strokeweight=".72pt" strokecolor="#000000">
            <v:stroke dashstyle="solid"/>
            <w10:wrap type="none"/>
          </v:line>
        </w:pict>
      </w:r>
    </w:p>
    <w:p>
      <w:pPr>
        <w:spacing w:before="214"/>
        <w:ind w:left="686" w:right="0" w:firstLine="0"/>
        <w:jc w:val="left"/>
        <w:rPr>
          <w:sz w:val="24"/>
        </w:rPr>
      </w:pPr>
      <w:r>
        <w:rPr>
          <w:b/>
          <w:color w:val="2E97D3"/>
          <w:sz w:val="24"/>
          <w:u w:val="thick" w:color="2E97D3"/>
        </w:rPr>
        <w:t>Project/Construction Management </w:t>
      </w:r>
      <w:r>
        <w:rPr>
          <w:color w:val="2E97D3"/>
          <w:sz w:val="24"/>
          <w:u w:val="thick" w:color="2E97D3"/>
        </w:rPr>
        <w:t>(PCM) (All Phases)</w:t>
      </w:r>
    </w:p>
    <w:p>
      <w:pPr>
        <w:pStyle w:val="BodyText"/>
        <w:ind w:left="686" w:right="81"/>
      </w:pPr>
      <w:r>
        <w:rPr>
          <w:color w:val="2E97D3"/>
          <w:u w:val="single" w:color="2E97D3"/>
        </w:rPr>
        <w:t>PCM costs are based on scope, complexity, location, and duration of a project. Project manager travel time and the time associated with managing the project from the planning and design phases through project closeout and occupancy are part of these costs as well. Services may include:</w:t>
      </w:r>
    </w:p>
    <w:p>
      <w:pPr>
        <w:pStyle w:val="ListParagraph"/>
        <w:numPr>
          <w:ilvl w:val="0"/>
          <w:numId w:val="81"/>
        </w:numPr>
        <w:tabs>
          <w:tab w:pos="1511" w:val="left" w:leader="none"/>
          <w:tab w:pos="1512" w:val="left" w:leader="none"/>
        </w:tabs>
        <w:spacing w:line="274" w:lineRule="exact" w:before="2" w:after="0"/>
        <w:ind w:left="1512" w:right="0" w:hanging="360"/>
        <w:jc w:val="left"/>
        <w:rPr>
          <w:sz w:val="22"/>
        </w:rPr>
      </w:pPr>
      <w:r>
        <w:rPr>
          <w:color w:val="2E97D3"/>
          <w:sz w:val="22"/>
          <w:u w:val="single" w:color="2E97D3"/>
        </w:rPr>
        <w:t>Scope</w:t>
      </w:r>
      <w:r>
        <w:rPr>
          <w:color w:val="2E97D3"/>
          <w:spacing w:val="-7"/>
          <w:sz w:val="22"/>
          <w:u w:val="single" w:color="2E97D3"/>
        </w:rPr>
        <w:t> </w:t>
      </w:r>
      <w:r>
        <w:rPr>
          <w:color w:val="2E97D3"/>
          <w:sz w:val="22"/>
          <w:u w:val="single" w:color="2E97D3"/>
        </w:rPr>
        <w:t>management</w:t>
      </w:r>
    </w:p>
    <w:p>
      <w:pPr>
        <w:pStyle w:val="ListParagraph"/>
        <w:numPr>
          <w:ilvl w:val="0"/>
          <w:numId w:val="81"/>
        </w:numPr>
        <w:tabs>
          <w:tab w:pos="1511" w:val="left" w:leader="none"/>
          <w:tab w:pos="1512" w:val="left" w:leader="none"/>
        </w:tabs>
        <w:spacing w:line="271" w:lineRule="exact" w:before="0" w:after="0"/>
        <w:ind w:left="1512" w:right="0" w:hanging="360"/>
        <w:jc w:val="left"/>
        <w:rPr>
          <w:sz w:val="22"/>
        </w:rPr>
      </w:pPr>
      <w:r>
        <w:rPr>
          <w:color w:val="2E97D3"/>
          <w:sz w:val="22"/>
          <w:u w:val="single" w:color="2E97D3"/>
        </w:rPr>
        <w:t>Cost</w:t>
      </w:r>
      <w:r>
        <w:rPr>
          <w:color w:val="2E97D3"/>
          <w:spacing w:val="-5"/>
          <w:sz w:val="22"/>
          <w:u w:val="single" w:color="2E97D3"/>
        </w:rPr>
        <w:t> </w:t>
      </w:r>
      <w:r>
        <w:rPr>
          <w:color w:val="2E97D3"/>
          <w:sz w:val="22"/>
          <w:u w:val="single" w:color="2E97D3"/>
        </w:rPr>
        <w:t>management</w:t>
      </w:r>
    </w:p>
    <w:p>
      <w:pPr>
        <w:pStyle w:val="ListParagraph"/>
        <w:numPr>
          <w:ilvl w:val="0"/>
          <w:numId w:val="81"/>
        </w:numPr>
        <w:tabs>
          <w:tab w:pos="1511" w:val="left" w:leader="none"/>
          <w:tab w:pos="1512" w:val="left" w:leader="none"/>
        </w:tabs>
        <w:spacing w:line="272" w:lineRule="exact" w:before="0" w:after="0"/>
        <w:ind w:left="1512" w:right="0" w:hanging="360"/>
        <w:jc w:val="left"/>
        <w:rPr>
          <w:sz w:val="22"/>
        </w:rPr>
      </w:pPr>
      <w:r>
        <w:rPr>
          <w:color w:val="2E97D3"/>
          <w:sz w:val="22"/>
          <w:u w:val="single" w:color="2E97D3"/>
        </w:rPr>
        <w:t>Schedule</w:t>
      </w:r>
      <w:r>
        <w:rPr>
          <w:color w:val="2E97D3"/>
          <w:spacing w:val="-8"/>
          <w:sz w:val="22"/>
          <w:u w:val="single" w:color="2E97D3"/>
        </w:rPr>
        <w:t> </w:t>
      </w:r>
      <w:r>
        <w:rPr>
          <w:color w:val="2E97D3"/>
          <w:sz w:val="22"/>
          <w:u w:val="single" w:color="2E97D3"/>
        </w:rPr>
        <w:t>management</w:t>
      </w:r>
    </w:p>
    <w:p>
      <w:pPr>
        <w:pStyle w:val="ListParagraph"/>
        <w:numPr>
          <w:ilvl w:val="0"/>
          <w:numId w:val="81"/>
        </w:numPr>
        <w:tabs>
          <w:tab w:pos="1511" w:val="left" w:leader="none"/>
          <w:tab w:pos="1512" w:val="left" w:leader="none"/>
        </w:tabs>
        <w:spacing w:line="272" w:lineRule="exact" w:before="0" w:after="0"/>
        <w:ind w:left="1512" w:right="0" w:hanging="360"/>
        <w:jc w:val="left"/>
        <w:rPr>
          <w:sz w:val="22"/>
        </w:rPr>
      </w:pPr>
      <w:r>
        <w:rPr>
          <w:color w:val="2E97D3"/>
          <w:sz w:val="22"/>
          <w:u w:val="single" w:color="2E97D3"/>
        </w:rPr>
        <w:t>Document</w:t>
      </w:r>
      <w:r>
        <w:rPr>
          <w:color w:val="2E97D3"/>
          <w:spacing w:val="-7"/>
          <w:sz w:val="22"/>
          <w:u w:val="single" w:color="2E97D3"/>
        </w:rPr>
        <w:t> </w:t>
      </w:r>
      <w:r>
        <w:rPr>
          <w:color w:val="2E97D3"/>
          <w:sz w:val="22"/>
          <w:u w:val="single" w:color="2E97D3"/>
        </w:rPr>
        <w:t>management</w:t>
      </w:r>
    </w:p>
    <w:p>
      <w:pPr>
        <w:pStyle w:val="ListParagraph"/>
        <w:numPr>
          <w:ilvl w:val="0"/>
          <w:numId w:val="81"/>
        </w:numPr>
        <w:tabs>
          <w:tab w:pos="1511" w:val="left" w:leader="none"/>
          <w:tab w:pos="1512" w:val="left" w:leader="none"/>
        </w:tabs>
        <w:spacing w:line="271" w:lineRule="exact" w:before="0" w:after="0"/>
        <w:ind w:left="1512" w:right="0" w:hanging="360"/>
        <w:jc w:val="left"/>
        <w:rPr>
          <w:sz w:val="22"/>
        </w:rPr>
      </w:pPr>
      <w:r>
        <w:rPr>
          <w:color w:val="2E97D3"/>
          <w:sz w:val="22"/>
          <w:u w:val="single" w:color="2E97D3"/>
        </w:rPr>
        <w:t>Quality</w:t>
      </w:r>
      <w:r>
        <w:rPr>
          <w:color w:val="2E97D3"/>
          <w:spacing w:val="-5"/>
          <w:sz w:val="22"/>
          <w:u w:val="single" w:color="2E97D3"/>
        </w:rPr>
        <w:t> </w:t>
      </w:r>
      <w:r>
        <w:rPr>
          <w:color w:val="2E97D3"/>
          <w:sz w:val="22"/>
          <w:u w:val="single" w:color="2E97D3"/>
        </w:rPr>
        <w:t>control</w:t>
      </w:r>
    </w:p>
    <w:p>
      <w:pPr>
        <w:pStyle w:val="ListParagraph"/>
        <w:numPr>
          <w:ilvl w:val="0"/>
          <w:numId w:val="81"/>
        </w:numPr>
        <w:tabs>
          <w:tab w:pos="1511" w:val="left" w:leader="none"/>
          <w:tab w:pos="1512" w:val="left" w:leader="none"/>
        </w:tabs>
        <w:spacing w:line="271" w:lineRule="exact" w:before="0" w:after="0"/>
        <w:ind w:left="1512" w:right="0" w:hanging="360"/>
        <w:jc w:val="left"/>
        <w:rPr>
          <w:sz w:val="22"/>
        </w:rPr>
      </w:pPr>
      <w:r>
        <w:rPr>
          <w:color w:val="2E97D3"/>
          <w:sz w:val="22"/>
          <w:u w:val="single" w:color="2E97D3"/>
        </w:rPr>
        <w:t>Optimizing strategies for procurement and phasing</w:t>
      </w:r>
      <w:r>
        <w:rPr>
          <w:color w:val="2E97D3"/>
          <w:spacing w:val="-25"/>
          <w:sz w:val="22"/>
          <w:u w:val="single" w:color="2E97D3"/>
        </w:rPr>
        <w:t> </w:t>
      </w:r>
      <w:r>
        <w:rPr>
          <w:color w:val="2E97D3"/>
          <w:sz w:val="22"/>
          <w:u w:val="single" w:color="2E97D3"/>
        </w:rPr>
        <w:t>construction</w:t>
      </w:r>
    </w:p>
    <w:p>
      <w:pPr>
        <w:pStyle w:val="ListParagraph"/>
        <w:numPr>
          <w:ilvl w:val="0"/>
          <w:numId w:val="81"/>
        </w:numPr>
        <w:tabs>
          <w:tab w:pos="1511" w:val="left" w:leader="none"/>
          <w:tab w:pos="1512" w:val="left" w:leader="none"/>
        </w:tabs>
        <w:spacing w:line="272" w:lineRule="exact" w:before="0" w:after="0"/>
        <w:ind w:left="1512" w:right="0" w:hanging="360"/>
        <w:jc w:val="left"/>
        <w:rPr>
          <w:sz w:val="22"/>
        </w:rPr>
      </w:pPr>
      <w:r>
        <w:rPr>
          <w:color w:val="2E97D3"/>
          <w:sz w:val="22"/>
          <w:u w:val="single" w:color="2E97D3"/>
        </w:rPr>
        <w:t>Closeout and document</w:t>
      </w:r>
      <w:r>
        <w:rPr>
          <w:color w:val="2E97D3"/>
          <w:spacing w:val="-16"/>
          <w:sz w:val="22"/>
          <w:u w:val="single" w:color="2E97D3"/>
        </w:rPr>
        <w:t> </w:t>
      </w:r>
      <w:r>
        <w:rPr>
          <w:color w:val="2E97D3"/>
          <w:sz w:val="22"/>
          <w:u w:val="single" w:color="2E97D3"/>
        </w:rPr>
        <w:t>turnover</w:t>
      </w:r>
    </w:p>
    <w:p>
      <w:pPr>
        <w:pStyle w:val="ListParagraph"/>
        <w:numPr>
          <w:ilvl w:val="0"/>
          <w:numId w:val="81"/>
        </w:numPr>
        <w:tabs>
          <w:tab w:pos="1511" w:val="left" w:leader="none"/>
          <w:tab w:pos="1512" w:val="left" w:leader="none"/>
        </w:tabs>
        <w:spacing w:line="275" w:lineRule="exact" w:before="0" w:after="0"/>
        <w:ind w:left="1512" w:right="0" w:hanging="360"/>
        <w:jc w:val="left"/>
        <w:rPr>
          <w:sz w:val="22"/>
        </w:rPr>
      </w:pPr>
      <w:r>
        <w:rPr>
          <w:color w:val="2E97D3"/>
          <w:sz w:val="22"/>
          <w:u w:val="single" w:color="2E97D3"/>
        </w:rPr>
        <w:t>Transition to</w:t>
      </w:r>
      <w:r>
        <w:rPr>
          <w:color w:val="2E97D3"/>
          <w:spacing w:val="-7"/>
          <w:sz w:val="22"/>
          <w:u w:val="single" w:color="2E97D3"/>
        </w:rPr>
        <w:t> </w:t>
      </w:r>
      <w:r>
        <w:rPr>
          <w:color w:val="2E97D3"/>
          <w:sz w:val="22"/>
          <w:u w:val="single" w:color="2E97D3"/>
        </w:rPr>
        <w:t>occupancy</w:t>
      </w:r>
    </w:p>
    <w:p>
      <w:pPr>
        <w:pStyle w:val="BodyText"/>
        <w:spacing w:before="4"/>
        <w:rPr>
          <w:sz w:val="15"/>
        </w:rPr>
      </w:pPr>
    </w:p>
    <w:p>
      <w:pPr>
        <w:pStyle w:val="BodyText"/>
        <w:spacing w:before="92"/>
        <w:ind w:left="686" w:right="483"/>
      </w:pPr>
      <w:r>
        <w:rPr>
          <w:b/>
          <w:color w:val="2E97D3"/>
          <w:u w:val="single" w:color="2E97D3"/>
        </w:rPr>
        <w:t>Contract Construction Management </w:t>
      </w:r>
      <w:r>
        <w:rPr>
          <w:color w:val="2E97D3"/>
          <w:u w:val="single" w:color="2E97D3"/>
        </w:rPr>
        <w:t>(Working Drawing and Construction Phase) Contract Construction Management firms may be utilized to supplement PCM staff on large and/or complex projects. Fees on smaller projects will be used for specialized services such as pre-bid/construction activities, schedule analysis, cost estimating, and document management, etc.</w:t>
      </w:r>
    </w:p>
    <w:p>
      <w:pPr>
        <w:pStyle w:val="BodyText"/>
        <w:spacing w:before="7"/>
        <w:rPr>
          <w:sz w:val="13"/>
        </w:rPr>
      </w:pPr>
    </w:p>
    <w:p>
      <w:pPr>
        <w:spacing w:before="94"/>
        <w:ind w:left="686" w:right="0" w:firstLine="0"/>
        <w:jc w:val="left"/>
        <w:rPr>
          <w:sz w:val="22"/>
        </w:rPr>
      </w:pPr>
      <w:r>
        <w:rPr>
          <w:b/>
          <w:color w:val="2E97D3"/>
          <w:sz w:val="22"/>
          <w:u w:val="thick" w:color="2E97D3"/>
        </w:rPr>
        <w:t>Site Acquisition Cost &amp; Fees </w:t>
      </w:r>
      <w:r>
        <w:rPr>
          <w:color w:val="2E97D3"/>
          <w:sz w:val="22"/>
          <w:u w:val="thick" w:color="2E97D3"/>
        </w:rPr>
        <w:t>(Acquisition Phase)</w:t>
      </w:r>
    </w:p>
    <w:p>
      <w:pPr>
        <w:spacing w:before="3"/>
        <w:ind w:left="686" w:right="212" w:firstLine="0"/>
        <w:jc w:val="left"/>
        <w:rPr>
          <w:sz w:val="22"/>
        </w:rPr>
      </w:pPr>
      <w:r>
        <w:rPr>
          <w:color w:val="2E97D3"/>
          <w:sz w:val="22"/>
          <w:u w:val="single" w:color="2E97D3"/>
        </w:rPr>
        <w:t>Services related to the acquisition of a proposed property such as an appraisal, an appraisal review, real estate due diligence services, site testing, environmental studies, relocation assistance, and easement or property rights issues are included in site acquisition costs and fees. Design services like legal descriptions, site testing, and environmental studies will be provided by the A&amp;E team.</w:t>
      </w:r>
    </w:p>
    <w:p>
      <w:pPr>
        <w:pStyle w:val="BodyText"/>
        <w:spacing w:before="10"/>
        <w:rPr>
          <w:sz w:val="15"/>
        </w:rPr>
      </w:pPr>
    </w:p>
    <w:p>
      <w:pPr>
        <w:spacing w:before="92"/>
        <w:ind w:left="686" w:right="0" w:firstLine="0"/>
        <w:jc w:val="left"/>
        <w:rPr>
          <w:sz w:val="24"/>
        </w:rPr>
      </w:pPr>
      <w:r>
        <w:rPr>
          <w:b/>
          <w:color w:val="2E97D3"/>
          <w:sz w:val="24"/>
          <w:u w:val="thick" w:color="2E97D3"/>
        </w:rPr>
        <w:t>Agency Retained Items </w:t>
      </w:r>
      <w:r>
        <w:rPr>
          <w:color w:val="2E97D3"/>
          <w:sz w:val="24"/>
          <w:u w:val="thick" w:color="2E97D3"/>
        </w:rPr>
        <w:t>(All Phases)</w:t>
      </w:r>
    </w:p>
    <w:p>
      <w:pPr>
        <w:pStyle w:val="BodyText"/>
        <w:ind w:left="686" w:right="482"/>
      </w:pPr>
      <w:r>
        <w:rPr>
          <w:color w:val="2E97D3"/>
          <w:u w:val="single" w:color="2E97D3"/>
        </w:rPr>
        <w:t>The Agency Retained category are project-specific items that may include modular and institutional furniture, guarding costs, agency staff time, and equipment.</w:t>
      </w:r>
    </w:p>
    <w:p>
      <w:pPr>
        <w:pStyle w:val="BodyText"/>
        <w:spacing w:before="9"/>
        <w:rPr>
          <w:sz w:val="13"/>
        </w:rPr>
      </w:pPr>
    </w:p>
    <w:p>
      <w:pPr>
        <w:spacing w:before="93"/>
        <w:ind w:left="686" w:right="140" w:firstLine="0"/>
        <w:jc w:val="left"/>
        <w:rPr>
          <w:sz w:val="22"/>
        </w:rPr>
      </w:pPr>
      <w:r>
        <w:rPr>
          <w:b/>
          <w:color w:val="2E97D3"/>
          <w:sz w:val="22"/>
          <w:u w:val="thick" w:color="2E97D3"/>
        </w:rPr>
        <w:t>Small Business Enterprise/Disabled Veteran Business Enterprise Assessment </w:t>
      </w:r>
      <w:r>
        <w:rPr>
          <w:color w:val="2E97D3"/>
          <w:sz w:val="22"/>
          <w:u w:val="thick" w:color="2E97D3"/>
        </w:rPr>
        <w:t>(SAM Section </w:t>
      </w:r>
      <w:r>
        <w:rPr>
          <w:color w:val="2E97D3"/>
          <w:sz w:val="22"/>
          <w:u w:val="single" w:color="2E97D3"/>
        </w:rPr>
        <w:t>8752, Full Cost Recovery) (Construction Phase)</w:t>
      </w:r>
    </w:p>
    <w:p>
      <w:pPr>
        <w:pStyle w:val="BodyText"/>
        <w:ind w:left="686" w:right="535"/>
      </w:pPr>
      <w:r>
        <w:rPr>
          <w:color w:val="2E97D3"/>
          <w:u w:val="single" w:color="2E97D3"/>
        </w:rPr>
        <w:t>Refers to fee that is applied to all consultants and contracts used throughout all project phases.</w:t>
      </w:r>
    </w:p>
    <w:p>
      <w:pPr>
        <w:pStyle w:val="BodyText"/>
        <w:spacing w:before="9"/>
        <w:rPr>
          <w:sz w:val="13"/>
        </w:rPr>
      </w:pPr>
    </w:p>
    <w:p>
      <w:pPr>
        <w:spacing w:line="242" w:lineRule="auto" w:before="94"/>
        <w:ind w:left="686" w:right="178" w:firstLine="0"/>
        <w:jc w:val="left"/>
        <w:rPr>
          <w:sz w:val="22"/>
        </w:rPr>
      </w:pPr>
      <w:r>
        <w:rPr>
          <w:b/>
          <w:color w:val="2E97D3"/>
          <w:sz w:val="22"/>
          <w:u w:val="thick" w:color="2E97D3"/>
        </w:rPr>
        <w:t>Division of the State Architect (DSA) structural and fire life safety checking </w:t>
      </w:r>
      <w:r>
        <w:rPr>
          <w:color w:val="2E97D3"/>
          <w:sz w:val="22"/>
          <w:u w:val="thick" w:color="2E97D3"/>
        </w:rPr>
        <w:t>refer to DSA Fee </w:t>
      </w:r>
      <w:r>
        <w:rPr>
          <w:color w:val="2E97D3"/>
          <w:sz w:val="22"/>
          <w:u w:val="single" w:color="2E97D3"/>
        </w:rPr>
        <w:t>calculator on DGS’ website for the costs associated with DSA Services. Below are the various services offered by DSA and the associated statutory references:</w:t>
      </w:r>
    </w:p>
    <w:p>
      <w:pPr>
        <w:pStyle w:val="BodyText"/>
        <w:spacing w:before="6"/>
        <w:rPr>
          <w:sz w:val="21"/>
        </w:rPr>
      </w:pPr>
    </w:p>
    <w:p>
      <w:pPr>
        <w:pStyle w:val="ListParagraph"/>
        <w:numPr>
          <w:ilvl w:val="1"/>
          <w:numId w:val="81"/>
        </w:numPr>
        <w:tabs>
          <w:tab w:pos="1766" w:val="left" w:leader="none"/>
          <w:tab w:pos="1767" w:val="left" w:leader="none"/>
        </w:tabs>
        <w:spacing w:line="240" w:lineRule="auto" w:before="0" w:after="0"/>
        <w:ind w:left="1766" w:right="0" w:hanging="360"/>
        <w:jc w:val="left"/>
        <w:rPr>
          <w:sz w:val="22"/>
        </w:rPr>
      </w:pPr>
      <w:r>
        <w:rPr>
          <w:b/>
          <w:color w:val="2E97D3"/>
          <w:sz w:val="22"/>
          <w:u w:val="single" w:color="2E97D3"/>
        </w:rPr>
        <w:t>Hospital Checking </w:t>
      </w:r>
      <w:r>
        <w:rPr>
          <w:color w:val="2E97D3"/>
          <w:sz w:val="22"/>
          <w:u w:val="single" w:color="2E97D3"/>
        </w:rPr>
        <w:t>(Health and Safety Code</w:t>
      </w:r>
      <w:r>
        <w:rPr>
          <w:color w:val="2E97D3"/>
          <w:spacing w:val="-18"/>
          <w:sz w:val="22"/>
          <w:u w:val="single" w:color="2E97D3"/>
        </w:rPr>
        <w:t> </w:t>
      </w:r>
      <w:r>
        <w:rPr>
          <w:color w:val="2E97D3"/>
          <w:sz w:val="22"/>
          <w:u w:val="single" w:color="2E97D3"/>
        </w:rPr>
        <w:t>12990)</w:t>
      </w:r>
    </w:p>
    <w:p>
      <w:pPr>
        <w:pStyle w:val="BodyText"/>
        <w:spacing w:before="9"/>
        <w:rPr>
          <w:sz w:val="21"/>
        </w:rPr>
      </w:pPr>
    </w:p>
    <w:p>
      <w:pPr>
        <w:pStyle w:val="ListParagraph"/>
        <w:numPr>
          <w:ilvl w:val="1"/>
          <w:numId w:val="81"/>
        </w:numPr>
        <w:tabs>
          <w:tab w:pos="1766" w:val="left" w:leader="none"/>
          <w:tab w:pos="1767" w:val="left" w:leader="none"/>
        </w:tabs>
        <w:spacing w:line="240" w:lineRule="auto" w:before="0" w:after="0"/>
        <w:ind w:left="1766" w:right="0" w:hanging="360"/>
        <w:jc w:val="left"/>
        <w:rPr>
          <w:sz w:val="22"/>
        </w:rPr>
      </w:pPr>
      <w:r>
        <w:rPr>
          <w:b/>
          <w:color w:val="2E97D3"/>
          <w:sz w:val="22"/>
          <w:u w:val="single" w:color="2E97D3"/>
        </w:rPr>
        <w:t>Essential Services </w:t>
      </w:r>
      <w:r>
        <w:rPr>
          <w:color w:val="2E97D3"/>
          <w:sz w:val="22"/>
          <w:u w:val="single" w:color="2E97D3"/>
        </w:rPr>
        <w:t>(Health and Safety Code, Sections</w:t>
      </w:r>
      <w:r>
        <w:rPr>
          <w:color w:val="2E97D3"/>
          <w:spacing w:val="-27"/>
          <w:sz w:val="22"/>
          <w:u w:val="single" w:color="2E97D3"/>
        </w:rPr>
        <w:t> </w:t>
      </w:r>
      <w:r>
        <w:rPr>
          <w:color w:val="2E97D3"/>
          <w:sz w:val="22"/>
          <w:u w:val="single" w:color="2E97D3"/>
        </w:rPr>
        <w:t>16000-16023)</w:t>
      </w:r>
    </w:p>
    <w:p>
      <w:pPr>
        <w:pStyle w:val="BodyText"/>
        <w:spacing w:before="9"/>
        <w:rPr>
          <w:sz w:val="21"/>
        </w:rPr>
      </w:pPr>
    </w:p>
    <w:p>
      <w:pPr>
        <w:pStyle w:val="ListParagraph"/>
        <w:numPr>
          <w:ilvl w:val="1"/>
          <w:numId w:val="81"/>
        </w:numPr>
        <w:tabs>
          <w:tab w:pos="1766" w:val="left" w:leader="none"/>
          <w:tab w:pos="1767" w:val="left" w:leader="none"/>
        </w:tabs>
        <w:spacing w:line="240" w:lineRule="auto" w:before="0" w:after="0"/>
        <w:ind w:left="1766" w:right="0" w:hanging="360"/>
        <w:jc w:val="left"/>
        <w:rPr>
          <w:b/>
          <w:sz w:val="22"/>
        </w:rPr>
      </w:pPr>
      <w:r>
        <w:rPr>
          <w:b/>
          <w:color w:val="2E97D3"/>
          <w:sz w:val="22"/>
          <w:u w:val="thick" w:color="2E97D3"/>
        </w:rPr>
        <w:t>DSA Structural Safety</w:t>
      </w:r>
      <w:r>
        <w:rPr>
          <w:b/>
          <w:color w:val="2E97D3"/>
          <w:spacing w:val="-13"/>
          <w:sz w:val="22"/>
          <w:u w:val="thick" w:color="2E97D3"/>
        </w:rPr>
        <w:t> </w:t>
      </w:r>
      <w:r>
        <w:rPr>
          <w:b/>
          <w:color w:val="2E97D3"/>
          <w:sz w:val="22"/>
          <w:u w:val="thick" w:color="2E97D3"/>
        </w:rPr>
        <w:t>Checking</w:t>
      </w:r>
    </w:p>
    <w:p>
      <w:pPr>
        <w:pStyle w:val="BodyText"/>
        <w:spacing w:before="9"/>
        <w:rPr>
          <w:b/>
          <w:sz w:val="21"/>
        </w:rPr>
      </w:pPr>
    </w:p>
    <w:p>
      <w:pPr>
        <w:pStyle w:val="ListParagraph"/>
        <w:numPr>
          <w:ilvl w:val="1"/>
          <w:numId w:val="81"/>
        </w:numPr>
        <w:tabs>
          <w:tab w:pos="1766" w:val="left" w:leader="none"/>
          <w:tab w:pos="1767" w:val="left" w:leader="none"/>
        </w:tabs>
        <w:spacing w:line="240" w:lineRule="auto" w:before="0" w:after="0"/>
        <w:ind w:left="1766" w:right="0" w:hanging="360"/>
        <w:jc w:val="left"/>
        <w:rPr>
          <w:sz w:val="22"/>
        </w:rPr>
      </w:pPr>
      <w:r>
        <w:rPr>
          <w:b/>
          <w:color w:val="2E97D3"/>
          <w:sz w:val="22"/>
          <w:u w:val="single" w:color="2E97D3"/>
        </w:rPr>
        <w:t>Access Compliance </w:t>
      </w:r>
      <w:r>
        <w:rPr>
          <w:color w:val="2E97D3"/>
          <w:sz w:val="22"/>
          <w:u w:val="single" w:color="2E97D3"/>
        </w:rPr>
        <w:t>(Government Code, Sections</w:t>
      </w:r>
      <w:r>
        <w:rPr>
          <w:color w:val="2E97D3"/>
          <w:spacing w:val="-22"/>
          <w:sz w:val="22"/>
          <w:u w:val="single" w:color="2E97D3"/>
        </w:rPr>
        <w:t> </w:t>
      </w:r>
      <w:r>
        <w:rPr>
          <w:color w:val="2E97D3"/>
          <w:sz w:val="22"/>
          <w:u w:val="single" w:color="2E97D3"/>
        </w:rPr>
        <w:t>4450-4461)</w:t>
      </w:r>
    </w:p>
    <w:p>
      <w:pPr>
        <w:spacing w:after="0" w:line="240" w:lineRule="auto"/>
        <w:jc w:val="left"/>
        <w:rPr>
          <w:sz w:val="22"/>
        </w:rPr>
        <w:sectPr>
          <w:pgSz w:w="12240" w:h="15840"/>
          <w:pgMar w:header="724" w:footer="1068" w:top="980" w:bottom="1260" w:left="480" w:right="1340"/>
        </w:sectPr>
      </w:pPr>
    </w:p>
    <w:p>
      <w:pPr>
        <w:pStyle w:val="BodyText"/>
        <w:rPr>
          <w:sz w:val="20"/>
        </w:rPr>
      </w:pPr>
      <w:r>
        <w:rPr/>
        <w:pict>
          <v:line style="position:absolute;mso-position-horizontal-relative:page;mso-position-vertical-relative:page;z-index:26560" from="29.4pt,72pt" to="29.4pt,713.04pt" stroked="true" strokeweight=".72pt" strokecolor="#000000">
            <v:stroke dashstyle="solid"/>
            <w10:wrap type="none"/>
          </v:line>
        </w:pict>
      </w:r>
    </w:p>
    <w:p>
      <w:pPr>
        <w:spacing w:before="213"/>
        <w:ind w:left="686" w:right="0" w:firstLine="0"/>
        <w:jc w:val="left"/>
        <w:rPr>
          <w:sz w:val="22"/>
        </w:rPr>
      </w:pPr>
      <w:r>
        <w:rPr>
          <w:b/>
          <w:color w:val="2E97D3"/>
          <w:sz w:val="22"/>
          <w:u w:val="single" w:color="2E97D3"/>
        </w:rPr>
        <w:t>Environmental Document </w:t>
      </w:r>
      <w:r>
        <w:rPr>
          <w:color w:val="2E97D3"/>
          <w:sz w:val="22"/>
          <w:u w:val="single" w:color="2E97D3"/>
        </w:rPr>
        <w:t>(Preliminary Plans and Construction Phases)</w:t>
      </w:r>
    </w:p>
    <w:p>
      <w:pPr>
        <w:spacing w:before="1"/>
        <w:ind w:left="686" w:right="97" w:firstLine="0"/>
        <w:jc w:val="left"/>
        <w:rPr>
          <w:sz w:val="22"/>
        </w:rPr>
      </w:pPr>
      <w:r>
        <w:rPr>
          <w:color w:val="2E97D3"/>
          <w:sz w:val="22"/>
          <w:u w:val="single" w:color="2E97D3"/>
        </w:rPr>
        <w:t>Provides the preparation and management of environmental studies and documents (environmental impact reports/statements, etc.) as required by the California Environmental Quality Act (CEQA), the National Environmental Policy Act (NEPA), and regulatory agencies.</w:t>
      </w:r>
    </w:p>
    <w:p>
      <w:pPr>
        <w:pStyle w:val="BodyText"/>
        <w:spacing w:before="10"/>
        <w:rPr>
          <w:sz w:val="13"/>
        </w:rPr>
      </w:pPr>
    </w:p>
    <w:p>
      <w:pPr>
        <w:spacing w:line="253" w:lineRule="exact" w:before="94"/>
        <w:ind w:left="686" w:right="0" w:firstLine="0"/>
        <w:jc w:val="left"/>
        <w:rPr>
          <w:sz w:val="22"/>
        </w:rPr>
      </w:pPr>
      <w:r>
        <w:rPr>
          <w:color w:val="2E97D3"/>
          <w:sz w:val="22"/>
          <w:u w:val="single" w:color="2E97D3"/>
        </w:rPr>
        <w:t>Environmental services may include:</w:t>
      </w:r>
    </w:p>
    <w:p>
      <w:pPr>
        <w:pStyle w:val="ListParagraph"/>
        <w:numPr>
          <w:ilvl w:val="0"/>
          <w:numId w:val="81"/>
        </w:numPr>
        <w:tabs>
          <w:tab w:pos="1511" w:val="left" w:leader="none"/>
          <w:tab w:pos="1512" w:val="left" w:leader="none"/>
        </w:tabs>
        <w:spacing w:line="254" w:lineRule="exact" w:before="21" w:after="0"/>
        <w:ind w:left="1512" w:right="356" w:hanging="360"/>
        <w:jc w:val="left"/>
        <w:rPr>
          <w:sz w:val="22"/>
        </w:rPr>
      </w:pPr>
      <w:r>
        <w:rPr>
          <w:color w:val="2E97D3"/>
          <w:sz w:val="22"/>
          <w:u w:val="single" w:color="2E97D3"/>
        </w:rPr>
        <w:t>Preparation and management of environmental review and planning documents and the CEQA and NEPA</w:t>
      </w:r>
      <w:r>
        <w:rPr>
          <w:color w:val="2E97D3"/>
          <w:spacing w:val="-7"/>
          <w:sz w:val="22"/>
          <w:u w:val="single" w:color="2E97D3"/>
        </w:rPr>
        <w:t> </w:t>
      </w:r>
      <w:r>
        <w:rPr>
          <w:color w:val="2E97D3"/>
          <w:sz w:val="22"/>
          <w:u w:val="single" w:color="2E97D3"/>
        </w:rPr>
        <w:t>processes</w:t>
      </w:r>
    </w:p>
    <w:p>
      <w:pPr>
        <w:pStyle w:val="ListParagraph"/>
        <w:numPr>
          <w:ilvl w:val="0"/>
          <w:numId w:val="81"/>
        </w:numPr>
        <w:tabs>
          <w:tab w:pos="1511" w:val="left" w:leader="none"/>
          <w:tab w:pos="1512" w:val="left" w:leader="none"/>
        </w:tabs>
        <w:spacing w:line="252" w:lineRule="exact" w:before="18" w:after="0"/>
        <w:ind w:left="1512" w:right="123" w:hanging="360"/>
        <w:jc w:val="left"/>
        <w:rPr>
          <w:sz w:val="22"/>
        </w:rPr>
      </w:pPr>
      <w:r>
        <w:rPr>
          <w:color w:val="2E97D3"/>
          <w:sz w:val="22"/>
          <w:u w:val="single" w:color="2E97D3"/>
        </w:rPr>
        <w:t>Development permits and/or consultation with environmental agencies for wetlands, waste discharge, endangered species, stream crossings, and traffic</w:t>
      </w:r>
      <w:r>
        <w:rPr>
          <w:color w:val="2E97D3"/>
          <w:spacing w:val="-23"/>
          <w:sz w:val="22"/>
          <w:u w:val="single" w:color="2E97D3"/>
        </w:rPr>
        <w:t> </w:t>
      </w:r>
      <w:r>
        <w:rPr>
          <w:color w:val="2E97D3"/>
          <w:sz w:val="22"/>
          <w:u w:val="single" w:color="2E97D3"/>
        </w:rPr>
        <w:t>studies</w:t>
      </w:r>
    </w:p>
    <w:p>
      <w:pPr>
        <w:pStyle w:val="ListParagraph"/>
        <w:numPr>
          <w:ilvl w:val="0"/>
          <w:numId w:val="81"/>
        </w:numPr>
        <w:tabs>
          <w:tab w:pos="1511" w:val="left" w:leader="none"/>
          <w:tab w:pos="1512" w:val="left" w:leader="none"/>
        </w:tabs>
        <w:spacing w:line="272" w:lineRule="exact" w:before="0" w:after="0"/>
        <w:ind w:left="1512" w:right="0" w:hanging="360"/>
        <w:jc w:val="left"/>
        <w:rPr>
          <w:sz w:val="22"/>
        </w:rPr>
      </w:pPr>
      <w:r>
        <w:rPr>
          <w:color w:val="2E97D3"/>
          <w:sz w:val="22"/>
          <w:u w:val="single" w:color="2E97D3"/>
        </w:rPr>
        <w:t>Stormwater Pollution Prevention Plans</w:t>
      </w:r>
      <w:r>
        <w:rPr>
          <w:color w:val="2E97D3"/>
          <w:spacing w:val="-16"/>
          <w:sz w:val="22"/>
          <w:u w:val="single" w:color="2E97D3"/>
        </w:rPr>
        <w:t> </w:t>
      </w:r>
      <w:r>
        <w:rPr>
          <w:color w:val="2E97D3"/>
          <w:sz w:val="22"/>
          <w:u w:val="single" w:color="2E97D3"/>
        </w:rPr>
        <w:t>(SWPPPs)</w:t>
      </w:r>
    </w:p>
    <w:p>
      <w:pPr>
        <w:pStyle w:val="ListParagraph"/>
        <w:numPr>
          <w:ilvl w:val="0"/>
          <w:numId w:val="81"/>
        </w:numPr>
        <w:tabs>
          <w:tab w:pos="1511" w:val="left" w:leader="none"/>
          <w:tab w:pos="1512" w:val="left" w:leader="none"/>
        </w:tabs>
        <w:spacing w:line="252" w:lineRule="exact" w:before="21" w:after="0"/>
        <w:ind w:left="1512" w:right="234" w:hanging="360"/>
        <w:jc w:val="left"/>
        <w:rPr>
          <w:sz w:val="22"/>
        </w:rPr>
      </w:pPr>
      <w:r>
        <w:rPr>
          <w:color w:val="2E97D3"/>
          <w:sz w:val="22"/>
          <w:u w:val="single" w:color="2E97D3"/>
        </w:rPr>
        <w:t>Environmental site assessments and hazardous materials investigation, remediation, and monitoring</w:t>
      </w:r>
    </w:p>
    <w:p>
      <w:pPr>
        <w:pStyle w:val="ListParagraph"/>
        <w:numPr>
          <w:ilvl w:val="0"/>
          <w:numId w:val="81"/>
        </w:numPr>
        <w:tabs>
          <w:tab w:pos="1511" w:val="left" w:leader="none"/>
          <w:tab w:pos="1512" w:val="left" w:leader="none"/>
        </w:tabs>
        <w:spacing w:line="272" w:lineRule="exact" w:before="0" w:after="0"/>
        <w:ind w:left="1512" w:right="0" w:hanging="360"/>
        <w:jc w:val="left"/>
        <w:rPr>
          <w:sz w:val="22"/>
        </w:rPr>
      </w:pPr>
      <w:r>
        <w:rPr>
          <w:color w:val="2E97D3"/>
          <w:sz w:val="22"/>
          <w:u w:val="single" w:color="2E97D3"/>
        </w:rPr>
        <w:t>Site suitability studies as part of site selection and</w:t>
      </w:r>
      <w:r>
        <w:rPr>
          <w:color w:val="2E97D3"/>
          <w:spacing w:val="-18"/>
          <w:sz w:val="22"/>
          <w:u w:val="single" w:color="2E97D3"/>
        </w:rPr>
        <w:t> </w:t>
      </w:r>
      <w:r>
        <w:rPr>
          <w:color w:val="2E97D3"/>
          <w:sz w:val="22"/>
          <w:u w:val="single" w:color="2E97D3"/>
        </w:rPr>
        <w:t>acquisition</w:t>
      </w:r>
    </w:p>
    <w:p>
      <w:pPr>
        <w:pStyle w:val="ListParagraph"/>
        <w:numPr>
          <w:ilvl w:val="0"/>
          <w:numId w:val="81"/>
        </w:numPr>
        <w:tabs>
          <w:tab w:pos="1511" w:val="left" w:leader="none"/>
          <w:tab w:pos="1512" w:val="left" w:leader="none"/>
        </w:tabs>
        <w:spacing w:line="271" w:lineRule="exact" w:before="0" w:after="0"/>
        <w:ind w:left="1512" w:right="0" w:hanging="360"/>
        <w:jc w:val="left"/>
        <w:rPr>
          <w:sz w:val="22"/>
        </w:rPr>
      </w:pPr>
      <w:r>
        <w:rPr>
          <w:color w:val="2E97D3"/>
          <w:sz w:val="22"/>
          <w:u w:val="single" w:color="2E97D3"/>
        </w:rPr>
        <w:t>Assistance with community planning meetings and public</w:t>
      </w:r>
      <w:r>
        <w:rPr>
          <w:color w:val="2E97D3"/>
          <w:spacing w:val="-24"/>
          <w:sz w:val="22"/>
          <w:u w:val="single" w:color="2E97D3"/>
        </w:rPr>
        <w:t> </w:t>
      </w:r>
      <w:r>
        <w:rPr>
          <w:color w:val="2E97D3"/>
          <w:sz w:val="22"/>
          <w:u w:val="single" w:color="2E97D3"/>
        </w:rPr>
        <w:t>involvement</w:t>
      </w:r>
    </w:p>
    <w:p>
      <w:pPr>
        <w:pStyle w:val="ListParagraph"/>
        <w:numPr>
          <w:ilvl w:val="0"/>
          <w:numId w:val="81"/>
        </w:numPr>
        <w:tabs>
          <w:tab w:pos="1511" w:val="left" w:leader="none"/>
          <w:tab w:pos="1512" w:val="left" w:leader="none"/>
        </w:tabs>
        <w:spacing w:line="271" w:lineRule="exact" w:before="0" w:after="0"/>
        <w:ind w:left="1512" w:right="0" w:hanging="360"/>
        <w:jc w:val="left"/>
        <w:rPr>
          <w:sz w:val="22"/>
        </w:rPr>
      </w:pPr>
      <w:r>
        <w:rPr>
          <w:color w:val="2E97D3"/>
          <w:sz w:val="22"/>
          <w:u w:val="single" w:color="2E97D3"/>
        </w:rPr>
        <w:t>Environmental resources and site development</w:t>
      </w:r>
      <w:r>
        <w:rPr>
          <w:color w:val="2E97D3"/>
          <w:spacing w:val="-24"/>
          <w:sz w:val="22"/>
          <w:u w:val="single" w:color="2E97D3"/>
        </w:rPr>
        <w:t> </w:t>
      </w:r>
      <w:r>
        <w:rPr>
          <w:color w:val="2E97D3"/>
          <w:sz w:val="22"/>
          <w:u w:val="single" w:color="2E97D3"/>
        </w:rPr>
        <w:t>studies</w:t>
      </w:r>
    </w:p>
    <w:p>
      <w:pPr>
        <w:pStyle w:val="ListParagraph"/>
        <w:numPr>
          <w:ilvl w:val="0"/>
          <w:numId w:val="81"/>
        </w:numPr>
        <w:tabs>
          <w:tab w:pos="1511" w:val="left" w:leader="none"/>
          <w:tab w:pos="1512" w:val="left" w:leader="none"/>
        </w:tabs>
        <w:spacing w:line="271" w:lineRule="exact" w:before="0" w:after="0"/>
        <w:ind w:left="1512" w:right="0" w:hanging="360"/>
        <w:jc w:val="left"/>
        <w:rPr>
          <w:sz w:val="22"/>
        </w:rPr>
      </w:pPr>
      <w:r>
        <w:rPr>
          <w:color w:val="2E97D3"/>
          <w:sz w:val="22"/>
          <w:u w:val="single" w:color="2E97D3"/>
        </w:rPr>
        <w:t>Cultural resource and historical resource consultation and site</w:t>
      </w:r>
      <w:r>
        <w:rPr>
          <w:color w:val="2E97D3"/>
          <w:spacing w:val="-27"/>
          <w:sz w:val="22"/>
          <w:u w:val="single" w:color="2E97D3"/>
        </w:rPr>
        <w:t> </w:t>
      </w:r>
      <w:r>
        <w:rPr>
          <w:color w:val="2E97D3"/>
          <w:sz w:val="22"/>
          <w:u w:val="single" w:color="2E97D3"/>
        </w:rPr>
        <w:t>surveys</w:t>
      </w:r>
    </w:p>
    <w:p>
      <w:pPr>
        <w:pStyle w:val="ListParagraph"/>
        <w:numPr>
          <w:ilvl w:val="0"/>
          <w:numId w:val="81"/>
        </w:numPr>
        <w:tabs>
          <w:tab w:pos="1511" w:val="left" w:leader="none"/>
          <w:tab w:pos="1512" w:val="left" w:leader="none"/>
        </w:tabs>
        <w:spacing w:line="274" w:lineRule="exact" w:before="0" w:after="0"/>
        <w:ind w:left="1512" w:right="0" w:hanging="360"/>
        <w:jc w:val="left"/>
        <w:rPr>
          <w:sz w:val="22"/>
        </w:rPr>
      </w:pPr>
      <w:r>
        <w:rPr>
          <w:color w:val="2E97D3"/>
          <w:sz w:val="22"/>
          <w:u w:val="single" w:color="2E97D3"/>
        </w:rPr>
        <w:t>Assistance on project planning, budgeting, and site</w:t>
      </w:r>
      <w:r>
        <w:rPr>
          <w:color w:val="2E97D3"/>
          <w:spacing w:val="-22"/>
          <w:sz w:val="22"/>
          <w:u w:val="single" w:color="2E97D3"/>
        </w:rPr>
        <w:t> </w:t>
      </w:r>
      <w:r>
        <w:rPr>
          <w:color w:val="2E97D3"/>
          <w:sz w:val="22"/>
          <w:u w:val="single" w:color="2E97D3"/>
        </w:rPr>
        <w:t>acquisition</w:t>
      </w:r>
    </w:p>
    <w:p>
      <w:pPr>
        <w:pStyle w:val="BodyText"/>
        <w:spacing w:before="5"/>
        <w:rPr>
          <w:sz w:val="15"/>
        </w:rPr>
      </w:pPr>
    </w:p>
    <w:p>
      <w:pPr>
        <w:spacing w:before="93"/>
        <w:ind w:left="686" w:right="0" w:firstLine="0"/>
        <w:jc w:val="left"/>
        <w:rPr>
          <w:sz w:val="22"/>
        </w:rPr>
      </w:pPr>
      <w:r>
        <w:rPr>
          <w:b/>
          <w:color w:val="2E97D3"/>
          <w:sz w:val="22"/>
          <w:u w:val="single" w:color="2E97D3"/>
        </w:rPr>
        <w:t>Due Diligence </w:t>
      </w:r>
      <w:r>
        <w:rPr>
          <w:color w:val="2E97D3"/>
          <w:sz w:val="22"/>
          <w:u w:val="single" w:color="2E97D3"/>
        </w:rPr>
        <w:t>(Acquisition and Preliminary Plans Phases)</w:t>
      </w:r>
    </w:p>
    <w:p>
      <w:pPr>
        <w:spacing w:before="0"/>
        <w:ind w:left="686" w:right="119" w:firstLine="0"/>
        <w:jc w:val="left"/>
        <w:rPr>
          <w:sz w:val="22"/>
        </w:rPr>
      </w:pPr>
      <w:r>
        <w:rPr>
          <w:color w:val="2E97D3"/>
          <w:sz w:val="22"/>
          <w:u w:val="single" w:color="2E97D3"/>
        </w:rPr>
        <w:t>A report prepared for State Public Works Board (SPWB) staff which, outlines all findings of the real estate due diligence review for a specific property. This report includes outstanding issues and recommendations for the mitigation of any known condition on the parcel area which may affect the financing, value, desirability, or utility of the project site. The A&amp;E consultant is responsible for providing preliminary reports, copies of all vesting and reference documents, title exceptions maps, project maps, vicinity maps, and written legal descriptions/sketches. For lease revenue bond funded projects, the A&amp;E service support need may run up to the time of the bond sale for the project.</w:t>
      </w:r>
    </w:p>
    <w:p>
      <w:pPr>
        <w:pStyle w:val="BodyText"/>
        <w:spacing w:before="9"/>
        <w:rPr>
          <w:sz w:val="13"/>
        </w:rPr>
      </w:pPr>
    </w:p>
    <w:p>
      <w:pPr>
        <w:spacing w:before="94"/>
        <w:ind w:left="686" w:right="115" w:firstLine="0"/>
        <w:jc w:val="left"/>
        <w:rPr>
          <w:sz w:val="22"/>
        </w:rPr>
      </w:pPr>
      <w:r>
        <w:rPr>
          <w:color w:val="2E97D3"/>
          <w:sz w:val="22"/>
          <w:u w:val="single" w:color="2E97D3"/>
        </w:rPr>
        <w:t>During the review process there will be an attempt to clear minor property rights and other real estate due diligence issues. Clearing substantial issues such as those requiring abandonment or relocation of existing road/utility right-of-way, recordation of correction deeds to perfect title, establishment of the property’s boundary lines, quit claiming surface or mineral rights, quit claiming interests held by outside parties, and condemnation actions need to be included as required.</w:t>
      </w:r>
    </w:p>
    <w:p>
      <w:pPr>
        <w:pStyle w:val="BodyText"/>
        <w:spacing w:before="10"/>
        <w:rPr>
          <w:sz w:val="13"/>
        </w:rPr>
      </w:pPr>
    </w:p>
    <w:p>
      <w:pPr>
        <w:spacing w:before="93"/>
        <w:ind w:left="686" w:right="676" w:firstLine="0"/>
        <w:jc w:val="left"/>
        <w:rPr>
          <w:sz w:val="22"/>
        </w:rPr>
      </w:pPr>
      <w:r>
        <w:rPr>
          <w:color w:val="2E97D3"/>
          <w:sz w:val="22"/>
          <w:u w:val="single" w:color="2E97D3"/>
        </w:rPr>
        <w:t>State-owned leases that encumber a project site may require modification and consent of the SPWB if the project is a lease revenue bond funded project.</w:t>
      </w:r>
    </w:p>
    <w:p>
      <w:pPr>
        <w:pStyle w:val="BodyText"/>
        <w:spacing w:before="2"/>
        <w:rPr>
          <w:sz w:val="13"/>
        </w:rPr>
      </w:pPr>
    </w:p>
    <w:p>
      <w:pPr>
        <w:spacing w:before="94"/>
        <w:ind w:left="686" w:right="0" w:firstLine="0"/>
        <w:jc w:val="left"/>
        <w:rPr>
          <w:sz w:val="22"/>
        </w:rPr>
      </w:pPr>
      <w:r>
        <w:rPr/>
        <w:pict>
          <v:group style="position:absolute;margin-left:58.02pt;margin-top:15.377868pt;width:446.6pt;height:2.2pt;mso-position-horizontal-relative:page;mso-position-vertical-relative:paragraph;z-index:-446128" coordorigin="1160,308" coordsize="8932,44">
            <v:line style="position:absolute" from="1166,314" to="1769,314" stroked="true" strokeweight=".6pt" strokecolor="#2c6234">
              <v:stroke dashstyle="solid"/>
            </v:line>
            <v:line style="position:absolute" from="1166,345" to="1769,345" stroked="true" strokeweight=".599pt" strokecolor="#2c6234">
              <v:stroke dashstyle="solid"/>
            </v:line>
            <v:line style="position:absolute" from="1769,334" to="10082,334" stroked="true" strokeweight=".959pt" strokecolor="#2e97d3">
              <v:stroke dashstyle="solid"/>
            </v:line>
            <w10:wrap type="none"/>
          </v:group>
        </w:pict>
      </w:r>
      <w:r>
        <w:rPr>
          <w:b/>
          <w:color w:val="2C6234"/>
          <w:sz w:val="22"/>
        </w:rPr>
        <w:t>State </w:t>
      </w:r>
      <w:r>
        <w:rPr>
          <w:b/>
          <w:color w:val="2E97D3"/>
          <w:sz w:val="22"/>
        </w:rPr>
        <w:t>Fire Marshal (SFM) Fees </w:t>
      </w:r>
      <w:r>
        <w:rPr>
          <w:color w:val="2E97D3"/>
          <w:sz w:val="22"/>
        </w:rPr>
        <w:t>(Health and Safety Code, §13109 Health and Safety Code,</w:t>
      </w:r>
    </w:p>
    <w:p>
      <w:pPr>
        <w:spacing w:before="1"/>
        <w:ind w:left="686" w:right="0" w:firstLine="0"/>
        <w:jc w:val="left"/>
        <w:rPr>
          <w:sz w:val="22"/>
        </w:rPr>
      </w:pPr>
      <w:r>
        <w:rPr>
          <w:color w:val="2E97D3"/>
          <w:sz w:val="22"/>
          <w:u w:val="single" w:color="2E97D3"/>
        </w:rPr>
        <w:t>§13145 and 13146) (All Phases)</w:t>
      </w:r>
    </w:p>
    <w:p>
      <w:pPr>
        <w:spacing w:before="1"/>
        <w:ind w:left="686" w:right="90" w:firstLine="0"/>
        <w:jc w:val="left"/>
        <w:rPr>
          <w:sz w:val="22"/>
        </w:rPr>
      </w:pPr>
      <w:r>
        <w:rPr>
          <w:color w:val="2E97D3"/>
          <w:sz w:val="22"/>
          <w:u w:val="single" w:color="2E97D3"/>
        </w:rPr>
        <w:t>Plans are reviewed for compliance with the adopted State of California Building and Fire Codes, California Code of Regulation, Title 19, Title 24, and applicable nationally recognized standards. Plan review consists of, but is not limited to, preliminary review, design development consultations, initial review, conferences, back check, addendums, change orders, instructional bulletins, and requests for information. SFM provides field inspection for code compliance during the construction phase of the project. The SFM must issue a Temporary and/or Final Certification of Occupancy of the project before the project can be occupied for its intended use.</w:t>
      </w:r>
    </w:p>
    <w:p>
      <w:pPr>
        <w:spacing w:after="0"/>
        <w:jc w:val="left"/>
        <w:rPr>
          <w:sz w:val="22"/>
        </w:rPr>
        <w:sectPr>
          <w:footerReference w:type="default" r:id="rId275"/>
          <w:pgSz w:w="12240" w:h="15840"/>
          <w:pgMar w:footer="1079" w:header="724" w:top="980" w:bottom="1260" w:left="480" w:right="1340"/>
        </w:sectPr>
      </w:pPr>
    </w:p>
    <w:p>
      <w:pPr>
        <w:pStyle w:val="BodyText"/>
        <w:rPr>
          <w:sz w:val="20"/>
        </w:rPr>
      </w:pPr>
    </w:p>
    <w:p>
      <w:pPr>
        <w:spacing w:before="213"/>
        <w:ind w:left="686" w:right="0" w:firstLine="0"/>
        <w:jc w:val="left"/>
        <w:rPr>
          <w:sz w:val="22"/>
        </w:rPr>
      </w:pPr>
      <w:r>
        <w:rPr/>
        <w:pict>
          <v:line style="position:absolute;mso-position-horizontal-relative:page;mso-position-vertical-relative:paragraph;z-index:26584" from="29.4pt,10.887854pt" to="29.4pt,69.567854pt" stroked="true" strokeweight=".72pt" strokecolor="#000000">
            <v:stroke dashstyle="solid"/>
            <w10:wrap type="none"/>
          </v:line>
        </w:pict>
      </w:r>
      <w:r>
        <w:rPr>
          <w:b/>
          <w:color w:val="2E97D3"/>
          <w:sz w:val="22"/>
          <w:u w:val="thick" w:color="2E97D3"/>
        </w:rPr>
        <w:t>Permit/Regulatory/Utility Fees </w:t>
      </w:r>
      <w:r>
        <w:rPr>
          <w:color w:val="2E97D3"/>
          <w:sz w:val="22"/>
          <w:u w:val="thick" w:color="2E97D3"/>
        </w:rPr>
        <w:t>(All Phases)</w:t>
      </w:r>
    </w:p>
    <w:p>
      <w:pPr>
        <w:pStyle w:val="BodyText"/>
        <w:spacing w:before="6"/>
        <w:rPr>
          <w:sz w:val="21"/>
        </w:rPr>
      </w:pPr>
    </w:p>
    <w:p>
      <w:pPr>
        <w:pStyle w:val="BodyText"/>
        <w:spacing w:before="1"/>
        <w:ind w:left="686" w:right="211"/>
      </w:pPr>
      <w:r>
        <w:rPr>
          <w:color w:val="2C6234"/>
          <w:sz w:val="22"/>
          <w:u w:val="thick" w:color="2C6234"/>
        </w:rPr>
        <w:t>As </w:t>
      </w:r>
      <w:r>
        <w:rPr>
          <w:strike/>
          <w:color w:val="2E97D3"/>
        </w:rPr>
        <w:t>For real property acquisition projects, a budget package refines the purchase value figure.  DGS updates the value figure upon formal requests by the department.</w:t>
      </w:r>
    </w:p>
    <w:p>
      <w:pPr>
        <w:spacing w:after="0"/>
        <w:sectPr>
          <w:pgSz w:w="12240" w:h="15840"/>
          <w:pgMar w:header="724" w:footer="1079" w:top="980" w:bottom="1260" w:left="480" w:right="1720"/>
        </w:sectPr>
      </w:pPr>
    </w:p>
    <w:p>
      <w:pPr>
        <w:pStyle w:val="BodyText"/>
        <w:rPr>
          <w:sz w:val="20"/>
        </w:rPr>
      </w:pPr>
    </w:p>
    <w:p>
      <w:pPr>
        <w:spacing w:before="214"/>
        <w:ind w:left="686" w:right="5126" w:firstLine="0"/>
        <w:jc w:val="left"/>
        <w:rPr>
          <w:b/>
          <w:sz w:val="24"/>
        </w:rPr>
      </w:pPr>
      <w:r>
        <w:rPr/>
        <w:pict>
          <v:line style="position:absolute;mso-position-horizontal-relative:page;mso-position-vertical-relative:paragraph;z-index:26632" from="29.4pt,10.915881pt" to="29.4pt,100.915881pt" stroked="true" strokeweight=".72pt" strokecolor="#000000">
            <v:stroke dashstyle="solid"/>
            <w10:wrap type="none"/>
          </v:line>
        </w:pict>
      </w:r>
      <w:r>
        <w:rPr>
          <w:b/>
          <w:strike/>
          <w:color w:val="2E97D3"/>
          <w:sz w:val="24"/>
        </w:rPr>
        <w:t>DEPARTMENT OF GENERAL SERVICES PROJECT MANAGEMENT BRANCH</w:t>
      </w:r>
    </w:p>
    <w:p>
      <w:pPr>
        <w:pStyle w:val="BodyText"/>
        <w:spacing w:before="11"/>
        <w:rPr>
          <w:b/>
          <w:sz w:val="15"/>
        </w:rPr>
      </w:pPr>
    </w:p>
    <w:p>
      <w:pPr>
        <w:spacing w:before="92"/>
        <w:ind w:left="3448" w:right="0" w:firstLine="0"/>
        <w:jc w:val="left"/>
        <w:rPr>
          <w:b/>
          <w:sz w:val="24"/>
        </w:rPr>
      </w:pPr>
      <w:r>
        <w:rPr/>
        <w:pict>
          <v:line style="position:absolute;mso-position-horizontal-relative:page;mso-position-vertical-relative:paragraph;z-index:26656" from="29.4pt,89.65686pt" to="29.4pt,124.45586pt" stroked="true" strokeweight=".72pt" strokecolor="#000000">
            <v:stroke dashstyle="solid"/>
            <w10:wrap type="none"/>
          </v:line>
        </w:pict>
      </w:r>
      <w:r>
        <w:rPr>
          <w:b/>
          <w:strike/>
          <w:color w:val="2E97D3"/>
          <w:sz w:val="24"/>
        </w:rPr>
        <w:t>CAPITAL OUTLAY COST ESTIMATE</w:t>
      </w:r>
    </w:p>
    <w:p>
      <w:pPr>
        <w:pStyle w:val="BodyText"/>
        <w:spacing w:before="10"/>
        <w:rPr>
          <w:b/>
          <w:sz w:val="20"/>
        </w:rPr>
      </w:pPr>
      <w:r>
        <w:rPr/>
        <w:pict>
          <v:line style="position:absolute;mso-position-horizontal-relative:page;mso-position-vertical-relative:paragraph;z-index:26608;mso-wrap-distance-left:0;mso-wrap-distance-right:0" from="29.4pt,42.552277pt" to="29.4pt,63.552277pt" stroked="true" strokeweight=".72pt" strokecolor="#000000">
            <v:stroke dashstyle="solid"/>
            <w10:wrap type="topAndBottom"/>
          </v:line>
        </w:pict>
      </w:r>
      <w:r>
        <w:rPr/>
        <w:pict>
          <v:shape style="position:absolute;margin-left:58.32pt;margin-top:13.992275pt;width:460pt;height:170.6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8"/>
                    <w:gridCol w:w="3240"/>
                    <w:gridCol w:w="2700"/>
                    <w:gridCol w:w="1711"/>
                  </w:tblGrid>
                  <w:tr>
                    <w:trPr>
                      <w:trHeight w:val="566" w:hRule="exact"/>
                    </w:trPr>
                    <w:tc>
                      <w:tcPr>
                        <w:tcW w:w="1548" w:type="dxa"/>
                        <w:tcBorders>
                          <w:top w:val="nil"/>
                          <w:left w:val="nil"/>
                        </w:tcBorders>
                      </w:tcPr>
                      <w:p>
                        <w:pPr>
                          <w:pStyle w:val="TableParagraph"/>
                          <w:spacing w:line="272" w:lineRule="exact"/>
                          <w:ind w:left="84" w:right="78"/>
                          <w:jc w:val="center"/>
                          <w:rPr>
                            <w:sz w:val="24"/>
                          </w:rPr>
                        </w:pPr>
                        <w:r>
                          <w:rPr>
                            <w:strike/>
                            <w:color w:val="2E97D3"/>
                            <w:sz w:val="24"/>
                          </w:rPr>
                          <w:t>PROJECT:</w:t>
                        </w:r>
                      </w:p>
                    </w:tc>
                    <w:tc>
                      <w:tcPr>
                        <w:tcW w:w="3240" w:type="dxa"/>
                        <w:tcBorders>
                          <w:top w:val="nil"/>
                        </w:tcBorders>
                      </w:tcPr>
                      <w:p>
                        <w:pPr>
                          <w:pStyle w:val="TableParagraph"/>
                          <w:spacing w:line="272" w:lineRule="exact"/>
                          <w:ind w:left="488" w:right="488"/>
                          <w:jc w:val="center"/>
                          <w:rPr>
                            <w:sz w:val="24"/>
                          </w:rPr>
                        </w:pPr>
                        <w:r>
                          <w:rPr>
                            <w:strike/>
                            <w:color w:val="2E97D3"/>
                            <w:sz w:val="24"/>
                          </w:rPr>
                          <w:t>ANNEX I</w:t>
                        </w:r>
                      </w:p>
                    </w:tc>
                    <w:tc>
                      <w:tcPr>
                        <w:tcW w:w="2700" w:type="dxa"/>
                        <w:tcBorders>
                          <w:top w:val="nil"/>
                        </w:tcBorders>
                      </w:tcPr>
                      <w:p>
                        <w:pPr>
                          <w:pStyle w:val="TableParagraph"/>
                          <w:spacing w:line="272" w:lineRule="exact"/>
                          <w:ind w:left="125" w:right="125"/>
                          <w:jc w:val="center"/>
                          <w:rPr>
                            <w:sz w:val="24"/>
                          </w:rPr>
                        </w:pPr>
                        <w:r>
                          <w:rPr>
                            <w:strike/>
                            <w:color w:val="2E97D3"/>
                            <w:sz w:val="24"/>
                          </w:rPr>
                          <w:t>BUDGET ESTIMATE:</w:t>
                        </w:r>
                      </w:p>
                    </w:tc>
                    <w:tc>
                      <w:tcPr>
                        <w:tcW w:w="1711" w:type="dxa"/>
                        <w:tcBorders>
                          <w:top w:val="nil"/>
                          <w:right w:val="nil"/>
                        </w:tcBorders>
                      </w:tcPr>
                      <w:p>
                        <w:pPr>
                          <w:pStyle w:val="TableParagraph"/>
                          <w:spacing w:line="272" w:lineRule="exact"/>
                          <w:ind w:left="171" w:right="173"/>
                          <w:jc w:val="center"/>
                          <w:rPr>
                            <w:sz w:val="24"/>
                          </w:rPr>
                        </w:pPr>
                        <w:r>
                          <w:rPr>
                            <w:strike/>
                            <w:color w:val="2E97D3"/>
                            <w:sz w:val="24"/>
                          </w:rPr>
                          <w:t>B97-1901</w:t>
                        </w:r>
                      </w:p>
                    </w:tc>
                  </w:tr>
                  <w:tr>
                    <w:trPr>
                      <w:trHeight w:val="571" w:hRule="exact"/>
                    </w:trPr>
                    <w:tc>
                      <w:tcPr>
                        <w:tcW w:w="1548" w:type="dxa"/>
                        <w:tcBorders>
                          <w:left w:val="nil"/>
                        </w:tcBorders>
                      </w:tcPr>
                      <w:p>
                        <w:pPr>
                          <w:pStyle w:val="TableParagraph"/>
                          <w:spacing w:line="272" w:lineRule="exact"/>
                          <w:ind w:left="84" w:right="78"/>
                          <w:jc w:val="center"/>
                          <w:rPr>
                            <w:sz w:val="24"/>
                          </w:rPr>
                        </w:pPr>
                        <w:r>
                          <w:rPr>
                            <w:strike/>
                            <w:color w:val="2E97D3"/>
                            <w:sz w:val="24"/>
                          </w:rPr>
                          <w:t>LOCATION:</w:t>
                        </w:r>
                      </w:p>
                    </w:tc>
                    <w:tc>
                      <w:tcPr>
                        <w:tcW w:w="3240" w:type="dxa"/>
                      </w:tcPr>
                      <w:p>
                        <w:pPr>
                          <w:pStyle w:val="TableParagraph"/>
                          <w:spacing w:line="272" w:lineRule="exact"/>
                          <w:ind w:left="487" w:right="488"/>
                          <w:jc w:val="center"/>
                          <w:rPr>
                            <w:sz w:val="24"/>
                          </w:rPr>
                        </w:pPr>
                        <w:r>
                          <w:rPr>
                            <w:strike/>
                            <w:color w:val="2E97D3"/>
                            <w:sz w:val="24"/>
                          </w:rPr>
                          <w:t>YOUNTVILLE, CA</w:t>
                        </w:r>
                      </w:p>
                    </w:tc>
                    <w:tc>
                      <w:tcPr>
                        <w:tcW w:w="2700" w:type="dxa"/>
                      </w:tcPr>
                      <w:p>
                        <w:pPr>
                          <w:pStyle w:val="TableParagraph"/>
                          <w:spacing w:line="272" w:lineRule="exact"/>
                          <w:ind w:left="125" w:right="125"/>
                          <w:jc w:val="center"/>
                          <w:rPr>
                            <w:sz w:val="24"/>
                          </w:rPr>
                        </w:pPr>
                        <w:r>
                          <w:rPr>
                            <w:strike/>
                            <w:color w:val="2E97D3"/>
                            <w:sz w:val="24"/>
                          </w:rPr>
                          <w:t>WORK ORDER NO:</w:t>
                        </w:r>
                      </w:p>
                    </w:tc>
                    <w:tc>
                      <w:tcPr>
                        <w:tcW w:w="1711" w:type="dxa"/>
                        <w:tcBorders>
                          <w:right w:val="nil"/>
                        </w:tcBorders>
                      </w:tcPr>
                      <w:p>
                        <w:pPr>
                          <w:pStyle w:val="TableParagraph"/>
                          <w:spacing w:line="272" w:lineRule="exact"/>
                          <w:ind w:left="171" w:right="174"/>
                          <w:jc w:val="center"/>
                          <w:rPr>
                            <w:sz w:val="24"/>
                          </w:rPr>
                        </w:pPr>
                        <w:r>
                          <w:rPr>
                            <w:strike/>
                            <w:color w:val="2E97D3"/>
                            <w:sz w:val="24"/>
                          </w:rPr>
                          <w:t>OPDM 0558</w:t>
                        </w:r>
                      </w:p>
                    </w:tc>
                  </w:tr>
                  <w:tr>
                    <w:trPr>
                      <w:trHeight w:val="850" w:hRule="exact"/>
                    </w:trPr>
                    <w:tc>
                      <w:tcPr>
                        <w:tcW w:w="1548" w:type="dxa"/>
                        <w:tcBorders>
                          <w:left w:val="nil"/>
                        </w:tcBorders>
                      </w:tcPr>
                      <w:p>
                        <w:pPr>
                          <w:pStyle w:val="TableParagraph"/>
                          <w:spacing w:line="274" w:lineRule="exact"/>
                          <w:ind w:left="84" w:right="78"/>
                          <w:jc w:val="center"/>
                          <w:rPr>
                            <w:sz w:val="24"/>
                          </w:rPr>
                        </w:pPr>
                        <w:r>
                          <w:rPr>
                            <w:strike/>
                            <w:color w:val="2E97D3"/>
                            <w:sz w:val="24"/>
                          </w:rPr>
                          <w:t>CLIENT:</w:t>
                        </w:r>
                      </w:p>
                    </w:tc>
                    <w:tc>
                      <w:tcPr>
                        <w:tcW w:w="3240" w:type="dxa"/>
                      </w:tcPr>
                      <w:p>
                        <w:pPr>
                          <w:pStyle w:val="TableParagraph"/>
                          <w:ind w:left="508" w:right="488" w:firstLine="552"/>
                          <w:rPr>
                            <w:sz w:val="24"/>
                          </w:rPr>
                        </w:pPr>
                        <w:r>
                          <w:rPr>
                            <w:strike/>
                            <w:color w:val="2E97D3"/>
                            <w:sz w:val="24"/>
                          </w:rPr>
                          <w:t>DEPT. OF VETERAN AFFAIRS</w:t>
                        </w:r>
                      </w:p>
                    </w:tc>
                    <w:tc>
                      <w:tcPr>
                        <w:tcW w:w="2700" w:type="dxa"/>
                      </w:tcPr>
                      <w:p>
                        <w:pPr>
                          <w:pStyle w:val="TableParagraph"/>
                          <w:ind w:left="991" w:right="432" w:hanging="540"/>
                          <w:rPr>
                            <w:sz w:val="24"/>
                          </w:rPr>
                        </w:pPr>
                        <w:r>
                          <w:rPr>
                            <w:strike/>
                            <w:color w:val="2E97D3"/>
                            <w:sz w:val="24"/>
                          </w:rPr>
                          <w:t>ESTIMATE RUN DATE:</w:t>
                        </w:r>
                      </w:p>
                    </w:tc>
                    <w:tc>
                      <w:tcPr>
                        <w:tcW w:w="1711" w:type="dxa"/>
                        <w:tcBorders>
                          <w:right w:val="nil"/>
                        </w:tcBorders>
                      </w:tcPr>
                      <w:p>
                        <w:pPr>
                          <w:pStyle w:val="TableParagraph"/>
                          <w:ind w:left="583" w:right="278" w:hanging="296"/>
                          <w:rPr>
                            <w:sz w:val="24"/>
                          </w:rPr>
                        </w:pPr>
                        <w:r>
                          <w:rPr>
                            <w:strike/>
                            <w:color w:val="2E97D3"/>
                            <w:sz w:val="24"/>
                          </w:rPr>
                          <w:t>October 1, 1996</w:t>
                        </w:r>
                      </w:p>
                    </w:tc>
                  </w:tr>
                  <w:tr>
                    <w:trPr>
                      <w:trHeight w:val="571" w:hRule="exact"/>
                    </w:trPr>
                    <w:tc>
                      <w:tcPr>
                        <w:tcW w:w="1548" w:type="dxa"/>
                        <w:tcBorders>
                          <w:left w:val="nil"/>
                        </w:tcBorders>
                      </w:tcPr>
                      <w:p>
                        <w:pPr>
                          <w:pStyle w:val="TableParagraph"/>
                          <w:ind w:left="580" w:right="292" w:hanging="269"/>
                          <w:rPr>
                            <w:sz w:val="24"/>
                          </w:rPr>
                        </w:pPr>
                        <w:r>
                          <w:rPr>
                            <w:strike/>
                            <w:color w:val="2E97D3"/>
                            <w:sz w:val="24"/>
                          </w:rPr>
                          <w:t>DESIGN BY:</w:t>
                        </w:r>
                      </w:p>
                    </w:tc>
                    <w:tc>
                      <w:tcPr>
                        <w:tcW w:w="3240" w:type="dxa"/>
                      </w:tcPr>
                      <w:p>
                        <w:pPr>
                          <w:pStyle w:val="TableParagraph"/>
                          <w:spacing w:line="272" w:lineRule="exact"/>
                          <w:ind w:left="488" w:right="488"/>
                          <w:jc w:val="center"/>
                          <w:rPr>
                            <w:sz w:val="24"/>
                          </w:rPr>
                        </w:pPr>
                        <w:r>
                          <w:rPr>
                            <w:strike/>
                            <w:color w:val="2E97D3"/>
                            <w:sz w:val="24"/>
                          </w:rPr>
                          <w:t>PMB/CONSULTANT</w:t>
                        </w:r>
                      </w:p>
                    </w:tc>
                    <w:tc>
                      <w:tcPr>
                        <w:tcW w:w="2700" w:type="dxa"/>
                      </w:tcPr>
                      <w:p>
                        <w:pPr>
                          <w:pStyle w:val="TableParagraph"/>
                          <w:spacing w:line="272" w:lineRule="exact"/>
                          <w:ind w:left="125" w:right="124"/>
                          <w:jc w:val="center"/>
                          <w:rPr>
                            <w:sz w:val="24"/>
                          </w:rPr>
                        </w:pPr>
                        <w:r>
                          <w:rPr>
                            <w:strike/>
                            <w:color w:val="2E97D3"/>
                            <w:sz w:val="24"/>
                          </w:rPr>
                          <w:t>PREPARED BY:</w:t>
                        </w:r>
                      </w:p>
                    </w:tc>
                    <w:tc>
                      <w:tcPr>
                        <w:tcW w:w="1711" w:type="dxa"/>
                        <w:tcBorders>
                          <w:right w:val="nil"/>
                        </w:tcBorders>
                      </w:tcPr>
                      <w:p>
                        <w:pPr>
                          <w:pStyle w:val="TableParagraph"/>
                          <w:spacing w:line="272" w:lineRule="exact"/>
                          <w:ind w:left="169" w:right="174"/>
                          <w:jc w:val="center"/>
                          <w:rPr>
                            <w:sz w:val="24"/>
                          </w:rPr>
                        </w:pPr>
                        <w:r>
                          <w:rPr>
                            <w:strike/>
                            <w:color w:val="2E97D3"/>
                            <w:sz w:val="24"/>
                          </w:rPr>
                          <w:t>RGE/CLK</w:t>
                        </w:r>
                      </w:p>
                    </w:tc>
                  </w:tr>
                  <w:tr>
                    <w:trPr>
                      <w:trHeight w:val="571" w:hRule="exact"/>
                    </w:trPr>
                    <w:tc>
                      <w:tcPr>
                        <w:tcW w:w="1548" w:type="dxa"/>
                        <w:tcBorders>
                          <w:left w:val="nil"/>
                        </w:tcBorders>
                      </w:tcPr>
                      <w:p>
                        <w:pPr>
                          <w:pStyle w:val="TableParagraph"/>
                          <w:ind w:left="419" w:right="397" w:firstLine="38"/>
                          <w:rPr>
                            <w:sz w:val="24"/>
                          </w:rPr>
                        </w:pPr>
                        <w:r>
                          <w:rPr>
                            <w:strike/>
                            <w:color w:val="2E97D3"/>
                            <w:sz w:val="24"/>
                          </w:rPr>
                          <w:t>PLAN DATE:</w:t>
                        </w:r>
                      </w:p>
                    </w:tc>
                    <w:tc>
                      <w:tcPr>
                        <w:tcW w:w="3240" w:type="dxa"/>
                      </w:tcPr>
                      <w:p>
                        <w:pPr>
                          <w:pStyle w:val="TableParagraph"/>
                          <w:spacing w:line="272" w:lineRule="exact"/>
                          <w:ind w:left="487" w:right="488"/>
                          <w:jc w:val="center"/>
                          <w:rPr>
                            <w:sz w:val="24"/>
                          </w:rPr>
                        </w:pPr>
                        <w:r>
                          <w:rPr>
                            <w:strike/>
                            <w:color w:val="2E97D3"/>
                            <w:sz w:val="24"/>
                          </w:rPr>
                          <w:t>N/A</w:t>
                        </w:r>
                      </w:p>
                    </w:tc>
                    <w:tc>
                      <w:tcPr>
                        <w:tcW w:w="2700" w:type="dxa"/>
                      </w:tcPr>
                      <w:p>
                        <w:pPr>
                          <w:pStyle w:val="TableParagraph"/>
                          <w:spacing w:line="272" w:lineRule="exact"/>
                          <w:ind w:left="125" w:right="125"/>
                          <w:jc w:val="center"/>
                          <w:rPr>
                            <w:sz w:val="24"/>
                          </w:rPr>
                        </w:pPr>
                        <w:r>
                          <w:rPr>
                            <w:strike/>
                            <w:color w:val="2E97D3"/>
                            <w:sz w:val="24"/>
                          </w:rPr>
                          <w:t>ESTIMATE CCCI-M/L:</w:t>
                        </w:r>
                      </w:p>
                    </w:tc>
                    <w:tc>
                      <w:tcPr>
                        <w:tcW w:w="1711" w:type="dxa"/>
                        <w:tcBorders>
                          <w:right w:val="nil"/>
                        </w:tcBorders>
                      </w:tcPr>
                      <w:p>
                        <w:pPr>
                          <w:pStyle w:val="TableParagraph"/>
                          <w:spacing w:line="272" w:lineRule="exact"/>
                          <w:ind w:left="171" w:right="174"/>
                          <w:jc w:val="center"/>
                          <w:rPr>
                            <w:sz w:val="24"/>
                          </w:rPr>
                        </w:pPr>
                        <w:r>
                          <w:rPr>
                            <w:strike/>
                            <w:color w:val="2E97D3"/>
                            <w:sz w:val="24"/>
                          </w:rPr>
                          <w:t>3482</w:t>
                        </w:r>
                      </w:p>
                    </w:tc>
                  </w:tr>
                  <w:tr>
                    <w:trPr>
                      <w:trHeight w:val="283" w:hRule="exact"/>
                    </w:trPr>
                    <w:tc>
                      <w:tcPr>
                        <w:tcW w:w="1548" w:type="dxa"/>
                        <w:tcBorders>
                          <w:left w:val="nil"/>
                          <w:bottom w:val="nil"/>
                        </w:tcBorders>
                      </w:tcPr>
                      <w:p>
                        <w:pPr/>
                      </w:p>
                    </w:tc>
                    <w:tc>
                      <w:tcPr>
                        <w:tcW w:w="3240" w:type="dxa"/>
                        <w:tcBorders>
                          <w:bottom w:val="nil"/>
                        </w:tcBorders>
                      </w:tcPr>
                      <w:p>
                        <w:pPr/>
                      </w:p>
                    </w:tc>
                    <w:tc>
                      <w:tcPr>
                        <w:tcW w:w="2700" w:type="dxa"/>
                        <w:tcBorders>
                          <w:bottom w:val="nil"/>
                        </w:tcBorders>
                      </w:tcPr>
                      <w:p>
                        <w:pPr>
                          <w:pStyle w:val="TableParagraph"/>
                          <w:spacing w:line="274" w:lineRule="exact"/>
                          <w:ind w:left="125" w:right="124"/>
                          <w:jc w:val="center"/>
                          <w:rPr>
                            <w:sz w:val="24"/>
                          </w:rPr>
                        </w:pPr>
                        <w:r>
                          <w:rPr>
                            <w:strike/>
                            <w:color w:val="2E97D3"/>
                            <w:sz w:val="24"/>
                          </w:rPr>
                          <w:t>ESCALATED TO:</w:t>
                        </w:r>
                      </w:p>
                    </w:tc>
                    <w:tc>
                      <w:tcPr>
                        <w:tcW w:w="1711" w:type="dxa"/>
                        <w:tcBorders>
                          <w:bottom w:val="nil"/>
                          <w:right w:val="nil"/>
                        </w:tcBorders>
                      </w:tcPr>
                      <w:p>
                        <w:pPr>
                          <w:pStyle w:val="TableParagraph"/>
                          <w:spacing w:line="274" w:lineRule="exact"/>
                          <w:ind w:left="171" w:right="174"/>
                          <w:jc w:val="center"/>
                          <w:rPr>
                            <w:sz w:val="24"/>
                          </w:rPr>
                        </w:pPr>
                        <w:r>
                          <w:rPr>
                            <w:strike/>
                            <w:color w:val="2E97D3"/>
                            <w:sz w:val="24"/>
                          </w:rPr>
                          <w:t>3577</w:t>
                        </w:r>
                      </w:p>
                    </w:tc>
                  </w:tr>
                </w:tbl>
                <w:p>
                  <w:pPr>
                    <w:pStyle w:val="BodyText"/>
                  </w:pPr>
                </w:p>
              </w:txbxContent>
            </v:textbox>
            <w10:wrap type="topAndBottom"/>
          </v:shape>
        </w:pict>
      </w:r>
    </w:p>
    <w:p>
      <w:pPr>
        <w:pStyle w:val="BodyText"/>
        <w:spacing w:before="206"/>
        <w:ind w:left="686"/>
      </w:pPr>
      <w:bookmarkStart w:name="DESCRIPTION" w:id="92"/>
      <w:bookmarkEnd w:id="92"/>
      <w:r>
        <w:rPr/>
      </w:r>
      <w:r>
        <w:rPr>
          <w:strike/>
          <w:color w:val="2E97D3"/>
        </w:rPr>
        <w:t>DESCRIPTION</w:t>
      </w:r>
    </w:p>
    <w:p>
      <w:pPr>
        <w:pStyle w:val="BodyText"/>
        <w:ind w:left="686" w:right="101"/>
      </w:pPr>
      <w:r>
        <w:rPr/>
        <w:pict>
          <v:line style="position:absolute;mso-position-horizontal-relative:page;mso-position-vertical-relative:paragraph;z-index:26680" from="29.4pt,-96.625153pt" to="29.4pt,374.375847pt" stroked="true" strokeweight=".72pt" strokecolor="#000000">
            <v:stroke dashstyle="solid"/>
            <w10:wrap type="none"/>
          </v:line>
        </w:pict>
      </w:r>
      <w:r>
        <w:rPr>
          <w:strike/>
          <w:color w:val="2E97D3"/>
        </w:rPr>
        <w:t>This project consist of 100% remodeling of the hospital Annex I. Construction shall consist of new partitions, ceilings, flooring, doors, and frames, exterior windows, HVAC, and electrical systems, plumbing and hospital support systems. Additional work includes demolition and abatement of hazardous materials.</w:t>
      </w:r>
    </w:p>
    <w:p>
      <w:pPr>
        <w:pStyle w:val="BodyText"/>
        <w:spacing w:before="10"/>
        <w:rPr>
          <w:sz w:val="20"/>
        </w:rPr>
      </w:pPr>
    </w:p>
    <w:p>
      <w:pPr>
        <w:pStyle w:val="BodyText"/>
        <w:ind w:left="686"/>
      </w:pPr>
      <w:bookmarkStart w:name="ESTIMATE SUMMARY:" w:id="93"/>
      <w:bookmarkEnd w:id="93"/>
      <w:r>
        <w:rPr/>
      </w:r>
      <w:r>
        <w:rPr>
          <w:strike/>
          <w:color w:val="2E97D3"/>
        </w:rPr>
        <w:t>ESTIMATE SUMMARY:</w:t>
      </w:r>
    </w:p>
    <w:p>
      <w:pPr>
        <w:pStyle w:val="BodyText"/>
        <w:spacing w:before="1"/>
        <w:rPr>
          <w:sz w:val="20"/>
        </w:rPr>
      </w:pPr>
    </w:p>
    <w:tbl>
      <w:tblPr>
        <w:tblW w:w="0" w:type="auto"/>
        <w:jc w:val="left"/>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30"/>
        <w:gridCol w:w="1529"/>
      </w:tblGrid>
      <w:tr>
        <w:trPr>
          <w:trHeight w:val="281" w:hRule="exact"/>
        </w:trPr>
        <w:tc>
          <w:tcPr>
            <w:tcW w:w="4430" w:type="dxa"/>
            <w:tcBorders>
              <w:top w:val="nil"/>
              <w:left w:val="nil"/>
            </w:tcBorders>
          </w:tcPr>
          <w:p>
            <w:pPr>
              <w:pStyle w:val="TableParagraph"/>
              <w:spacing w:line="272" w:lineRule="exact"/>
              <w:ind w:left="108"/>
              <w:rPr>
                <w:sz w:val="24"/>
              </w:rPr>
            </w:pPr>
            <w:r>
              <w:rPr>
                <w:strike/>
                <w:color w:val="2E97D3"/>
                <w:sz w:val="24"/>
              </w:rPr>
              <w:t>New Architectural</w:t>
            </w:r>
          </w:p>
        </w:tc>
        <w:tc>
          <w:tcPr>
            <w:tcW w:w="1529" w:type="dxa"/>
            <w:tcBorders>
              <w:top w:val="nil"/>
              <w:right w:val="nil"/>
            </w:tcBorders>
          </w:tcPr>
          <w:p>
            <w:pPr>
              <w:pStyle w:val="TableParagraph"/>
              <w:spacing w:line="272" w:lineRule="exact"/>
              <w:ind w:left="103"/>
              <w:rPr>
                <w:sz w:val="24"/>
              </w:rPr>
            </w:pPr>
            <w:r>
              <w:rPr>
                <w:strike/>
                <w:color w:val="2E97D3"/>
                <w:sz w:val="24"/>
              </w:rPr>
              <w:t>$286,000</w:t>
            </w:r>
          </w:p>
        </w:tc>
      </w:tr>
      <w:tr>
        <w:trPr>
          <w:trHeight w:val="288" w:hRule="exact"/>
        </w:trPr>
        <w:tc>
          <w:tcPr>
            <w:tcW w:w="4430" w:type="dxa"/>
            <w:tcBorders>
              <w:left w:val="nil"/>
            </w:tcBorders>
          </w:tcPr>
          <w:p>
            <w:pPr>
              <w:pStyle w:val="TableParagraph"/>
              <w:spacing w:line="274" w:lineRule="exact"/>
              <w:ind w:left="108"/>
              <w:rPr>
                <w:sz w:val="24"/>
              </w:rPr>
            </w:pPr>
            <w:r>
              <w:rPr>
                <w:strike/>
                <w:color w:val="2E97D3"/>
                <w:sz w:val="24"/>
              </w:rPr>
              <w:t>Site</w:t>
            </w:r>
          </w:p>
        </w:tc>
        <w:tc>
          <w:tcPr>
            <w:tcW w:w="1529" w:type="dxa"/>
            <w:tcBorders>
              <w:right w:val="nil"/>
            </w:tcBorders>
          </w:tcPr>
          <w:p>
            <w:pPr>
              <w:pStyle w:val="TableParagraph"/>
              <w:spacing w:line="274" w:lineRule="exact"/>
              <w:ind w:left="103"/>
              <w:rPr>
                <w:sz w:val="24"/>
              </w:rPr>
            </w:pPr>
            <w:r>
              <w:rPr>
                <w:strike/>
                <w:color w:val="2E97D3"/>
                <w:sz w:val="24"/>
              </w:rPr>
              <w:t>$2,085,000</w:t>
            </w:r>
          </w:p>
        </w:tc>
      </w:tr>
      <w:tr>
        <w:trPr>
          <w:trHeight w:val="286" w:hRule="exact"/>
        </w:trPr>
        <w:tc>
          <w:tcPr>
            <w:tcW w:w="4430" w:type="dxa"/>
            <w:tcBorders>
              <w:left w:val="nil"/>
            </w:tcBorders>
          </w:tcPr>
          <w:p>
            <w:pPr>
              <w:pStyle w:val="TableParagraph"/>
              <w:spacing w:line="272" w:lineRule="exact"/>
              <w:ind w:left="108"/>
              <w:rPr>
                <w:sz w:val="24"/>
              </w:rPr>
            </w:pPr>
            <w:r>
              <w:rPr>
                <w:strike/>
                <w:color w:val="2E97D3"/>
                <w:sz w:val="24"/>
              </w:rPr>
              <w:t>Work/Landscaping/Demolition Metals</w:t>
            </w:r>
          </w:p>
        </w:tc>
        <w:tc>
          <w:tcPr>
            <w:tcW w:w="1529" w:type="dxa"/>
            <w:tcBorders>
              <w:right w:val="nil"/>
            </w:tcBorders>
          </w:tcPr>
          <w:p>
            <w:pPr>
              <w:pStyle w:val="TableParagraph"/>
              <w:spacing w:line="272" w:lineRule="exact"/>
              <w:ind w:left="103"/>
              <w:rPr>
                <w:sz w:val="24"/>
              </w:rPr>
            </w:pPr>
            <w:r>
              <w:rPr>
                <w:strike/>
                <w:color w:val="2E97D3"/>
                <w:sz w:val="24"/>
              </w:rPr>
              <w:t>$147,000</w:t>
            </w:r>
          </w:p>
        </w:tc>
      </w:tr>
      <w:tr>
        <w:trPr>
          <w:trHeight w:val="286" w:hRule="exact"/>
        </w:trPr>
        <w:tc>
          <w:tcPr>
            <w:tcW w:w="4430" w:type="dxa"/>
            <w:tcBorders>
              <w:left w:val="nil"/>
            </w:tcBorders>
          </w:tcPr>
          <w:p>
            <w:pPr>
              <w:pStyle w:val="TableParagraph"/>
              <w:spacing w:line="272" w:lineRule="exact"/>
              <w:ind w:left="108"/>
              <w:rPr>
                <w:sz w:val="24"/>
              </w:rPr>
            </w:pPr>
            <w:r>
              <w:rPr>
                <w:strike/>
                <w:color w:val="2E97D3"/>
                <w:sz w:val="24"/>
              </w:rPr>
              <w:t>HVAC</w:t>
            </w:r>
          </w:p>
        </w:tc>
        <w:tc>
          <w:tcPr>
            <w:tcW w:w="1529" w:type="dxa"/>
            <w:tcBorders>
              <w:right w:val="nil"/>
            </w:tcBorders>
          </w:tcPr>
          <w:p>
            <w:pPr>
              <w:pStyle w:val="TableParagraph"/>
              <w:spacing w:line="272" w:lineRule="exact"/>
              <w:ind w:left="103"/>
              <w:rPr>
                <w:sz w:val="24"/>
              </w:rPr>
            </w:pPr>
            <w:r>
              <w:rPr>
                <w:strike/>
                <w:color w:val="2E97D3"/>
                <w:sz w:val="24"/>
              </w:rPr>
              <w:t>1,226,000</w:t>
            </w:r>
          </w:p>
        </w:tc>
      </w:tr>
      <w:tr>
        <w:trPr>
          <w:trHeight w:val="286" w:hRule="exact"/>
        </w:trPr>
        <w:tc>
          <w:tcPr>
            <w:tcW w:w="4430" w:type="dxa"/>
            <w:tcBorders>
              <w:left w:val="nil"/>
            </w:tcBorders>
          </w:tcPr>
          <w:p>
            <w:pPr>
              <w:pStyle w:val="TableParagraph"/>
              <w:spacing w:line="272" w:lineRule="exact"/>
              <w:ind w:left="108"/>
              <w:rPr>
                <w:sz w:val="24"/>
              </w:rPr>
            </w:pPr>
            <w:r>
              <w:rPr>
                <w:strike/>
                <w:color w:val="2E97D3"/>
                <w:sz w:val="24"/>
              </w:rPr>
              <w:t>Plumbing</w:t>
            </w:r>
          </w:p>
        </w:tc>
        <w:tc>
          <w:tcPr>
            <w:tcW w:w="1529" w:type="dxa"/>
            <w:tcBorders>
              <w:right w:val="nil"/>
            </w:tcBorders>
          </w:tcPr>
          <w:p>
            <w:pPr>
              <w:pStyle w:val="TableParagraph"/>
              <w:spacing w:line="272" w:lineRule="exact"/>
              <w:ind w:left="103"/>
              <w:rPr>
                <w:sz w:val="24"/>
              </w:rPr>
            </w:pPr>
            <w:r>
              <w:rPr>
                <w:strike/>
                <w:color w:val="2E97D3"/>
                <w:sz w:val="24"/>
              </w:rPr>
              <w:t>$570,000</w:t>
            </w:r>
          </w:p>
        </w:tc>
      </w:tr>
      <w:tr>
        <w:trPr>
          <w:trHeight w:val="286" w:hRule="exact"/>
        </w:trPr>
        <w:tc>
          <w:tcPr>
            <w:tcW w:w="4430" w:type="dxa"/>
            <w:tcBorders>
              <w:left w:val="nil"/>
            </w:tcBorders>
          </w:tcPr>
          <w:p>
            <w:pPr>
              <w:pStyle w:val="TableParagraph"/>
              <w:spacing w:line="272" w:lineRule="exact"/>
              <w:ind w:left="108"/>
              <w:rPr>
                <w:sz w:val="24"/>
              </w:rPr>
            </w:pPr>
            <w:r>
              <w:rPr>
                <w:strike/>
                <w:color w:val="2E97D3"/>
                <w:sz w:val="24"/>
              </w:rPr>
              <w:t>Medical Gas</w:t>
            </w:r>
          </w:p>
        </w:tc>
        <w:tc>
          <w:tcPr>
            <w:tcW w:w="1529" w:type="dxa"/>
            <w:tcBorders>
              <w:right w:val="nil"/>
            </w:tcBorders>
          </w:tcPr>
          <w:p>
            <w:pPr>
              <w:pStyle w:val="TableParagraph"/>
              <w:spacing w:line="272" w:lineRule="exact"/>
              <w:ind w:left="103"/>
              <w:rPr>
                <w:sz w:val="24"/>
              </w:rPr>
            </w:pPr>
            <w:r>
              <w:rPr>
                <w:strike/>
                <w:color w:val="2E97D3"/>
                <w:sz w:val="24"/>
              </w:rPr>
              <w:t>$151,000</w:t>
            </w:r>
          </w:p>
        </w:tc>
      </w:tr>
      <w:tr>
        <w:trPr>
          <w:trHeight w:val="286" w:hRule="exact"/>
        </w:trPr>
        <w:tc>
          <w:tcPr>
            <w:tcW w:w="4430" w:type="dxa"/>
            <w:tcBorders>
              <w:left w:val="nil"/>
            </w:tcBorders>
          </w:tcPr>
          <w:p>
            <w:pPr>
              <w:pStyle w:val="TableParagraph"/>
              <w:spacing w:line="272" w:lineRule="exact"/>
              <w:ind w:left="108"/>
              <w:rPr>
                <w:sz w:val="24"/>
              </w:rPr>
            </w:pPr>
            <w:r>
              <w:rPr>
                <w:strike/>
                <w:color w:val="2E97D3"/>
                <w:sz w:val="24"/>
              </w:rPr>
              <w:t>Fire Protection</w:t>
            </w:r>
          </w:p>
        </w:tc>
        <w:tc>
          <w:tcPr>
            <w:tcW w:w="1529" w:type="dxa"/>
            <w:tcBorders>
              <w:right w:val="nil"/>
            </w:tcBorders>
          </w:tcPr>
          <w:p>
            <w:pPr>
              <w:pStyle w:val="TableParagraph"/>
              <w:spacing w:line="272" w:lineRule="exact"/>
              <w:ind w:left="103"/>
              <w:rPr>
                <w:sz w:val="24"/>
              </w:rPr>
            </w:pPr>
            <w:r>
              <w:rPr>
                <w:strike/>
                <w:color w:val="2E97D3"/>
                <w:sz w:val="24"/>
              </w:rPr>
              <w:t>$122,000</w:t>
            </w:r>
          </w:p>
        </w:tc>
      </w:tr>
      <w:tr>
        <w:trPr>
          <w:trHeight w:val="286" w:hRule="exact"/>
        </w:trPr>
        <w:tc>
          <w:tcPr>
            <w:tcW w:w="4430" w:type="dxa"/>
            <w:tcBorders>
              <w:left w:val="nil"/>
            </w:tcBorders>
          </w:tcPr>
          <w:p>
            <w:pPr>
              <w:pStyle w:val="TableParagraph"/>
              <w:spacing w:line="272" w:lineRule="exact"/>
              <w:ind w:left="108"/>
              <w:rPr>
                <w:sz w:val="24"/>
              </w:rPr>
            </w:pPr>
            <w:r>
              <w:rPr>
                <w:strike/>
                <w:color w:val="2E97D3"/>
                <w:sz w:val="24"/>
              </w:rPr>
              <w:t>Electrical</w:t>
            </w:r>
          </w:p>
        </w:tc>
        <w:tc>
          <w:tcPr>
            <w:tcW w:w="1529" w:type="dxa"/>
            <w:tcBorders>
              <w:right w:val="nil"/>
            </w:tcBorders>
          </w:tcPr>
          <w:p>
            <w:pPr>
              <w:pStyle w:val="TableParagraph"/>
              <w:spacing w:line="272" w:lineRule="exact"/>
              <w:ind w:left="103"/>
              <w:rPr>
                <w:sz w:val="24"/>
              </w:rPr>
            </w:pPr>
            <w:r>
              <w:rPr>
                <w:strike/>
                <w:color w:val="2E97D3"/>
                <w:sz w:val="24"/>
              </w:rPr>
              <w:t>$1,102,000</w:t>
            </w:r>
          </w:p>
        </w:tc>
      </w:tr>
      <w:tr>
        <w:trPr>
          <w:trHeight w:val="288" w:hRule="exact"/>
        </w:trPr>
        <w:tc>
          <w:tcPr>
            <w:tcW w:w="4430" w:type="dxa"/>
            <w:tcBorders>
              <w:left w:val="nil"/>
            </w:tcBorders>
          </w:tcPr>
          <w:p>
            <w:pPr>
              <w:pStyle w:val="TableParagraph"/>
              <w:spacing w:line="274" w:lineRule="exact"/>
              <w:ind w:left="108"/>
              <w:rPr>
                <w:sz w:val="24"/>
              </w:rPr>
            </w:pPr>
            <w:r>
              <w:rPr>
                <w:strike/>
                <w:color w:val="2E97D3"/>
                <w:sz w:val="24"/>
              </w:rPr>
              <w:t>Asbestos Abatement</w:t>
            </w:r>
          </w:p>
        </w:tc>
        <w:tc>
          <w:tcPr>
            <w:tcW w:w="1529" w:type="dxa"/>
            <w:tcBorders>
              <w:right w:val="nil"/>
            </w:tcBorders>
          </w:tcPr>
          <w:p>
            <w:pPr>
              <w:pStyle w:val="TableParagraph"/>
              <w:spacing w:line="274" w:lineRule="exact"/>
              <w:ind w:left="103"/>
              <w:rPr>
                <w:sz w:val="24"/>
              </w:rPr>
            </w:pPr>
            <w:r>
              <w:rPr>
                <w:strike/>
                <w:color w:val="2E97D3"/>
                <w:sz w:val="24"/>
              </w:rPr>
              <w:t>$298,000</w:t>
            </w:r>
          </w:p>
        </w:tc>
      </w:tr>
      <w:tr>
        <w:trPr>
          <w:trHeight w:val="281" w:hRule="exact"/>
        </w:trPr>
        <w:tc>
          <w:tcPr>
            <w:tcW w:w="4430" w:type="dxa"/>
            <w:tcBorders>
              <w:left w:val="nil"/>
              <w:bottom w:val="nil"/>
            </w:tcBorders>
          </w:tcPr>
          <w:p>
            <w:pPr>
              <w:pStyle w:val="TableParagraph"/>
              <w:spacing w:line="272" w:lineRule="exact"/>
              <w:ind w:left="108"/>
              <w:rPr>
                <w:sz w:val="24"/>
              </w:rPr>
            </w:pPr>
            <w:r>
              <w:rPr>
                <w:strike/>
                <w:color w:val="2E97D3"/>
                <w:sz w:val="24"/>
              </w:rPr>
              <w:t>Lead Paint Abatement</w:t>
            </w:r>
          </w:p>
        </w:tc>
        <w:tc>
          <w:tcPr>
            <w:tcW w:w="1529" w:type="dxa"/>
            <w:tcBorders>
              <w:bottom w:val="nil"/>
              <w:right w:val="nil"/>
            </w:tcBorders>
          </w:tcPr>
          <w:p>
            <w:pPr>
              <w:pStyle w:val="TableParagraph"/>
              <w:spacing w:line="272" w:lineRule="exact"/>
              <w:ind w:left="103"/>
              <w:rPr>
                <w:sz w:val="24"/>
              </w:rPr>
            </w:pPr>
            <w:r>
              <w:rPr>
                <w:strike/>
                <w:color w:val="2E97D3"/>
                <w:sz w:val="24"/>
              </w:rPr>
              <w:t>$162,000</w:t>
            </w:r>
          </w:p>
        </w:tc>
      </w:tr>
    </w:tbl>
    <w:p>
      <w:pPr>
        <w:pStyle w:val="BodyText"/>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9"/>
        <w:gridCol w:w="1822"/>
      </w:tblGrid>
      <w:tr>
        <w:trPr>
          <w:trHeight w:val="281" w:hRule="exact"/>
        </w:trPr>
        <w:tc>
          <w:tcPr>
            <w:tcW w:w="7039" w:type="dxa"/>
            <w:tcBorders>
              <w:top w:val="nil"/>
              <w:left w:val="nil"/>
            </w:tcBorders>
          </w:tcPr>
          <w:p>
            <w:pPr>
              <w:pStyle w:val="TableParagraph"/>
              <w:spacing w:line="272" w:lineRule="exact"/>
              <w:ind w:left="107"/>
              <w:rPr>
                <w:b/>
                <w:sz w:val="24"/>
              </w:rPr>
            </w:pPr>
            <w:r>
              <w:rPr>
                <w:b/>
                <w:strike/>
                <w:color w:val="2E97D3"/>
                <w:sz w:val="24"/>
              </w:rPr>
              <w:t>ESTIMATED TOTAL CURRENT COSTS:</w:t>
            </w:r>
          </w:p>
        </w:tc>
        <w:tc>
          <w:tcPr>
            <w:tcW w:w="1822" w:type="dxa"/>
            <w:tcBorders>
              <w:top w:val="nil"/>
              <w:right w:val="nil"/>
            </w:tcBorders>
          </w:tcPr>
          <w:p>
            <w:pPr>
              <w:pStyle w:val="TableParagraph"/>
              <w:spacing w:line="272" w:lineRule="exact"/>
              <w:ind w:left="100"/>
              <w:rPr>
                <w:sz w:val="24"/>
              </w:rPr>
            </w:pPr>
            <w:r>
              <w:rPr>
                <w:strike/>
                <w:color w:val="2E97D3"/>
                <w:sz w:val="24"/>
              </w:rPr>
              <w:t>$6,149,000</w:t>
            </w:r>
          </w:p>
        </w:tc>
      </w:tr>
      <w:tr>
        <w:trPr>
          <w:trHeight w:val="286" w:hRule="exact"/>
        </w:trPr>
        <w:tc>
          <w:tcPr>
            <w:tcW w:w="7039" w:type="dxa"/>
            <w:tcBorders>
              <w:left w:val="nil"/>
            </w:tcBorders>
          </w:tcPr>
          <w:p>
            <w:pPr>
              <w:pStyle w:val="TableParagraph"/>
              <w:spacing w:line="272" w:lineRule="exact"/>
              <w:ind w:left="828"/>
              <w:rPr>
                <w:sz w:val="24"/>
              </w:rPr>
            </w:pPr>
            <w:r>
              <w:rPr>
                <w:strike/>
                <w:color w:val="2E97D3"/>
                <w:sz w:val="24"/>
              </w:rPr>
              <w:t>Adjust CCCI Form 3482 to 3577</w:t>
            </w:r>
          </w:p>
        </w:tc>
        <w:tc>
          <w:tcPr>
            <w:tcW w:w="1822" w:type="dxa"/>
            <w:tcBorders>
              <w:right w:val="nil"/>
            </w:tcBorders>
          </w:tcPr>
          <w:p>
            <w:pPr>
              <w:pStyle w:val="TableParagraph"/>
              <w:spacing w:line="272" w:lineRule="exact"/>
              <w:ind w:left="100"/>
              <w:rPr>
                <w:sz w:val="24"/>
              </w:rPr>
            </w:pPr>
            <w:r>
              <w:rPr>
                <w:strike/>
                <w:color w:val="2E97D3"/>
                <w:sz w:val="24"/>
              </w:rPr>
              <w:t>$168,000</w:t>
            </w:r>
          </w:p>
        </w:tc>
      </w:tr>
      <w:tr>
        <w:trPr>
          <w:trHeight w:val="286" w:hRule="exact"/>
        </w:trPr>
        <w:tc>
          <w:tcPr>
            <w:tcW w:w="7039" w:type="dxa"/>
            <w:tcBorders>
              <w:left w:val="nil"/>
            </w:tcBorders>
          </w:tcPr>
          <w:p>
            <w:pPr>
              <w:pStyle w:val="TableParagraph"/>
              <w:spacing w:line="272" w:lineRule="exact"/>
              <w:ind w:left="107"/>
              <w:rPr>
                <w:b/>
                <w:sz w:val="24"/>
              </w:rPr>
            </w:pPr>
            <w:r>
              <w:rPr>
                <w:b/>
                <w:strike/>
                <w:color w:val="2E97D3"/>
                <w:sz w:val="24"/>
              </w:rPr>
              <w:t>ESTIMATED TOTAL CURRENT COSTS ON JULY 1, 1997:</w:t>
            </w:r>
          </w:p>
        </w:tc>
        <w:tc>
          <w:tcPr>
            <w:tcW w:w="1822" w:type="dxa"/>
            <w:tcBorders>
              <w:right w:val="nil"/>
            </w:tcBorders>
          </w:tcPr>
          <w:p>
            <w:pPr>
              <w:pStyle w:val="TableParagraph"/>
              <w:spacing w:line="272" w:lineRule="exact"/>
              <w:ind w:left="100"/>
              <w:rPr>
                <w:sz w:val="24"/>
              </w:rPr>
            </w:pPr>
            <w:r>
              <w:rPr>
                <w:strike/>
                <w:color w:val="2E97D3"/>
                <w:sz w:val="24"/>
              </w:rPr>
              <w:t>$6,317,000</w:t>
            </w:r>
          </w:p>
        </w:tc>
      </w:tr>
      <w:tr>
        <w:trPr>
          <w:trHeight w:val="286" w:hRule="exact"/>
        </w:trPr>
        <w:tc>
          <w:tcPr>
            <w:tcW w:w="7039" w:type="dxa"/>
            <w:tcBorders>
              <w:left w:val="nil"/>
            </w:tcBorders>
          </w:tcPr>
          <w:p>
            <w:pPr>
              <w:pStyle w:val="TableParagraph"/>
              <w:spacing w:line="272" w:lineRule="exact"/>
              <w:ind w:left="828"/>
              <w:rPr>
                <w:sz w:val="24"/>
              </w:rPr>
            </w:pPr>
            <w:r>
              <w:rPr>
                <w:strike/>
                <w:color w:val="2E97D3"/>
                <w:sz w:val="24"/>
              </w:rPr>
              <w:t>Escalation to Midpoint 8 Months @ .25%/mo.</w:t>
            </w:r>
          </w:p>
        </w:tc>
        <w:tc>
          <w:tcPr>
            <w:tcW w:w="1822" w:type="dxa"/>
            <w:tcBorders>
              <w:right w:val="nil"/>
            </w:tcBorders>
          </w:tcPr>
          <w:p>
            <w:pPr>
              <w:pStyle w:val="TableParagraph"/>
              <w:spacing w:line="272" w:lineRule="exact"/>
              <w:ind w:left="100"/>
              <w:rPr>
                <w:sz w:val="24"/>
              </w:rPr>
            </w:pPr>
            <w:r>
              <w:rPr>
                <w:strike/>
                <w:color w:val="2E97D3"/>
                <w:sz w:val="24"/>
              </w:rPr>
              <w:t>$126,000</w:t>
            </w:r>
          </w:p>
        </w:tc>
      </w:tr>
      <w:tr>
        <w:trPr>
          <w:trHeight w:val="286" w:hRule="exact"/>
        </w:trPr>
        <w:tc>
          <w:tcPr>
            <w:tcW w:w="7039" w:type="dxa"/>
            <w:tcBorders>
              <w:left w:val="nil"/>
            </w:tcBorders>
          </w:tcPr>
          <w:p>
            <w:pPr>
              <w:pStyle w:val="TableParagraph"/>
              <w:spacing w:line="272" w:lineRule="exact"/>
              <w:ind w:left="107"/>
              <w:rPr>
                <w:b/>
                <w:sz w:val="24"/>
              </w:rPr>
            </w:pPr>
            <w:r>
              <w:rPr>
                <w:b/>
                <w:strike/>
                <w:color w:val="2E97D3"/>
                <w:sz w:val="24"/>
              </w:rPr>
              <w:t>ESTIMATED TOTAL CONTRACTS:</w:t>
            </w:r>
          </w:p>
        </w:tc>
        <w:tc>
          <w:tcPr>
            <w:tcW w:w="1822" w:type="dxa"/>
            <w:tcBorders>
              <w:right w:val="nil"/>
            </w:tcBorders>
          </w:tcPr>
          <w:p>
            <w:pPr>
              <w:pStyle w:val="TableParagraph"/>
              <w:spacing w:line="272" w:lineRule="exact"/>
              <w:ind w:left="100"/>
              <w:rPr>
                <w:sz w:val="24"/>
              </w:rPr>
            </w:pPr>
            <w:r>
              <w:rPr>
                <w:strike/>
                <w:color w:val="2E97D3"/>
                <w:sz w:val="24"/>
              </w:rPr>
              <w:t>$6,443,000</w:t>
            </w:r>
          </w:p>
        </w:tc>
      </w:tr>
      <w:tr>
        <w:trPr>
          <w:trHeight w:val="288" w:hRule="exact"/>
        </w:trPr>
        <w:tc>
          <w:tcPr>
            <w:tcW w:w="7039" w:type="dxa"/>
            <w:tcBorders>
              <w:left w:val="nil"/>
            </w:tcBorders>
          </w:tcPr>
          <w:p>
            <w:pPr>
              <w:pStyle w:val="TableParagraph"/>
              <w:spacing w:line="274" w:lineRule="exact"/>
              <w:ind w:left="828"/>
              <w:rPr>
                <w:sz w:val="24"/>
              </w:rPr>
            </w:pPr>
            <w:r>
              <w:rPr>
                <w:strike/>
                <w:color w:val="2E97D3"/>
                <w:sz w:val="24"/>
              </w:rPr>
              <w:t>Contingency at: 7%</w:t>
            </w:r>
          </w:p>
        </w:tc>
        <w:tc>
          <w:tcPr>
            <w:tcW w:w="1822" w:type="dxa"/>
            <w:tcBorders>
              <w:right w:val="nil"/>
            </w:tcBorders>
          </w:tcPr>
          <w:p>
            <w:pPr>
              <w:pStyle w:val="TableParagraph"/>
              <w:spacing w:line="274" w:lineRule="exact"/>
              <w:ind w:left="100"/>
              <w:rPr>
                <w:sz w:val="24"/>
              </w:rPr>
            </w:pPr>
            <w:r>
              <w:rPr>
                <w:strike/>
                <w:color w:val="2E97D3"/>
                <w:sz w:val="24"/>
              </w:rPr>
              <w:t>$451,000</w:t>
            </w:r>
          </w:p>
        </w:tc>
      </w:tr>
      <w:tr>
        <w:trPr>
          <w:trHeight w:val="281" w:hRule="exact"/>
        </w:trPr>
        <w:tc>
          <w:tcPr>
            <w:tcW w:w="7039" w:type="dxa"/>
            <w:tcBorders>
              <w:left w:val="nil"/>
              <w:bottom w:val="nil"/>
            </w:tcBorders>
          </w:tcPr>
          <w:p>
            <w:pPr>
              <w:pStyle w:val="TableParagraph"/>
              <w:spacing w:line="272" w:lineRule="exact"/>
              <w:ind w:left="107"/>
              <w:rPr>
                <w:b/>
                <w:sz w:val="24"/>
              </w:rPr>
            </w:pPr>
            <w:r>
              <w:rPr>
                <w:b/>
                <w:strike/>
                <w:color w:val="2E97D3"/>
                <w:sz w:val="24"/>
              </w:rPr>
              <w:t>ESTIMATED TOTAL CONSTRUCTION COSTS:</w:t>
            </w:r>
          </w:p>
        </w:tc>
        <w:tc>
          <w:tcPr>
            <w:tcW w:w="1822" w:type="dxa"/>
            <w:tcBorders>
              <w:bottom w:val="nil"/>
              <w:right w:val="nil"/>
            </w:tcBorders>
          </w:tcPr>
          <w:p>
            <w:pPr>
              <w:pStyle w:val="TableParagraph"/>
              <w:spacing w:line="272" w:lineRule="exact"/>
              <w:ind w:left="100"/>
              <w:rPr>
                <w:sz w:val="24"/>
              </w:rPr>
            </w:pPr>
            <w:r>
              <w:rPr>
                <w:strike/>
                <w:color w:val="2E97D3"/>
                <w:sz w:val="24"/>
              </w:rPr>
              <w:t>$6,894,000</w:t>
            </w:r>
          </w:p>
        </w:tc>
      </w:tr>
    </w:tbl>
    <w:p>
      <w:pPr>
        <w:spacing w:after="0" w:line="272" w:lineRule="exact"/>
        <w:rPr>
          <w:sz w:val="24"/>
        </w:rPr>
        <w:sectPr>
          <w:footerReference w:type="default" r:id="rId276"/>
          <w:pgSz w:w="12240" w:h="15840"/>
          <w:pgMar w:footer="1068" w:header="724" w:top="980" w:bottom="1260" w:left="480" w:right="1340"/>
        </w:sectPr>
      </w:pPr>
    </w:p>
    <w:p>
      <w:pPr>
        <w:pStyle w:val="BodyText"/>
        <w:rPr>
          <w:sz w:val="20"/>
        </w:rPr>
      </w:pPr>
    </w:p>
    <w:p>
      <w:pPr>
        <w:pStyle w:val="BodyText"/>
        <w:spacing w:before="11"/>
        <w:rPr>
          <w:sz w:val="18"/>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5"/>
        <w:gridCol w:w="2215"/>
        <w:gridCol w:w="2609"/>
        <w:gridCol w:w="2069"/>
      </w:tblGrid>
      <w:tr>
        <w:trPr>
          <w:trHeight w:val="557" w:hRule="exact"/>
        </w:trPr>
        <w:tc>
          <w:tcPr>
            <w:tcW w:w="2215" w:type="dxa"/>
            <w:tcBorders>
              <w:top w:val="nil"/>
              <w:left w:val="nil"/>
            </w:tcBorders>
          </w:tcPr>
          <w:p>
            <w:pPr>
              <w:pStyle w:val="TableParagraph"/>
              <w:spacing w:line="272" w:lineRule="exact"/>
              <w:ind w:left="107"/>
              <w:rPr>
                <w:sz w:val="24"/>
              </w:rPr>
            </w:pPr>
            <w:r>
              <w:rPr>
                <w:strike/>
                <w:color w:val="2E97D3"/>
                <w:sz w:val="24"/>
              </w:rPr>
              <w:t>PROJECT:</w:t>
            </w:r>
          </w:p>
        </w:tc>
        <w:tc>
          <w:tcPr>
            <w:tcW w:w="2215" w:type="dxa"/>
            <w:tcBorders>
              <w:top w:val="nil"/>
            </w:tcBorders>
          </w:tcPr>
          <w:p>
            <w:pPr>
              <w:pStyle w:val="TableParagraph"/>
              <w:spacing w:line="272" w:lineRule="exact"/>
              <w:ind w:left="103"/>
              <w:rPr>
                <w:sz w:val="24"/>
              </w:rPr>
            </w:pPr>
            <w:r>
              <w:rPr>
                <w:strike/>
                <w:color w:val="2E97D3"/>
                <w:sz w:val="24"/>
              </w:rPr>
              <w:t>ANNEX I</w:t>
            </w:r>
          </w:p>
        </w:tc>
        <w:tc>
          <w:tcPr>
            <w:tcW w:w="2609" w:type="dxa"/>
            <w:tcBorders>
              <w:top w:val="nil"/>
            </w:tcBorders>
          </w:tcPr>
          <w:p>
            <w:pPr>
              <w:pStyle w:val="TableParagraph"/>
              <w:spacing w:line="272" w:lineRule="exact"/>
              <w:ind w:left="103"/>
              <w:rPr>
                <w:sz w:val="24"/>
              </w:rPr>
            </w:pPr>
            <w:r>
              <w:rPr>
                <w:strike/>
                <w:color w:val="2E97D3"/>
                <w:sz w:val="24"/>
              </w:rPr>
              <w:t>BUDGET ESTIMATE:</w:t>
            </w:r>
          </w:p>
        </w:tc>
        <w:tc>
          <w:tcPr>
            <w:tcW w:w="2069" w:type="dxa"/>
            <w:tcBorders>
              <w:top w:val="nil"/>
              <w:right w:val="nil"/>
            </w:tcBorders>
          </w:tcPr>
          <w:p>
            <w:pPr>
              <w:pStyle w:val="TableParagraph"/>
              <w:spacing w:line="272" w:lineRule="exact"/>
              <w:ind w:left="100"/>
              <w:rPr>
                <w:sz w:val="24"/>
              </w:rPr>
            </w:pPr>
            <w:r>
              <w:rPr>
                <w:strike/>
                <w:color w:val="2E97D3"/>
                <w:sz w:val="24"/>
              </w:rPr>
              <w:t>B-97-1901</w:t>
            </w:r>
          </w:p>
        </w:tc>
      </w:tr>
      <w:tr>
        <w:trPr>
          <w:trHeight w:val="833" w:hRule="exact"/>
        </w:trPr>
        <w:tc>
          <w:tcPr>
            <w:tcW w:w="2215" w:type="dxa"/>
            <w:tcBorders>
              <w:left w:val="nil"/>
              <w:bottom w:val="nil"/>
            </w:tcBorders>
          </w:tcPr>
          <w:p>
            <w:pPr>
              <w:pStyle w:val="TableParagraph"/>
              <w:spacing w:line="272" w:lineRule="exact"/>
              <w:ind w:left="107"/>
              <w:rPr>
                <w:sz w:val="24"/>
              </w:rPr>
            </w:pPr>
            <w:r>
              <w:rPr>
                <w:strike/>
                <w:color w:val="2E97D3"/>
                <w:sz w:val="24"/>
              </w:rPr>
              <w:t>WORK ORDER #:</w:t>
            </w:r>
          </w:p>
        </w:tc>
        <w:tc>
          <w:tcPr>
            <w:tcW w:w="2215" w:type="dxa"/>
            <w:tcBorders>
              <w:bottom w:val="nil"/>
            </w:tcBorders>
          </w:tcPr>
          <w:p>
            <w:pPr>
              <w:pStyle w:val="TableParagraph"/>
              <w:spacing w:line="272" w:lineRule="exact"/>
              <w:ind w:left="103"/>
              <w:rPr>
                <w:sz w:val="24"/>
              </w:rPr>
            </w:pPr>
            <w:r>
              <w:rPr>
                <w:strike/>
                <w:color w:val="2E97D3"/>
                <w:sz w:val="24"/>
              </w:rPr>
              <w:t>OPDM 0558</w:t>
            </w:r>
          </w:p>
        </w:tc>
        <w:tc>
          <w:tcPr>
            <w:tcW w:w="2609" w:type="dxa"/>
            <w:tcBorders>
              <w:bottom w:val="nil"/>
            </w:tcBorders>
          </w:tcPr>
          <w:p>
            <w:pPr>
              <w:pStyle w:val="TableParagraph"/>
              <w:ind w:left="103" w:right="689"/>
              <w:rPr>
                <w:sz w:val="24"/>
              </w:rPr>
            </w:pPr>
            <w:r>
              <w:rPr>
                <w:strike/>
                <w:color w:val="2E97D3"/>
                <w:sz w:val="24"/>
              </w:rPr>
              <w:t>ESTIMATE RUN DATE:</w:t>
            </w:r>
          </w:p>
        </w:tc>
        <w:tc>
          <w:tcPr>
            <w:tcW w:w="2069" w:type="dxa"/>
            <w:tcBorders>
              <w:bottom w:val="nil"/>
              <w:right w:val="nil"/>
            </w:tcBorders>
          </w:tcPr>
          <w:p>
            <w:pPr>
              <w:pStyle w:val="TableParagraph"/>
              <w:spacing w:line="272" w:lineRule="exact"/>
              <w:ind w:left="100"/>
              <w:rPr>
                <w:sz w:val="24"/>
              </w:rPr>
            </w:pPr>
            <w:r>
              <w:rPr>
                <w:strike/>
                <w:color w:val="2E97D3"/>
                <w:sz w:val="24"/>
              </w:rPr>
              <w:t>October 1, 1996</w:t>
            </w:r>
          </w:p>
        </w:tc>
      </w:tr>
    </w:tbl>
    <w:p>
      <w:pPr>
        <w:pStyle w:val="BodyText"/>
        <w:rPr>
          <w:sz w:val="20"/>
        </w:rPr>
      </w:pPr>
    </w:p>
    <w:p>
      <w:pPr>
        <w:pStyle w:val="BodyText"/>
        <w:spacing w:before="5"/>
        <w:rPr>
          <w:sz w:val="14"/>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9"/>
        <w:gridCol w:w="1822"/>
      </w:tblGrid>
      <w:tr>
        <w:trPr>
          <w:trHeight w:val="293" w:hRule="exact"/>
        </w:trPr>
        <w:tc>
          <w:tcPr>
            <w:tcW w:w="7039" w:type="dxa"/>
            <w:tcBorders>
              <w:top w:val="nil"/>
              <w:left w:val="nil"/>
            </w:tcBorders>
          </w:tcPr>
          <w:p>
            <w:pPr>
              <w:pStyle w:val="TableParagraph"/>
              <w:spacing w:before="3"/>
              <w:ind w:left="107"/>
              <w:rPr>
                <w:b/>
                <w:sz w:val="24"/>
              </w:rPr>
            </w:pPr>
            <w:r>
              <w:rPr>
                <w:b/>
                <w:strike/>
                <w:color w:val="2E97D3"/>
                <w:sz w:val="24"/>
              </w:rPr>
              <w:t>ESTIMATED TOTAL CONSTRUCTION COST:</w:t>
            </w:r>
          </w:p>
        </w:tc>
        <w:tc>
          <w:tcPr>
            <w:tcW w:w="1822" w:type="dxa"/>
            <w:tcBorders>
              <w:top w:val="nil"/>
              <w:right w:val="nil"/>
            </w:tcBorders>
          </w:tcPr>
          <w:p>
            <w:pPr>
              <w:pStyle w:val="TableParagraph"/>
              <w:spacing w:before="3"/>
              <w:ind w:left="100"/>
              <w:rPr>
                <w:sz w:val="24"/>
              </w:rPr>
            </w:pPr>
            <w:r>
              <w:rPr>
                <w:strike/>
                <w:color w:val="2E97D3"/>
                <w:sz w:val="24"/>
              </w:rPr>
              <w:t>$6,894,000</w:t>
            </w:r>
          </w:p>
        </w:tc>
      </w:tr>
      <w:tr>
        <w:trPr>
          <w:trHeight w:val="298" w:hRule="exact"/>
        </w:trPr>
        <w:tc>
          <w:tcPr>
            <w:tcW w:w="7039" w:type="dxa"/>
            <w:tcBorders>
              <w:left w:val="nil"/>
            </w:tcBorders>
          </w:tcPr>
          <w:p>
            <w:pPr>
              <w:pStyle w:val="TableParagraph"/>
              <w:spacing w:before="3"/>
              <w:ind w:left="107"/>
              <w:rPr>
                <w:b/>
                <w:sz w:val="24"/>
              </w:rPr>
            </w:pPr>
            <w:r>
              <w:rPr>
                <w:b/>
                <w:strike/>
                <w:color w:val="2E97D3"/>
                <w:sz w:val="24"/>
              </w:rPr>
              <w:t>ARCHITECTURAL &amp; ENGINEERING SERVICES:</w:t>
            </w:r>
          </w:p>
        </w:tc>
        <w:tc>
          <w:tcPr>
            <w:tcW w:w="1822" w:type="dxa"/>
            <w:tcBorders>
              <w:right w:val="nil"/>
            </w:tcBorders>
          </w:tcPr>
          <w:p>
            <w:pPr>
              <w:pStyle w:val="TableParagraph"/>
              <w:spacing w:before="3"/>
              <w:ind w:left="100"/>
              <w:rPr>
                <w:sz w:val="24"/>
              </w:rPr>
            </w:pPr>
            <w:r>
              <w:rPr>
                <w:strike/>
                <w:color w:val="2E97D3"/>
                <w:sz w:val="24"/>
              </w:rPr>
              <w:t>$873,000</w:t>
            </w:r>
          </w:p>
        </w:tc>
      </w:tr>
      <w:tr>
        <w:trPr>
          <w:trHeight w:val="298" w:hRule="exact"/>
        </w:trPr>
        <w:tc>
          <w:tcPr>
            <w:tcW w:w="7039" w:type="dxa"/>
            <w:tcBorders>
              <w:left w:val="nil"/>
            </w:tcBorders>
          </w:tcPr>
          <w:p>
            <w:pPr>
              <w:pStyle w:val="TableParagraph"/>
              <w:spacing w:before="3"/>
              <w:ind w:left="107"/>
              <w:rPr>
                <w:b/>
                <w:sz w:val="24"/>
              </w:rPr>
            </w:pPr>
            <w:r>
              <w:rPr>
                <w:b/>
                <w:strike/>
                <w:color w:val="2E97D3"/>
                <w:sz w:val="24"/>
              </w:rPr>
              <w:t>OTHER PROJECT COSTS:</w:t>
            </w:r>
          </w:p>
        </w:tc>
        <w:tc>
          <w:tcPr>
            <w:tcW w:w="1822" w:type="dxa"/>
            <w:tcBorders>
              <w:right w:val="nil"/>
            </w:tcBorders>
          </w:tcPr>
          <w:p>
            <w:pPr/>
          </w:p>
        </w:tc>
      </w:tr>
      <w:tr>
        <w:trPr>
          <w:trHeight w:val="300" w:hRule="exact"/>
        </w:trPr>
        <w:tc>
          <w:tcPr>
            <w:tcW w:w="7039" w:type="dxa"/>
            <w:tcBorders>
              <w:left w:val="nil"/>
            </w:tcBorders>
          </w:tcPr>
          <w:p>
            <w:pPr>
              <w:pStyle w:val="TableParagraph"/>
              <w:spacing w:before="3"/>
              <w:ind w:left="828"/>
              <w:rPr>
                <w:sz w:val="24"/>
              </w:rPr>
            </w:pPr>
            <w:r>
              <w:rPr>
                <w:strike/>
                <w:color w:val="2E97D3"/>
                <w:sz w:val="24"/>
              </w:rPr>
              <w:t>Special Consultants (Hazmat)</w:t>
            </w:r>
          </w:p>
        </w:tc>
        <w:tc>
          <w:tcPr>
            <w:tcW w:w="1822" w:type="dxa"/>
            <w:tcBorders>
              <w:right w:val="nil"/>
            </w:tcBorders>
          </w:tcPr>
          <w:p>
            <w:pPr>
              <w:pStyle w:val="TableParagraph"/>
              <w:spacing w:before="3"/>
              <w:ind w:left="100"/>
              <w:rPr>
                <w:sz w:val="24"/>
              </w:rPr>
            </w:pPr>
            <w:r>
              <w:rPr>
                <w:strike/>
                <w:color w:val="2E97D3"/>
                <w:sz w:val="24"/>
              </w:rPr>
              <w:t>$90,000</w:t>
            </w:r>
          </w:p>
        </w:tc>
      </w:tr>
      <w:tr>
        <w:trPr>
          <w:trHeight w:val="298" w:hRule="exact"/>
        </w:trPr>
        <w:tc>
          <w:tcPr>
            <w:tcW w:w="7039" w:type="dxa"/>
            <w:tcBorders>
              <w:left w:val="nil"/>
            </w:tcBorders>
          </w:tcPr>
          <w:p>
            <w:pPr>
              <w:pStyle w:val="TableParagraph"/>
              <w:ind w:left="828"/>
              <w:rPr>
                <w:sz w:val="24"/>
              </w:rPr>
            </w:pPr>
            <w:r>
              <w:rPr>
                <w:strike/>
                <w:color w:val="2E97D3"/>
                <w:sz w:val="24"/>
              </w:rPr>
              <w:t>Materials Testing</w:t>
            </w:r>
          </w:p>
        </w:tc>
        <w:tc>
          <w:tcPr>
            <w:tcW w:w="1822" w:type="dxa"/>
            <w:tcBorders>
              <w:right w:val="nil"/>
            </w:tcBorders>
          </w:tcPr>
          <w:p>
            <w:pPr>
              <w:pStyle w:val="TableParagraph"/>
              <w:ind w:left="100"/>
              <w:rPr>
                <w:sz w:val="24"/>
              </w:rPr>
            </w:pPr>
            <w:r>
              <w:rPr>
                <w:strike/>
                <w:color w:val="2E97D3"/>
                <w:sz w:val="24"/>
              </w:rPr>
              <w:t>$67,000</w:t>
            </w:r>
          </w:p>
        </w:tc>
      </w:tr>
      <w:tr>
        <w:trPr>
          <w:trHeight w:val="298" w:hRule="exact"/>
        </w:trPr>
        <w:tc>
          <w:tcPr>
            <w:tcW w:w="7039" w:type="dxa"/>
            <w:tcBorders>
              <w:left w:val="nil"/>
            </w:tcBorders>
          </w:tcPr>
          <w:p>
            <w:pPr>
              <w:pStyle w:val="TableParagraph"/>
              <w:ind w:left="828"/>
              <w:rPr>
                <w:sz w:val="24"/>
              </w:rPr>
            </w:pPr>
            <w:r>
              <w:rPr>
                <w:strike/>
                <w:color w:val="2E97D3"/>
                <w:sz w:val="24"/>
              </w:rPr>
              <w:t>Project/Construction Mgmt.</w:t>
            </w:r>
          </w:p>
        </w:tc>
        <w:tc>
          <w:tcPr>
            <w:tcW w:w="1822" w:type="dxa"/>
            <w:tcBorders>
              <w:right w:val="nil"/>
            </w:tcBorders>
          </w:tcPr>
          <w:p>
            <w:pPr>
              <w:pStyle w:val="TableParagraph"/>
              <w:ind w:left="100"/>
              <w:rPr>
                <w:sz w:val="24"/>
              </w:rPr>
            </w:pPr>
            <w:r>
              <w:rPr>
                <w:strike/>
                <w:color w:val="2E97D3"/>
                <w:sz w:val="24"/>
              </w:rPr>
              <w:t>$148,900</w:t>
            </w:r>
          </w:p>
        </w:tc>
      </w:tr>
      <w:tr>
        <w:trPr>
          <w:trHeight w:val="298" w:hRule="exact"/>
        </w:trPr>
        <w:tc>
          <w:tcPr>
            <w:tcW w:w="7039" w:type="dxa"/>
            <w:tcBorders>
              <w:left w:val="nil"/>
            </w:tcBorders>
          </w:tcPr>
          <w:p>
            <w:pPr>
              <w:pStyle w:val="TableParagraph"/>
              <w:spacing w:before="3"/>
              <w:ind w:left="828"/>
              <w:rPr>
                <w:sz w:val="24"/>
              </w:rPr>
            </w:pPr>
            <w:r>
              <w:rPr>
                <w:strike/>
                <w:color w:val="2E97D3"/>
                <w:sz w:val="24"/>
              </w:rPr>
              <w:t>On-Site Construction Mgmt.</w:t>
            </w:r>
          </w:p>
        </w:tc>
        <w:tc>
          <w:tcPr>
            <w:tcW w:w="1822" w:type="dxa"/>
            <w:tcBorders>
              <w:right w:val="nil"/>
            </w:tcBorders>
          </w:tcPr>
          <w:p>
            <w:pPr>
              <w:pStyle w:val="TableParagraph"/>
              <w:spacing w:before="3"/>
              <w:ind w:left="100"/>
              <w:rPr>
                <w:sz w:val="24"/>
              </w:rPr>
            </w:pPr>
            <w:r>
              <w:rPr>
                <w:strike/>
                <w:color w:val="2E97D3"/>
                <w:sz w:val="24"/>
              </w:rPr>
              <w:t>$388,000</w:t>
            </w:r>
          </w:p>
        </w:tc>
      </w:tr>
      <w:tr>
        <w:trPr>
          <w:trHeight w:val="298" w:hRule="exact"/>
        </w:trPr>
        <w:tc>
          <w:tcPr>
            <w:tcW w:w="7039" w:type="dxa"/>
            <w:tcBorders>
              <w:left w:val="nil"/>
            </w:tcBorders>
          </w:tcPr>
          <w:p>
            <w:pPr>
              <w:pStyle w:val="TableParagraph"/>
              <w:spacing w:before="3"/>
              <w:ind w:left="828"/>
              <w:rPr>
                <w:sz w:val="24"/>
              </w:rPr>
            </w:pPr>
            <w:r>
              <w:rPr>
                <w:strike/>
                <w:color w:val="2E97D3"/>
                <w:sz w:val="24"/>
              </w:rPr>
              <w:t>A&amp;E Travel and Expense</w:t>
            </w:r>
          </w:p>
        </w:tc>
        <w:tc>
          <w:tcPr>
            <w:tcW w:w="1822" w:type="dxa"/>
            <w:tcBorders>
              <w:right w:val="nil"/>
            </w:tcBorders>
          </w:tcPr>
          <w:p>
            <w:pPr>
              <w:pStyle w:val="TableParagraph"/>
              <w:spacing w:before="3"/>
              <w:ind w:left="100"/>
              <w:rPr>
                <w:sz w:val="24"/>
              </w:rPr>
            </w:pPr>
            <w:r>
              <w:rPr>
                <w:strike/>
                <w:color w:val="2E97D3"/>
                <w:sz w:val="24"/>
              </w:rPr>
              <w:t>$0</w:t>
            </w:r>
          </w:p>
        </w:tc>
      </w:tr>
      <w:tr>
        <w:trPr>
          <w:trHeight w:val="298" w:hRule="exact"/>
        </w:trPr>
        <w:tc>
          <w:tcPr>
            <w:tcW w:w="7039" w:type="dxa"/>
            <w:tcBorders>
              <w:left w:val="nil"/>
            </w:tcBorders>
          </w:tcPr>
          <w:p>
            <w:pPr>
              <w:pStyle w:val="TableParagraph"/>
              <w:spacing w:before="3"/>
              <w:ind w:left="828"/>
              <w:rPr>
                <w:sz w:val="24"/>
              </w:rPr>
            </w:pPr>
            <w:r>
              <w:rPr>
                <w:strike/>
                <w:color w:val="2E97D3"/>
                <w:sz w:val="24"/>
              </w:rPr>
              <w:t>Agency Retained Items</w:t>
            </w:r>
          </w:p>
        </w:tc>
        <w:tc>
          <w:tcPr>
            <w:tcW w:w="1822" w:type="dxa"/>
            <w:tcBorders>
              <w:right w:val="nil"/>
            </w:tcBorders>
          </w:tcPr>
          <w:p>
            <w:pPr>
              <w:pStyle w:val="TableParagraph"/>
              <w:spacing w:before="3"/>
              <w:ind w:left="100"/>
              <w:rPr>
                <w:sz w:val="24"/>
              </w:rPr>
            </w:pPr>
            <w:r>
              <w:rPr>
                <w:strike/>
                <w:color w:val="2E97D3"/>
                <w:sz w:val="24"/>
              </w:rPr>
              <w:t>$775,000</w:t>
            </w:r>
          </w:p>
        </w:tc>
      </w:tr>
      <w:tr>
        <w:trPr>
          <w:trHeight w:val="300" w:hRule="exact"/>
        </w:trPr>
        <w:tc>
          <w:tcPr>
            <w:tcW w:w="7039" w:type="dxa"/>
            <w:tcBorders>
              <w:left w:val="nil"/>
            </w:tcBorders>
          </w:tcPr>
          <w:p>
            <w:pPr>
              <w:pStyle w:val="TableParagraph"/>
              <w:spacing w:before="3"/>
              <w:ind w:left="828"/>
              <w:rPr>
                <w:sz w:val="24"/>
              </w:rPr>
            </w:pPr>
            <w:r>
              <w:rPr>
                <w:strike/>
                <w:color w:val="2E97D3"/>
                <w:sz w:val="24"/>
              </w:rPr>
              <w:t>Small and Minority Assessment – A&amp;E</w:t>
            </w:r>
          </w:p>
        </w:tc>
        <w:tc>
          <w:tcPr>
            <w:tcW w:w="1822" w:type="dxa"/>
            <w:tcBorders>
              <w:right w:val="nil"/>
            </w:tcBorders>
          </w:tcPr>
          <w:p>
            <w:pPr>
              <w:pStyle w:val="TableParagraph"/>
              <w:spacing w:before="3"/>
              <w:ind w:left="100"/>
              <w:rPr>
                <w:sz w:val="24"/>
              </w:rPr>
            </w:pPr>
            <w:r>
              <w:rPr>
                <w:strike/>
                <w:color w:val="2E97D3"/>
                <w:sz w:val="24"/>
              </w:rPr>
              <w:t>$2,400</w:t>
            </w:r>
          </w:p>
        </w:tc>
      </w:tr>
      <w:tr>
        <w:trPr>
          <w:trHeight w:val="298" w:hRule="exact"/>
        </w:trPr>
        <w:tc>
          <w:tcPr>
            <w:tcW w:w="7039" w:type="dxa"/>
            <w:tcBorders>
              <w:left w:val="nil"/>
            </w:tcBorders>
          </w:tcPr>
          <w:p>
            <w:pPr>
              <w:pStyle w:val="TableParagraph"/>
              <w:ind w:left="828"/>
              <w:rPr>
                <w:sz w:val="24"/>
              </w:rPr>
            </w:pPr>
            <w:r>
              <w:rPr>
                <w:strike/>
                <w:color w:val="2E97D3"/>
                <w:sz w:val="24"/>
              </w:rPr>
              <w:t>Small and Minority Assessment – Construction</w:t>
            </w:r>
          </w:p>
        </w:tc>
        <w:tc>
          <w:tcPr>
            <w:tcW w:w="1822" w:type="dxa"/>
            <w:tcBorders>
              <w:right w:val="nil"/>
            </w:tcBorders>
          </w:tcPr>
          <w:p>
            <w:pPr>
              <w:pStyle w:val="TableParagraph"/>
              <w:ind w:left="100"/>
              <w:rPr>
                <w:sz w:val="24"/>
              </w:rPr>
            </w:pPr>
            <w:r>
              <w:rPr>
                <w:strike/>
                <w:color w:val="2E97D3"/>
                <w:sz w:val="24"/>
              </w:rPr>
              <w:t>$15,200</w:t>
            </w:r>
          </w:p>
        </w:tc>
      </w:tr>
      <w:tr>
        <w:trPr>
          <w:trHeight w:val="298" w:hRule="exact"/>
        </w:trPr>
        <w:tc>
          <w:tcPr>
            <w:tcW w:w="7039" w:type="dxa"/>
            <w:tcBorders>
              <w:left w:val="nil"/>
            </w:tcBorders>
          </w:tcPr>
          <w:p>
            <w:pPr>
              <w:pStyle w:val="TableParagraph"/>
              <w:ind w:left="828"/>
              <w:rPr>
                <w:sz w:val="24"/>
              </w:rPr>
            </w:pPr>
            <w:r>
              <w:rPr>
                <w:strike/>
                <w:color w:val="2E97D3"/>
                <w:sz w:val="24"/>
              </w:rPr>
              <w:t>School Checking</w:t>
            </w:r>
          </w:p>
        </w:tc>
        <w:tc>
          <w:tcPr>
            <w:tcW w:w="1822" w:type="dxa"/>
            <w:tcBorders>
              <w:right w:val="nil"/>
            </w:tcBorders>
          </w:tcPr>
          <w:p>
            <w:pPr>
              <w:pStyle w:val="TableParagraph"/>
              <w:ind w:left="100"/>
              <w:rPr>
                <w:sz w:val="24"/>
              </w:rPr>
            </w:pPr>
            <w:r>
              <w:rPr>
                <w:strike/>
                <w:color w:val="2E97D3"/>
                <w:sz w:val="24"/>
              </w:rPr>
              <w:t>$0</w:t>
            </w:r>
          </w:p>
        </w:tc>
      </w:tr>
      <w:tr>
        <w:trPr>
          <w:trHeight w:val="298" w:hRule="exact"/>
        </w:trPr>
        <w:tc>
          <w:tcPr>
            <w:tcW w:w="7039" w:type="dxa"/>
            <w:tcBorders>
              <w:left w:val="nil"/>
            </w:tcBorders>
          </w:tcPr>
          <w:p>
            <w:pPr>
              <w:pStyle w:val="TableParagraph"/>
              <w:spacing w:before="3"/>
              <w:ind w:left="828"/>
              <w:rPr>
                <w:sz w:val="24"/>
              </w:rPr>
            </w:pPr>
            <w:r>
              <w:rPr>
                <w:strike/>
                <w:color w:val="2E97D3"/>
                <w:sz w:val="24"/>
              </w:rPr>
              <w:t>Hospital Checking</w:t>
            </w:r>
          </w:p>
        </w:tc>
        <w:tc>
          <w:tcPr>
            <w:tcW w:w="1822" w:type="dxa"/>
            <w:tcBorders>
              <w:right w:val="nil"/>
            </w:tcBorders>
          </w:tcPr>
          <w:p>
            <w:pPr>
              <w:pStyle w:val="TableParagraph"/>
              <w:spacing w:before="3"/>
              <w:ind w:left="100"/>
              <w:rPr>
                <w:sz w:val="24"/>
              </w:rPr>
            </w:pPr>
            <w:r>
              <w:rPr>
                <w:strike/>
                <w:color w:val="2E97D3"/>
                <w:sz w:val="24"/>
              </w:rPr>
              <w:t>$96,600</w:t>
            </w:r>
          </w:p>
        </w:tc>
      </w:tr>
      <w:tr>
        <w:trPr>
          <w:trHeight w:val="298" w:hRule="exact"/>
        </w:trPr>
        <w:tc>
          <w:tcPr>
            <w:tcW w:w="7039" w:type="dxa"/>
            <w:tcBorders>
              <w:left w:val="nil"/>
            </w:tcBorders>
          </w:tcPr>
          <w:p>
            <w:pPr>
              <w:pStyle w:val="TableParagraph"/>
              <w:spacing w:before="3"/>
              <w:ind w:left="828"/>
              <w:rPr>
                <w:sz w:val="24"/>
              </w:rPr>
            </w:pPr>
            <w:r>
              <w:rPr>
                <w:strike/>
                <w:color w:val="2E97D3"/>
                <w:sz w:val="24"/>
              </w:rPr>
              <w:t>Essential Services</w:t>
            </w:r>
          </w:p>
        </w:tc>
        <w:tc>
          <w:tcPr>
            <w:tcW w:w="1822" w:type="dxa"/>
            <w:tcBorders>
              <w:right w:val="nil"/>
            </w:tcBorders>
          </w:tcPr>
          <w:p>
            <w:pPr>
              <w:pStyle w:val="TableParagraph"/>
              <w:spacing w:before="3"/>
              <w:ind w:left="100"/>
              <w:rPr>
                <w:sz w:val="24"/>
              </w:rPr>
            </w:pPr>
            <w:r>
              <w:rPr>
                <w:strike/>
                <w:color w:val="2E97D3"/>
                <w:sz w:val="24"/>
              </w:rPr>
              <w:t>$0</w:t>
            </w:r>
          </w:p>
        </w:tc>
      </w:tr>
      <w:tr>
        <w:trPr>
          <w:trHeight w:val="298" w:hRule="exact"/>
        </w:trPr>
        <w:tc>
          <w:tcPr>
            <w:tcW w:w="7039" w:type="dxa"/>
            <w:tcBorders>
              <w:left w:val="nil"/>
            </w:tcBorders>
          </w:tcPr>
          <w:p>
            <w:pPr>
              <w:pStyle w:val="TableParagraph"/>
              <w:spacing w:before="3"/>
              <w:ind w:left="828"/>
              <w:rPr>
                <w:sz w:val="24"/>
              </w:rPr>
            </w:pPr>
            <w:r>
              <w:rPr>
                <w:strike/>
                <w:color w:val="2E97D3"/>
                <w:sz w:val="24"/>
              </w:rPr>
              <w:t>Handicapped Checking</w:t>
            </w:r>
          </w:p>
        </w:tc>
        <w:tc>
          <w:tcPr>
            <w:tcW w:w="1822" w:type="dxa"/>
            <w:tcBorders>
              <w:right w:val="nil"/>
            </w:tcBorders>
          </w:tcPr>
          <w:p>
            <w:pPr>
              <w:pStyle w:val="TableParagraph"/>
              <w:spacing w:before="3"/>
              <w:ind w:left="100"/>
              <w:rPr>
                <w:sz w:val="24"/>
              </w:rPr>
            </w:pPr>
            <w:r>
              <w:rPr>
                <w:strike/>
                <w:color w:val="2E97D3"/>
                <w:sz w:val="24"/>
              </w:rPr>
              <w:t>$2,900</w:t>
            </w:r>
          </w:p>
        </w:tc>
      </w:tr>
      <w:tr>
        <w:trPr>
          <w:trHeight w:val="300" w:hRule="exact"/>
        </w:trPr>
        <w:tc>
          <w:tcPr>
            <w:tcW w:w="7039" w:type="dxa"/>
            <w:tcBorders>
              <w:left w:val="nil"/>
            </w:tcBorders>
          </w:tcPr>
          <w:p>
            <w:pPr>
              <w:pStyle w:val="TableParagraph"/>
              <w:spacing w:before="3"/>
              <w:ind w:left="828"/>
              <w:rPr>
                <w:sz w:val="24"/>
              </w:rPr>
            </w:pPr>
            <w:r>
              <w:rPr>
                <w:strike/>
                <w:color w:val="2E97D3"/>
                <w:sz w:val="24"/>
              </w:rPr>
              <w:t>Environmental Document</w:t>
            </w:r>
          </w:p>
        </w:tc>
        <w:tc>
          <w:tcPr>
            <w:tcW w:w="1822" w:type="dxa"/>
            <w:tcBorders>
              <w:right w:val="nil"/>
            </w:tcBorders>
          </w:tcPr>
          <w:p>
            <w:pPr>
              <w:pStyle w:val="TableParagraph"/>
              <w:spacing w:before="3"/>
              <w:ind w:left="100"/>
              <w:rPr>
                <w:sz w:val="24"/>
              </w:rPr>
            </w:pPr>
            <w:r>
              <w:rPr>
                <w:strike/>
                <w:color w:val="2E97D3"/>
                <w:sz w:val="24"/>
              </w:rPr>
              <w:t>$0</w:t>
            </w:r>
          </w:p>
        </w:tc>
      </w:tr>
      <w:tr>
        <w:trPr>
          <w:trHeight w:val="298" w:hRule="exact"/>
        </w:trPr>
        <w:tc>
          <w:tcPr>
            <w:tcW w:w="7039" w:type="dxa"/>
            <w:tcBorders>
              <w:left w:val="nil"/>
            </w:tcBorders>
          </w:tcPr>
          <w:p>
            <w:pPr>
              <w:pStyle w:val="TableParagraph"/>
              <w:ind w:left="107"/>
              <w:rPr>
                <w:b/>
                <w:sz w:val="24"/>
              </w:rPr>
            </w:pPr>
            <w:r>
              <w:rPr>
                <w:b/>
                <w:strike/>
                <w:color w:val="2E97D3"/>
                <w:sz w:val="24"/>
              </w:rPr>
              <w:t>OTHER PROJECT COSTS TOTAL:</w:t>
            </w:r>
          </w:p>
        </w:tc>
        <w:tc>
          <w:tcPr>
            <w:tcW w:w="1822" w:type="dxa"/>
            <w:tcBorders>
              <w:right w:val="nil"/>
            </w:tcBorders>
          </w:tcPr>
          <w:p>
            <w:pPr>
              <w:pStyle w:val="TableParagraph"/>
              <w:ind w:left="100"/>
              <w:rPr>
                <w:b/>
                <w:sz w:val="24"/>
              </w:rPr>
            </w:pPr>
            <w:r>
              <w:rPr>
                <w:b/>
                <w:strike/>
                <w:color w:val="2E97D3"/>
                <w:sz w:val="24"/>
              </w:rPr>
              <w:t>$1,586,000</w:t>
            </w:r>
          </w:p>
        </w:tc>
      </w:tr>
      <w:tr>
        <w:trPr>
          <w:trHeight w:val="298" w:hRule="exact"/>
        </w:trPr>
        <w:tc>
          <w:tcPr>
            <w:tcW w:w="7039" w:type="dxa"/>
            <w:tcBorders>
              <w:left w:val="nil"/>
            </w:tcBorders>
          </w:tcPr>
          <w:p>
            <w:pPr>
              <w:pStyle w:val="TableParagraph"/>
              <w:ind w:left="107"/>
              <w:rPr>
                <w:b/>
                <w:sz w:val="24"/>
              </w:rPr>
            </w:pPr>
            <w:r>
              <w:rPr>
                <w:b/>
                <w:strike/>
                <w:color w:val="2E97D3"/>
                <w:sz w:val="24"/>
              </w:rPr>
              <w:t>ESTIMATED TOTAL PROJECT COST:</w:t>
            </w:r>
          </w:p>
        </w:tc>
        <w:tc>
          <w:tcPr>
            <w:tcW w:w="1822" w:type="dxa"/>
            <w:tcBorders>
              <w:right w:val="nil"/>
            </w:tcBorders>
          </w:tcPr>
          <w:p>
            <w:pPr>
              <w:pStyle w:val="TableParagraph"/>
              <w:ind w:left="100"/>
              <w:rPr>
                <w:b/>
                <w:sz w:val="24"/>
              </w:rPr>
            </w:pPr>
            <w:r>
              <w:rPr>
                <w:b/>
                <w:strike/>
                <w:color w:val="2E97D3"/>
                <w:sz w:val="24"/>
              </w:rPr>
              <w:t>$9,353,000</w:t>
            </w:r>
          </w:p>
        </w:tc>
      </w:tr>
      <w:tr>
        <w:trPr>
          <w:trHeight w:val="298" w:hRule="exact"/>
        </w:trPr>
        <w:tc>
          <w:tcPr>
            <w:tcW w:w="7039" w:type="dxa"/>
            <w:tcBorders>
              <w:left w:val="nil"/>
            </w:tcBorders>
          </w:tcPr>
          <w:p>
            <w:pPr>
              <w:pStyle w:val="TableParagraph"/>
              <w:spacing w:before="3"/>
              <w:ind w:left="107"/>
              <w:rPr>
                <w:b/>
                <w:sz w:val="24"/>
              </w:rPr>
            </w:pPr>
            <w:r>
              <w:rPr>
                <w:b/>
                <w:strike/>
                <w:color w:val="2E97D3"/>
                <w:sz w:val="24"/>
              </w:rPr>
              <w:t>FUND TRANSFERS</w:t>
            </w:r>
          </w:p>
        </w:tc>
        <w:tc>
          <w:tcPr>
            <w:tcW w:w="1822" w:type="dxa"/>
            <w:tcBorders>
              <w:right w:val="nil"/>
            </w:tcBorders>
          </w:tcPr>
          <w:p>
            <w:pPr/>
          </w:p>
        </w:tc>
      </w:tr>
      <w:tr>
        <w:trPr>
          <w:trHeight w:val="298" w:hRule="exact"/>
        </w:trPr>
        <w:tc>
          <w:tcPr>
            <w:tcW w:w="7039" w:type="dxa"/>
            <w:tcBorders>
              <w:left w:val="nil"/>
            </w:tcBorders>
          </w:tcPr>
          <w:p>
            <w:pPr>
              <w:pStyle w:val="TableParagraph"/>
              <w:spacing w:before="3"/>
              <w:ind w:left="107"/>
              <w:rPr>
                <w:b/>
                <w:sz w:val="24"/>
              </w:rPr>
            </w:pPr>
            <w:r>
              <w:rPr>
                <w:b/>
                <w:strike/>
                <w:color w:val="2E97D3"/>
                <w:sz w:val="24"/>
              </w:rPr>
              <w:t>TOTAL FUNDS TRANSFERRED</w:t>
            </w:r>
          </w:p>
        </w:tc>
        <w:tc>
          <w:tcPr>
            <w:tcW w:w="1822" w:type="dxa"/>
            <w:tcBorders>
              <w:right w:val="nil"/>
            </w:tcBorders>
          </w:tcPr>
          <w:p>
            <w:pPr/>
          </w:p>
        </w:tc>
      </w:tr>
      <w:tr>
        <w:trPr>
          <w:trHeight w:val="298" w:hRule="exact"/>
        </w:trPr>
        <w:tc>
          <w:tcPr>
            <w:tcW w:w="7039" w:type="dxa"/>
            <w:tcBorders>
              <w:left w:val="nil"/>
            </w:tcBorders>
          </w:tcPr>
          <w:p>
            <w:pPr>
              <w:pStyle w:val="TableParagraph"/>
              <w:spacing w:before="3"/>
              <w:ind w:left="107"/>
              <w:rPr>
                <w:b/>
                <w:sz w:val="24"/>
              </w:rPr>
            </w:pPr>
            <w:r>
              <w:rPr>
                <w:b/>
                <w:strike/>
                <w:color w:val="2E97D3"/>
                <w:sz w:val="24"/>
              </w:rPr>
              <w:t>TOTAL FUNDS RETURNED</w:t>
            </w:r>
          </w:p>
        </w:tc>
        <w:tc>
          <w:tcPr>
            <w:tcW w:w="1822" w:type="dxa"/>
            <w:tcBorders>
              <w:right w:val="nil"/>
            </w:tcBorders>
          </w:tcPr>
          <w:p>
            <w:pPr/>
          </w:p>
        </w:tc>
      </w:tr>
      <w:tr>
        <w:trPr>
          <w:trHeight w:val="295" w:hRule="exact"/>
        </w:trPr>
        <w:tc>
          <w:tcPr>
            <w:tcW w:w="7039" w:type="dxa"/>
            <w:tcBorders>
              <w:left w:val="nil"/>
              <w:bottom w:val="nil"/>
            </w:tcBorders>
          </w:tcPr>
          <w:p>
            <w:pPr>
              <w:pStyle w:val="TableParagraph"/>
              <w:spacing w:before="3"/>
              <w:ind w:left="107"/>
              <w:rPr>
                <w:b/>
                <w:sz w:val="24"/>
              </w:rPr>
            </w:pPr>
            <w:r>
              <w:rPr>
                <w:b/>
                <w:strike/>
                <w:color w:val="2E97D3"/>
                <w:sz w:val="24"/>
              </w:rPr>
              <w:t>BALANCE OF FUNDS REQUIRED</w:t>
            </w:r>
          </w:p>
        </w:tc>
        <w:tc>
          <w:tcPr>
            <w:tcW w:w="1822" w:type="dxa"/>
            <w:tcBorders>
              <w:bottom w:val="nil"/>
              <w:right w:val="nil"/>
            </w:tcBorders>
          </w:tcPr>
          <w:p>
            <w:pPr>
              <w:pStyle w:val="TableParagraph"/>
              <w:spacing w:before="3"/>
              <w:ind w:left="100"/>
              <w:rPr>
                <w:b/>
                <w:sz w:val="24"/>
              </w:rPr>
            </w:pPr>
            <w:r>
              <w:rPr>
                <w:b/>
                <w:strike/>
                <w:color w:val="2E97D3"/>
                <w:sz w:val="24"/>
              </w:rPr>
              <w:t>$9,353,000</w:t>
            </w:r>
          </w:p>
        </w:tc>
      </w:tr>
    </w:tbl>
    <w:p>
      <w:pPr>
        <w:pStyle w:val="BodyText"/>
        <w:spacing w:before="5"/>
        <w:rPr>
          <w:sz w:val="12"/>
        </w:rPr>
      </w:pPr>
    </w:p>
    <w:p>
      <w:pPr>
        <w:spacing w:before="92"/>
        <w:ind w:left="686" w:right="0" w:firstLine="0"/>
        <w:jc w:val="left"/>
        <w:rPr>
          <w:b/>
          <w:i/>
          <w:sz w:val="24"/>
        </w:rPr>
      </w:pPr>
      <w:r>
        <w:rPr/>
        <w:pict>
          <v:line style="position:absolute;mso-position-horizontal-relative:page;mso-position-vertical-relative:paragraph;z-index:26704" from="29.4pt,-423.824127pt" to="29.4pt,147.015873pt" stroked="true" strokeweight=".72pt" strokecolor="#000000">
            <v:stroke dashstyle="solid"/>
            <w10:wrap type="none"/>
          </v:line>
        </w:pict>
      </w:r>
      <w:r>
        <w:rPr>
          <w:b/>
          <w:i/>
          <w:strike/>
          <w:color w:val="2E97D3"/>
          <w:sz w:val="24"/>
        </w:rPr>
        <w:t>NOTES:</w:t>
      </w:r>
    </w:p>
    <w:p>
      <w:pPr>
        <w:pStyle w:val="BodyText"/>
        <w:ind w:left="686" w:right="282"/>
      </w:pPr>
      <w:r>
        <w:rPr>
          <w:strike/>
          <w:color w:val="2E97D3"/>
        </w:rPr>
        <w:t>The construction costs in this estimate are indexed from the CCCI Index as of the date of estimate preparation to the CCCI index that is projected as of July 1, 1997. The project estimate is then escalated for a 8 month period to an assumed construction midpoint.</w:t>
      </w:r>
    </w:p>
    <w:p>
      <w:pPr>
        <w:pStyle w:val="BodyText"/>
        <w:ind w:left="686" w:right="95"/>
      </w:pPr>
      <w:r>
        <w:rPr>
          <w:strike/>
          <w:color w:val="2E97D3"/>
        </w:rPr>
        <w:t>When an actual construction start date is establish, escalation to the index for that date will be an added cost.</w:t>
      </w:r>
    </w:p>
    <w:p>
      <w:pPr>
        <w:pStyle w:val="BodyText"/>
        <w:spacing w:before="119"/>
        <w:ind w:left="686"/>
      </w:pPr>
      <w:r>
        <w:rPr>
          <w:strike/>
          <w:color w:val="2E97D3"/>
        </w:rPr>
        <w:t>The Agency has retained items that are included in this estimate. OPDM has not verified agency retained pricing.</w:t>
      </w:r>
    </w:p>
    <w:p>
      <w:pPr>
        <w:spacing w:after="0"/>
        <w:sectPr>
          <w:footerReference w:type="default" r:id="rId277"/>
          <w:pgSz w:w="12240" w:h="15840"/>
          <w:pgMar w:footer="1068" w:header="724" w:top="980" w:bottom="1260" w:left="480" w:right="1340"/>
        </w:sectPr>
      </w:pPr>
    </w:p>
    <w:p>
      <w:pPr>
        <w:pStyle w:val="BodyText"/>
        <w:rPr>
          <w:sz w:val="20"/>
        </w:rPr>
      </w:pPr>
      <w:r>
        <w:rPr/>
        <w:pict>
          <v:line style="position:absolute;mso-position-horizontal-relative:page;mso-position-vertical-relative:page;z-index:26728" from="29.4pt,72pt" to="29.4pt,99.6pt" stroked="true" strokeweight=".72pt" strokecolor="#000000">
            <v:stroke dashstyle="solid"/>
            <w10:wrap type="none"/>
          </v:line>
        </w:pict>
      </w:r>
      <w:r>
        <w:rPr/>
        <w:pict>
          <v:line style="position:absolute;mso-position-horizontal-relative:page;mso-position-vertical-relative:page;z-index:26752" from="29.4pt,115.68pt" to="29.4pt,143.28pt" stroked="true" strokeweight=".72pt" strokecolor="#000000">
            <v:stroke dashstyle="solid"/>
            <w10:wrap type="none"/>
          </v:line>
        </w:pict>
      </w:r>
      <w:r>
        <w:rPr/>
        <w:pict>
          <v:line style="position:absolute;mso-position-horizontal-relative:page;mso-position-vertical-relative:page;z-index:26776" from="29.4pt,159.360992pt" to="29.4pt,224.039992pt" stroked="true" strokeweight=".72pt" strokecolor="#000000">
            <v:stroke dashstyle="solid"/>
            <w10:wrap type="none"/>
          </v:line>
        </w:pict>
      </w:r>
    </w:p>
    <w:p>
      <w:pPr>
        <w:pStyle w:val="BodyText"/>
        <w:spacing w:before="11"/>
        <w:rPr>
          <w:sz w:val="18"/>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5"/>
        <w:gridCol w:w="2573"/>
        <w:gridCol w:w="2611"/>
        <w:gridCol w:w="2160"/>
      </w:tblGrid>
      <w:tr>
        <w:trPr>
          <w:trHeight w:val="869" w:hRule="exact"/>
        </w:trPr>
        <w:tc>
          <w:tcPr>
            <w:tcW w:w="2215" w:type="dxa"/>
            <w:tcBorders>
              <w:top w:val="nil"/>
              <w:left w:val="nil"/>
            </w:tcBorders>
          </w:tcPr>
          <w:p>
            <w:pPr>
              <w:pStyle w:val="TableParagraph"/>
              <w:spacing w:line="272" w:lineRule="exact"/>
              <w:ind w:left="107"/>
              <w:rPr>
                <w:sz w:val="24"/>
              </w:rPr>
            </w:pPr>
            <w:r>
              <w:rPr>
                <w:strike/>
                <w:color w:val="2E97D3"/>
                <w:sz w:val="24"/>
              </w:rPr>
              <w:t>PROJECT:</w:t>
            </w:r>
          </w:p>
        </w:tc>
        <w:tc>
          <w:tcPr>
            <w:tcW w:w="2573" w:type="dxa"/>
            <w:tcBorders>
              <w:top w:val="nil"/>
            </w:tcBorders>
          </w:tcPr>
          <w:p>
            <w:pPr>
              <w:pStyle w:val="TableParagraph"/>
              <w:spacing w:line="272" w:lineRule="exact"/>
              <w:ind w:left="103"/>
              <w:rPr>
                <w:sz w:val="24"/>
              </w:rPr>
            </w:pPr>
            <w:r>
              <w:rPr>
                <w:strike/>
                <w:color w:val="2E97D3"/>
                <w:sz w:val="24"/>
              </w:rPr>
              <w:t>ANNEX I</w:t>
            </w:r>
          </w:p>
        </w:tc>
        <w:tc>
          <w:tcPr>
            <w:tcW w:w="2611" w:type="dxa"/>
            <w:tcBorders>
              <w:top w:val="nil"/>
            </w:tcBorders>
          </w:tcPr>
          <w:p>
            <w:pPr>
              <w:pStyle w:val="TableParagraph"/>
              <w:spacing w:line="272" w:lineRule="exact"/>
              <w:ind w:left="103"/>
              <w:rPr>
                <w:sz w:val="24"/>
              </w:rPr>
            </w:pPr>
            <w:r>
              <w:rPr>
                <w:strike/>
                <w:color w:val="2E97D3"/>
                <w:sz w:val="24"/>
              </w:rPr>
              <w:t>BUDGET ESTIMATE:</w:t>
            </w:r>
          </w:p>
        </w:tc>
        <w:tc>
          <w:tcPr>
            <w:tcW w:w="2160" w:type="dxa"/>
            <w:tcBorders>
              <w:top w:val="nil"/>
              <w:right w:val="nil"/>
            </w:tcBorders>
          </w:tcPr>
          <w:p>
            <w:pPr>
              <w:pStyle w:val="TableParagraph"/>
              <w:spacing w:line="272" w:lineRule="exact"/>
              <w:ind w:left="100"/>
              <w:rPr>
                <w:sz w:val="24"/>
              </w:rPr>
            </w:pPr>
            <w:r>
              <w:rPr>
                <w:strike/>
                <w:color w:val="2E97D3"/>
                <w:sz w:val="24"/>
              </w:rPr>
              <w:t>B-97-1901</w:t>
            </w:r>
          </w:p>
        </w:tc>
      </w:tr>
      <w:tr>
        <w:trPr>
          <w:trHeight w:val="874" w:hRule="exact"/>
        </w:trPr>
        <w:tc>
          <w:tcPr>
            <w:tcW w:w="2215" w:type="dxa"/>
            <w:tcBorders>
              <w:left w:val="nil"/>
            </w:tcBorders>
          </w:tcPr>
          <w:p>
            <w:pPr>
              <w:pStyle w:val="TableParagraph"/>
              <w:spacing w:line="272" w:lineRule="exact"/>
              <w:ind w:left="107"/>
              <w:rPr>
                <w:sz w:val="24"/>
              </w:rPr>
            </w:pPr>
            <w:r>
              <w:rPr>
                <w:strike/>
                <w:color w:val="2E97D3"/>
                <w:sz w:val="24"/>
              </w:rPr>
              <w:t>LOCATION:</w:t>
            </w:r>
          </w:p>
        </w:tc>
        <w:tc>
          <w:tcPr>
            <w:tcW w:w="2573" w:type="dxa"/>
          </w:tcPr>
          <w:p>
            <w:pPr>
              <w:pStyle w:val="TableParagraph"/>
              <w:spacing w:line="272" w:lineRule="exact"/>
              <w:ind w:left="103"/>
              <w:rPr>
                <w:sz w:val="24"/>
              </w:rPr>
            </w:pPr>
            <w:r>
              <w:rPr>
                <w:strike/>
                <w:color w:val="2E97D3"/>
                <w:sz w:val="24"/>
              </w:rPr>
              <w:t>YOUNTVILLE, CA</w:t>
            </w:r>
          </w:p>
        </w:tc>
        <w:tc>
          <w:tcPr>
            <w:tcW w:w="2611" w:type="dxa"/>
          </w:tcPr>
          <w:p>
            <w:pPr>
              <w:pStyle w:val="TableParagraph"/>
              <w:spacing w:line="272" w:lineRule="exact"/>
              <w:ind w:left="103"/>
              <w:rPr>
                <w:sz w:val="24"/>
              </w:rPr>
            </w:pPr>
            <w:r>
              <w:rPr>
                <w:strike/>
                <w:color w:val="2E97D3"/>
                <w:sz w:val="24"/>
              </w:rPr>
              <w:t>WORK ORDER #:</w:t>
            </w:r>
          </w:p>
        </w:tc>
        <w:tc>
          <w:tcPr>
            <w:tcW w:w="2160" w:type="dxa"/>
            <w:tcBorders>
              <w:right w:val="nil"/>
            </w:tcBorders>
          </w:tcPr>
          <w:p>
            <w:pPr>
              <w:pStyle w:val="TableParagraph"/>
              <w:spacing w:line="272" w:lineRule="exact"/>
              <w:ind w:left="100"/>
              <w:rPr>
                <w:sz w:val="24"/>
              </w:rPr>
            </w:pPr>
            <w:r>
              <w:rPr>
                <w:strike/>
                <w:color w:val="2E97D3"/>
                <w:sz w:val="24"/>
              </w:rPr>
              <w:t>OPDM 0558</w:t>
            </w:r>
          </w:p>
        </w:tc>
      </w:tr>
      <w:tr>
        <w:trPr>
          <w:trHeight w:val="874" w:hRule="exact"/>
        </w:trPr>
        <w:tc>
          <w:tcPr>
            <w:tcW w:w="2215" w:type="dxa"/>
            <w:tcBorders>
              <w:left w:val="nil"/>
            </w:tcBorders>
          </w:tcPr>
          <w:p>
            <w:pPr>
              <w:pStyle w:val="TableParagraph"/>
              <w:spacing w:line="272" w:lineRule="exact"/>
              <w:ind w:left="107"/>
              <w:rPr>
                <w:sz w:val="24"/>
              </w:rPr>
            </w:pPr>
            <w:r>
              <w:rPr>
                <w:strike/>
                <w:color w:val="2E97D3"/>
                <w:sz w:val="24"/>
              </w:rPr>
              <w:t>CLIENT:</w:t>
            </w:r>
          </w:p>
        </w:tc>
        <w:tc>
          <w:tcPr>
            <w:tcW w:w="2573" w:type="dxa"/>
          </w:tcPr>
          <w:p>
            <w:pPr>
              <w:pStyle w:val="TableParagraph"/>
              <w:ind w:left="103" w:right="226"/>
              <w:rPr>
                <w:sz w:val="24"/>
              </w:rPr>
            </w:pPr>
            <w:r>
              <w:rPr>
                <w:strike/>
                <w:color w:val="2E97D3"/>
                <w:sz w:val="24"/>
              </w:rPr>
              <w:t>DEPARTMENT OF VETERAN AFFAIRS</w:t>
            </w:r>
          </w:p>
        </w:tc>
        <w:tc>
          <w:tcPr>
            <w:tcW w:w="2611" w:type="dxa"/>
          </w:tcPr>
          <w:p>
            <w:pPr>
              <w:pStyle w:val="TableParagraph"/>
              <w:ind w:left="103" w:right="518"/>
              <w:rPr>
                <w:sz w:val="24"/>
              </w:rPr>
            </w:pPr>
            <w:r>
              <w:rPr>
                <w:strike/>
                <w:color w:val="2E97D3"/>
                <w:sz w:val="24"/>
              </w:rPr>
              <w:t>ESTIMATED RUN DATE:</w:t>
            </w:r>
          </w:p>
          <w:p>
            <w:pPr>
              <w:pStyle w:val="TableParagraph"/>
              <w:spacing w:before="4"/>
              <w:ind w:left="103"/>
              <w:rPr>
                <w:sz w:val="24"/>
              </w:rPr>
            </w:pPr>
            <w:r>
              <w:rPr>
                <w:strike/>
                <w:color w:val="2E97D3"/>
                <w:sz w:val="24"/>
              </w:rPr>
              <w:t>CCCI:</w:t>
            </w:r>
          </w:p>
        </w:tc>
        <w:tc>
          <w:tcPr>
            <w:tcW w:w="2160" w:type="dxa"/>
            <w:tcBorders>
              <w:right w:val="nil"/>
            </w:tcBorders>
          </w:tcPr>
          <w:p>
            <w:pPr>
              <w:pStyle w:val="TableParagraph"/>
              <w:spacing w:line="272" w:lineRule="exact"/>
              <w:ind w:left="100"/>
              <w:rPr>
                <w:sz w:val="24"/>
              </w:rPr>
            </w:pPr>
            <w:r>
              <w:rPr>
                <w:strike/>
                <w:color w:val="2E97D3"/>
                <w:sz w:val="24"/>
              </w:rPr>
              <w:t>October 1, 1996</w:t>
            </w:r>
          </w:p>
        </w:tc>
      </w:tr>
      <w:tr>
        <w:trPr>
          <w:trHeight w:val="869" w:hRule="exact"/>
        </w:trPr>
        <w:tc>
          <w:tcPr>
            <w:tcW w:w="2215" w:type="dxa"/>
            <w:tcBorders>
              <w:left w:val="nil"/>
              <w:bottom w:val="nil"/>
            </w:tcBorders>
          </w:tcPr>
          <w:p>
            <w:pPr>
              <w:pStyle w:val="TableParagraph"/>
              <w:spacing w:line="272" w:lineRule="exact"/>
              <w:ind w:left="107"/>
              <w:rPr>
                <w:sz w:val="24"/>
              </w:rPr>
            </w:pPr>
            <w:r>
              <w:rPr>
                <w:strike/>
                <w:color w:val="2E97D3"/>
                <w:sz w:val="24"/>
              </w:rPr>
              <w:t>PREPARED BY:</w:t>
            </w:r>
          </w:p>
        </w:tc>
        <w:tc>
          <w:tcPr>
            <w:tcW w:w="2573" w:type="dxa"/>
            <w:tcBorders>
              <w:bottom w:val="nil"/>
            </w:tcBorders>
          </w:tcPr>
          <w:p>
            <w:pPr>
              <w:pStyle w:val="TableParagraph"/>
              <w:spacing w:line="272" w:lineRule="exact"/>
              <w:ind w:left="103"/>
              <w:rPr>
                <w:sz w:val="24"/>
              </w:rPr>
            </w:pPr>
            <w:r>
              <w:rPr>
                <w:strike/>
                <w:color w:val="2E97D3"/>
                <w:sz w:val="24"/>
              </w:rPr>
              <w:t>RGE/CLK</w:t>
            </w:r>
          </w:p>
        </w:tc>
        <w:tc>
          <w:tcPr>
            <w:tcW w:w="2611" w:type="dxa"/>
            <w:tcBorders>
              <w:bottom w:val="nil"/>
            </w:tcBorders>
          </w:tcPr>
          <w:p>
            <w:pPr/>
          </w:p>
        </w:tc>
        <w:tc>
          <w:tcPr>
            <w:tcW w:w="2160" w:type="dxa"/>
            <w:tcBorders>
              <w:bottom w:val="nil"/>
              <w:right w:val="nil"/>
            </w:tcBorders>
          </w:tcPr>
          <w:p>
            <w:pPr/>
          </w:p>
        </w:tc>
      </w:tr>
    </w:tbl>
    <w:p>
      <w:pPr>
        <w:pStyle w:val="BodyText"/>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1"/>
        <w:gridCol w:w="1994"/>
      </w:tblGrid>
      <w:tr>
        <w:trPr>
          <w:trHeight w:val="281" w:hRule="exact"/>
        </w:trPr>
        <w:tc>
          <w:tcPr>
            <w:tcW w:w="4421" w:type="dxa"/>
            <w:tcBorders>
              <w:top w:val="nil"/>
              <w:left w:val="nil"/>
            </w:tcBorders>
          </w:tcPr>
          <w:p>
            <w:pPr>
              <w:pStyle w:val="TableParagraph"/>
              <w:spacing w:line="272" w:lineRule="exact"/>
              <w:ind w:left="107"/>
              <w:rPr>
                <w:sz w:val="24"/>
              </w:rPr>
            </w:pPr>
            <w:r>
              <w:rPr>
                <w:strike/>
                <w:color w:val="2E97D3"/>
                <w:sz w:val="24"/>
              </w:rPr>
              <w:t>CONSTRUCTION DURATION</w:t>
            </w:r>
          </w:p>
        </w:tc>
        <w:tc>
          <w:tcPr>
            <w:tcW w:w="1994" w:type="dxa"/>
            <w:tcBorders>
              <w:top w:val="nil"/>
              <w:right w:val="nil"/>
            </w:tcBorders>
          </w:tcPr>
          <w:p>
            <w:pPr>
              <w:pStyle w:val="TableParagraph"/>
              <w:spacing w:line="272" w:lineRule="exact"/>
              <w:ind w:left="103"/>
              <w:rPr>
                <w:sz w:val="24"/>
              </w:rPr>
            </w:pPr>
            <w:r>
              <w:rPr>
                <w:strike/>
                <w:color w:val="2E97D3"/>
                <w:sz w:val="24"/>
              </w:rPr>
              <w:t>16 MONTHS</w:t>
            </w:r>
          </w:p>
        </w:tc>
      </w:tr>
      <w:tr>
        <w:trPr>
          <w:trHeight w:val="288" w:hRule="exact"/>
        </w:trPr>
        <w:tc>
          <w:tcPr>
            <w:tcW w:w="4421" w:type="dxa"/>
            <w:tcBorders>
              <w:left w:val="nil"/>
            </w:tcBorders>
          </w:tcPr>
          <w:p>
            <w:pPr>
              <w:pStyle w:val="TableParagraph"/>
              <w:spacing w:line="274" w:lineRule="exact"/>
              <w:ind w:left="107"/>
              <w:rPr>
                <w:sz w:val="24"/>
              </w:rPr>
            </w:pPr>
            <w:r>
              <w:rPr>
                <w:strike/>
                <w:color w:val="2E97D3"/>
                <w:sz w:val="24"/>
              </w:rPr>
              <w:t>ESTIMATED CONTRACT COST</w:t>
            </w:r>
          </w:p>
        </w:tc>
        <w:tc>
          <w:tcPr>
            <w:tcW w:w="1994" w:type="dxa"/>
            <w:tcBorders>
              <w:right w:val="nil"/>
            </w:tcBorders>
          </w:tcPr>
          <w:p>
            <w:pPr>
              <w:pStyle w:val="TableParagraph"/>
              <w:spacing w:line="274" w:lineRule="exact"/>
              <w:ind w:left="103"/>
              <w:rPr>
                <w:sz w:val="24"/>
              </w:rPr>
            </w:pPr>
            <w:r>
              <w:rPr>
                <w:strike/>
                <w:color w:val="2E97D3"/>
                <w:sz w:val="24"/>
              </w:rPr>
              <w:t>$6,443,000</w:t>
            </w:r>
          </w:p>
        </w:tc>
      </w:tr>
      <w:tr>
        <w:trPr>
          <w:trHeight w:val="286" w:hRule="exact"/>
        </w:trPr>
        <w:tc>
          <w:tcPr>
            <w:tcW w:w="4421" w:type="dxa"/>
            <w:tcBorders>
              <w:left w:val="nil"/>
            </w:tcBorders>
          </w:tcPr>
          <w:p>
            <w:pPr>
              <w:pStyle w:val="TableParagraph"/>
              <w:spacing w:line="272" w:lineRule="exact"/>
              <w:ind w:left="107"/>
              <w:rPr>
                <w:sz w:val="24"/>
              </w:rPr>
            </w:pPr>
            <w:r>
              <w:rPr>
                <w:strike/>
                <w:color w:val="2E97D3"/>
                <w:sz w:val="24"/>
              </w:rPr>
              <w:t>CONSTRUCTION CONTINGENCY</w:t>
            </w:r>
          </w:p>
        </w:tc>
        <w:tc>
          <w:tcPr>
            <w:tcW w:w="1994" w:type="dxa"/>
            <w:tcBorders>
              <w:right w:val="nil"/>
            </w:tcBorders>
          </w:tcPr>
          <w:p>
            <w:pPr>
              <w:pStyle w:val="TableParagraph"/>
              <w:spacing w:line="272" w:lineRule="exact"/>
              <w:ind w:left="103"/>
              <w:rPr>
                <w:sz w:val="24"/>
              </w:rPr>
            </w:pPr>
            <w:r>
              <w:rPr>
                <w:strike/>
                <w:color w:val="2E97D3"/>
                <w:sz w:val="24"/>
              </w:rPr>
              <w:t>$451,000</w:t>
            </w:r>
          </w:p>
        </w:tc>
      </w:tr>
      <w:tr>
        <w:trPr>
          <w:trHeight w:val="281" w:hRule="exact"/>
        </w:trPr>
        <w:tc>
          <w:tcPr>
            <w:tcW w:w="4421" w:type="dxa"/>
            <w:tcBorders>
              <w:left w:val="nil"/>
              <w:bottom w:val="nil"/>
            </w:tcBorders>
          </w:tcPr>
          <w:p>
            <w:pPr>
              <w:pStyle w:val="TableParagraph"/>
              <w:spacing w:line="272" w:lineRule="exact"/>
              <w:ind w:left="107"/>
              <w:rPr>
                <w:sz w:val="24"/>
              </w:rPr>
            </w:pPr>
            <w:r>
              <w:rPr>
                <w:strike/>
                <w:color w:val="2E97D3"/>
                <w:sz w:val="24"/>
              </w:rPr>
              <w:t>TOTAL</w:t>
            </w:r>
          </w:p>
        </w:tc>
        <w:tc>
          <w:tcPr>
            <w:tcW w:w="1994" w:type="dxa"/>
            <w:tcBorders>
              <w:bottom w:val="nil"/>
              <w:right w:val="nil"/>
            </w:tcBorders>
          </w:tcPr>
          <w:p>
            <w:pPr>
              <w:pStyle w:val="TableParagraph"/>
              <w:spacing w:line="272" w:lineRule="exact"/>
              <w:ind w:left="103"/>
              <w:rPr>
                <w:sz w:val="24"/>
              </w:rPr>
            </w:pPr>
            <w:r>
              <w:rPr>
                <w:strike/>
                <w:color w:val="2E97D3"/>
                <w:sz w:val="24"/>
              </w:rPr>
              <w:t>$6,894,000</w:t>
            </w:r>
          </w:p>
        </w:tc>
      </w:tr>
    </w:tbl>
    <w:p>
      <w:pPr>
        <w:pStyle w:val="BodyText"/>
        <w:rPr>
          <w:sz w:val="20"/>
        </w:rPr>
      </w:pPr>
    </w:p>
    <w:p>
      <w:pPr>
        <w:pStyle w:val="BodyText"/>
        <w:rPr>
          <w:sz w:val="20"/>
        </w:rPr>
      </w:pPr>
    </w:p>
    <w:p>
      <w:pPr>
        <w:pStyle w:val="BodyText"/>
        <w:spacing w:before="3"/>
        <w:rPr>
          <w:sz w:val="15"/>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0"/>
        <w:gridCol w:w="1030"/>
        <w:gridCol w:w="1870"/>
        <w:gridCol w:w="1550"/>
        <w:gridCol w:w="2150"/>
        <w:gridCol w:w="1217"/>
      </w:tblGrid>
      <w:tr>
        <w:trPr>
          <w:trHeight w:val="838" w:hRule="exact"/>
        </w:trPr>
        <w:tc>
          <w:tcPr>
            <w:tcW w:w="2270" w:type="dxa"/>
            <w:shd w:val="clear" w:color="auto" w:fill="DADADA"/>
          </w:tcPr>
          <w:p>
            <w:pPr>
              <w:pStyle w:val="TableParagraph"/>
              <w:spacing w:line="272" w:lineRule="exact"/>
              <w:ind w:left="448"/>
              <w:rPr>
                <w:b/>
                <w:sz w:val="24"/>
              </w:rPr>
            </w:pPr>
            <w:r>
              <w:rPr>
                <w:b/>
                <w:strike/>
                <w:color w:val="2E97D3"/>
                <w:sz w:val="24"/>
              </w:rPr>
              <w:t>CATEGORY</w:t>
            </w:r>
          </w:p>
        </w:tc>
        <w:tc>
          <w:tcPr>
            <w:tcW w:w="1030" w:type="dxa"/>
            <w:shd w:val="clear" w:color="auto" w:fill="DADADA"/>
          </w:tcPr>
          <w:p>
            <w:pPr>
              <w:pStyle w:val="TableParagraph"/>
              <w:ind w:left="376" w:right="84" w:hanging="274"/>
              <w:rPr>
                <w:b/>
                <w:sz w:val="24"/>
              </w:rPr>
            </w:pPr>
            <w:r>
              <w:rPr>
                <w:b/>
                <w:strike/>
                <w:color w:val="2E97D3"/>
                <w:sz w:val="24"/>
              </w:rPr>
              <w:t>STUDY 00</w:t>
            </w:r>
          </w:p>
        </w:tc>
        <w:tc>
          <w:tcPr>
            <w:tcW w:w="1870" w:type="dxa"/>
            <w:shd w:val="clear" w:color="auto" w:fill="DADADA"/>
          </w:tcPr>
          <w:p>
            <w:pPr>
              <w:pStyle w:val="TableParagraph"/>
              <w:ind w:left="103" w:right="101"/>
              <w:jc w:val="center"/>
              <w:rPr>
                <w:b/>
                <w:sz w:val="24"/>
              </w:rPr>
            </w:pPr>
            <w:r>
              <w:rPr>
                <w:b/>
                <w:strike/>
                <w:color w:val="2E97D3"/>
                <w:sz w:val="24"/>
              </w:rPr>
              <w:t>PRELIMINARY PLANS</w:t>
            </w:r>
          </w:p>
          <w:p>
            <w:pPr>
              <w:pStyle w:val="TableParagraph"/>
              <w:spacing w:before="4"/>
              <w:ind w:left="103" w:right="101"/>
              <w:jc w:val="center"/>
              <w:rPr>
                <w:b/>
                <w:sz w:val="24"/>
              </w:rPr>
            </w:pPr>
            <w:r>
              <w:rPr>
                <w:b/>
                <w:strike/>
                <w:color w:val="2E97D3"/>
                <w:sz w:val="24"/>
              </w:rPr>
              <w:t>01</w:t>
            </w:r>
          </w:p>
        </w:tc>
        <w:tc>
          <w:tcPr>
            <w:tcW w:w="1550" w:type="dxa"/>
            <w:shd w:val="clear" w:color="auto" w:fill="DADADA"/>
          </w:tcPr>
          <w:p>
            <w:pPr>
              <w:pStyle w:val="TableParagraph"/>
              <w:ind w:left="103" w:right="104" w:hanging="1"/>
              <w:jc w:val="center"/>
              <w:rPr>
                <w:b/>
                <w:sz w:val="24"/>
              </w:rPr>
            </w:pPr>
            <w:r>
              <w:rPr>
                <w:b/>
                <w:strike/>
                <w:color w:val="2E97D3"/>
                <w:sz w:val="24"/>
              </w:rPr>
              <w:t>WORKING DRAWINGS 02</w:t>
            </w:r>
          </w:p>
        </w:tc>
        <w:tc>
          <w:tcPr>
            <w:tcW w:w="2150" w:type="dxa"/>
            <w:shd w:val="clear" w:color="auto" w:fill="DADADA"/>
          </w:tcPr>
          <w:p>
            <w:pPr>
              <w:pStyle w:val="TableParagraph"/>
              <w:ind w:left="935" w:right="85" w:hanging="833"/>
              <w:rPr>
                <w:b/>
                <w:sz w:val="24"/>
              </w:rPr>
            </w:pPr>
            <w:r>
              <w:rPr>
                <w:b/>
                <w:strike/>
                <w:color w:val="2E97D3"/>
                <w:sz w:val="24"/>
              </w:rPr>
              <w:t>CONSTRUCTION 03</w:t>
            </w:r>
          </w:p>
        </w:tc>
        <w:tc>
          <w:tcPr>
            <w:tcW w:w="1217" w:type="dxa"/>
            <w:shd w:val="clear" w:color="auto" w:fill="DADADA"/>
          </w:tcPr>
          <w:p>
            <w:pPr>
              <w:pStyle w:val="TableParagraph"/>
              <w:spacing w:line="272" w:lineRule="exact"/>
              <w:ind w:left="203"/>
              <w:rPr>
                <w:b/>
                <w:sz w:val="24"/>
              </w:rPr>
            </w:pPr>
            <w:r>
              <w:rPr>
                <w:b/>
                <w:strike/>
                <w:color w:val="2E97D3"/>
                <w:sz w:val="24"/>
              </w:rPr>
              <w:t>TOTAL</w:t>
            </w:r>
          </w:p>
        </w:tc>
      </w:tr>
      <w:tr>
        <w:trPr>
          <w:trHeight w:val="838" w:hRule="exact"/>
        </w:trPr>
        <w:tc>
          <w:tcPr>
            <w:tcW w:w="2270" w:type="dxa"/>
          </w:tcPr>
          <w:p>
            <w:pPr>
              <w:pStyle w:val="TableParagraph"/>
              <w:ind w:left="103"/>
              <w:rPr>
                <w:b/>
                <w:sz w:val="24"/>
              </w:rPr>
            </w:pPr>
            <w:r>
              <w:rPr>
                <w:b/>
                <w:strike/>
                <w:color w:val="2E97D3"/>
                <w:sz w:val="24"/>
              </w:rPr>
              <w:t>ARCHITECTURAL &amp; ENGINEERING SERVICES</w:t>
            </w:r>
          </w:p>
        </w:tc>
        <w:tc>
          <w:tcPr>
            <w:tcW w:w="1030" w:type="dxa"/>
          </w:tcPr>
          <w:p>
            <w:pPr/>
          </w:p>
        </w:tc>
        <w:tc>
          <w:tcPr>
            <w:tcW w:w="1870" w:type="dxa"/>
          </w:tcPr>
          <w:p>
            <w:pPr/>
          </w:p>
        </w:tc>
        <w:tc>
          <w:tcPr>
            <w:tcW w:w="1550" w:type="dxa"/>
          </w:tcPr>
          <w:p>
            <w:pPr/>
          </w:p>
        </w:tc>
        <w:tc>
          <w:tcPr>
            <w:tcW w:w="2150" w:type="dxa"/>
          </w:tcPr>
          <w:p>
            <w:pPr/>
          </w:p>
        </w:tc>
        <w:tc>
          <w:tcPr>
            <w:tcW w:w="1217" w:type="dxa"/>
          </w:tcPr>
          <w:p>
            <w:pPr/>
          </w:p>
        </w:tc>
      </w:tr>
      <w:tr>
        <w:trPr>
          <w:trHeight w:val="286" w:hRule="exact"/>
        </w:trPr>
        <w:tc>
          <w:tcPr>
            <w:tcW w:w="2270" w:type="dxa"/>
          </w:tcPr>
          <w:p>
            <w:pPr>
              <w:pStyle w:val="TableParagraph"/>
              <w:spacing w:line="272" w:lineRule="exact"/>
              <w:ind w:left="103"/>
              <w:rPr>
                <w:b/>
                <w:sz w:val="24"/>
              </w:rPr>
            </w:pPr>
            <w:r>
              <w:rPr>
                <w:b/>
                <w:strike/>
                <w:color w:val="2E97D3"/>
                <w:sz w:val="24"/>
              </w:rPr>
              <w:t>A&amp;E Design</w:t>
            </w:r>
          </w:p>
        </w:tc>
        <w:tc>
          <w:tcPr>
            <w:tcW w:w="1030" w:type="dxa"/>
          </w:tcPr>
          <w:p>
            <w:pPr>
              <w:pStyle w:val="TableParagraph"/>
              <w:spacing w:line="272" w:lineRule="exact"/>
              <w:ind w:left="357" w:right="355"/>
              <w:jc w:val="center"/>
              <w:rPr>
                <w:sz w:val="24"/>
              </w:rPr>
            </w:pPr>
            <w:r>
              <w:rPr>
                <w:strike/>
                <w:color w:val="2E97D3"/>
                <w:sz w:val="24"/>
              </w:rPr>
              <w:t>$0</w:t>
            </w:r>
          </w:p>
        </w:tc>
        <w:tc>
          <w:tcPr>
            <w:tcW w:w="1870" w:type="dxa"/>
          </w:tcPr>
          <w:p>
            <w:pPr>
              <w:pStyle w:val="TableParagraph"/>
              <w:spacing w:line="272" w:lineRule="exact"/>
              <w:ind w:left="101" w:right="101"/>
              <w:jc w:val="center"/>
              <w:rPr>
                <w:sz w:val="24"/>
              </w:rPr>
            </w:pPr>
            <w:r>
              <w:rPr>
                <w:strike/>
                <w:color w:val="2E97D3"/>
                <w:sz w:val="24"/>
              </w:rPr>
              <w:t>$25,000</w:t>
            </w:r>
          </w:p>
        </w:tc>
        <w:tc>
          <w:tcPr>
            <w:tcW w:w="1550" w:type="dxa"/>
          </w:tcPr>
          <w:p>
            <w:pPr>
              <w:pStyle w:val="TableParagraph"/>
              <w:spacing w:line="272" w:lineRule="exact"/>
              <w:ind w:left="249" w:right="249"/>
              <w:jc w:val="center"/>
              <w:rPr>
                <w:sz w:val="24"/>
              </w:rPr>
            </w:pPr>
            <w:r>
              <w:rPr>
                <w:strike/>
                <w:color w:val="2E97D3"/>
                <w:sz w:val="24"/>
              </w:rPr>
              <w:t>$377,000</w:t>
            </w:r>
          </w:p>
        </w:tc>
        <w:tc>
          <w:tcPr>
            <w:tcW w:w="2150" w:type="dxa"/>
          </w:tcPr>
          <w:p>
            <w:pPr>
              <w:pStyle w:val="TableParagraph"/>
              <w:spacing w:line="272" w:lineRule="exact"/>
              <w:ind w:left="549" w:right="549"/>
              <w:jc w:val="center"/>
              <w:rPr>
                <w:sz w:val="24"/>
              </w:rPr>
            </w:pPr>
            <w:r>
              <w:rPr>
                <w:strike/>
                <w:color w:val="2E97D3"/>
                <w:sz w:val="24"/>
              </w:rPr>
              <w:t>$145,000</w:t>
            </w:r>
          </w:p>
        </w:tc>
        <w:tc>
          <w:tcPr>
            <w:tcW w:w="1217" w:type="dxa"/>
          </w:tcPr>
          <w:p>
            <w:pPr>
              <w:pStyle w:val="TableParagraph"/>
              <w:spacing w:line="272" w:lineRule="exact"/>
              <w:ind w:right="99"/>
              <w:jc w:val="right"/>
              <w:rPr>
                <w:sz w:val="24"/>
              </w:rPr>
            </w:pPr>
            <w:r>
              <w:rPr>
                <w:strike/>
                <w:color w:val="2E97D3"/>
                <w:sz w:val="24"/>
              </w:rPr>
              <w:t>$547,000</w:t>
            </w:r>
          </w:p>
        </w:tc>
      </w:tr>
      <w:tr>
        <w:trPr>
          <w:trHeight w:val="840" w:hRule="exact"/>
        </w:trPr>
        <w:tc>
          <w:tcPr>
            <w:tcW w:w="2270" w:type="dxa"/>
          </w:tcPr>
          <w:p>
            <w:pPr>
              <w:pStyle w:val="TableParagraph"/>
              <w:ind w:left="103" w:right="644"/>
              <w:rPr>
                <w:b/>
                <w:sz w:val="24"/>
              </w:rPr>
            </w:pPr>
            <w:r>
              <w:rPr>
                <w:b/>
                <w:strike/>
                <w:color w:val="2E97D3"/>
                <w:sz w:val="24"/>
              </w:rPr>
              <w:t>Construction Inspection</w:t>
            </w:r>
          </w:p>
          <w:p>
            <w:pPr>
              <w:pStyle w:val="TableParagraph"/>
              <w:spacing w:before="2"/>
              <w:ind w:left="103"/>
              <w:rPr>
                <w:b/>
                <w:sz w:val="24"/>
              </w:rPr>
            </w:pPr>
            <w:r>
              <w:rPr>
                <w:b/>
                <w:strike/>
                <w:color w:val="2E97D3"/>
                <w:sz w:val="24"/>
              </w:rPr>
              <w:t>(incl. pt. constr.)</w:t>
            </w:r>
          </w:p>
        </w:tc>
        <w:tc>
          <w:tcPr>
            <w:tcW w:w="1030" w:type="dxa"/>
          </w:tcPr>
          <w:p>
            <w:pPr>
              <w:pStyle w:val="TableParagraph"/>
              <w:spacing w:before="9"/>
              <w:rPr>
                <w:sz w:val="23"/>
              </w:rPr>
            </w:pPr>
          </w:p>
          <w:p>
            <w:pPr>
              <w:pStyle w:val="TableParagraph"/>
              <w:ind w:left="357" w:right="355"/>
              <w:jc w:val="center"/>
              <w:rPr>
                <w:sz w:val="24"/>
              </w:rPr>
            </w:pPr>
            <w:r>
              <w:rPr>
                <w:strike/>
                <w:color w:val="2E97D3"/>
                <w:sz w:val="24"/>
              </w:rPr>
              <w:t>$0</w:t>
            </w:r>
          </w:p>
        </w:tc>
        <w:tc>
          <w:tcPr>
            <w:tcW w:w="1870" w:type="dxa"/>
          </w:tcPr>
          <w:p>
            <w:pPr>
              <w:pStyle w:val="TableParagraph"/>
              <w:spacing w:before="9"/>
              <w:rPr>
                <w:sz w:val="23"/>
              </w:rPr>
            </w:pPr>
          </w:p>
          <w:p>
            <w:pPr>
              <w:pStyle w:val="TableParagraph"/>
              <w:ind w:left="103" w:right="101"/>
              <w:jc w:val="center"/>
              <w:rPr>
                <w:sz w:val="24"/>
              </w:rPr>
            </w:pPr>
            <w:r>
              <w:rPr>
                <w:strike/>
                <w:color w:val="2E97D3"/>
                <w:sz w:val="24"/>
              </w:rPr>
              <w:t>$0</w:t>
            </w:r>
          </w:p>
        </w:tc>
        <w:tc>
          <w:tcPr>
            <w:tcW w:w="1550" w:type="dxa"/>
          </w:tcPr>
          <w:p>
            <w:pPr>
              <w:pStyle w:val="TableParagraph"/>
              <w:spacing w:before="9"/>
              <w:rPr>
                <w:sz w:val="23"/>
              </w:rPr>
            </w:pPr>
          </w:p>
          <w:p>
            <w:pPr>
              <w:pStyle w:val="TableParagraph"/>
              <w:ind w:left="249" w:right="249"/>
              <w:jc w:val="center"/>
              <w:rPr>
                <w:sz w:val="24"/>
              </w:rPr>
            </w:pPr>
            <w:r>
              <w:rPr>
                <w:strike/>
                <w:color w:val="2E97D3"/>
                <w:sz w:val="24"/>
              </w:rPr>
              <w:t>$0</w:t>
            </w:r>
          </w:p>
        </w:tc>
        <w:tc>
          <w:tcPr>
            <w:tcW w:w="2150" w:type="dxa"/>
          </w:tcPr>
          <w:p>
            <w:pPr>
              <w:pStyle w:val="TableParagraph"/>
              <w:spacing w:before="9"/>
              <w:rPr>
                <w:sz w:val="23"/>
              </w:rPr>
            </w:pPr>
          </w:p>
          <w:p>
            <w:pPr>
              <w:pStyle w:val="TableParagraph"/>
              <w:ind w:left="549" w:right="549"/>
              <w:jc w:val="center"/>
              <w:rPr>
                <w:sz w:val="24"/>
              </w:rPr>
            </w:pPr>
            <w:r>
              <w:rPr>
                <w:strike/>
                <w:color w:val="2E97D3"/>
                <w:sz w:val="24"/>
              </w:rPr>
              <w:t>$227,000</w:t>
            </w:r>
          </w:p>
        </w:tc>
        <w:tc>
          <w:tcPr>
            <w:tcW w:w="1217" w:type="dxa"/>
          </w:tcPr>
          <w:p>
            <w:pPr>
              <w:pStyle w:val="TableParagraph"/>
              <w:spacing w:before="9"/>
              <w:rPr>
                <w:sz w:val="23"/>
              </w:rPr>
            </w:pPr>
          </w:p>
          <w:p>
            <w:pPr>
              <w:pStyle w:val="TableParagraph"/>
              <w:ind w:right="99"/>
              <w:jc w:val="right"/>
              <w:rPr>
                <w:sz w:val="24"/>
              </w:rPr>
            </w:pPr>
            <w:r>
              <w:rPr>
                <w:strike/>
                <w:color w:val="2E97D3"/>
                <w:sz w:val="24"/>
              </w:rPr>
              <w:t>$227,000</w:t>
            </w:r>
          </w:p>
        </w:tc>
      </w:tr>
      <w:tr>
        <w:trPr>
          <w:trHeight w:val="562" w:hRule="exact"/>
        </w:trPr>
        <w:tc>
          <w:tcPr>
            <w:tcW w:w="2270" w:type="dxa"/>
          </w:tcPr>
          <w:p>
            <w:pPr>
              <w:pStyle w:val="TableParagraph"/>
              <w:ind w:left="103" w:right="377"/>
              <w:rPr>
                <w:b/>
                <w:sz w:val="24"/>
              </w:rPr>
            </w:pPr>
            <w:r>
              <w:rPr>
                <w:b/>
                <w:strike/>
                <w:color w:val="2E97D3"/>
                <w:sz w:val="24"/>
              </w:rPr>
              <w:t>Coordination &amp; Contract Mgmt.</w:t>
            </w:r>
          </w:p>
        </w:tc>
        <w:tc>
          <w:tcPr>
            <w:tcW w:w="1030" w:type="dxa"/>
          </w:tcPr>
          <w:p>
            <w:pPr>
              <w:pStyle w:val="TableParagraph"/>
              <w:spacing w:before="132"/>
              <w:ind w:left="357" w:right="355"/>
              <w:jc w:val="center"/>
              <w:rPr>
                <w:sz w:val="24"/>
              </w:rPr>
            </w:pPr>
            <w:r>
              <w:rPr>
                <w:strike/>
                <w:color w:val="2E97D3"/>
                <w:sz w:val="24"/>
              </w:rPr>
              <w:t>$0</w:t>
            </w:r>
          </w:p>
        </w:tc>
        <w:tc>
          <w:tcPr>
            <w:tcW w:w="1870" w:type="dxa"/>
          </w:tcPr>
          <w:p>
            <w:pPr>
              <w:pStyle w:val="TableParagraph"/>
              <w:spacing w:before="132"/>
              <w:ind w:left="101" w:right="101"/>
              <w:jc w:val="center"/>
              <w:rPr>
                <w:sz w:val="24"/>
              </w:rPr>
            </w:pPr>
            <w:r>
              <w:rPr>
                <w:strike/>
                <w:color w:val="2E97D3"/>
                <w:sz w:val="24"/>
              </w:rPr>
              <w:t>$7,000</w:t>
            </w:r>
          </w:p>
        </w:tc>
        <w:tc>
          <w:tcPr>
            <w:tcW w:w="1550" w:type="dxa"/>
          </w:tcPr>
          <w:p>
            <w:pPr>
              <w:pStyle w:val="TableParagraph"/>
              <w:spacing w:before="132"/>
              <w:ind w:left="249" w:right="249"/>
              <w:jc w:val="center"/>
              <w:rPr>
                <w:sz w:val="24"/>
              </w:rPr>
            </w:pPr>
            <w:r>
              <w:rPr>
                <w:strike/>
                <w:color w:val="2E97D3"/>
                <w:sz w:val="24"/>
              </w:rPr>
              <w:t>$0</w:t>
            </w:r>
          </w:p>
        </w:tc>
        <w:tc>
          <w:tcPr>
            <w:tcW w:w="2150" w:type="dxa"/>
          </w:tcPr>
          <w:p>
            <w:pPr>
              <w:pStyle w:val="TableParagraph"/>
              <w:spacing w:before="132"/>
              <w:ind w:left="549" w:right="549"/>
              <w:jc w:val="center"/>
              <w:rPr>
                <w:sz w:val="24"/>
              </w:rPr>
            </w:pPr>
            <w:r>
              <w:rPr>
                <w:strike/>
                <w:color w:val="2E97D3"/>
                <w:sz w:val="24"/>
              </w:rPr>
              <w:t>$0</w:t>
            </w:r>
          </w:p>
        </w:tc>
        <w:tc>
          <w:tcPr>
            <w:tcW w:w="1217" w:type="dxa"/>
          </w:tcPr>
          <w:p>
            <w:pPr>
              <w:pStyle w:val="TableParagraph"/>
              <w:spacing w:before="132"/>
              <w:ind w:left="237"/>
              <w:rPr>
                <w:sz w:val="24"/>
              </w:rPr>
            </w:pPr>
            <w:r>
              <w:rPr>
                <w:strike/>
                <w:color w:val="2E97D3"/>
                <w:sz w:val="24"/>
              </w:rPr>
              <w:t>$7,000</w:t>
            </w:r>
          </w:p>
        </w:tc>
      </w:tr>
      <w:tr>
        <w:trPr>
          <w:trHeight w:val="562" w:hRule="exact"/>
        </w:trPr>
        <w:tc>
          <w:tcPr>
            <w:tcW w:w="2270" w:type="dxa"/>
          </w:tcPr>
          <w:p>
            <w:pPr>
              <w:pStyle w:val="TableParagraph"/>
              <w:ind w:left="103" w:right="97"/>
              <w:rPr>
                <w:b/>
                <w:sz w:val="24"/>
              </w:rPr>
            </w:pPr>
            <w:r>
              <w:rPr>
                <w:b/>
                <w:strike/>
                <w:color w:val="2E97D3"/>
                <w:sz w:val="24"/>
              </w:rPr>
              <w:t>Advertising, Printing &amp; Mailing</w:t>
            </w:r>
          </w:p>
        </w:tc>
        <w:tc>
          <w:tcPr>
            <w:tcW w:w="1030" w:type="dxa"/>
          </w:tcPr>
          <w:p>
            <w:pPr>
              <w:pStyle w:val="TableParagraph"/>
              <w:spacing w:before="132"/>
              <w:ind w:left="357" w:right="355"/>
              <w:jc w:val="center"/>
              <w:rPr>
                <w:sz w:val="24"/>
              </w:rPr>
            </w:pPr>
            <w:r>
              <w:rPr>
                <w:strike/>
                <w:color w:val="2E97D3"/>
                <w:sz w:val="24"/>
              </w:rPr>
              <w:t>$0</w:t>
            </w:r>
          </w:p>
        </w:tc>
        <w:tc>
          <w:tcPr>
            <w:tcW w:w="1870" w:type="dxa"/>
          </w:tcPr>
          <w:p>
            <w:pPr>
              <w:pStyle w:val="TableParagraph"/>
              <w:spacing w:before="132"/>
              <w:ind w:left="103" w:right="101"/>
              <w:jc w:val="center"/>
              <w:rPr>
                <w:sz w:val="24"/>
              </w:rPr>
            </w:pPr>
            <w:r>
              <w:rPr>
                <w:strike/>
                <w:color w:val="2E97D3"/>
                <w:sz w:val="24"/>
              </w:rPr>
              <w:t>$0</w:t>
            </w:r>
          </w:p>
        </w:tc>
        <w:tc>
          <w:tcPr>
            <w:tcW w:w="1550" w:type="dxa"/>
          </w:tcPr>
          <w:p>
            <w:pPr>
              <w:pStyle w:val="TableParagraph"/>
              <w:spacing w:before="132"/>
              <w:ind w:left="249" w:right="247"/>
              <w:jc w:val="center"/>
              <w:rPr>
                <w:sz w:val="24"/>
              </w:rPr>
            </w:pPr>
            <w:r>
              <w:rPr>
                <w:strike/>
                <w:color w:val="2E97D3"/>
                <w:sz w:val="24"/>
              </w:rPr>
              <w:t>$22,000</w:t>
            </w:r>
          </w:p>
        </w:tc>
        <w:tc>
          <w:tcPr>
            <w:tcW w:w="2150" w:type="dxa"/>
          </w:tcPr>
          <w:p>
            <w:pPr>
              <w:pStyle w:val="TableParagraph"/>
              <w:spacing w:before="132"/>
              <w:ind w:left="549" w:right="549"/>
              <w:jc w:val="center"/>
              <w:rPr>
                <w:sz w:val="24"/>
              </w:rPr>
            </w:pPr>
            <w:r>
              <w:rPr>
                <w:strike/>
                <w:color w:val="2E97D3"/>
                <w:sz w:val="24"/>
              </w:rPr>
              <w:t>$0</w:t>
            </w:r>
          </w:p>
        </w:tc>
        <w:tc>
          <w:tcPr>
            <w:tcW w:w="1217" w:type="dxa"/>
          </w:tcPr>
          <w:p>
            <w:pPr>
              <w:pStyle w:val="TableParagraph"/>
              <w:spacing w:before="132"/>
              <w:ind w:right="163"/>
              <w:jc w:val="right"/>
              <w:rPr>
                <w:sz w:val="24"/>
              </w:rPr>
            </w:pPr>
            <w:r>
              <w:rPr>
                <w:strike/>
                <w:color w:val="2E97D3"/>
                <w:sz w:val="24"/>
              </w:rPr>
              <w:t>$22,000</w:t>
            </w:r>
          </w:p>
        </w:tc>
      </w:tr>
      <w:tr>
        <w:trPr>
          <w:trHeight w:val="286" w:hRule="exact"/>
        </w:trPr>
        <w:tc>
          <w:tcPr>
            <w:tcW w:w="2270" w:type="dxa"/>
          </w:tcPr>
          <w:p>
            <w:pPr>
              <w:pStyle w:val="TableParagraph"/>
              <w:spacing w:line="272" w:lineRule="exact"/>
              <w:ind w:left="103"/>
              <w:rPr>
                <w:b/>
                <w:sz w:val="24"/>
              </w:rPr>
            </w:pPr>
            <w:r>
              <w:rPr>
                <w:b/>
                <w:strike/>
                <w:color w:val="2E97D3"/>
                <w:sz w:val="24"/>
              </w:rPr>
              <w:t>Plan Revisions</w:t>
            </w:r>
          </w:p>
        </w:tc>
        <w:tc>
          <w:tcPr>
            <w:tcW w:w="1030" w:type="dxa"/>
          </w:tcPr>
          <w:p>
            <w:pPr>
              <w:pStyle w:val="TableParagraph"/>
              <w:spacing w:line="272" w:lineRule="exact"/>
              <w:ind w:left="357" w:right="355"/>
              <w:jc w:val="center"/>
              <w:rPr>
                <w:sz w:val="24"/>
              </w:rPr>
            </w:pPr>
            <w:r>
              <w:rPr>
                <w:strike/>
                <w:color w:val="2E97D3"/>
                <w:sz w:val="24"/>
              </w:rPr>
              <w:t>$0</w:t>
            </w:r>
          </w:p>
        </w:tc>
        <w:tc>
          <w:tcPr>
            <w:tcW w:w="1870" w:type="dxa"/>
          </w:tcPr>
          <w:p>
            <w:pPr>
              <w:pStyle w:val="TableParagraph"/>
              <w:spacing w:line="272" w:lineRule="exact"/>
              <w:ind w:left="101" w:right="101"/>
              <w:jc w:val="center"/>
              <w:rPr>
                <w:sz w:val="24"/>
              </w:rPr>
            </w:pPr>
            <w:r>
              <w:rPr>
                <w:strike/>
                <w:color w:val="2E97D3"/>
                <w:sz w:val="24"/>
              </w:rPr>
              <w:t>$70,000</w:t>
            </w:r>
          </w:p>
        </w:tc>
        <w:tc>
          <w:tcPr>
            <w:tcW w:w="1550" w:type="dxa"/>
          </w:tcPr>
          <w:p>
            <w:pPr>
              <w:pStyle w:val="TableParagraph"/>
              <w:spacing w:line="272" w:lineRule="exact"/>
              <w:ind w:left="249" w:right="249"/>
              <w:jc w:val="center"/>
              <w:rPr>
                <w:sz w:val="24"/>
              </w:rPr>
            </w:pPr>
            <w:r>
              <w:rPr>
                <w:strike/>
                <w:color w:val="2E97D3"/>
                <w:sz w:val="24"/>
              </w:rPr>
              <w:t>$0</w:t>
            </w:r>
          </w:p>
        </w:tc>
        <w:tc>
          <w:tcPr>
            <w:tcW w:w="2150" w:type="dxa"/>
          </w:tcPr>
          <w:p>
            <w:pPr>
              <w:pStyle w:val="TableParagraph"/>
              <w:spacing w:line="272" w:lineRule="exact"/>
              <w:ind w:left="549" w:right="549"/>
              <w:jc w:val="center"/>
              <w:rPr>
                <w:sz w:val="24"/>
              </w:rPr>
            </w:pPr>
            <w:r>
              <w:rPr>
                <w:strike/>
                <w:color w:val="2E97D3"/>
                <w:sz w:val="24"/>
              </w:rPr>
              <w:t>$0</w:t>
            </w:r>
          </w:p>
        </w:tc>
        <w:tc>
          <w:tcPr>
            <w:tcW w:w="1217" w:type="dxa"/>
          </w:tcPr>
          <w:p>
            <w:pPr>
              <w:pStyle w:val="TableParagraph"/>
              <w:spacing w:line="272" w:lineRule="exact"/>
              <w:ind w:right="163"/>
              <w:jc w:val="right"/>
              <w:rPr>
                <w:sz w:val="24"/>
              </w:rPr>
            </w:pPr>
            <w:r>
              <w:rPr>
                <w:strike/>
                <w:color w:val="2E97D3"/>
                <w:sz w:val="24"/>
              </w:rPr>
              <w:t>$70,000</w:t>
            </w:r>
          </w:p>
        </w:tc>
      </w:tr>
      <w:tr>
        <w:trPr>
          <w:trHeight w:val="562" w:hRule="exact"/>
        </w:trPr>
        <w:tc>
          <w:tcPr>
            <w:tcW w:w="2270" w:type="dxa"/>
          </w:tcPr>
          <w:p>
            <w:pPr>
              <w:pStyle w:val="TableParagraph"/>
              <w:ind w:left="103"/>
              <w:rPr>
                <w:b/>
                <w:sz w:val="24"/>
              </w:rPr>
            </w:pPr>
            <w:r>
              <w:rPr>
                <w:b/>
                <w:strike/>
                <w:color w:val="2E97D3"/>
                <w:sz w:val="24"/>
              </w:rPr>
              <w:t>SUBTOTAL A&amp;E SERVICES</w:t>
            </w:r>
          </w:p>
        </w:tc>
        <w:tc>
          <w:tcPr>
            <w:tcW w:w="1030" w:type="dxa"/>
          </w:tcPr>
          <w:p>
            <w:pPr>
              <w:pStyle w:val="TableParagraph"/>
              <w:spacing w:before="135"/>
              <w:ind w:left="357" w:right="355"/>
              <w:jc w:val="center"/>
              <w:rPr>
                <w:sz w:val="24"/>
              </w:rPr>
            </w:pPr>
            <w:r>
              <w:rPr>
                <w:strike/>
                <w:color w:val="2E97D3"/>
                <w:sz w:val="24"/>
              </w:rPr>
              <w:t>$0</w:t>
            </w:r>
          </w:p>
        </w:tc>
        <w:tc>
          <w:tcPr>
            <w:tcW w:w="1870" w:type="dxa"/>
          </w:tcPr>
          <w:p>
            <w:pPr>
              <w:pStyle w:val="TableParagraph"/>
              <w:spacing w:before="135"/>
              <w:ind w:left="101" w:right="101"/>
              <w:jc w:val="center"/>
              <w:rPr>
                <w:sz w:val="24"/>
              </w:rPr>
            </w:pPr>
            <w:r>
              <w:rPr>
                <w:strike/>
                <w:color w:val="2E97D3"/>
                <w:sz w:val="24"/>
              </w:rPr>
              <w:t>$102</w:t>
            </w:r>
          </w:p>
        </w:tc>
        <w:tc>
          <w:tcPr>
            <w:tcW w:w="1550" w:type="dxa"/>
          </w:tcPr>
          <w:p>
            <w:pPr>
              <w:pStyle w:val="TableParagraph"/>
              <w:spacing w:before="135"/>
              <w:ind w:left="249" w:right="249"/>
              <w:jc w:val="center"/>
              <w:rPr>
                <w:sz w:val="24"/>
              </w:rPr>
            </w:pPr>
            <w:r>
              <w:rPr>
                <w:strike/>
                <w:color w:val="2E97D3"/>
                <w:sz w:val="24"/>
              </w:rPr>
              <w:t>$399,000</w:t>
            </w:r>
          </w:p>
        </w:tc>
        <w:tc>
          <w:tcPr>
            <w:tcW w:w="2150" w:type="dxa"/>
          </w:tcPr>
          <w:p>
            <w:pPr>
              <w:pStyle w:val="TableParagraph"/>
              <w:spacing w:before="135"/>
              <w:ind w:left="549" w:right="549"/>
              <w:jc w:val="center"/>
              <w:rPr>
                <w:sz w:val="24"/>
              </w:rPr>
            </w:pPr>
            <w:r>
              <w:rPr>
                <w:strike/>
                <w:color w:val="2E97D3"/>
                <w:sz w:val="24"/>
              </w:rPr>
              <w:t>$372,000</w:t>
            </w:r>
          </w:p>
        </w:tc>
        <w:tc>
          <w:tcPr>
            <w:tcW w:w="1217" w:type="dxa"/>
          </w:tcPr>
          <w:p>
            <w:pPr>
              <w:pStyle w:val="TableParagraph"/>
              <w:spacing w:before="135"/>
              <w:ind w:right="99"/>
              <w:jc w:val="right"/>
              <w:rPr>
                <w:sz w:val="24"/>
              </w:rPr>
            </w:pPr>
            <w:r>
              <w:rPr>
                <w:strike/>
                <w:color w:val="2E97D3"/>
                <w:sz w:val="24"/>
              </w:rPr>
              <w:t>$873,000</w:t>
            </w:r>
          </w:p>
        </w:tc>
      </w:tr>
    </w:tbl>
    <w:p>
      <w:pPr>
        <w:pStyle w:val="BodyText"/>
        <w:rPr>
          <w:sz w:val="20"/>
        </w:rPr>
      </w:pPr>
    </w:p>
    <w:p>
      <w:pPr>
        <w:pStyle w:val="BodyText"/>
        <w:rPr>
          <w:sz w:val="20"/>
        </w:rPr>
      </w:pPr>
    </w:p>
    <w:p>
      <w:pPr>
        <w:pStyle w:val="BodyText"/>
        <w:spacing w:before="4"/>
        <w:rPr>
          <w:sz w:val="17"/>
        </w:rPr>
      </w:pPr>
    </w:p>
    <w:p>
      <w:pPr>
        <w:pStyle w:val="BodyText"/>
        <w:spacing w:before="92"/>
        <w:ind w:left="686"/>
      </w:pPr>
      <w:r>
        <w:rPr/>
        <w:pict>
          <v:line style="position:absolute;mso-position-horizontal-relative:page;mso-position-vertical-relative:paragraph;z-index:26800" from="29.4pt,-374.384125pt" to="29.4pt,50.535875pt" stroked="true" strokeweight=".72pt" strokecolor="#000000">
            <v:stroke dashstyle="solid"/>
            <w10:wrap type="none"/>
          </v:line>
        </w:pict>
      </w:r>
      <w:r>
        <w:rPr>
          <w:strike/>
          <w:color w:val="2E97D3"/>
        </w:rPr>
        <w:t>(Continued)</w:t>
      </w:r>
    </w:p>
    <w:p>
      <w:pPr>
        <w:spacing w:after="0"/>
        <w:sectPr>
          <w:footerReference w:type="default" r:id="rId278"/>
          <w:pgSz w:w="12240" w:h="15840"/>
          <w:pgMar w:footer="1068" w:header="724" w:top="980" w:bottom="1260" w:left="480" w:right="860"/>
        </w:sectPr>
      </w:pPr>
    </w:p>
    <w:p>
      <w:pPr>
        <w:pStyle w:val="BodyText"/>
        <w:rPr>
          <w:sz w:val="20"/>
        </w:rPr>
      </w:pPr>
      <w:r>
        <w:rPr/>
        <w:pict>
          <v:line style="position:absolute;mso-position-horizontal-relative:page;mso-position-vertical-relative:page;z-index:26824" from="29.4pt,72pt" to="29.4pt,718.2pt" stroked="true" strokeweight=".72pt" strokecolor="#000000">
            <v:stroke dashstyle="solid"/>
            <w10:wrap type="none"/>
          </v:line>
        </w:pict>
      </w:r>
    </w:p>
    <w:p>
      <w:pPr>
        <w:pStyle w:val="BodyText"/>
        <w:spacing w:before="1"/>
        <w:rPr>
          <w:sz w:val="22"/>
        </w:rPr>
      </w:pPr>
    </w:p>
    <w:p>
      <w:pPr>
        <w:spacing w:before="1"/>
        <w:ind w:left="3588" w:right="0" w:firstLine="0"/>
        <w:jc w:val="left"/>
        <w:rPr>
          <w:b/>
          <w:sz w:val="24"/>
        </w:rPr>
      </w:pPr>
      <w:r>
        <w:rPr>
          <w:b/>
          <w:strike/>
          <w:color w:val="2E97D3"/>
          <w:sz w:val="24"/>
        </w:rPr>
        <w:t>SUMMARY OF COSTS BY PHASE</w:t>
      </w:r>
    </w:p>
    <w:p>
      <w:pPr>
        <w:pStyle w:val="BodyText"/>
        <w:spacing w:before="9"/>
        <w:rPr>
          <w:b/>
          <w:sz w:val="10"/>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6"/>
        <w:gridCol w:w="1159"/>
        <w:gridCol w:w="1442"/>
        <w:gridCol w:w="1452"/>
        <w:gridCol w:w="1474"/>
        <w:gridCol w:w="1471"/>
      </w:tblGrid>
      <w:tr>
        <w:trPr>
          <w:trHeight w:val="286" w:hRule="exact"/>
        </w:trPr>
        <w:tc>
          <w:tcPr>
            <w:tcW w:w="9624" w:type="dxa"/>
            <w:gridSpan w:val="6"/>
            <w:shd w:val="clear" w:color="auto" w:fill="DADADA"/>
          </w:tcPr>
          <w:p>
            <w:pPr>
              <w:pStyle w:val="TableParagraph"/>
              <w:spacing w:line="272" w:lineRule="exact"/>
              <w:ind w:left="103"/>
              <w:rPr>
                <w:b/>
                <w:sz w:val="24"/>
              </w:rPr>
            </w:pPr>
            <w:r>
              <w:rPr>
                <w:b/>
                <w:strike/>
                <w:color w:val="2E97D3"/>
                <w:sz w:val="24"/>
              </w:rPr>
              <w:t>OTHER PROJECT COST</w:t>
            </w:r>
          </w:p>
        </w:tc>
      </w:tr>
      <w:tr>
        <w:trPr>
          <w:trHeight w:val="562" w:hRule="exact"/>
        </w:trPr>
        <w:tc>
          <w:tcPr>
            <w:tcW w:w="2626" w:type="dxa"/>
          </w:tcPr>
          <w:p>
            <w:pPr>
              <w:pStyle w:val="TableParagraph"/>
              <w:ind w:left="103" w:right="199"/>
              <w:rPr>
                <w:b/>
                <w:sz w:val="24"/>
              </w:rPr>
            </w:pPr>
            <w:r>
              <w:rPr>
                <w:b/>
                <w:strike/>
                <w:color w:val="2E97D3"/>
                <w:sz w:val="24"/>
              </w:rPr>
              <w:t>Special Consultants (Hazmat)</w:t>
            </w:r>
          </w:p>
        </w:tc>
        <w:tc>
          <w:tcPr>
            <w:tcW w:w="1159" w:type="dxa"/>
          </w:tcPr>
          <w:p>
            <w:pPr>
              <w:pStyle w:val="TableParagraph"/>
              <w:spacing w:before="132"/>
              <w:ind w:left="422" w:right="420"/>
              <w:jc w:val="center"/>
              <w:rPr>
                <w:sz w:val="24"/>
              </w:rPr>
            </w:pPr>
            <w:r>
              <w:rPr>
                <w:strike/>
                <w:color w:val="2E97D3"/>
                <w:sz w:val="24"/>
              </w:rPr>
              <w:t>$0</w:t>
            </w:r>
          </w:p>
        </w:tc>
        <w:tc>
          <w:tcPr>
            <w:tcW w:w="1442" w:type="dxa"/>
          </w:tcPr>
          <w:p>
            <w:pPr>
              <w:pStyle w:val="TableParagraph"/>
              <w:spacing w:before="132"/>
              <w:ind w:left="262" w:right="262"/>
              <w:jc w:val="center"/>
              <w:rPr>
                <w:sz w:val="24"/>
              </w:rPr>
            </w:pPr>
            <w:r>
              <w:rPr>
                <w:strike/>
                <w:color w:val="2E97D3"/>
                <w:sz w:val="24"/>
              </w:rPr>
              <w:t>$10,000</w:t>
            </w:r>
          </w:p>
        </w:tc>
        <w:tc>
          <w:tcPr>
            <w:tcW w:w="1452" w:type="dxa"/>
          </w:tcPr>
          <w:p>
            <w:pPr>
              <w:pStyle w:val="TableParagraph"/>
              <w:spacing w:before="132"/>
              <w:ind w:left="200" w:right="200"/>
              <w:jc w:val="center"/>
              <w:rPr>
                <w:sz w:val="24"/>
              </w:rPr>
            </w:pPr>
            <w:r>
              <w:rPr>
                <w:strike/>
                <w:color w:val="2E97D3"/>
                <w:sz w:val="24"/>
              </w:rPr>
              <w:t>$20,000</w:t>
            </w:r>
          </w:p>
        </w:tc>
        <w:tc>
          <w:tcPr>
            <w:tcW w:w="1474" w:type="dxa"/>
          </w:tcPr>
          <w:p>
            <w:pPr>
              <w:pStyle w:val="TableParagraph"/>
              <w:spacing w:before="132"/>
              <w:ind w:left="111" w:right="111"/>
              <w:jc w:val="center"/>
              <w:rPr>
                <w:sz w:val="24"/>
              </w:rPr>
            </w:pPr>
            <w:r>
              <w:rPr>
                <w:strike/>
                <w:color w:val="2E97D3"/>
                <w:sz w:val="24"/>
              </w:rPr>
              <w:t>$60,000</w:t>
            </w:r>
          </w:p>
        </w:tc>
        <w:tc>
          <w:tcPr>
            <w:tcW w:w="1471" w:type="dxa"/>
          </w:tcPr>
          <w:p>
            <w:pPr>
              <w:pStyle w:val="TableParagraph"/>
              <w:spacing w:before="132"/>
              <w:ind w:left="109" w:right="109"/>
              <w:jc w:val="center"/>
              <w:rPr>
                <w:sz w:val="24"/>
              </w:rPr>
            </w:pPr>
            <w:r>
              <w:rPr>
                <w:strike/>
                <w:color w:val="2E97D3"/>
                <w:sz w:val="24"/>
              </w:rPr>
              <w:t>$90,000</w:t>
            </w:r>
          </w:p>
        </w:tc>
      </w:tr>
      <w:tr>
        <w:trPr>
          <w:trHeight w:val="286" w:hRule="exact"/>
        </w:trPr>
        <w:tc>
          <w:tcPr>
            <w:tcW w:w="2626" w:type="dxa"/>
          </w:tcPr>
          <w:p>
            <w:pPr>
              <w:pStyle w:val="TableParagraph"/>
              <w:spacing w:line="272" w:lineRule="exact"/>
              <w:ind w:left="103"/>
              <w:rPr>
                <w:b/>
                <w:sz w:val="24"/>
              </w:rPr>
            </w:pPr>
            <w:r>
              <w:rPr>
                <w:b/>
                <w:strike/>
                <w:color w:val="2E97D3"/>
                <w:sz w:val="24"/>
              </w:rPr>
              <w:t>Materials Testing</w:t>
            </w:r>
          </w:p>
        </w:tc>
        <w:tc>
          <w:tcPr>
            <w:tcW w:w="1159" w:type="dxa"/>
          </w:tcPr>
          <w:p>
            <w:pPr>
              <w:pStyle w:val="TableParagraph"/>
              <w:spacing w:line="272" w:lineRule="exact"/>
              <w:ind w:left="422" w:right="420"/>
              <w:jc w:val="center"/>
              <w:rPr>
                <w:sz w:val="24"/>
              </w:rPr>
            </w:pPr>
            <w:r>
              <w:rPr>
                <w:strike/>
                <w:color w:val="2E97D3"/>
                <w:sz w:val="24"/>
              </w:rPr>
              <w:t>$0</w:t>
            </w:r>
          </w:p>
        </w:tc>
        <w:tc>
          <w:tcPr>
            <w:tcW w:w="1442" w:type="dxa"/>
          </w:tcPr>
          <w:p>
            <w:pPr>
              <w:pStyle w:val="TableParagraph"/>
              <w:spacing w:line="272" w:lineRule="exact"/>
              <w:ind w:left="262" w:right="260"/>
              <w:jc w:val="center"/>
              <w:rPr>
                <w:sz w:val="24"/>
              </w:rPr>
            </w:pPr>
            <w:r>
              <w:rPr>
                <w:strike/>
                <w:color w:val="2E97D3"/>
                <w:sz w:val="24"/>
              </w:rPr>
              <w:t>$0</w:t>
            </w:r>
          </w:p>
        </w:tc>
        <w:tc>
          <w:tcPr>
            <w:tcW w:w="1452" w:type="dxa"/>
          </w:tcPr>
          <w:p>
            <w:pPr>
              <w:pStyle w:val="TableParagraph"/>
              <w:spacing w:line="272" w:lineRule="exact"/>
              <w:ind w:left="200" w:right="200"/>
              <w:jc w:val="center"/>
              <w:rPr>
                <w:sz w:val="24"/>
              </w:rPr>
            </w:pPr>
            <w:r>
              <w:rPr>
                <w:strike/>
                <w:color w:val="2E97D3"/>
                <w:sz w:val="24"/>
              </w:rPr>
              <w:t>$25,000</w:t>
            </w:r>
          </w:p>
        </w:tc>
        <w:tc>
          <w:tcPr>
            <w:tcW w:w="1474" w:type="dxa"/>
          </w:tcPr>
          <w:p>
            <w:pPr>
              <w:pStyle w:val="TableParagraph"/>
              <w:spacing w:line="272" w:lineRule="exact"/>
              <w:ind w:left="111" w:right="111"/>
              <w:jc w:val="center"/>
              <w:rPr>
                <w:sz w:val="24"/>
              </w:rPr>
            </w:pPr>
            <w:r>
              <w:rPr>
                <w:strike/>
                <w:color w:val="2E97D3"/>
                <w:sz w:val="24"/>
              </w:rPr>
              <w:t>$42,000</w:t>
            </w:r>
          </w:p>
        </w:tc>
        <w:tc>
          <w:tcPr>
            <w:tcW w:w="1471" w:type="dxa"/>
          </w:tcPr>
          <w:p>
            <w:pPr>
              <w:pStyle w:val="TableParagraph"/>
              <w:spacing w:line="272" w:lineRule="exact"/>
              <w:ind w:left="109" w:right="109"/>
              <w:jc w:val="center"/>
              <w:rPr>
                <w:sz w:val="24"/>
              </w:rPr>
            </w:pPr>
            <w:r>
              <w:rPr>
                <w:strike/>
                <w:color w:val="2E97D3"/>
                <w:sz w:val="24"/>
              </w:rPr>
              <w:t>$67,000</w:t>
            </w:r>
          </w:p>
        </w:tc>
      </w:tr>
      <w:tr>
        <w:trPr>
          <w:trHeight w:val="562" w:hRule="exact"/>
        </w:trPr>
        <w:tc>
          <w:tcPr>
            <w:tcW w:w="2626" w:type="dxa"/>
          </w:tcPr>
          <w:p>
            <w:pPr>
              <w:pStyle w:val="TableParagraph"/>
              <w:ind w:left="103" w:right="119"/>
              <w:rPr>
                <w:b/>
                <w:sz w:val="24"/>
              </w:rPr>
            </w:pPr>
            <w:r>
              <w:rPr>
                <w:b/>
                <w:strike/>
                <w:color w:val="2E97D3"/>
                <w:sz w:val="24"/>
              </w:rPr>
              <w:t>Project/Construction Management</w:t>
            </w:r>
          </w:p>
        </w:tc>
        <w:tc>
          <w:tcPr>
            <w:tcW w:w="1159" w:type="dxa"/>
          </w:tcPr>
          <w:p>
            <w:pPr>
              <w:pStyle w:val="TableParagraph"/>
              <w:spacing w:before="135"/>
              <w:ind w:left="422" w:right="420"/>
              <w:jc w:val="center"/>
              <w:rPr>
                <w:sz w:val="24"/>
              </w:rPr>
            </w:pPr>
            <w:r>
              <w:rPr>
                <w:strike/>
                <w:color w:val="2E97D3"/>
                <w:sz w:val="24"/>
              </w:rPr>
              <w:t>$0</w:t>
            </w:r>
          </w:p>
        </w:tc>
        <w:tc>
          <w:tcPr>
            <w:tcW w:w="1442" w:type="dxa"/>
          </w:tcPr>
          <w:p>
            <w:pPr>
              <w:pStyle w:val="TableParagraph"/>
              <w:spacing w:before="135"/>
              <w:ind w:left="262" w:right="262"/>
              <w:jc w:val="center"/>
              <w:rPr>
                <w:sz w:val="24"/>
              </w:rPr>
            </w:pPr>
            <w:r>
              <w:rPr>
                <w:strike/>
                <w:color w:val="2E97D3"/>
                <w:sz w:val="24"/>
              </w:rPr>
              <w:t>$15,000</w:t>
            </w:r>
          </w:p>
        </w:tc>
        <w:tc>
          <w:tcPr>
            <w:tcW w:w="1452" w:type="dxa"/>
          </w:tcPr>
          <w:p>
            <w:pPr>
              <w:pStyle w:val="TableParagraph"/>
              <w:spacing w:before="135"/>
              <w:ind w:left="200" w:right="200"/>
              <w:jc w:val="center"/>
              <w:rPr>
                <w:sz w:val="24"/>
              </w:rPr>
            </w:pPr>
            <w:r>
              <w:rPr>
                <w:strike/>
                <w:color w:val="2E97D3"/>
                <w:sz w:val="24"/>
              </w:rPr>
              <w:t>$37,500</w:t>
            </w:r>
          </w:p>
        </w:tc>
        <w:tc>
          <w:tcPr>
            <w:tcW w:w="1474" w:type="dxa"/>
          </w:tcPr>
          <w:p>
            <w:pPr>
              <w:pStyle w:val="TableParagraph"/>
              <w:spacing w:before="135"/>
              <w:ind w:left="111" w:right="111"/>
              <w:jc w:val="center"/>
              <w:rPr>
                <w:sz w:val="24"/>
              </w:rPr>
            </w:pPr>
            <w:r>
              <w:rPr>
                <w:strike/>
                <w:color w:val="2E97D3"/>
                <w:sz w:val="24"/>
              </w:rPr>
              <w:t>$96,400</w:t>
            </w:r>
          </w:p>
        </w:tc>
        <w:tc>
          <w:tcPr>
            <w:tcW w:w="1471" w:type="dxa"/>
          </w:tcPr>
          <w:p>
            <w:pPr>
              <w:pStyle w:val="TableParagraph"/>
              <w:spacing w:before="135"/>
              <w:ind w:left="110" w:right="109"/>
              <w:jc w:val="center"/>
              <w:rPr>
                <w:sz w:val="24"/>
              </w:rPr>
            </w:pPr>
            <w:r>
              <w:rPr>
                <w:strike/>
                <w:color w:val="2E97D3"/>
                <w:sz w:val="24"/>
              </w:rPr>
              <w:t>$148,900</w:t>
            </w:r>
          </w:p>
        </w:tc>
      </w:tr>
      <w:tr>
        <w:trPr>
          <w:trHeight w:val="838" w:hRule="exact"/>
        </w:trPr>
        <w:tc>
          <w:tcPr>
            <w:tcW w:w="2626" w:type="dxa"/>
          </w:tcPr>
          <w:p>
            <w:pPr>
              <w:pStyle w:val="TableParagraph"/>
              <w:ind w:left="103" w:right="999"/>
              <w:rPr>
                <w:b/>
                <w:sz w:val="24"/>
              </w:rPr>
            </w:pPr>
            <w:r>
              <w:rPr>
                <w:b/>
                <w:strike/>
                <w:color w:val="2E97D3"/>
                <w:sz w:val="24"/>
              </w:rPr>
              <w:t>On-Site Construction Management</w:t>
            </w:r>
          </w:p>
        </w:tc>
        <w:tc>
          <w:tcPr>
            <w:tcW w:w="1159" w:type="dxa"/>
          </w:tcPr>
          <w:p>
            <w:pPr>
              <w:pStyle w:val="TableParagraph"/>
              <w:spacing w:before="7"/>
              <w:rPr>
                <w:b/>
                <w:sz w:val="23"/>
              </w:rPr>
            </w:pPr>
          </w:p>
          <w:p>
            <w:pPr>
              <w:pStyle w:val="TableParagraph"/>
              <w:ind w:left="422" w:right="420"/>
              <w:jc w:val="center"/>
              <w:rPr>
                <w:sz w:val="24"/>
              </w:rPr>
            </w:pPr>
            <w:r>
              <w:rPr>
                <w:strike/>
                <w:color w:val="2E97D3"/>
                <w:sz w:val="24"/>
              </w:rPr>
              <w:t>$0</w:t>
            </w:r>
          </w:p>
        </w:tc>
        <w:tc>
          <w:tcPr>
            <w:tcW w:w="1442" w:type="dxa"/>
          </w:tcPr>
          <w:p>
            <w:pPr>
              <w:pStyle w:val="TableParagraph"/>
              <w:spacing w:before="7"/>
              <w:rPr>
                <w:b/>
                <w:sz w:val="23"/>
              </w:rPr>
            </w:pPr>
          </w:p>
          <w:p>
            <w:pPr>
              <w:pStyle w:val="TableParagraph"/>
              <w:ind w:left="262" w:right="260"/>
              <w:jc w:val="center"/>
              <w:rPr>
                <w:sz w:val="24"/>
              </w:rPr>
            </w:pPr>
            <w:r>
              <w:rPr>
                <w:strike/>
                <w:color w:val="2E97D3"/>
                <w:sz w:val="24"/>
              </w:rPr>
              <w:t>$0</w:t>
            </w:r>
          </w:p>
        </w:tc>
        <w:tc>
          <w:tcPr>
            <w:tcW w:w="1452" w:type="dxa"/>
          </w:tcPr>
          <w:p>
            <w:pPr>
              <w:pStyle w:val="TableParagraph"/>
              <w:spacing w:before="7"/>
              <w:rPr>
                <w:b/>
                <w:sz w:val="23"/>
              </w:rPr>
            </w:pPr>
          </w:p>
          <w:p>
            <w:pPr>
              <w:pStyle w:val="TableParagraph"/>
              <w:ind w:left="200" w:right="200"/>
              <w:jc w:val="center"/>
              <w:rPr>
                <w:sz w:val="24"/>
              </w:rPr>
            </w:pPr>
            <w:r>
              <w:rPr>
                <w:strike/>
                <w:color w:val="2E97D3"/>
                <w:sz w:val="24"/>
              </w:rPr>
              <w:t>$0</w:t>
            </w:r>
          </w:p>
        </w:tc>
        <w:tc>
          <w:tcPr>
            <w:tcW w:w="1474" w:type="dxa"/>
          </w:tcPr>
          <w:p>
            <w:pPr>
              <w:pStyle w:val="TableParagraph"/>
              <w:spacing w:before="7"/>
              <w:rPr>
                <w:b/>
                <w:sz w:val="23"/>
              </w:rPr>
            </w:pPr>
          </w:p>
          <w:p>
            <w:pPr>
              <w:pStyle w:val="TableParagraph"/>
              <w:ind w:left="111" w:right="111"/>
              <w:jc w:val="center"/>
              <w:rPr>
                <w:sz w:val="24"/>
              </w:rPr>
            </w:pPr>
            <w:r>
              <w:rPr>
                <w:strike/>
                <w:color w:val="2E97D3"/>
                <w:sz w:val="24"/>
              </w:rPr>
              <w:t>$388,000</w:t>
            </w:r>
          </w:p>
        </w:tc>
        <w:tc>
          <w:tcPr>
            <w:tcW w:w="1471" w:type="dxa"/>
          </w:tcPr>
          <w:p>
            <w:pPr>
              <w:pStyle w:val="TableParagraph"/>
              <w:spacing w:before="7"/>
              <w:rPr>
                <w:b/>
                <w:sz w:val="23"/>
              </w:rPr>
            </w:pPr>
          </w:p>
          <w:p>
            <w:pPr>
              <w:pStyle w:val="TableParagraph"/>
              <w:ind w:left="110" w:right="109"/>
              <w:jc w:val="center"/>
              <w:rPr>
                <w:sz w:val="24"/>
              </w:rPr>
            </w:pPr>
            <w:r>
              <w:rPr>
                <w:strike/>
                <w:color w:val="2E97D3"/>
                <w:sz w:val="24"/>
              </w:rPr>
              <w:t>$388,000</w:t>
            </w:r>
          </w:p>
        </w:tc>
      </w:tr>
      <w:tr>
        <w:trPr>
          <w:trHeight w:val="564" w:hRule="exact"/>
        </w:trPr>
        <w:tc>
          <w:tcPr>
            <w:tcW w:w="2626" w:type="dxa"/>
          </w:tcPr>
          <w:p>
            <w:pPr>
              <w:pStyle w:val="TableParagraph"/>
              <w:ind w:left="103" w:right="719"/>
              <w:rPr>
                <w:b/>
                <w:sz w:val="24"/>
              </w:rPr>
            </w:pPr>
            <w:r>
              <w:rPr>
                <w:b/>
                <w:strike/>
                <w:color w:val="2E97D3"/>
                <w:sz w:val="24"/>
              </w:rPr>
              <w:t>A&amp;E Travel and Expense</w:t>
            </w:r>
          </w:p>
        </w:tc>
        <w:tc>
          <w:tcPr>
            <w:tcW w:w="1159" w:type="dxa"/>
          </w:tcPr>
          <w:p>
            <w:pPr>
              <w:pStyle w:val="TableParagraph"/>
              <w:spacing w:before="135"/>
              <w:ind w:left="422" w:right="420"/>
              <w:jc w:val="center"/>
              <w:rPr>
                <w:sz w:val="24"/>
              </w:rPr>
            </w:pPr>
            <w:r>
              <w:rPr>
                <w:strike/>
                <w:color w:val="2E97D3"/>
                <w:sz w:val="24"/>
              </w:rPr>
              <w:t>$0</w:t>
            </w:r>
          </w:p>
        </w:tc>
        <w:tc>
          <w:tcPr>
            <w:tcW w:w="1442" w:type="dxa"/>
          </w:tcPr>
          <w:p>
            <w:pPr>
              <w:pStyle w:val="TableParagraph"/>
              <w:spacing w:before="135"/>
              <w:ind w:left="262" w:right="260"/>
              <w:jc w:val="center"/>
              <w:rPr>
                <w:sz w:val="24"/>
              </w:rPr>
            </w:pPr>
            <w:r>
              <w:rPr>
                <w:strike/>
                <w:color w:val="2E97D3"/>
                <w:sz w:val="24"/>
              </w:rPr>
              <w:t>$0</w:t>
            </w:r>
          </w:p>
        </w:tc>
        <w:tc>
          <w:tcPr>
            <w:tcW w:w="1452" w:type="dxa"/>
          </w:tcPr>
          <w:p>
            <w:pPr>
              <w:pStyle w:val="TableParagraph"/>
              <w:spacing w:before="135"/>
              <w:ind w:left="200" w:right="200"/>
              <w:jc w:val="center"/>
              <w:rPr>
                <w:sz w:val="24"/>
              </w:rPr>
            </w:pPr>
            <w:r>
              <w:rPr>
                <w:strike/>
                <w:color w:val="2E97D3"/>
                <w:sz w:val="24"/>
              </w:rPr>
              <w:t>$0</w:t>
            </w:r>
          </w:p>
        </w:tc>
        <w:tc>
          <w:tcPr>
            <w:tcW w:w="1474" w:type="dxa"/>
          </w:tcPr>
          <w:p>
            <w:pPr>
              <w:pStyle w:val="TableParagraph"/>
              <w:spacing w:before="135"/>
              <w:ind w:left="111" w:right="111"/>
              <w:jc w:val="center"/>
              <w:rPr>
                <w:sz w:val="24"/>
              </w:rPr>
            </w:pPr>
            <w:r>
              <w:rPr>
                <w:strike/>
                <w:color w:val="2E97D3"/>
                <w:sz w:val="24"/>
              </w:rPr>
              <w:t>$0</w:t>
            </w:r>
          </w:p>
        </w:tc>
        <w:tc>
          <w:tcPr>
            <w:tcW w:w="1471" w:type="dxa"/>
          </w:tcPr>
          <w:p>
            <w:pPr>
              <w:pStyle w:val="TableParagraph"/>
              <w:spacing w:before="135"/>
              <w:ind w:left="111" w:right="109"/>
              <w:jc w:val="center"/>
              <w:rPr>
                <w:sz w:val="24"/>
              </w:rPr>
            </w:pPr>
            <w:r>
              <w:rPr>
                <w:strike/>
                <w:color w:val="2E97D3"/>
                <w:sz w:val="24"/>
              </w:rPr>
              <w:t>$0</w:t>
            </w:r>
          </w:p>
        </w:tc>
      </w:tr>
      <w:tr>
        <w:trPr>
          <w:trHeight w:val="562" w:hRule="exact"/>
        </w:trPr>
        <w:tc>
          <w:tcPr>
            <w:tcW w:w="2626" w:type="dxa"/>
          </w:tcPr>
          <w:p>
            <w:pPr>
              <w:pStyle w:val="TableParagraph"/>
              <w:ind w:left="103" w:right="545"/>
              <w:rPr>
                <w:b/>
                <w:sz w:val="24"/>
              </w:rPr>
            </w:pPr>
            <w:r>
              <w:rPr>
                <w:b/>
                <w:strike/>
                <w:color w:val="2E97D3"/>
                <w:sz w:val="24"/>
              </w:rPr>
              <w:t>Agency Retained Items</w:t>
            </w:r>
          </w:p>
        </w:tc>
        <w:tc>
          <w:tcPr>
            <w:tcW w:w="1159" w:type="dxa"/>
          </w:tcPr>
          <w:p>
            <w:pPr>
              <w:pStyle w:val="TableParagraph"/>
              <w:spacing w:before="132"/>
              <w:ind w:left="422" w:right="420"/>
              <w:jc w:val="center"/>
              <w:rPr>
                <w:sz w:val="24"/>
              </w:rPr>
            </w:pPr>
            <w:r>
              <w:rPr>
                <w:strike/>
                <w:color w:val="2E97D3"/>
                <w:sz w:val="24"/>
              </w:rPr>
              <w:t>$0</w:t>
            </w:r>
          </w:p>
        </w:tc>
        <w:tc>
          <w:tcPr>
            <w:tcW w:w="1442" w:type="dxa"/>
          </w:tcPr>
          <w:p>
            <w:pPr>
              <w:pStyle w:val="TableParagraph"/>
              <w:spacing w:before="132"/>
              <w:ind w:left="262" w:right="260"/>
              <w:jc w:val="center"/>
              <w:rPr>
                <w:sz w:val="24"/>
              </w:rPr>
            </w:pPr>
            <w:r>
              <w:rPr>
                <w:strike/>
                <w:color w:val="2E97D3"/>
                <w:sz w:val="24"/>
              </w:rPr>
              <w:t>$0</w:t>
            </w:r>
          </w:p>
        </w:tc>
        <w:tc>
          <w:tcPr>
            <w:tcW w:w="1452" w:type="dxa"/>
          </w:tcPr>
          <w:p>
            <w:pPr>
              <w:pStyle w:val="TableParagraph"/>
              <w:spacing w:before="132"/>
              <w:ind w:left="200" w:right="200"/>
              <w:jc w:val="center"/>
              <w:rPr>
                <w:sz w:val="24"/>
              </w:rPr>
            </w:pPr>
            <w:r>
              <w:rPr>
                <w:strike/>
                <w:color w:val="2E97D3"/>
                <w:sz w:val="24"/>
              </w:rPr>
              <w:t>$0</w:t>
            </w:r>
          </w:p>
        </w:tc>
        <w:tc>
          <w:tcPr>
            <w:tcW w:w="1474" w:type="dxa"/>
          </w:tcPr>
          <w:p>
            <w:pPr>
              <w:pStyle w:val="TableParagraph"/>
              <w:spacing w:before="132"/>
              <w:ind w:left="111" w:right="111"/>
              <w:jc w:val="center"/>
              <w:rPr>
                <w:sz w:val="24"/>
              </w:rPr>
            </w:pPr>
            <w:r>
              <w:rPr>
                <w:strike/>
                <w:color w:val="2E97D3"/>
                <w:sz w:val="24"/>
              </w:rPr>
              <w:t>$775,000</w:t>
            </w:r>
          </w:p>
        </w:tc>
        <w:tc>
          <w:tcPr>
            <w:tcW w:w="1471" w:type="dxa"/>
          </w:tcPr>
          <w:p>
            <w:pPr>
              <w:pStyle w:val="TableParagraph"/>
              <w:spacing w:before="132"/>
              <w:ind w:left="110" w:right="109"/>
              <w:jc w:val="center"/>
              <w:rPr>
                <w:sz w:val="24"/>
              </w:rPr>
            </w:pPr>
            <w:r>
              <w:rPr>
                <w:strike/>
                <w:color w:val="2E97D3"/>
                <w:sz w:val="24"/>
              </w:rPr>
              <w:t>$775,000</w:t>
            </w:r>
          </w:p>
        </w:tc>
      </w:tr>
      <w:tr>
        <w:trPr>
          <w:trHeight w:val="562" w:hRule="exact"/>
        </w:trPr>
        <w:tc>
          <w:tcPr>
            <w:tcW w:w="2626" w:type="dxa"/>
          </w:tcPr>
          <w:p>
            <w:pPr>
              <w:pStyle w:val="TableParagraph"/>
              <w:ind w:left="103" w:right="358"/>
              <w:rPr>
                <w:b/>
                <w:sz w:val="24"/>
              </w:rPr>
            </w:pPr>
            <w:r>
              <w:rPr>
                <w:b/>
                <w:strike/>
                <w:color w:val="2E97D3"/>
                <w:sz w:val="24"/>
              </w:rPr>
              <w:t>Small and Minority Assessment - A&amp;E</w:t>
            </w:r>
          </w:p>
        </w:tc>
        <w:tc>
          <w:tcPr>
            <w:tcW w:w="1159" w:type="dxa"/>
          </w:tcPr>
          <w:p>
            <w:pPr>
              <w:pStyle w:val="TableParagraph"/>
              <w:spacing w:before="132"/>
              <w:ind w:left="422" w:right="420"/>
              <w:jc w:val="center"/>
              <w:rPr>
                <w:sz w:val="24"/>
              </w:rPr>
            </w:pPr>
            <w:r>
              <w:rPr>
                <w:strike/>
                <w:color w:val="2E97D3"/>
                <w:sz w:val="24"/>
              </w:rPr>
              <w:t>$0</w:t>
            </w:r>
          </w:p>
        </w:tc>
        <w:tc>
          <w:tcPr>
            <w:tcW w:w="1442" w:type="dxa"/>
          </w:tcPr>
          <w:p>
            <w:pPr>
              <w:pStyle w:val="TableParagraph"/>
              <w:spacing w:before="132"/>
              <w:ind w:left="262" w:right="262"/>
              <w:jc w:val="center"/>
              <w:rPr>
                <w:sz w:val="24"/>
              </w:rPr>
            </w:pPr>
            <w:r>
              <w:rPr>
                <w:strike/>
                <w:color w:val="2E97D3"/>
                <w:sz w:val="24"/>
              </w:rPr>
              <w:t>$100</w:t>
            </w:r>
          </w:p>
        </w:tc>
        <w:tc>
          <w:tcPr>
            <w:tcW w:w="1452" w:type="dxa"/>
          </w:tcPr>
          <w:p>
            <w:pPr>
              <w:pStyle w:val="TableParagraph"/>
              <w:spacing w:before="132"/>
              <w:ind w:left="200" w:right="200"/>
              <w:jc w:val="center"/>
              <w:rPr>
                <w:sz w:val="24"/>
              </w:rPr>
            </w:pPr>
            <w:r>
              <w:rPr>
                <w:strike/>
                <w:color w:val="2E97D3"/>
                <w:sz w:val="24"/>
              </w:rPr>
              <w:t>$900</w:t>
            </w:r>
          </w:p>
        </w:tc>
        <w:tc>
          <w:tcPr>
            <w:tcW w:w="1474" w:type="dxa"/>
          </w:tcPr>
          <w:p>
            <w:pPr>
              <w:pStyle w:val="TableParagraph"/>
              <w:spacing w:before="132"/>
              <w:ind w:left="111" w:right="111"/>
              <w:jc w:val="center"/>
              <w:rPr>
                <w:sz w:val="24"/>
              </w:rPr>
            </w:pPr>
            <w:r>
              <w:rPr>
                <w:strike/>
                <w:color w:val="2E97D3"/>
                <w:sz w:val="24"/>
              </w:rPr>
              <w:t>$1,400</w:t>
            </w:r>
          </w:p>
        </w:tc>
        <w:tc>
          <w:tcPr>
            <w:tcW w:w="1471" w:type="dxa"/>
          </w:tcPr>
          <w:p>
            <w:pPr>
              <w:pStyle w:val="TableParagraph"/>
              <w:spacing w:before="132"/>
              <w:ind w:left="109" w:right="109"/>
              <w:jc w:val="center"/>
              <w:rPr>
                <w:sz w:val="24"/>
              </w:rPr>
            </w:pPr>
            <w:r>
              <w:rPr>
                <w:strike/>
                <w:color w:val="2E97D3"/>
                <w:sz w:val="24"/>
              </w:rPr>
              <w:t>$2,400</w:t>
            </w:r>
          </w:p>
        </w:tc>
      </w:tr>
      <w:tr>
        <w:trPr>
          <w:trHeight w:val="562" w:hRule="exact"/>
        </w:trPr>
        <w:tc>
          <w:tcPr>
            <w:tcW w:w="2626" w:type="dxa"/>
          </w:tcPr>
          <w:p>
            <w:pPr>
              <w:pStyle w:val="TableParagraph"/>
              <w:ind w:left="103" w:right="119"/>
              <w:rPr>
                <w:b/>
                <w:sz w:val="24"/>
              </w:rPr>
            </w:pPr>
            <w:r>
              <w:rPr>
                <w:b/>
                <w:strike/>
                <w:color w:val="2E97D3"/>
                <w:sz w:val="24"/>
              </w:rPr>
              <w:t>Small and Minority Assessment - Const.</w:t>
            </w:r>
          </w:p>
        </w:tc>
        <w:tc>
          <w:tcPr>
            <w:tcW w:w="1159" w:type="dxa"/>
          </w:tcPr>
          <w:p>
            <w:pPr>
              <w:pStyle w:val="TableParagraph"/>
              <w:spacing w:before="135"/>
              <w:ind w:left="422" w:right="420"/>
              <w:jc w:val="center"/>
              <w:rPr>
                <w:sz w:val="24"/>
              </w:rPr>
            </w:pPr>
            <w:r>
              <w:rPr>
                <w:strike/>
                <w:color w:val="2E97D3"/>
                <w:sz w:val="24"/>
              </w:rPr>
              <w:t>$0</w:t>
            </w:r>
          </w:p>
        </w:tc>
        <w:tc>
          <w:tcPr>
            <w:tcW w:w="1442" w:type="dxa"/>
          </w:tcPr>
          <w:p>
            <w:pPr>
              <w:pStyle w:val="TableParagraph"/>
              <w:spacing w:before="135"/>
              <w:ind w:left="262" w:right="260"/>
              <w:jc w:val="center"/>
              <w:rPr>
                <w:sz w:val="24"/>
              </w:rPr>
            </w:pPr>
            <w:r>
              <w:rPr>
                <w:strike/>
                <w:color w:val="2E97D3"/>
                <w:sz w:val="24"/>
              </w:rPr>
              <w:t>$0</w:t>
            </w:r>
          </w:p>
        </w:tc>
        <w:tc>
          <w:tcPr>
            <w:tcW w:w="1452" w:type="dxa"/>
          </w:tcPr>
          <w:p>
            <w:pPr>
              <w:pStyle w:val="TableParagraph"/>
              <w:spacing w:before="135"/>
              <w:ind w:left="200" w:right="200"/>
              <w:jc w:val="center"/>
              <w:rPr>
                <w:sz w:val="24"/>
              </w:rPr>
            </w:pPr>
            <w:r>
              <w:rPr>
                <w:strike/>
                <w:color w:val="2E97D3"/>
                <w:sz w:val="24"/>
              </w:rPr>
              <w:t>$0</w:t>
            </w:r>
          </w:p>
        </w:tc>
        <w:tc>
          <w:tcPr>
            <w:tcW w:w="1474" w:type="dxa"/>
          </w:tcPr>
          <w:p>
            <w:pPr>
              <w:pStyle w:val="TableParagraph"/>
              <w:spacing w:before="135"/>
              <w:ind w:left="111" w:right="111"/>
              <w:jc w:val="center"/>
              <w:rPr>
                <w:sz w:val="24"/>
              </w:rPr>
            </w:pPr>
            <w:r>
              <w:rPr>
                <w:strike/>
                <w:color w:val="2E97D3"/>
                <w:sz w:val="24"/>
              </w:rPr>
              <w:t>$15,200</w:t>
            </w:r>
          </w:p>
        </w:tc>
        <w:tc>
          <w:tcPr>
            <w:tcW w:w="1471" w:type="dxa"/>
          </w:tcPr>
          <w:p>
            <w:pPr>
              <w:pStyle w:val="TableParagraph"/>
              <w:spacing w:before="135"/>
              <w:ind w:left="109" w:right="109"/>
              <w:jc w:val="center"/>
              <w:rPr>
                <w:sz w:val="24"/>
              </w:rPr>
            </w:pPr>
            <w:r>
              <w:rPr>
                <w:strike/>
                <w:color w:val="2E97D3"/>
                <w:sz w:val="24"/>
              </w:rPr>
              <w:t>$15,200</w:t>
            </w:r>
          </w:p>
        </w:tc>
      </w:tr>
      <w:tr>
        <w:trPr>
          <w:trHeight w:val="286" w:hRule="exact"/>
        </w:trPr>
        <w:tc>
          <w:tcPr>
            <w:tcW w:w="2626" w:type="dxa"/>
          </w:tcPr>
          <w:p>
            <w:pPr>
              <w:pStyle w:val="TableParagraph"/>
              <w:spacing w:line="272" w:lineRule="exact"/>
              <w:ind w:left="103"/>
              <w:rPr>
                <w:b/>
                <w:sz w:val="24"/>
              </w:rPr>
            </w:pPr>
            <w:r>
              <w:rPr>
                <w:b/>
                <w:strike/>
                <w:color w:val="2E97D3"/>
                <w:sz w:val="24"/>
              </w:rPr>
              <w:t>School Checking</w:t>
            </w:r>
          </w:p>
        </w:tc>
        <w:tc>
          <w:tcPr>
            <w:tcW w:w="1159" w:type="dxa"/>
          </w:tcPr>
          <w:p>
            <w:pPr>
              <w:pStyle w:val="TableParagraph"/>
              <w:spacing w:line="272" w:lineRule="exact"/>
              <w:ind w:left="422" w:right="420"/>
              <w:jc w:val="center"/>
              <w:rPr>
                <w:sz w:val="24"/>
              </w:rPr>
            </w:pPr>
            <w:r>
              <w:rPr>
                <w:strike/>
                <w:color w:val="2E97D3"/>
                <w:sz w:val="24"/>
              </w:rPr>
              <w:t>$0</w:t>
            </w:r>
          </w:p>
        </w:tc>
        <w:tc>
          <w:tcPr>
            <w:tcW w:w="1442" w:type="dxa"/>
          </w:tcPr>
          <w:p>
            <w:pPr>
              <w:pStyle w:val="TableParagraph"/>
              <w:spacing w:line="272" w:lineRule="exact"/>
              <w:ind w:left="262" w:right="260"/>
              <w:jc w:val="center"/>
              <w:rPr>
                <w:sz w:val="24"/>
              </w:rPr>
            </w:pPr>
            <w:r>
              <w:rPr>
                <w:strike/>
                <w:color w:val="2E97D3"/>
                <w:sz w:val="24"/>
              </w:rPr>
              <w:t>$0</w:t>
            </w:r>
          </w:p>
        </w:tc>
        <w:tc>
          <w:tcPr>
            <w:tcW w:w="1452" w:type="dxa"/>
          </w:tcPr>
          <w:p>
            <w:pPr>
              <w:pStyle w:val="TableParagraph"/>
              <w:spacing w:line="272" w:lineRule="exact"/>
              <w:ind w:left="200" w:right="200"/>
              <w:jc w:val="center"/>
              <w:rPr>
                <w:sz w:val="24"/>
              </w:rPr>
            </w:pPr>
            <w:r>
              <w:rPr>
                <w:strike/>
                <w:color w:val="2E97D3"/>
                <w:sz w:val="24"/>
              </w:rPr>
              <w:t>$0</w:t>
            </w:r>
          </w:p>
        </w:tc>
        <w:tc>
          <w:tcPr>
            <w:tcW w:w="1474" w:type="dxa"/>
          </w:tcPr>
          <w:p>
            <w:pPr>
              <w:pStyle w:val="TableParagraph"/>
              <w:spacing w:line="272" w:lineRule="exact"/>
              <w:ind w:left="111" w:right="111"/>
              <w:jc w:val="center"/>
              <w:rPr>
                <w:sz w:val="24"/>
              </w:rPr>
            </w:pPr>
            <w:r>
              <w:rPr>
                <w:strike/>
                <w:color w:val="2E97D3"/>
                <w:sz w:val="24"/>
              </w:rPr>
              <w:t>$0</w:t>
            </w:r>
          </w:p>
        </w:tc>
        <w:tc>
          <w:tcPr>
            <w:tcW w:w="1471" w:type="dxa"/>
          </w:tcPr>
          <w:p>
            <w:pPr>
              <w:pStyle w:val="TableParagraph"/>
              <w:spacing w:line="272" w:lineRule="exact"/>
              <w:ind w:left="111" w:right="109"/>
              <w:jc w:val="center"/>
              <w:rPr>
                <w:sz w:val="24"/>
              </w:rPr>
            </w:pPr>
            <w:r>
              <w:rPr>
                <w:strike/>
                <w:color w:val="2E97D3"/>
                <w:sz w:val="24"/>
              </w:rPr>
              <w:t>$0</w:t>
            </w:r>
          </w:p>
        </w:tc>
      </w:tr>
      <w:tr>
        <w:trPr>
          <w:trHeight w:val="286" w:hRule="exact"/>
        </w:trPr>
        <w:tc>
          <w:tcPr>
            <w:tcW w:w="2626" w:type="dxa"/>
          </w:tcPr>
          <w:p>
            <w:pPr>
              <w:pStyle w:val="TableParagraph"/>
              <w:spacing w:line="272" w:lineRule="exact"/>
              <w:ind w:left="103"/>
              <w:rPr>
                <w:b/>
                <w:sz w:val="24"/>
              </w:rPr>
            </w:pPr>
            <w:r>
              <w:rPr>
                <w:b/>
                <w:strike/>
                <w:color w:val="2E97D3"/>
                <w:sz w:val="24"/>
              </w:rPr>
              <w:t>Hospital Checking</w:t>
            </w:r>
          </w:p>
        </w:tc>
        <w:tc>
          <w:tcPr>
            <w:tcW w:w="1159" w:type="dxa"/>
          </w:tcPr>
          <w:p>
            <w:pPr>
              <w:pStyle w:val="TableParagraph"/>
              <w:spacing w:line="272" w:lineRule="exact"/>
              <w:ind w:left="422" w:right="420"/>
              <w:jc w:val="center"/>
              <w:rPr>
                <w:sz w:val="24"/>
              </w:rPr>
            </w:pPr>
            <w:r>
              <w:rPr>
                <w:strike/>
                <w:color w:val="2E97D3"/>
                <w:sz w:val="24"/>
              </w:rPr>
              <w:t>$0</w:t>
            </w:r>
          </w:p>
        </w:tc>
        <w:tc>
          <w:tcPr>
            <w:tcW w:w="1442" w:type="dxa"/>
          </w:tcPr>
          <w:p>
            <w:pPr>
              <w:pStyle w:val="TableParagraph"/>
              <w:spacing w:line="272" w:lineRule="exact"/>
              <w:ind w:left="262" w:right="260"/>
              <w:jc w:val="center"/>
              <w:rPr>
                <w:sz w:val="24"/>
              </w:rPr>
            </w:pPr>
            <w:r>
              <w:rPr>
                <w:strike/>
                <w:color w:val="2E97D3"/>
                <w:sz w:val="24"/>
              </w:rPr>
              <w:t>$0</w:t>
            </w:r>
          </w:p>
        </w:tc>
        <w:tc>
          <w:tcPr>
            <w:tcW w:w="1452" w:type="dxa"/>
          </w:tcPr>
          <w:p>
            <w:pPr>
              <w:pStyle w:val="TableParagraph"/>
              <w:spacing w:line="272" w:lineRule="exact"/>
              <w:ind w:left="200" w:right="200"/>
              <w:jc w:val="center"/>
              <w:rPr>
                <w:sz w:val="24"/>
              </w:rPr>
            </w:pPr>
            <w:r>
              <w:rPr>
                <w:strike/>
                <w:color w:val="2E97D3"/>
                <w:sz w:val="24"/>
              </w:rPr>
              <w:t>$96,600</w:t>
            </w:r>
          </w:p>
        </w:tc>
        <w:tc>
          <w:tcPr>
            <w:tcW w:w="1474" w:type="dxa"/>
          </w:tcPr>
          <w:p>
            <w:pPr>
              <w:pStyle w:val="TableParagraph"/>
              <w:spacing w:line="272" w:lineRule="exact"/>
              <w:ind w:left="111" w:right="111"/>
              <w:jc w:val="center"/>
              <w:rPr>
                <w:sz w:val="24"/>
              </w:rPr>
            </w:pPr>
            <w:r>
              <w:rPr>
                <w:strike/>
                <w:color w:val="2E97D3"/>
                <w:sz w:val="24"/>
              </w:rPr>
              <w:t>$0</w:t>
            </w:r>
          </w:p>
        </w:tc>
        <w:tc>
          <w:tcPr>
            <w:tcW w:w="1471" w:type="dxa"/>
          </w:tcPr>
          <w:p>
            <w:pPr>
              <w:pStyle w:val="TableParagraph"/>
              <w:spacing w:line="272" w:lineRule="exact"/>
              <w:ind w:left="109" w:right="109"/>
              <w:jc w:val="center"/>
              <w:rPr>
                <w:sz w:val="24"/>
              </w:rPr>
            </w:pPr>
            <w:r>
              <w:rPr>
                <w:strike/>
                <w:color w:val="2E97D3"/>
                <w:sz w:val="24"/>
              </w:rPr>
              <w:t>$96,600</w:t>
            </w:r>
          </w:p>
        </w:tc>
      </w:tr>
      <w:tr>
        <w:trPr>
          <w:trHeight w:val="286" w:hRule="exact"/>
        </w:trPr>
        <w:tc>
          <w:tcPr>
            <w:tcW w:w="2626" w:type="dxa"/>
          </w:tcPr>
          <w:p>
            <w:pPr>
              <w:pStyle w:val="TableParagraph"/>
              <w:spacing w:line="272" w:lineRule="exact"/>
              <w:ind w:left="103"/>
              <w:rPr>
                <w:b/>
                <w:sz w:val="24"/>
              </w:rPr>
            </w:pPr>
            <w:r>
              <w:rPr>
                <w:b/>
                <w:strike/>
                <w:color w:val="2E97D3"/>
                <w:sz w:val="24"/>
              </w:rPr>
              <w:t>Essential Services</w:t>
            </w:r>
          </w:p>
        </w:tc>
        <w:tc>
          <w:tcPr>
            <w:tcW w:w="1159" w:type="dxa"/>
          </w:tcPr>
          <w:p>
            <w:pPr>
              <w:pStyle w:val="TableParagraph"/>
              <w:spacing w:line="272" w:lineRule="exact"/>
              <w:ind w:left="422" w:right="420"/>
              <w:jc w:val="center"/>
              <w:rPr>
                <w:sz w:val="24"/>
              </w:rPr>
            </w:pPr>
            <w:r>
              <w:rPr>
                <w:strike/>
                <w:color w:val="2E97D3"/>
                <w:sz w:val="24"/>
              </w:rPr>
              <w:t>$0</w:t>
            </w:r>
          </w:p>
        </w:tc>
        <w:tc>
          <w:tcPr>
            <w:tcW w:w="1442" w:type="dxa"/>
          </w:tcPr>
          <w:p>
            <w:pPr>
              <w:pStyle w:val="TableParagraph"/>
              <w:spacing w:line="272" w:lineRule="exact"/>
              <w:ind w:left="262" w:right="260"/>
              <w:jc w:val="center"/>
              <w:rPr>
                <w:sz w:val="24"/>
              </w:rPr>
            </w:pPr>
            <w:r>
              <w:rPr>
                <w:strike/>
                <w:color w:val="2E97D3"/>
                <w:sz w:val="24"/>
              </w:rPr>
              <w:t>$0</w:t>
            </w:r>
          </w:p>
        </w:tc>
        <w:tc>
          <w:tcPr>
            <w:tcW w:w="1452" w:type="dxa"/>
          </w:tcPr>
          <w:p>
            <w:pPr>
              <w:pStyle w:val="TableParagraph"/>
              <w:spacing w:line="272" w:lineRule="exact"/>
              <w:ind w:left="200" w:right="200"/>
              <w:jc w:val="center"/>
              <w:rPr>
                <w:sz w:val="24"/>
              </w:rPr>
            </w:pPr>
            <w:r>
              <w:rPr>
                <w:strike/>
                <w:color w:val="2E97D3"/>
                <w:sz w:val="24"/>
              </w:rPr>
              <w:t>$0</w:t>
            </w:r>
          </w:p>
        </w:tc>
        <w:tc>
          <w:tcPr>
            <w:tcW w:w="1474" w:type="dxa"/>
          </w:tcPr>
          <w:p>
            <w:pPr>
              <w:pStyle w:val="TableParagraph"/>
              <w:spacing w:line="272" w:lineRule="exact"/>
              <w:ind w:left="111" w:right="111"/>
              <w:jc w:val="center"/>
              <w:rPr>
                <w:sz w:val="24"/>
              </w:rPr>
            </w:pPr>
            <w:r>
              <w:rPr>
                <w:strike/>
                <w:color w:val="2E97D3"/>
                <w:sz w:val="24"/>
              </w:rPr>
              <w:t>$0</w:t>
            </w:r>
          </w:p>
        </w:tc>
        <w:tc>
          <w:tcPr>
            <w:tcW w:w="1471" w:type="dxa"/>
          </w:tcPr>
          <w:p>
            <w:pPr>
              <w:pStyle w:val="TableParagraph"/>
              <w:spacing w:line="272" w:lineRule="exact"/>
              <w:ind w:left="111" w:right="109"/>
              <w:jc w:val="center"/>
              <w:rPr>
                <w:sz w:val="24"/>
              </w:rPr>
            </w:pPr>
            <w:r>
              <w:rPr>
                <w:strike/>
                <w:color w:val="2E97D3"/>
                <w:sz w:val="24"/>
              </w:rPr>
              <w:t>$0</w:t>
            </w:r>
          </w:p>
        </w:tc>
      </w:tr>
      <w:tr>
        <w:trPr>
          <w:trHeight w:val="564" w:hRule="exact"/>
        </w:trPr>
        <w:tc>
          <w:tcPr>
            <w:tcW w:w="2626" w:type="dxa"/>
          </w:tcPr>
          <w:p>
            <w:pPr>
              <w:pStyle w:val="TableParagraph"/>
              <w:ind w:left="103" w:right="986"/>
              <w:rPr>
                <w:b/>
                <w:sz w:val="24"/>
              </w:rPr>
            </w:pPr>
            <w:r>
              <w:rPr>
                <w:b/>
                <w:strike/>
                <w:color w:val="2E97D3"/>
                <w:sz w:val="24"/>
              </w:rPr>
              <w:t>Handicapped Checking</w:t>
            </w:r>
          </w:p>
        </w:tc>
        <w:tc>
          <w:tcPr>
            <w:tcW w:w="1159" w:type="dxa"/>
          </w:tcPr>
          <w:p>
            <w:pPr>
              <w:pStyle w:val="TableParagraph"/>
              <w:spacing w:before="135"/>
              <w:ind w:left="422" w:right="420"/>
              <w:jc w:val="center"/>
              <w:rPr>
                <w:sz w:val="24"/>
              </w:rPr>
            </w:pPr>
            <w:r>
              <w:rPr>
                <w:strike/>
                <w:color w:val="2E97D3"/>
                <w:sz w:val="24"/>
              </w:rPr>
              <w:t>$0</w:t>
            </w:r>
          </w:p>
        </w:tc>
        <w:tc>
          <w:tcPr>
            <w:tcW w:w="1442" w:type="dxa"/>
          </w:tcPr>
          <w:p>
            <w:pPr>
              <w:pStyle w:val="TableParagraph"/>
              <w:spacing w:before="135"/>
              <w:ind w:left="262" w:right="260"/>
              <w:jc w:val="center"/>
              <w:rPr>
                <w:sz w:val="24"/>
              </w:rPr>
            </w:pPr>
            <w:r>
              <w:rPr>
                <w:strike/>
                <w:color w:val="2E97D3"/>
                <w:sz w:val="24"/>
              </w:rPr>
              <w:t>$0</w:t>
            </w:r>
          </w:p>
        </w:tc>
        <w:tc>
          <w:tcPr>
            <w:tcW w:w="1452" w:type="dxa"/>
          </w:tcPr>
          <w:p>
            <w:pPr>
              <w:pStyle w:val="TableParagraph"/>
              <w:spacing w:before="135"/>
              <w:ind w:left="200" w:right="200"/>
              <w:jc w:val="center"/>
              <w:rPr>
                <w:sz w:val="24"/>
              </w:rPr>
            </w:pPr>
            <w:r>
              <w:rPr>
                <w:strike/>
                <w:color w:val="2E97D3"/>
                <w:sz w:val="24"/>
              </w:rPr>
              <w:t>$2,900</w:t>
            </w:r>
          </w:p>
        </w:tc>
        <w:tc>
          <w:tcPr>
            <w:tcW w:w="1474" w:type="dxa"/>
          </w:tcPr>
          <w:p>
            <w:pPr>
              <w:pStyle w:val="TableParagraph"/>
              <w:spacing w:before="135"/>
              <w:ind w:left="111" w:right="111"/>
              <w:jc w:val="center"/>
              <w:rPr>
                <w:sz w:val="24"/>
              </w:rPr>
            </w:pPr>
            <w:r>
              <w:rPr>
                <w:strike/>
                <w:color w:val="2E97D3"/>
                <w:sz w:val="24"/>
              </w:rPr>
              <w:t>$0</w:t>
            </w:r>
          </w:p>
        </w:tc>
        <w:tc>
          <w:tcPr>
            <w:tcW w:w="1471" w:type="dxa"/>
          </w:tcPr>
          <w:p>
            <w:pPr>
              <w:pStyle w:val="TableParagraph"/>
              <w:spacing w:before="135"/>
              <w:ind w:left="109" w:right="109"/>
              <w:jc w:val="center"/>
              <w:rPr>
                <w:sz w:val="24"/>
              </w:rPr>
            </w:pPr>
            <w:r>
              <w:rPr>
                <w:strike/>
                <w:color w:val="2E97D3"/>
                <w:sz w:val="24"/>
              </w:rPr>
              <w:t>$2,900</w:t>
            </w:r>
          </w:p>
        </w:tc>
      </w:tr>
      <w:tr>
        <w:trPr>
          <w:trHeight w:val="562" w:hRule="exact"/>
        </w:trPr>
        <w:tc>
          <w:tcPr>
            <w:tcW w:w="2626" w:type="dxa"/>
          </w:tcPr>
          <w:p>
            <w:pPr>
              <w:pStyle w:val="TableParagraph"/>
              <w:ind w:left="103" w:right="826"/>
              <w:rPr>
                <w:b/>
                <w:sz w:val="24"/>
              </w:rPr>
            </w:pPr>
            <w:r>
              <w:rPr>
                <w:b/>
                <w:strike/>
                <w:color w:val="2E97D3"/>
                <w:sz w:val="24"/>
              </w:rPr>
              <w:t>Environmental Document</w:t>
            </w:r>
          </w:p>
        </w:tc>
        <w:tc>
          <w:tcPr>
            <w:tcW w:w="1159" w:type="dxa"/>
          </w:tcPr>
          <w:p>
            <w:pPr>
              <w:pStyle w:val="TableParagraph"/>
              <w:spacing w:before="132"/>
              <w:ind w:left="422" w:right="420"/>
              <w:jc w:val="center"/>
              <w:rPr>
                <w:sz w:val="24"/>
              </w:rPr>
            </w:pPr>
            <w:r>
              <w:rPr>
                <w:strike/>
                <w:color w:val="2E97D3"/>
                <w:sz w:val="24"/>
              </w:rPr>
              <w:t>$0</w:t>
            </w:r>
          </w:p>
        </w:tc>
        <w:tc>
          <w:tcPr>
            <w:tcW w:w="1442" w:type="dxa"/>
          </w:tcPr>
          <w:p>
            <w:pPr>
              <w:pStyle w:val="TableParagraph"/>
              <w:spacing w:before="132"/>
              <w:ind w:left="262" w:right="260"/>
              <w:jc w:val="center"/>
              <w:rPr>
                <w:sz w:val="24"/>
              </w:rPr>
            </w:pPr>
            <w:r>
              <w:rPr>
                <w:strike/>
                <w:color w:val="2E97D3"/>
                <w:sz w:val="24"/>
              </w:rPr>
              <w:t>$0</w:t>
            </w:r>
          </w:p>
        </w:tc>
        <w:tc>
          <w:tcPr>
            <w:tcW w:w="1452" w:type="dxa"/>
          </w:tcPr>
          <w:p>
            <w:pPr>
              <w:pStyle w:val="TableParagraph"/>
              <w:spacing w:before="132"/>
              <w:ind w:left="200" w:right="200"/>
              <w:jc w:val="center"/>
              <w:rPr>
                <w:sz w:val="24"/>
              </w:rPr>
            </w:pPr>
            <w:r>
              <w:rPr>
                <w:strike/>
                <w:color w:val="2E97D3"/>
                <w:sz w:val="24"/>
              </w:rPr>
              <w:t>$0</w:t>
            </w:r>
          </w:p>
        </w:tc>
        <w:tc>
          <w:tcPr>
            <w:tcW w:w="1474" w:type="dxa"/>
          </w:tcPr>
          <w:p>
            <w:pPr>
              <w:pStyle w:val="TableParagraph"/>
              <w:spacing w:before="132"/>
              <w:ind w:left="111" w:right="111"/>
              <w:jc w:val="center"/>
              <w:rPr>
                <w:sz w:val="24"/>
              </w:rPr>
            </w:pPr>
            <w:r>
              <w:rPr>
                <w:strike/>
                <w:color w:val="2E97D3"/>
                <w:sz w:val="24"/>
              </w:rPr>
              <w:t>$0</w:t>
            </w:r>
          </w:p>
        </w:tc>
        <w:tc>
          <w:tcPr>
            <w:tcW w:w="1471" w:type="dxa"/>
          </w:tcPr>
          <w:p>
            <w:pPr>
              <w:pStyle w:val="TableParagraph"/>
              <w:spacing w:before="132"/>
              <w:ind w:left="111" w:right="109"/>
              <w:jc w:val="center"/>
              <w:rPr>
                <w:sz w:val="24"/>
              </w:rPr>
            </w:pPr>
            <w:r>
              <w:rPr>
                <w:strike/>
                <w:color w:val="2E97D3"/>
                <w:sz w:val="24"/>
              </w:rPr>
              <w:t>$0</w:t>
            </w:r>
          </w:p>
        </w:tc>
      </w:tr>
      <w:tr>
        <w:trPr>
          <w:trHeight w:val="562" w:hRule="exact"/>
        </w:trPr>
        <w:tc>
          <w:tcPr>
            <w:tcW w:w="2626" w:type="dxa"/>
          </w:tcPr>
          <w:p>
            <w:pPr>
              <w:pStyle w:val="TableParagraph"/>
              <w:ind w:left="103" w:right="279"/>
              <w:rPr>
                <w:b/>
                <w:sz w:val="24"/>
              </w:rPr>
            </w:pPr>
            <w:r>
              <w:rPr>
                <w:b/>
                <w:strike/>
                <w:color w:val="2E97D3"/>
                <w:sz w:val="24"/>
              </w:rPr>
              <w:t>SUBTOTAL OTHER PROJECT COSTS</w:t>
            </w:r>
          </w:p>
        </w:tc>
        <w:tc>
          <w:tcPr>
            <w:tcW w:w="1159" w:type="dxa"/>
          </w:tcPr>
          <w:p>
            <w:pPr>
              <w:pStyle w:val="TableParagraph"/>
              <w:spacing w:before="132"/>
              <w:ind w:left="422" w:right="420"/>
              <w:jc w:val="center"/>
              <w:rPr>
                <w:sz w:val="24"/>
              </w:rPr>
            </w:pPr>
            <w:r>
              <w:rPr>
                <w:strike/>
                <w:color w:val="2E97D3"/>
                <w:sz w:val="24"/>
              </w:rPr>
              <w:t>$0</w:t>
            </w:r>
          </w:p>
        </w:tc>
        <w:tc>
          <w:tcPr>
            <w:tcW w:w="1442" w:type="dxa"/>
          </w:tcPr>
          <w:p>
            <w:pPr>
              <w:pStyle w:val="TableParagraph"/>
              <w:spacing w:before="132"/>
              <w:ind w:left="262" w:right="262"/>
              <w:jc w:val="center"/>
              <w:rPr>
                <w:sz w:val="24"/>
              </w:rPr>
            </w:pPr>
            <w:r>
              <w:rPr>
                <w:strike/>
                <w:color w:val="2E97D3"/>
                <w:sz w:val="24"/>
              </w:rPr>
              <w:t>$25,100</w:t>
            </w:r>
          </w:p>
        </w:tc>
        <w:tc>
          <w:tcPr>
            <w:tcW w:w="1452" w:type="dxa"/>
          </w:tcPr>
          <w:p>
            <w:pPr>
              <w:pStyle w:val="TableParagraph"/>
              <w:spacing w:before="132"/>
              <w:ind w:left="200" w:right="201"/>
              <w:jc w:val="center"/>
              <w:rPr>
                <w:sz w:val="24"/>
              </w:rPr>
            </w:pPr>
            <w:r>
              <w:rPr>
                <w:strike/>
                <w:color w:val="2E97D3"/>
                <w:sz w:val="24"/>
              </w:rPr>
              <w:t>$182,900</w:t>
            </w:r>
          </w:p>
        </w:tc>
        <w:tc>
          <w:tcPr>
            <w:tcW w:w="1474" w:type="dxa"/>
          </w:tcPr>
          <w:p>
            <w:pPr>
              <w:pStyle w:val="TableParagraph"/>
              <w:spacing w:before="132"/>
              <w:ind w:left="111" w:right="111"/>
              <w:jc w:val="center"/>
              <w:rPr>
                <w:sz w:val="24"/>
              </w:rPr>
            </w:pPr>
            <w:r>
              <w:rPr>
                <w:strike/>
                <w:color w:val="2E97D3"/>
                <w:sz w:val="24"/>
              </w:rPr>
              <w:t>$1,378,000</w:t>
            </w:r>
          </w:p>
        </w:tc>
        <w:tc>
          <w:tcPr>
            <w:tcW w:w="1471" w:type="dxa"/>
          </w:tcPr>
          <w:p>
            <w:pPr>
              <w:pStyle w:val="TableParagraph"/>
              <w:spacing w:before="132"/>
              <w:ind w:left="111" w:right="109"/>
              <w:jc w:val="center"/>
              <w:rPr>
                <w:sz w:val="24"/>
              </w:rPr>
            </w:pPr>
            <w:r>
              <w:rPr>
                <w:strike/>
                <w:color w:val="2E97D3"/>
                <w:sz w:val="24"/>
              </w:rPr>
              <w:t>$1,586,000</w:t>
            </w:r>
          </w:p>
        </w:tc>
      </w:tr>
    </w:tbl>
    <w:p>
      <w:pPr>
        <w:pStyle w:val="BodyText"/>
        <w:rPr>
          <w:b/>
          <w:sz w:val="20"/>
        </w:rPr>
      </w:pPr>
    </w:p>
    <w:p>
      <w:pPr>
        <w:pStyle w:val="BodyText"/>
        <w:rPr>
          <w:b/>
          <w:sz w:val="20"/>
        </w:rPr>
      </w:pPr>
    </w:p>
    <w:p>
      <w:pPr>
        <w:pStyle w:val="BodyText"/>
        <w:spacing w:before="3"/>
        <w:rPr>
          <w:b/>
          <w:sz w:val="15"/>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1260"/>
        <w:gridCol w:w="1440"/>
        <w:gridCol w:w="1440"/>
        <w:gridCol w:w="1531"/>
        <w:gridCol w:w="1440"/>
      </w:tblGrid>
      <w:tr>
        <w:trPr>
          <w:trHeight w:val="562" w:hRule="exact"/>
        </w:trPr>
        <w:tc>
          <w:tcPr>
            <w:tcW w:w="2628" w:type="dxa"/>
          </w:tcPr>
          <w:p>
            <w:pPr>
              <w:pStyle w:val="TableParagraph"/>
              <w:ind w:left="103" w:right="242"/>
              <w:rPr>
                <w:b/>
                <w:sz w:val="24"/>
              </w:rPr>
            </w:pPr>
            <w:r>
              <w:rPr>
                <w:b/>
                <w:strike/>
                <w:color w:val="2E97D3"/>
                <w:sz w:val="24"/>
              </w:rPr>
              <w:t>TOTAL ESTIMATED PROJECT COST</w:t>
            </w:r>
          </w:p>
        </w:tc>
        <w:tc>
          <w:tcPr>
            <w:tcW w:w="1260" w:type="dxa"/>
          </w:tcPr>
          <w:p>
            <w:pPr>
              <w:pStyle w:val="TableParagraph"/>
              <w:spacing w:before="135"/>
              <w:ind w:right="487"/>
              <w:jc w:val="right"/>
              <w:rPr>
                <w:sz w:val="24"/>
              </w:rPr>
            </w:pPr>
            <w:r>
              <w:rPr>
                <w:strike/>
                <w:color w:val="2E97D3"/>
                <w:sz w:val="24"/>
              </w:rPr>
              <w:t>$0</w:t>
            </w:r>
          </w:p>
        </w:tc>
        <w:tc>
          <w:tcPr>
            <w:tcW w:w="1440" w:type="dxa"/>
          </w:tcPr>
          <w:p>
            <w:pPr>
              <w:pStyle w:val="TableParagraph"/>
              <w:spacing w:before="135"/>
              <w:ind w:left="93" w:right="93"/>
              <w:jc w:val="center"/>
              <w:rPr>
                <w:sz w:val="24"/>
              </w:rPr>
            </w:pPr>
            <w:r>
              <w:rPr>
                <w:strike/>
                <w:color w:val="2E97D3"/>
                <w:sz w:val="24"/>
              </w:rPr>
              <w:t>$127,100</w:t>
            </w:r>
          </w:p>
        </w:tc>
        <w:tc>
          <w:tcPr>
            <w:tcW w:w="1440" w:type="dxa"/>
          </w:tcPr>
          <w:p>
            <w:pPr>
              <w:pStyle w:val="TableParagraph"/>
              <w:spacing w:before="135"/>
              <w:ind w:left="93" w:right="93"/>
              <w:jc w:val="center"/>
              <w:rPr>
                <w:sz w:val="24"/>
              </w:rPr>
            </w:pPr>
            <w:r>
              <w:rPr>
                <w:strike/>
                <w:color w:val="2E97D3"/>
                <w:sz w:val="24"/>
              </w:rPr>
              <w:t>$581,900</w:t>
            </w:r>
          </w:p>
        </w:tc>
        <w:tc>
          <w:tcPr>
            <w:tcW w:w="1531" w:type="dxa"/>
          </w:tcPr>
          <w:p>
            <w:pPr>
              <w:pStyle w:val="TableParagraph"/>
              <w:spacing w:before="135"/>
              <w:ind w:left="85" w:right="85"/>
              <w:jc w:val="center"/>
              <w:rPr>
                <w:sz w:val="24"/>
              </w:rPr>
            </w:pPr>
            <w:r>
              <w:rPr>
                <w:strike/>
                <w:color w:val="2E97D3"/>
                <w:sz w:val="24"/>
              </w:rPr>
              <w:t>$8,644,000</w:t>
            </w:r>
          </w:p>
        </w:tc>
        <w:tc>
          <w:tcPr>
            <w:tcW w:w="1440" w:type="dxa"/>
          </w:tcPr>
          <w:p>
            <w:pPr>
              <w:pStyle w:val="TableParagraph"/>
              <w:spacing w:before="135"/>
              <w:ind w:left="93" w:right="95"/>
              <w:jc w:val="center"/>
              <w:rPr>
                <w:sz w:val="24"/>
              </w:rPr>
            </w:pPr>
            <w:r>
              <w:rPr>
                <w:strike/>
                <w:color w:val="2E97D3"/>
                <w:sz w:val="24"/>
              </w:rPr>
              <w:t>$9,353,000</w:t>
            </w:r>
          </w:p>
        </w:tc>
      </w:tr>
      <w:tr>
        <w:trPr>
          <w:trHeight w:val="562" w:hRule="exact"/>
        </w:trPr>
        <w:tc>
          <w:tcPr>
            <w:tcW w:w="2628" w:type="dxa"/>
          </w:tcPr>
          <w:p>
            <w:pPr>
              <w:pStyle w:val="TableParagraph"/>
              <w:ind w:left="103" w:right="682"/>
              <w:rPr>
                <w:b/>
                <w:sz w:val="24"/>
              </w:rPr>
            </w:pPr>
            <w:r>
              <w:rPr>
                <w:b/>
                <w:strike/>
                <w:color w:val="2E97D3"/>
                <w:sz w:val="24"/>
              </w:rPr>
              <w:t>LESS FUNDS TRANSFERRED</w:t>
            </w:r>
          </w:p>
        </w:tc>
        <w:tc>
          <w:tcPr>
            <w:tcW w:w="1260" w:type="dxa"/>
          </w:tcPr>
          <w:p>
            <w:pPr>
              <w:pStyle w:val="TableParagraph"/>
              <w:spacing w:before="135"/>
              <w:ind w:right="487"/>
              <w:jc w:val="right"/>
              <w:rPr>
                <w:sz w:val="24"/>
              </w:rPr>
            </w:pPr>
            <w:r>
              <w:rPr>
                <w:strike/>
                <w:color w:val="2E97D3"/>
                <w:sz w:val="24"/>
              </w:rPr>
              <w:t>$0</w:t>
            </w:r>
          </w:p>
        </w:tc>
        <w:tc>
          <w:tcPr>
            <w:tcW w:w="1440" w:type="dxa"/>
          </w:tcPr>
          <w:p>
            <w:pPr>
              <w:pStyle w:val="TableParagraph"/>
              <w:spacing w:before="135"/>
              <w:ind w:left="93" w:right="93"/>
              <w:jc w:val="center"/>
              <w:rPr>
                <w:sz w:val="24"/>
              </w:rPr>
            </w:pPr>
            <w:r>
              <w:rPr>
                <w:strike/>
                <w:color w:val="2E97D3"/>
                <w:sz w:val="24"/>
              </w:rPr>
              <w:t>$0</w:t>
            </w:r>
          </w:p>
        </w:tc>
        <w:tc>
          <w:tcPr>
            <w:tcW w:w="1440" w:type="dxa"/>
          </w:tcPr>
          <w:p>
            <w:pPr>
              <w:pStyle w:val="TableParagraph"/>
              <w:spacing w:before="135"/>
              <w:ind w:left="93" w:right="93"/>
              <w:jc w:val="center"/>
              <w:rPr>
                <w:sz w:val="24"/>
              </w:rPr>
            </w:pPr>
            <w:r>
              <w:rPr>
                <w:strike/>
                <w:color w:val="2E97D3"/>
                <w:sz w:val="24"/>
              </w:rPr>
              <w:t>$0</w:t>
            </w:r>
          </w:p>
        </w:tc>
        <w:tc>
          <w:tcPr>
            <w:tcW w:w="1531" w:type="dxa"/>
          </w:tcPr>
          <w:p>
            <w:pPr>
              <w:pStyle w:val="TableParagraph"/>
              <w:spacing w:before="135"/>
              <w:ind w:left="85" w:right="85"/>
              <w:jc w:val="center"/>
              <w:rPr>
                <w:sz w:val="24"/>
              </w:rPr>
            </w:pPr>
            <w:r>
              <w:rPr>
                <w:strike/>
                <w:color w:val="2E97D3"/>
                <w:sz w:val="24"/>
              </w:rPr>
              <w:t>$0</w:t>
            </w:r>
          </w:p>
        </w:tc>
        <w:tc>
          <w:tcPr>
            <w:tcW w:w="1440" w:type="dxa"/>
          </w:tcPr>
          <w:p>
            <w:pPr>
              <w:pStyle w:val="TableParagraph"/>
              <w:spacing w:before="135"/>
              <w:ind w:left="93" w:right="95"/>
              <w:jc w:val="center"/>
              <w:rPr>
                <w:sz w:val="24"/>
              </w:rPr>
            </w:pPr>
            <w:r>
              <w:rPr>
                <w:strike/>
                <w:color w:val="2E97D3"/>
                <w:sz w:val="24"/>
              </w:rPr>
              <w:t>$0</w:t>
            </w:r>
          </w:p>
        </w:tc>
      </w:tr>
      <w:tr>
        <w:trPr>
          <w:trHeight w:val="288" w:hRule="exact"/>
        </w:trPr>
        <w:tc>
          <w:tcPr>
            <w:tcW w:w="2628" w:type="dxa"/>
          </w:tcPr>
          <w:p>
            <w:pPr>
              <w:pStyle w:val="TableParagraph"/>
              <w:spacing w:line="274" w:lineRule="exact"/>
              <w:ind w:left="103"/>
              <w:rPr>
                <w:b/>
                <w:sz w:val="24"/>
              </w:rPr>
            </w:pPr>
            <w:r>
              <w:rPr>
                <w:b/>
                <w:strike/>
                <w:color w:val="2E97D3"/>
                <w:sz w:val="24"/>
              </w:rPr>
              <w:t>FUNDS RETURNED</w:t>
            </w:r>
          </w:p>
        </w:tc>
        <w:tc>
          <w:tcPr>
            <w:tcW w:w="1260" w:type="dxa"/>
          </w:tcPr>
          <w:p>
            <w:pPr>
              <w:pStyle w:val="TableParagraph"/>
              <w:spacing w:line="274" w:lineRule="exact"/>
              <w:ind w:right="487"/>
              <w:jc w:val="right"/>
              <w:rPr>
                <w:sz w:val="24"/>
              </w:rPr>
            </w:pPr>
            <w:r>
              <w:rPr>
                <w:strike/>
                <w:color w:val="2E97D3"/>
                <w:sz w:val="24"/>
              </w:rPr>
              <w:t>$0</w:t>
            </w:r>
          </w:p>
        </w:tc>
        <w:tc>
          <w:tcPr>
            <w:tcW w:w="1440" w:type="dxa"/>
          </w:tcPr>
          <w:p>
            <w:pPr>
              <w:pStyle w:val="TableParagraph"/>
              <w:spacing w:line="274" w:lineRule="exact"/>
              <w:ind w:left="93" w:right="93"/>
              <w:jc w:val="center"/>
              <w:rPr>
                <w:sz w:val="24"/>
              </w:rPr>
            </w:pPr>
            <w:r>
              <w:rPr>
                <w:strike/>
                <w:color w:val="2E97D3"/>
                <w:sz w:val="24"/>
              </w:rPr>
              <w:t>$0</w:t>
            </w:r>
          </w:p>
        </w:tc>
        <w:tc>
          <w:tcPr>
            <w:tcW w:w="1440" w:type="dxa"/>
          </w:tcPr>
          <w:p>
            <w:pPr>
              <w:pStyle w:val="TableParagraph"/>
              <w:spacing w:line="274" w:lineRule="exact"/>
              <w:ind w:left="93" w:right="93"/>
              <w:jc w:val="center"/>
              <w:rPr>
                <w:sz w:val="24"/>
              </w:rPr>
            </w:pPr>
            <w:r>
              <w:rPr>
                <w:strike/>
                <w:color w:val="2E97D3"/>
                <w:sz w:val="24"/>
              </w:rPr>
              <w:t>$0</w:t>
            </w:r>
          </w:p>
        </w:tc>
        <w:tc>
          <w:tcPr>
            <w:tcW w:w="1531" w:type="dxa"/>
          </w:tcPr>
          <w:p>
            <w:pPr>
              <w:pStyle w:val="TableParagraph"/>
              <w:spacing w:line="274" w:lineRule="exact"/>
              <w:ind w:left="85" w:right="85"/>
              <w:jc w:val="center"/>
              <w:rPr>
                <w:sz w:val="24"/>
              </w:rPr>
            </w:pPr>
            <w:r>
              <w:rPr>
                <w:strike/>
                <w:color w:val="2E97D3"/>
                <w:sz w:val="24"/>
              </w:rPr>
              <w:t>$0</w:t>
            </w:r>
          </w:p>
        </w:tc>
        <w:tc>
          <w:tcPr>
            <w:tcW w:w="1440" w:type="dxa"/>
          </w:tcPr>
          <w:p>
            <w:pPr>
              <w:pStyle w:val="TableParagraph"/>
              <w:spacing w:line="274" w:lineRule="exact"/>
              <w:ind w:left="93" w:right="95"/>
              <w:jc w:val="center"/>
              <w:rPr>
                <w:sz w:val="24"/>
              </w:rPr>
            </w:pPr>
            <w:r>
              <w:rPr>
                <w:strike/>
                <w:color w:val="2E97D3"/>
                <w:sz w:val="24"/>
              </w:rPr>
              <w:t>$0</w:t>
            </w:r>
          </w:p>
        </w:tc>
      </w:tr>
      <w:tr>
        <w:trPr>
          <w:trHeight w:val="286" w:hRule="exact"/>
        </w:trPr>
        <w:tc>
          <w:tcPr>
            <w:tcW w:w="2628" w:type="dxa"/>
          </w:tcPr>
          <w:p>
            <w:pPr>
              <w:pStyle w:val="TableParagraph"/>
              <w:spacing w:line="272" w:lineRule="exact"/>
              <w:ind w:left="103"/>
              <w:rPr>
                <w:b/>
                <w:sz w:val="24"/>
              </w:rPr>
            </w:pPr>
            <w:r>
              <w:rPr>
                <w:b/>
                <w:strike/>
                <w:color w:val="2E97D3"/>
                <w:sz w:val="24"/>
              </w:rPr>
              <w:t>CARRY OVER</w:t>
            </w:r>
          </w:p>
        </w:tc>
        <w:tc>
          <w:tcPr>
            <w:tcW w:w="1260" w:type="dxa"/>
          </w:tcPr>
          <w:p>
            <w:pPr>
              <w:pStyle w:val="TableParagraph"/>
              <w:spacing w:line="272" w:lineRule="exact"/>
              <w:ind w:right="487"/>
              <w:jc w:val="right"/>
              <w:rPr>
                <w:sz w:val="24"/>
              </w:rPr>
            </w:pPr>
            <w:r>
              <w:rPr>
                <w:strike/>
                <w:color w:val="2E97D3"/>
                <w:sz w:val="24"/>
              </w:rPr>
              <w:t>$0</w:t>
            </w:r>
          </w:p>
        </w:tc>
        <w:tc>
          <w:tcPr>
            <w:tcW w:w="1440" w:type="dxa"/>
          </w:tcPr>
          <w:p>
            <w:pPr>
              <w:pStyle w:val="TableParagraph"/>
              <w:spacing w:line="272" w:lineRule="exact"/>
              <w:ind w:left="93" w:right="93"/>
              <w:jc w:val="center"/>
              <w:rPr>
                <w:sz w:val="24"/>
              </w:rPr>
            </w:pPr>
            <w:r>
              <w:rPr>
                <w:strike/>
                <w:color w:val="2E97D3"/>
                <w:sz w:val="24"/>
              </w:rPr>
              <w:t>$0</w:t>
            </w:r>
          </w:p>
        </w:tc>
        <w:tc>
          <w:tcPr>
            <w:tcW w:w="1440" w:type="dxa"/>
          </w:tcPr>
          <w:p>
            <w:pPr>
              <w:pStyle w:val="TableParagraph"/>
              <w:spacing w:line="272" w:lineRule="exact"/>
              <w:ind w:left="93" w:right="93"/>
              <w:jc w:val="center"/>
              <w:rPr>
                <w:sz w:val="24"/>
              </w:rPr>
            </w:pPr>
            <w:r>
              <w:rPr>
                <w:strike/>
                <w:color w:val="2E97D3"/>
                <w:sz w:val="24"/>
              </w:rPr>
              <w:t>$127,100</w:t>
            </w:r>
          </w:p>
        </w:tc>
        <w:tc>
          <w:tcPr>
            <w:tcW w:w="1531" w:type="dxa"/>
          </w:tcPr>
          <w:p>
            <w:pPr>
              <w:pStyle w:val="TableParagraph"/>
              <w:spacing w:line="272" w:lineRule="exact"/>
              <w:ind w:left="85" w:right="85"/>
              <w:jc w:val="center"/>
              <w:rPr>
                <w:sz w:val="24"/>
              </w:rPr>
            </w:pPr>
            <w:r>
              <w:rPr>
                <w:strike/>
                <w:color w:val="2E97D3"/>
                <w:sz w:val="24"/>
              </w:rPr>
              <w:t>$709,000</w:t>
            </w:r>
          </w:p>
        </w:tc>
        <w:tc>
          <w:tcPr>
            <w:tcW w:w="1440" w:type="dxa"/>
          </w:tcPr>
          <w:p>
            <w:pPr>
              <w:pStyle w:val="TableParagraph"/>
              <w:spacing w:line="272" w:lineRule="exact"/>
              <w:ind w:left="93" w:right="95"/>
              <w:jc w:val="center"/>
              <w:rPr>
                <w:sz w:val="24"/>
              </w:rPr>
            </w:pPr>
            <w:r>
              <w:rPr>
                <w:strike/>
                <w:color w:val="2E97D3"/>
                <w:sz w:val="24"/>
              </w:rPr>
              <w:t>$0</w:t>
            </w:r>
          </w:p>
        </w:tc>
      </w:tr>
      <w:tr>
        <w:trPr>
          <w:trHeight w:val="562" w:hRule="exact"/>
        </w:trPr>
        <w:tc>
          <w:tcPr>
            <w:tcW w:w="2628" w:type="dxa"/>
          </w:tcPr>
          <w:p>
            <w:pPr>
              <w:pStyle w:val="TableParagraph"/>
              <w:ind w:left="103" w:right="1228"/>
              <w:rPr>
                <w:b/>
                <w:sz w:val="24"/>
              </w:rPr>
            </w:pPr>
            <w:r>
              <w:rPr>
                <w:b/>
                <w:strike/>
                <w:color w:val="2E97D3"/>
                <w:sz w:val="24"/>
              </w:rPr>
              <w:t>BALANCE REQUIRED</w:t>
            </w:r>
          </w:p>
        </w:tc>
        <w:tc>
          <w:tcPr>
            <w:tcW w:w="1260" w:type="dxa"/>
          </w:tcPr>
          <w:p>
            <w:pPr>
              <w:pStyle w:val="TableParagraph"/>
              <w:spacing w:before="132"/>
              <w:ind w:right="487"/>
              <w:jc w:val="right"/>
              <w:rPr>
                <w:sz w:val="24"/>
              </w:rPr>
            </w:pPr>
            <w:r>
              <w:rPr>
                <w:strike/>
                <w:color w:val="2E97D3"/>
                <w:sz w:val="24"/>
              </w:rPr>
              <w:t>$0</w:t>
            </w:r>
          </w:p>
        </w:tc>
        <w:tc>
          <w:tcPr>
            <w:tcW w:w="1440" w:type="dxa"/>
          </w:tcPr>
          <w:p>
            <w:pPr>
              <w:pStyle w:val="TableParagraph"/>
              <w:spacing w:before="132"/>
              <w:ind w:left="93" w:right="93"/>
              <w:jc w:val="center"/>
              <w:rPr>
                <w:sz w:val="24"/>
              </w:rPr>
            </w:pPr>
            <w:r>
              <w:rPr>
                <w:strike/>
                <w:color w:val="2E97D3"/>
                <w:sz w:val="24"/>
              </w:rPr>
              <w:t>$127,100</w:t>
            </w:r>
          </w:p>
        </w:tc>
        <w:tc>
          <w:tcPr>
            <w:tcW w:w="1440" w:type="dxa"/>
          </w:tcPr>
          <w:p>
            <w:pPr>
              <w:pStyle w:val="TableParagraph"/>
              <w:spacing w:before="132"/>
              <w:ind w:left="93" w:right="93"/>
              <w:jc w:val="center"/>
              <w:rPr>
                <w:sz w:val="24"/>
              </w:rPr>
            </w:pPr>
            <w:r>
              <w:rPr>
                <w:strike/>
                <w:color w:val="2E97D3"/>
                <w:sz w:val="24"/>
              </w:rPr>
              <w:t>$709,000</w:t>
            </w:r>
          </w:p>
        </w:tc>
        <w:tc>
          <w:tcPr>
            <w:tcW w:w="1531" w:type="dxa"/>
          </w:tcPr>
          <w:p>
            <w:pPr>
              <w:pStyle w:val="TableParagraph"/>
              <w:spacing w:before="132"/>
              <w:ind w:left="85" w:right="85"/>
              <w:jc w:val="center"/>
              <w:rPr>
                <w:sz w:val="24"/>
              </w:rPr>
            </w:pPr>
            <w:r>
              <w:rPr>
                <w:strike/>
                <w:color w:val="2E97D3"/>
                <w:sz w:val="24"/>
              </w:rPr>
              <w:t>$9,353,000</w:t>
            </w:r>
          </w:p>
        </w:tc>
        <w:tc>
          <w:tcPr>
            <w:tcW w:w="1440" w:type="dxa"/>
          </w:tcPr>
          <w:p>
            <w:pPr>
              <w:pStyle w:val="TableParagraph"/>
              <w:spacing w:before="132"/>
              <w:ind w:left="93" w:right="95"/>
              <w:jc w:val="center"/>
              <w:rPr>
                <w:sz w:val="24"/>
              </w:rPr>
            </w:pPr>
            <w:r>
              <w:rPr>
                <w:strike/>
                <w:color w:val="2E97D3"/>
                <w:sz w:val="24"/>
              </w:rPr>
              <w:t>$9,353,000</w:t>
            </w:r>
          </w:p>
        </w:tc>
      </w:tr>
    </w:tbl>
    <w:p>
      <w:pPr>
        <w:pStyle w:val="BodyText"/>
        <w:rPr>
          <w:b/>
          <w:sz w:val="26"/>
        </w:rPr>
      </w:pPr>
    </w:p>
    <w:p>
      <w:pPr>
        <w:pStyle w:val="BodyText"/>
        <w:spacing w:before="1"/>
        <w:rPr>
          <w:b/>
          <w:sz w:val="29"/>
        </w:rPr>
      </w:pPr>
    </w:p>
    <w:p>
      <w:pPr>
        <w:spacing w:line="253" w:lineRule="exact" w:before="0"/>
        <w:ind w:left="667" w:right="6934" w:firstLine="0"/>
        <w:jc w:val="center"/>
        <w:rPr>
          <w:sz w:val="22"/>
        </w:rPr>
      </w:pPr>
      <w:r>
        <w:rPr>
          <w:color w:val="2E97D3"/>
          <w:sz w:val="22"/>
          <w:u w:val="single" w:color="2E97D3"/>
        </w:rPr>
        <w:t>required by the project scope:</w:t>
      </w:r>
    </w:p>
    <w:p>
      <w:pPr>
        <w:pStyle w:val="ListParagraph"/>
        <w:numPr>
          <w:ilvl w:val="0"/>
          <w:numId w:val="81"/>
        </w:numPr>
        <w:tabs>
          <w:tab w:pos="1511" w:val="left" w:leader="none"/>
          <w:tab w:pos="1512" w:val="left" w:leader="none"/>
        </w:tabs>
        <w:spacing w:line="275" w:lineRule="exact" w:before="0" w:after="0"/>
        <w:ind w:left="1512" w:right="0" w:hanging="360"/>
        <w:jc w:val="left"/>
        <w:rPr>
          <w:sz w:val="22"/>
        </w:rPr>
      </w:pPr>
      <w:r>
        <w:rPr>
          <w:color w:val="2E97D3"/>
          <w:sz w:val="22"/>
          <w:u w:val="single" w:color="2E97D3"/>
        </w:rPr>
        <w:t>Electrical</w:t>
      </w:r>
      <w:r>
        <w:rPr>
          <w:color w:val="2E97D3"/>
          <w:spacing w:val="-6"/>
          <w:sz w:val="22"/>
          <w:u w:val="single" w:color="2E97D3"/>
        </w:rPr>
        <w:t> </w:t>
      </w:r>
      <w:r>
        <w:rPr>
          <w:color w:val="2E97D3"/>
          <w:sz w:val="22"/>
          <w:u w:val="single" w:color="2E97D3"/>
        </w:rPr>
        <w:t>service</w:t>
      </w:r>
    </w:p>
    <w:p>
      <w:pPr>
        <w:pStyle w:val="ListParagraph"/>
        <w:numPr>
          <w:ilvl w:val="0"/>
          <w:numId w:val="81"/>
        </w:numPr>
        <w:tabs>
          <w:tab w:pos="1511" w:val="left" w:leader="none"/>
          <w:tab w:pos="1512" w:val="left" w:leader="none"/>
        </w:tabs>
        <w:spacing w:line="272" w:lineRule="exact" w:before="0" w:after="0"/>
        <w:ind w:left="1512" w:right="0" w:hanging="360"/>
        <w:jc w:val="left"/>
        <w:rPr>
          <w:sz w:val="22"/>
        </w:rPr>
      </w:pPr>
      <w:r>
        <w:rPr>
          <w:color w:val="2E97D3"/>
          <w:sz w:val="22"/>
          <w:u w:val="single" w:color="2E97D3"/>
        </w:rPr>
        <w:t>Water</w:t>
      </w:r>
      <w:r>
        <w:rPr>
          <w:color w:val="2E97D3"/>
          <w:spacing w:val="-4"/>
          <w:sz w:val="22"/>
          <w:u w:val="single" w:color="2E97D3"/>
        </w:rPr>
        <w:t> </w:t>
      </w:r>
      <w:r>
        <w:rPr>
          <w:color w:val="2E97D3"/>
          <w:sz w:val="22"/>
          <w:u w:val="single" w:color="2E97D3"/>
        </w:rPr>
        <w:t>service</w:t>
      </w:r>
    </w:p>
    <w:p>
      <w:pPr>
        <w:pStyle w:val="ListParagraph"/>
        <w:numPr>
          <w:ilvl w:val="0"/>
          <w:numId w:val="81"/>
        </w:numPr>
        <w:tabs>
          <w:tab w:pos="1511" w:val="left" w:leader="none"/>
          <w:tab w:pos="1512" w:val="left" w:leader="none"/>
        </w:tabs>
        <w:spacing w:line="271" w:lineRule="exact" w:before="0" w:after="0"/>
        <w:ind w:left="1512" w:right="0" w:hanging="360"/>
        <w:jc w:val="left"/>
        <w:rPr>
          <w:sz w:val="22"/>
        </w:rPr>
      </w:pPr>
      <w:r>
        <w:rPr>
          <w:color w:val="2E97D3"/>
          <w:sz w:val="22"/>
          <w:u w:val="single" w:color="2E97D3"/>
        </w:rPr>
        <w:t>Storm water</w:t>
      </w:r>
      <w:r>
        <w:rPr>
          <w:color w:val="2E97D3"/>
          <w:spacing w:val="-3"/>
          <w:sz w:val="22"/>
          <w:u w:val="single" w:color="2E97D3"/>
        </w:rPr>
        <w:t> </w:t>
      </w:r>
      <w:r>
        <w:rPr>
          <w:color w:val="2E97D3"/>
          <w:sz w:val="22"/>
          <w:u w:val="single" w:color="2E97D3"/>
        </w:rPr>
        <w:t>discharge</w:t>
      </w:r>
    </w:p>
    <w:p>
      <w:pPr>
        <w:pStyle w:val="ListParagraph"/>
        <w:numPr>
          <w:ilvl w:val="0"/>
          <w:numId w:val="81"/>
        </w:numPr>
        <w:tabs>
          <w:tab w:pos="1511" w:val="left" w:leader="none"/>
          <w:tab w:pos="1512" w:val="left" w:leader="none"/>
        </w:tabs>
        <w:spacing w:line="271" w:lineRule="exact" w:before="0" w:after="0"/>
        <w:ind w:left="1512" w:right="0" w:hanging="360"/>
        <w:jc w:val="left"/>
        <w:rPr>
          <w:sz w:val="22"/>
        </w:rPr>
      </w:pPr>
      <w:r>
        <w:rPr>
          <w:color w:val="2E97D3"/>
          <w:sz w:val="22"/>
          <w:u w:val="single" w:color="2E97D3"/>
        </w:rPr>
        <w:t>State/City/County</w:t>
      </w:r>
      <w:r>
        <w:rPr>
          <w:color w:val="2E97D3"/>
          <w:spacing w:val="-5"/>
          <w:sz w:val="22"/>
          <w:u w:val="single" w:color="2E97D3"/>
        </w:rPr>
        <w:t> </w:t>
      </w:r>
      <w:r>
        <w:rPr>
          <w:color w:val="2E97D3"/>
          <w:sz w:val="22"/>
          <w:u w:val="single" w:color="2E97D3"/>
        </w:rPr>
        <w:t>Fee</w:t>
      </w:r>
    </w:p>
    <w:p>
      <w:pPr>
        <w:pStyle w:val="ListParagraph"/>
        <w:numPr>
          <w:ilvl w:val="0"/>
          <w:numId w:val="81"/>
        </w:numPr>
        <w:tabs>
          <w:tab w:pos="1511" w:val="left" w:leader="none"/>
          <w:tab w:pos="1512" w:val="left" w:leader="none"/>
        </w:tabs>
        <w:spacing w:line="274" w:lineRule="exact" w:before="0" w:after="0"/>
        <w:ind w:left="1512" w:right="0" w:hanging="360"/>
        <w:jc w:val="left"/>
        <w:rPr>
          <w:sz w:val="22"/>
        </w:rPr>
      </w:pPr>
      <w:r>
        <w:rPr>
          <w:color w:val="2E97D3"/>
          <w:sz w:val="22"/>
          <w:u w:val="single" w:color="2E97D3"/>
        </w:rPr>
        <w:t>Mitigation</w:t>
      </w:r>
    </w:p>
    <w:p>
      <w:pPr>
        <w:spacing w:after="0" w:line="274" w:lineRule="exact"/>
        <w:jc w:val="left"/>
        <w:rPr>
          <w:sz w:val="22"/>
        </w:rPr>
        <w:sectPr>
          <w:footerReference w:type="default" r:id="rId279"/>
          <w:pgSz w:w="12240" w:h="15840"/>
          <w:pgMar w:footer="1079" w:header="724" w:top="980" w:bottom="1260" w:left="480" w:right="1220"/>
        </w:sectPr>
      </w:pPr>
    </w:p>
    <w:p>
      <w:pPr>
        <w:pStyle w:val="BodyText"/>
        <w:rPr>
          <w:sz w:val="20"/>
        </w:rPr>
      </w:pPr>
    </w:p>
    <w:p>
      <w:pPr>
        <w:pStyle w:val="ListParagraph"/>
        <w:numPr>
          <w:ilvl w:val="0"/>
          <w:numId w:val="81"/>
        </w:numPr>
        <w:tabs>
          <w:tab w:pos="1511" w:val="left" w:leader="none"/>
          <w:tab w:pos="1512" w:val="left" w:leader="none"/>
        </w:tabs>
        <w:spacing w:line="240" w:lineRule="auto" w:before="216" w:after="0"/>
        <w:ind w:left="1512" w:right="0" w:hanging="360"/>
        <w:jc w:val="left"/>
        <w:rPr>
          <w:sz w:val="22"/>
        </w:rPr>
      </w:pPr>
      <w:r>
        <w:rPr/>
        <w:pict>
          <v:line style="position:absolute;mso-position-horizontal-relative:page;mso-position-vertical-relative:paragraph;z-index:26848" from="29.4pt,10.895886pt" to="29.4pt,44.255886pt" stroked="true" strokeweight=".72pt" strokecolor="#000000">
            <v:stroke dashstyle="solid"/>
            <w10:wrap type="none"/>
          </v:line>
        </w:pict>
      </w:r>
      <w:r>
        <w:rPr>
          <w:color w:val="2E97D3"/>
          <w:sz w:val="22"/>
          <w:u w:val="single" w:color="2E97D3"/>
        </w:rPr>
        <w:t>Others as</w:t>
      </w:r>
      <w:r>
        <w:rPr>
          <w:color w:val="2E97D3"/>
          <w:spacing w:val="-6"/>
          <w:sz w:val="22"/>
          <w:u w:val="single" w:color="2E97D3"/>
        </w:rPr>
        <w:t> </w:t>
      </w:r>
      <w:r>
        <w:rPr>
          <w:color w:val="2E97D3"/>
          <w:sz w:val="22"/>
          <w:u w:val="single" w:color="2E97D3"/>
        </w:rPr>
        <w:t>determined</w:t>
      </w:r>
    </w:p>
    <w:p>
      <w:pPr>
        <w:spacing w:after="0" w:line="240" w:lineRule="auto"/>
        <w:jc w:val="left"/>
        <w:rPr>
          <w:sz w:val="22"/>
        </w:rPr>
        <w:sectPr>
          <w:pgSz w:w="12240" w:h="15840"/>
          <w:pgMar w:header="724" w:footer="1079" w:top="980" w:bottom="1260" w:left="480" w:right="1720"/>
        </w:sectPr>
      </w:pPr>
    </w:p>
    <w:p>
      <w:pPr>
        <w:pStyle w:val="BodyText"/>
        <w:rPr>
          <w:sz w:val="20"/>
        </w:rPr>
      </w:pPr>
    </w:p>
    <w:p>
      <w:pPr>
        <w:tabs>
          <w:tab w:pos="9204" w:val="left" w:leader="none"/>
        </w:tabs>
        <w:spacing w:before="214"/>
        <w:ind w:left="106" w:right="0" w:firstLine="0"/>
        <w:jc w:val="left"/>
        <w:rPr>
          <w:b/>
          <w:sz w:val="24"/>
        </w:rPr>
      </w:pPr>
      <w:r>
        <w:rPr>
          <w:b/>
          <w:sz w:val="24"/>
        </w:rPr>
        <w:t>BUDGET HEARINGS, FINAL BUDGET</w:t>
      </w:r>
      <w:r>
        <w:rPr>
          <w:b/>
          <w:spacing w:val="-12"/>
          <w:sz w:val="24"/>
        </w:rPr>
        <w:t> </w:t>
      </w:r>
      <w:r>
        <w:rPr>
          <w:b/>
          <w:sz w:val="24"/>
        </w:rPr>
        <w:t>DOCUMENT</w:t>
      </w:r>
      <w:r>
        <w:rPr>
          <w:b/>
          <w:spacing w:val="-4"/>
          <w:sz w:val="24"/>
        </w:rPr>
        <w:t> </w:t>
      </w:r>
      <w:r>
        <w:rPr>
          <w:b/>
          <w:sz w:val="24"/>
        </w:rPr>
        <w:t>PREPARATION</w:t>
        <w:tab/>
        <w:t>6830</w:t>
      </w:r>
    </w:p>
    <w:p>
      <w:pPr>
        <w:pStyle w:val="BodyText"/>
        <w:ind w:left="106"/>
      </w:pPr>
      <w:r>
        <w:rPr/>
        <w:t>(Revised 5/1998)</w:t>
      </w:r>
    </w:p>
    <w:p>
      <w:pPr>
        <w:pStyle w:val="BodyText"/>
        <w:spacing w:before="120"/>
        <w:ind w:left="106" w:right="391"/>
        <w:jc w:val="both"/>
      </w:pPr>
      <w:r>
        <w:rPr/>
        <w:t>Following review of the budget packages, DOF may conduct budget hearings on capital outlay proposals with departmental staff, and as applicable, with agency secretaries and the Governor's Office.  Upon completion of these hearings, the client department must:</w:t>
      </w:r>
    </w:p>
    <w:p>
      <w:pPr>
        <w:pStyle w:val="ListParagraph"/>
        <w:numPr>
          <w:ilvl w:val="0"/>
          <w:numId w:val="82"/>
        </w:numPr>
        <w:tabs>
          <w:tab w:pos="467" w:val="left" w:leader="none"/>
        </w:tabs>
        <w:spacing w:line="240" w:lineRule="auto" w:before="120" w:after="0"/>
        <w:ind w:left="466" w:right="0" w:hanging="360"/>
        <w:jc w:val="left"/>
        <w:rPr>
          <w:sz w:val="24"/>
        </w:rPr>
      </w:pPr>
      <w:r>
        <w:rPr>
          <w:sz w:val="24"/>
        </w:rPr>
        <w:t>Adjust any approved COBCPs to reflect final</w:t>
      </w:r>
      <w:r>
        <w:rPr>
          <w:spacing w:val="-24"/>
          <w:sz w:val="24"/>
        </w:rPr>
        <w:t> </w:t>
      </w:r>
      <w:r>
        <w:rPr>
          <w:sz w:val="24"/>
        </w:rPr>
        <w:t>decisions;</w:t>
      </w:r>
    </w:p>
    <w:p>
      <w:pPr>
        <w:pStyle w:val="ListParagraph"/>
        <w:numPr>
          <w:ilvl w:val="0"/>
          <w:numId w:val="82"/>
        </w:numPr>
        <w:tabs>
          <w:tab w:pos="467" w:val="left" w:leader="none"/>
        </w:tabs>
        <w:spacing w:line="240" w:lineRule="auto" w:before="120" w:after="0"/>
        <w:ind w:left="466" w:right="0" w:hanging="360"/>
        <w:jc w:val="left"/>
        <w:rPr>
          <w:sz w:val="24"/>
        </w:rPr>
      </w:pPr>
      <w:r>
        <w:rPr>
          <w:sz w:val="24"/>
        </w:rPr>
        <w:t>Post decisions in its capital outlay budget galley and supporting budget schedules;</w:t>
      </w:r>
      <w:r>
        <w:rPr>
          <w:spacing w:val="-39"/>
          <w:sz w:val="24"/>
        </w:rPr>
        <w:t> </w:t>
      </w:r>
      <w:r>
        <w:rPr>
          <w:sz w:val="24"/>
        </w:rPr>
        <w:t>and</w:t>
      </w:r>
    </w:p>
    <w:p>
      <w:pPr>
        <w:pStyle w:val="ListParagraph"/>
        <w:numPr>
          <w:ilvl w:val="0"/>
          <w:numId w:val="82"/>
        </w:numPr>
        <w:tabs>
          <w:tab w:pos="467" w:val="left" w:leader="none"/>
        </w:tabs>
        <w:spacing w:line="240" w:lineRule="auto" w:before="120" w:after="0"/>
        <w:ind w:left="466" w:right="782" w:hanging="360"/>
        <w:jc w:val="left"/>
        <w:rPr>
          <w:sz w:val="24"/>
        </w:rPr>
      </w:pPr>
      <w:r>
        <w:rPr>
          <w:sz w:val="24"/>
        </w:rPr>
        <w:t>Distribute copies of final COBCPs to DOF and legislative staff in accordance</w:t>
      </w:r>
      <w:r>
        <w:rPr>
          <w:spacing w:val="-37"/>
          <w:sz w:val="24"/>
        </w:rPr>
        <w:t> </w:t>
      </w:r>
      <w:r>
        <w:rPr>
          <w:sz w:val="24"/>
        </w:rPr>
        <w:t>with instructions issued by DOF in its annual Budget</w:t>
      </w:r>
      <w:r>
        <w:rPr>
          <w:spacing w:val="-25"/>
          <w:sz w:val="24"/>
        </w:rPr>
        <w:t> </w:t>
      </w:r>
      <w:r>
        <w:rPr>
          <w:sz w:val="24"/>
        </w:rPr>
        <w:t>Letter.</w:t>
      </w:r>
    </w:p>
    <w:p>
      <w:pPr>
        <w:pStyle w:val="BodyText"/>
        <w:rPr>
          <w:sz w:val="26"/>
        </w:rPr>
      </w:pPr>
    </w:p>
    <w:p>
      <w:pPr>
        <w:pStyle w:val="BodyText"/>
        <w:spacing w:before="3"/>
        <w:rPr>
          <w:sz w:val="29"/>
        </w:rPr>
      </w:pPr>
    </w:p>
    <w:p>
      <w:pPr>
        <w:pStyle w:val="Heading2"/>
        <w:tabs>
          <w:tab w:pos="9204" w:val="left" w:leader="none"/>
        </w:tabs>
        <w:ind w:left="106"/>
      </w:pPr>
      <w:r>
        <w:rPr/>
        <w:t>GOVERNOR'S BUDGET </w:t>
      </w:r>
      <w:r>
        <w:rPr>
          <w:spacing w:val="-3"/>
        </w:rPr>
        <w:t>AND</w:t>
      </w:r>
      <w:r>
        <w:rPr>
          <w:spacing w:val="-7"/>
        </w:rPr>
        <w:t> </w:t>
      </w:r>
      <w:r>
        <w:rPr/>
        <w:t>LEGISLATIVE</w:t>
      </w:r>
      <w:r>
        <w:rPr>
          <w:spacing w:val="-1"/>
        </w:rPr>
        <w:t> </w:t>
      </w:r>
      <w:r>
        <w:rPr/>
        <w:t>APPROVAL</w:t>
        <w:tab/>
        <w:t>6832</w:t>
      </w:r>
    </w:p>
    <w:p>
      <w:pPr>
        <w:pStyle w:val="BodyText"/>
        <w:ind w:left="106"/>
      </w:pPr>
      <w:r>
        <w:rPr/>
        <w:t>(Revised 5/1998)</w:t>
      </w:r>
    </w:p>
    <w:p>
      <w:pPr>
        <w:pStyle w:val="BodyText"/>
        <w:spacing w:before="118"/>
        <w:ind w:left="106" w:right="242"/>
      </w:pPr>
      <w:r>
        <w:rPr/>
        <w:t>The </w:t>
      </w:r>
      <w:r>
        <w:rPr>
          <w:i/>
        </w:rPr>
        <w:t>Governor's Budget </w:t>
      </w:r>
      <w:r>
        <w:rPr/>
        <w:t>and related budget bill are presented annually to the Legislature on January 10th. Following the formal submission of the budget, LAO prepares its analysis of the projects included in the budget bill. The results of this analysis are usually published the third week of February. Using the findings of the LAO and any independent subcommittee analysis, the Legislature then conducts formal hearings involving the LAO, DOF, departments, and agencies, as appropriate</w:t>
      </w:r>
      <w:r>
        <w:rPr>
          <w:i/>
        </w:rPr>
        <w:t>. During this time, it is the client </w:t>
      </w:r>
      <w:r>
        <w:rPr>
          <w:i/>
        </w:rPr>
        <w:t>department’s responsibility to work closely with DOF to answer legislative questions on proposed projects</w:t>
      </w:r>
      <w:r>
        <w:rPr/>
        <w:t>. Based on the outcome of these hearings, the Legislature revises the Senate and Assembly versions of the budget bills. The Budget Conference Committee is held to resolve differences between these versions, and a single bill is passed by both houses and sent to the Governor. After making line item vetoes, the Governor signs this bill.  The final product is referred to as the Budget Act.</w:t>
      </w:r>
    </w:p>
    <w:p>
      <w:pPr>
        <w:spacing w:after="0"/>
        <w:sectPr>
          <w:footerReference w:type="default" r:id="rId280"/>
          <w:pgSz w:w="12240" w:h="15840"/>
          <w:pgMar w:footer="792" w:header="724" w:top="980" w:bottom="980" w:left="1060" w:right="1340"/>
        </w:sectPr>
      </w:pPr>
    </w:p>
    <w:p>
      <w:pPr>
        <w:pStyle w:val="BodyText"/>
        <w:rPr>
          <w:sz w:val="20"/>
        </w:rPr>
      </w:pPr>
    </w:p>
    <w:p>
      <w:pPr>
        <w:pStyle w:val="Heading2"/>
        <w:tabs>
          <w:tab w:pos="9204" w:val="left" w:leader="none"/>
        </w:tabs>
        <w:spacing w:before="214"/>
        <w:ind w:left="106"/>
      </w:pPr>
      <w:r>
        <w:rPr/>
        <w:t>CAPITAL</w:t>
      </w:r>
      <w:r>
        <w:rPr>
          <w:spacing w:val="-6"/>
        </w:rPr>
        <w:t> </w:t>
      </w:r>
      <w:r>
        <w:rPr/>
        <w:t>OUTLAY</w:t>
      </w:r>
      <w:r>
        <w:rPr>
          <w:spacing w:val="-5"/>
        </w:rPr>
        <w:t> </w:t>
      </w:r>
      <w:r>
        <w:rPr/>
        <w:t>REAPPROPRIATIONS</w:t>
        <w:tab/>
        <w:t>6834</w:t>
      </w:r>
    </w:p>
    <w:p>
      <w:pPr>
        <w:pStyle w:val="BodyText"/>
        <w:ind w:left="106"/>
      </w:pPr>
      <w:r>
        <w:rPr/>
        <w:t>(New 5/1998)</w:t>
      </w:r>
    </w:p>
    <w:p>
      <w:pPr>
        <w:pStyle w:val="BodyText"/>
        <w:spacing w:before="120"/>
        <w:ind w:left="106" w:right="242"/>
      </w:pPr>
      <w:r>
        <w:rPr/>
        <w:t>DOF reviews the need to reappropriate funding for capital outlay projects during the annual budget development process. Reappropriations, when appropriate, are proposed in the annual budget bill.</w:t>
      </w:r>
    </w:p>
    <w:p>
      <w:pPr>
        <w:pStyle w:val="BodyText"/>
        <w:spacing w:before="120"/>
        <w:ind w:left="106" w:right="136"/>
      </w:pPr>
      <w:r>
        <w:rPr/>
        <w:t>Appropriations for capital outlay included in the Budget Act are available for expenditure pursuant to Control Section 2.00 of that act unless otherwise noted. Funding authority for studies, preliminary plans, working drawings, or minor capital outlay is generally available for expenditure for one year unless reappropriated. Construction appropriations that have not been allocated through fund transfer or approval to proceed to bid by June 30 of the fiscal year of appropriation are reverted to the fund from with appropriated unless reappropriated.</w:t>
      </w:r>
    </w:p>
    <w:p>
      <w:pPr>
        <w:pStyle w:val="BodyText"/>
      </w:pPr>
    </w:p>
    <w:p>
      <w:pPr>
        <w:pStyle w:val="BodyText"/>
        <w:ind w:left="106"/>
      </w:pPr>
      <w:r>
        <w:rPr/>
        <w:t>The availability period for expenditure of reappropriations is consistent with the original appropriation. For instance, reappropriations of studies, preliminary plans, and working drawings are generally available for expenditure for one year. Minor capital outlay is not generally eligible for reappropriation (Section 6807).</w:t>
      </w:r>
    </w:p>
    <w:p>
      <w:pPr>
        <w:pStyle w:val="BodyText"/>
        <w:spacing w:before="11"/>
        <w:rPr>
          <w:sz w:val="23"/>
        </w:rPr>
      </w:pPr>
    </w:p>
    <w:p>
      <w:pPr>
        <w:pStyle w:val="BodyText"/>
        <w:ind w:left="106"/>
      </w:pPr>
      <w:r>
        <w:rPr/>
        <w:t>The client department must monitor project status to determine if a project will require reappropriation. Department project liaisons should consult with DGS project managers to maintain current schedule information and to determine (in consultation with DOF Capital Outlay Unit staff) the need for reappropriations.</w:t>
      </w:r>
    </w:p>
    <w:p>
      <w:pPr>
        <w:pStyle w:val="BodyText"/>
        <w:spacing w:before="11"/>
        <w:rPr>
          <w:sz w:val="23"/>
        </w:rPr>
      </w:pPr>
    </w:p>
    <w:p>
      <w:pPr>
        <w:pStyle w:val="BodyText"/>
        <w:ind w:left="106" w:right="127"/>
      </w:pPr>
      <w:r>
        <w:rPr/>
        <w:t>Departments must submit a COBCP outlining the need for reappropriations consistent with COBCP and finance letter deadlines, as discussed in Section 6818.  Use the COBCP form, Page 1 as a cover sheet for all reappropriations and provide narrative using COBCP form, Page 4, for the follow questions for each reappropriation</w:t>
      </w:r>
      <w:r>
        <w:rPr>
          <w:spacing w:val="-39"/>
        </w:rPr>
        <w:t> </w:t>
      </w:r>
      <w:r>
        <w:rPr/>
        <w:t>requested:</w:t>
      </w:r>
    </w:p>
    <w:p>
      <w:pPr>
        <w:pStyle w:val="BodyText"/>
        <w:spacing w:before="2"/>
      </w:pPr>
    </w:p>
    <w:p>
      <w:pPr>
        <w:pStyle w:val="BodyText"/>
        <w:tabs>
          <w:tab w:pos="1546" w:val="left" w:leader="none"/>
        </w:tabs>
        <w:spacing w:line="360" w:lineRule="auto"/>
        <w:ind w:left="466" w:right="2258"/>
      </w:pPr>
      <w:r>
        <w:rPr>
          <w:strike/>
          <w:color w:val="2E97D3"/>
        </w:rPr>
        <w:t>1.</w:t>
      </w:r>
      <w:r>
        <w:rPr>
          <w:strike w:val="0"/>
          <w:color w:val="2E97D3"/>
          <w:u w:val="single" w:color="2E97D3"/>
        </w:rPr>
        <w:t>a.</w:t>
        <w:tab/>
      </w:r>
      <w:r>
        <w:rPr>
          <w:strike w:val="0"/>
        </w:rPr>
        <w:t>Original Budget Act Year, Item, Schedule and</w:t>
      </w:r>
      <w:r>
        <w:rPr>
          <w:strike w:val="0"/>
          <w:spacing w:val="-21"/>
        </w:rPr>
        <w:t> </w:t>
      </w:r>
      <w:r>
        <w:rPr>
          <w:strike w:val="0"/>
        </w:rPr>
        <w:t>Project</w:t>
      </w:r>
      <w:r>
        <w:rPr>
          <w:strike w:val="0"/>
          <w:spacing w:val="-2"/>
        </w:rPr>
        <w:t> </w:t>
      </w:r>
      <w:r>
        <w:rPr>
          <w:strike w:val="0"/>
        </w:rPr>
        <w:t>ID;</w:t>
      </w:r>
      <w:r>
        <w:rPr>
          <w:strike w:val="0"/>
          <w:w w:val="100"/>
        </w:rPr>
        <w:t> </w:t>
      </w:r>
      <w:r>
        <w:rPr>
          <w:strike/>
          <w:color w:val="2E97D3"/>
        </w:rPr>
        <w:t>2.</w:t>
      </w:r>
      <w:r>
        <w:rPr>
          <w:strike w:val="0"/>
          <w:color w:val="2E97D3"/>
          <w:u w:val="single" w:color="2E97D3"/>
        </w:rPr>
        <w:t>b.</w:t>
        <w:tab/>
      </w:r>
      <w:r>
        <w:rPr>
          <w:strike w:val="0"/>
        </w:rPr>
        <w:t>Project Title and narrative</w:t>
      </w:r>
      <w:r>
        <w:rPr>
          <w:strike w:val="0"/>
          <w:spacing w:val="-17"/>
        </w:rPr>
        <w:t> </w:t>
      </w:r>
      <w:r>
        <w:rPr>
          <w:strike w:val="0"/>
        </w:rPr>
        <w:t>description;</w:t>
      </w:r>
    </w:p>
    <w:p>
      <w:pPr>
        <w:pStyle w:val="BodyText"/>
        <w:tabs>
          <w:tab w:pos="1546" w:val="left" w:leader="none"/>
        </w:tabs>
        <w:spacing w:before="4"/>
        <w:ind w:left="466"/>
      </w:pPr>
      <w:r>
        <w:rPr>
          <w:strike/>
          <w:color w:val="2E97D3"/>
        </w:rPr>
        <w:t>3.</w:t>
      </w:r>
      <w:r>
        <w:rPr>
          <w:strike w:val="0"/>
          <w:color w:val="2E97D3"/>
          <w:u w:val="single" w:color="2E97D3"/>
        </w:rPr>
        <w:t>c.</w:t>
        <w:tab/>
      </w:r>
      <w:r>
        <w:rPr>
          <w:strike w:val="0"/>
        </w:rPr>
        <w:t>Dollars to be reappropriated;</w:t>
      </w:r>
      <w:r>
        <w:rPr>
          <w:strike w:val="0"/>
          <w:spacing w:val="-18"/>
        </w:rPr>
        <w:t> </w:t>
      </w:r>
      <w:r>
        <w:rPr>
          <w:strike w:val="0"/>
        </w:rPr>
        <w:t>and</w:t>
      </w:r>
    </w:p>
    <w:p>
      <w:pPr>
        <w:pStyle w:val="ListParagraph"/>
        <w:numPr>
          <w:ilvl w:val="1"/>
          <w:numId w:val="83"/>
        </w:numPr>
        <w:tabs>
          <w:tab w:pos="1546" w:val="left" w:leader="none"/>
          <w:tab w:pos="1547" w:val="left" w:leader="none"/>
        </w:tabs>
        <w:spacing w:line="240" w:lineRule="auto" w:before="136" w:after="0"/>
        <w:ind w:left="1546" w:right="0" w:hanging="1080"/>
        <w:jc w:val="left"/>
        <w:rPr>
          <w:sz w:val="24"/>
        </w:rPr>
      </w:pPr>
      <w:r>
        <w:rPr>
          <w:strike w:val="0"/>
          <w:sz w:val="24"/>
        </w:rPr>
        <w:t>Reasons why the reappropriation is</w:t>
      </w:r>
      <w:r>
        <w:rPr>
          <w:strike w:val="0"/>
          <w:spacing w:val="-21"/>
          <w:sz w:val="24"/>
        </w:rPr>
        <w:t> </w:t>
      </w:r>
      <w:r>
        <w:rPr>
          <w:strike w:val="0"/>
          <w:sz w:val="24"/>
        </w:rPr>
        <w:t>needed.</w:t>
      </w:r>
    </w:p>
    <w:p>
      <w:pPr>
        <w:spacing w:after="0" w:line="240" w:lineRule="auto"/>
        <w:jc w:val="left"/>
        <w:rPr>
          <w:sz w:val="24"/>
        </w:rPr>
        <w:sectPr>
          <w:pgSz w:w="12240" w:h="15840"/>
          <w:pgMar w:header="724" w:footer="792" w:top="980" w:bottom="980" w:left="1060" w:right="1340"/>
        </w:sectPr>
      </w:pPr>
    </w:p>
    <w:p>
      <w:pPr>
        <w:pStyle w:val="BodyText"/>
        <w:rPr>
          <w:sz w:val="20"/>
        </w:rPr>
      </w:pPr>
    </w:p>
    <w:p>
      <w:pPr>
        <w:pStyle w:val="Heading2"/>
        <w:tabs>
          <w:tab w:pos="9204" w:val="left" w:leader="none"/>
        </w:tabs>
        <w:spacing w:before="214"/>
        <w:ind w:left="106"/>
      </w:pPr>
      <w:r>
        <w:rPr/>
        <w:t>TEN-YEAR SURVEY OF CAPITAL OUTLAY </w:t>
      </w:r>
      <w:r>
        <w:rPr>
          <w:spacing w:val="-3"/>
        </w:rPr>
        <w:t>AND</w:t>
      </w:r>
      <w:r>
        <w:rPr>
          <w:spacing w:val="-12"/>
        </w:rPr>
        <w:t> </w:t>
      </w:r>
      <w:r>
        <w:rPr/>
        <w:t>INFRASTRUCTURE</w:t>
      </w:r>
      <w:r>
        <w:rPr>
          <w:spacing w:val="-2"/>
        </w:rPr>
        <w:t> </w:t>
      </w:r>
      <w:r>
        <w:rPr/>
        <w:t>NEEDS</w:t>
        <w:tab/>
        <w:t>6837</w:t>
      </w:r>
    </w:p>
    <w:p>
      <w:pPr>
        <w:pStyle w:val="BodyText"/>
        <w:ind w:left="106"/>
      </w:pPr>
      <w:r>
        <w:rPr/>
        <w:t>(New 5/1998)</w:t>
      </w:r>
    </w:p>
    <w:p>
      <w:pPr>
        <w:pStyle w:val="BodyText"/>
        <w:spacing w:before="120"/>
        <w:ind w:left="106" w:right="136"/>
      </w:pPr>
      <w:r>
        <w:rPr/>
        <w:t>DOF annually surveys departments to determine ten-year needs for state capital outlay and state-funded local infrastructure, by program and fund source. Specific instructions and timetables are issued annually by Budget Letter. Surveys are typically due at the end of summer. Summary results are shared with the Legislature for capital outlay and bond financing planning purposes.</w:t>
      </w:r>
    </w:p>
    <w:p>
      <w:pPr>
        <w:pStyle w:val="BodyText"/>
        <w:spacing w:before="120"/>
        <w:ind w:left="106" w:right="176"/>
      </w:pPr>
      <w:r>
        <w:rPr/>
        <w:t>The first five years of capital outlay needs reported on the ten-year survey must match the annual totals and fund source break-out for the department’s five-year capitalized assets plan (Section 6820). However, for most departments the second five years will be based on a general assessment of program need, rather than on specific projects.</w:t>
      </w:r>
    </w:p>
    <w:p>
      <w:pPr>
        <w:spacing w:after="0"/>
        <w:sectPr>
          <w:pgSz w:w="12240" w:h="15840"/>
          <w:pgMar w:header="724" w:footer="792" w:top="980" w:bottom="980" w:left="1060" w:right="1340"/>
        </w:sectPr>
      </w:pPr>
    </w:p>
    <w:p>
      <w:pPr>
        <w:pStyle w:val="BodyText"/>
        <w:rPr>
          <w:sz w:val="20"/>
        </w:rPr>
      </w:pPr>
    </w:p>
    <w:p>
      <w:pPr>
        <w:tabs>
          <w:tab w:pos="9784" w:val="left" w:leader="none"/>
        </w:tabs>
        <w:spacing w:before="214"/>
        <w:ind w:left="686" w:right="0" w:firstLine="0"/>
        <w:jc w:val="left"/>
        <w:rPr>
          <w:b/>
          <w:sz w:val="24"/>
        </w:rPr>
      </w:pPr>
      <w:r>
        <w:rPr/>
        <w:pict>
          <v:line style="position:absolute;mso-position-horizontal-relative:page;mso-position-vertical-relative:paragraph;z-index:26872" from="29.4pt,24.714882pt" to="29.4pt,117.715882pt" stroked="true" strokeweight=".72pt" strokecolor="#000000">
            <v:stroke dashstyle="solid"/>
            <w10:wrap type="none"/>
          </v:line>
        </w:pict>
      </w:r>
      <w:r>
        <w:rPr>
          <w:b/>
          <w:sz w:val="24"/>
        </w:rPr>
        <w:t>CAPITAL OUTLAY</w:t>
      </w:r>
      <w:r>
        <w:rPr>
          <w:b/>
          <w:spacing w:val="-7"/>
          <w:sz w:val="24"/>
        </w:rPr>
        <w:t> </w:t>
      </w:r>
      <w:r>
        <w:rPr>
          <w:b/>
          <w:sz w:val="24"/>
        </w:rPr>
        <w:t>CODING</w:t>
      </w:r>
      <w:r>
        <w:rPr>
          <w:b/>
          <w:spacing w:val="-3"/>
          <w:sz w:val="24"/>
        </w:rPr>
        <w:t> </w:t>
      </w:r>
      <w:r>
        <w:rPr>
          <w:b/>
          <w:sz w:val="24"/>
        </w:rPr>
        <w:t>STRUCTURES</w:t>
        <w:tab/>
        <w:t>6839</w:t>
      </w:r>
    </w:p>
    <w:p>
      <w:pPr>
        <w:pStyle w:val="BodyText"/>
        <w:ind w:left="686"/>
      </w:pPr>
      <w:r>
        <w:rPr/>
        <w:t>(Revised </w:t>
      </w:r>
      <w:r>
        <w:rPr>
          <w:strike/>
          <w:color w:val="2E97D3"/>
        </w:rPr>
        <w:t>5/1998</w:t>
      </w:r>
      <w:r>
        <w:rPr>
          <w:strike w:val="0"/>
          <w:color w:val="2E97D3"/>
          <w:u w:val="single" w:color="2E97D3"/>
        </w:rPr>
        <w:t>09/2017</w:t>
      </w:r>
      <w:r>
        <w:rPr>
          <w:strike w:val="0"/>
        </w:rPr>
        <w:t>)</w:t>
      </w:r>
    </w:p>
    <w:p>
      <w:pPr>
        <w:pStyle w:val="BodyText"/>
        <w:spacing w:before="120"/>
        <w:ind w:left="686" w:right="883"/>
      </w:pPr>
      <w:r>
        <w:rPr/>
        <w:t>This section addresses </w:t>
      </w:r>
      <w:r>
        <w:rPr>
          <w:color w:val="2E97D3"/>
          <w:u w:val="single" w:color="2E97D3"/>
        </w:rPr>
        <w:t>the FI$Cal </w:t>
      </w:r>
      <w:r>
        <w:rPr/>
        <w:t>coding structures for project identification </w:t>
      </w:r>
      <w:r>
        <w:rPr>
          <w:strike/>
          <w:color w:val="2E97D3"/>
        </w:rPr>
        <w:t>codes, project</w:t>
      </w:r>
      <w:r>
        <w:rPr>
          <w:strike w:val="0"/>
          <w:color w:val="2E97D3"/>
          <w:u w:val="single" w:color="2E97D3"/>
        </w:rPr>
        <w:t>numbers, </w:t>
      </w:r>
      <w:r>
        <w:rPr>
          <w:strike w:val="0"/>
        </w:rPr>
        <w:t>categories, and </w:t>
      </w:r>
      <w:r>
        <w:rPr>
          <w:strike/>
          <w:color w:val="2E97D3"/>
        </w:rPr>
        <w:t>phase codes</w:t>
      </w:r>
      <w:r>
        <w:rPr>
          <w:strike w:val="0"/>
          <w:color w:val="2E97D3"/>
          <w:u w:val="single" w:color="2E97D3"/>
        </w:rPr>
        <w:t>phases</w:t>
      </w:r>
      <w:r>
        <w:rPr>
          <w:strike w:val="0"/>
        </w:rPr>
        <w:t>.</w:t>
      </w:r>
    </w:p>
    <w:p>
      <w:pPr>
        <w:pStyle w:val="Heading2"/>
        <w:spacing w:before="120"/>
        <w:ind w:left="686"/>
      </w:pPr>
      <w:r>
        <w:rPr/>
        <w:t>Project </w:t>
      </w:r>
      <w:r>
        <w:rPr>
          <w:strike/>
          <w:color w:val="2E97D3"/>
        </w:rPr>
        <w:t>Identification Codes</w:t>
      </w:r>
    </w:p>
    <w:p>
      <w:pPr>
        <w:pStyle w:val="ListParagraph"/>
        <w:numPr>
          <w:ilvl w:val="2"/>
          <w:numId w:val="83"/>
        </w:numPr>
        <w:tabs>
          <w:tab w:pos="1406" w:val="left" w:leader="none"/>
          <w:tab w:pos="1407" w:val="left" w:leader="none"/>
        </w:tabs>
        <w:spacing w:line="240" w:lineRule="auto" w:before="120" w:after="0"/>
        <w:ind w:left="1046" w:right="0" w:hanging="360"/>
        <w:jc w:val="left"/>
        <w:rPr>
          <w:sz w:val="24"/>
        </w:rPr>
      </w:pPr>
      <w:r>
        <w:rPr>
          <w:b/>
          <w:strike w:val="0"/>
          <w:color w:val="2E97D3"/>
          <w:sz w:val="24"/>
          <w:u w:val="thick" w:color="2E97D3"/>
        </w:rPr>
        <w:t>identification numbers. </w:t>
      </w:r>
      <w:r>
        <w:rPr>
          <w:strike w:val="0"/>
          <w:sz w:val="24"/>
        </w:rPr>
        <w:t>The objective of project identification </w:t>
      </w:r>
      <w:r>
        <w:rPr>
          <w:strike/>
          <w:color w:val="2E97D3"/>
          <w:sz w:val="24"/>
        </w:rPr>
        <w:t>codes</w:t>
      </w:r>
      <w:r>
        <w:rPr>
          <w:strike w:val="0"/>
          <w:color w:val="2E97D3"/>
          <w:sz w:val="24"/>
          <w:u w:val="single" w:color="2E97D3"/>
        </w:rPr>
        <w:t>numbers </w:t>
      </w:r>
      <w:r>
        <w:rPr>
          <w:strike w:val="0"/>
          <w:sz w:val="24"/>
        </w:rPr>
        <w:t>is</w:t>
      </w:r>
      <w:r>
        <w:rPr>
          <w:strike w:val="0"/>
          <w:spacing w:val="-39"/>
          <w:sz w:val="24"/>
        </w:rPr>
        <w:t> </w:t>
      </w:r>
      <w:r>
        <w:rPr>
          <w:strike w:val="0"/>
          <w:sz w:val="24"/>
        </w:rPr>
        <w:t>to:</w:t>
      </w:r>
    </w:p>
    <w:p>
      <w:pPr>
        <w:pStyle w:val="ListParagraph"/>
        <w:numPr>
          <w:ilvl w:val="3"/>
          <w:numId w:val="83"/>
        </w:numPr>
        <w:tabs>
          <w:tab w:pos="1407" w:val="left" w:leader="none"/>
        </w:tabs>
        <w:spacing w:line="240" w:lineRule="auto" w:before="120" w:after="0"/>
        <w:ind w:left="1406" w:right="430" w:hanging="360"/>
        <w:jc w:val="left"/>
        <w:rPr>
          <w:sz w:val="24"/>
        </w:rPr>
      </w:pPr>
      <w:r>
        <w:rPr>
          <w:sz w:val="24"/>
        </w:rPr>
        <w:t>Provide consistency in project identification across fiscal years and in the various automated state budgetary and accounting</w:t>
      </w:r>
      <w:r>
        <w:rPr>
          <w:spacing w:val="-20"/>
          <w:sz w:val="24"/>
        </w:rPr>
        <w:t> </w:t>
      </w:r>
      <w:r>
        <w:rPr>
          <w:sz w:val="24"/>
        </w:rPr>
        <w:t>systems;</w:t>
      </w:r>
    </w:p>
    <w:p>
      <w:pPr>
        <w:pStyle w:val="ListParagraph"/>
        <w:numPr>
          <w:ilvl w:val="3"/>
          <w:numId w:val="83"/>
        </w:numPr>
        <w:tabs>
          <w:tab w:pos="1407" w:val="left" w:leader="none"/>
        </w:tabs>
        <w:spacing w:line="240" w:lineRule="auto" w:before="120" w:after="0"/>
        <w:ind w:left="1406" w:right="698" w:hanging="360"/>
        <w:jc w:val="left"/>
        <w:rPr>
          <w:sz w:val="24"/>
        </w:rPr>
      </w:pPr>
      <w:r>
        <w:rPr>
          <w:sz w:val="24"/>
        </w:rPr>
        <w:t>Provide unique project identification from start to finish, eliminating the need to assign different codes to phases or appropriations of a specific project;</w:t>
      </w:r>
      <w:r>
        <w:rPr>
          <w:spacing w:val="-36"/>
          <w:sz w:val="24"/>
        </w:rPr>
        <w:t> </w:t>
      </w:r>
      <w:r>
        <w:rPr>
          <w:sz w:val="24"/>
        </w:rPr>
        <w:t>and</w:t>
      </w:r>
    </w:p>
    <w:p>
      <w:pPr>
        <w:pStyle w:val="ListParagraph"/>
        <w:numPr>
          <w:ilvl w:val="3"/>
          <w:numId w:val="83"/>
        </w:numPr>
        <w:tabs>
          <w:tab w:pos="1407" w:val="left" w:leader="none"/>
        </w:tabs>
        <w:spacing w:line="240" w:lineRule="auto" w:before="120" w:after="0"/>
        <w:ind w:left="1406" w:right="0" w:hanging="360"/>
        <w:jc w:val="left"/>
        <w:rPr>
          <w:sz w:val="24"/>
        </w:rPr>
      </w:pPr>
      <w:r>
        <w:rPr>
          <w:sz w:val="24"/>
        </w:rPr>
        <w:t>Eliminate code</w:t>
      </w:r>
      <w:r>
        <w:rPr>
          <w:spacing w:val="-12"/>
          <w:sz w:val="24"/>
        </w:rPr>
        <w:t> </w:t>
      </w:r>
      <w:r>
        <w:rPr>
          <w:sz w:val="24"/>
        </w:rPr>
        <w:t>duplication.</w:t>
      </w:r>
    </w:p>
    <w:p>
      <w:pPr>
        <w:pStyle w:val="ListParagraph"/>
        <w:numPr>
          <w:ilvl w:val="2"/>
          <w:numId w:val="83"/>
        </w:numPr>
        <w:tabs>
          <w:tab w:pos="1407" w:val="left" w:leader="none"/>
        </w:tabs>
        <w:spacing w:line="240" w:lineRule="auto" w:before="120" w:after="0"/>
        <w:ind w:left="1046" w:right="256" w:firstLine="0"/>
        <w:jc w:val="left"/>
        <w:rPr>
          <w:sz w:val="24"/>
        </w:rPr>
      </w:pPr>
      <w:r>
        <w:rPr/>
        <w:pict>
          <v:line style="position:absolute;mso-position-horizontal-relative:page;mso-position-vertical-relative:paragraph;z-index:26896" from="29.4pt,6.214832pt" to="29.4pt,20.015832pt" stroked="true" strokeweight=".72pt" strokecolor="#000000">
            <v:stroke dashstyle="solid"/>
            <w10:wrap type="none"/>
          </v:line>
        </w:pict>
      </w:r>
      <w:r>
        <w:rPr/>
        <w:pict>
          <v:line style="position:absolute;mso-position-horizontal-relative:page;mso-position-vertical-relative:paragraph;z-index:26920" from="29.4pt,33.815834pt" to="29.4pt,472.775834pt" stroked="true" strokeweight=".72pt" strokecolor="#000000">
            <v:stroke dashstyle="solid"/>
            <w10:wrap type="none"/>
          </v:line>
        </w:pict>
      </w:r>
      <w:r>
        <w:rPr>
          <w:b/>
          <w:strike/>
          <w:color w:val="2E97D3"/>
          <w:sz w:val="24"/>
        </w:rPr>
        <w:t>Project definition for purposes of assigning codes</w:t>
      </w:r>
      <w:r>
        <w:rPr>
          <w:strike/>
          <w:color w:val="2E97D3"/>
          <w:sz w:val="24"/>
        </w:rPr>
        <w:t>. </w:t>
      </w:r>
      <w:r>
        <w:rPr>
          <w:strike w:val="0"/>
          <w:sz w:val="24"/>
        </w:rPr>
        <w:t>Phases of work necessary to implement projects are not separate projects and are not given separate project identification </w:t>
      </w:r>
      <w:r>
        <w:rPr>
          <w:strike/>
          <w:color w:val="2E97D3"/>
          <w:sz w:val="24"/>
        </w:rPr>
        <w:t>codes</w:t>
      </w:r>
      <w:r>
        <w:rPr>
          <w:strike w:val="0"/>
          <w:color w:val="2E97D3"/>
          <w:sz w:val="24"/>
          <w:u w:val="single" w:color="2E97D3"/>
        </w:rPr>
        <w:t>numbers</w:t>
      </w:r>
      <w:r>
        <w:rPr>
          <w:strike w:val="0"/>
          <w:sz w:val="24"/>
        </w:rPr>
        <w:t>. Land acquisitions associated with capital outlay projects use the same </w:t>
      </w:r>
      <w:r>
        <w:rPr>
          <w:strike/>
          <w:color w:val="2E97D3"/>
          <w:sz w:val="24"/>
        </w:rPr>
        <w:t>code</w:t>
      </w:r>
      <w:r>
        <w:rPr>
          <w:strike w:val="0"/>
          <w:color w:val="2E97D3"/>
          <w:sz w:val="24"/>
          <w:u w:val="single" w:color="2E97D3"/>
        </w:rPr>
        <w:t>number </w:t>
      </w:r>
      <w:r>
        <w:rPr>
          <w:strike w:val="0"/>
          <w:sz w:val="24"/>
        </w:rPr>
        <w:t>as the balance of the project. However, a general acquisition for habitat or recreation may be treated as a separate project </w:t>
      </w:r>
      <w:r>
        <w:rPr>
          <w:strike w:val="0"/>
          <w:color w:val="2E97D3"/>
          <w:sz w:val="24"/>
          <w:u w:val="single" w:color="2E97D3"/>
        </w:rPr>
        <w:t>and be given a separate</w:t>
      </w:r>
      <w:r>
        <w:rPr>
          <w:strike w:val="0"/>
          <w:color w:val="2E97D3"/>
          <w:spacing w:val="-8"/>
          <w:sz w:val="24"/>
          <w:u w:val="single" w:color="2E97D3"/>
        </w:rPr>
        <w:t> </w:t>
      </w:r>
      <w:r>
        <w:rPr>
          <w:strike w:val="0"/>
          <w:color w:val="2E97D3"/>
          <w:sz w:val="24"/>
          <w:u w:val="single" w:color="2E97D3"/>
        </w:rPr>
        <w:t>number</w:t>
      </w:r>
      <w:r>
        <w:rPr>
          <w:strike w:val="0"/>
          <w:sz w:val="24"/>
        </w:rPr>
        <w:t>.</w:t>
      </w:r>
    </w:p>
    <w:p>
      <w:pPr>
        <w:pStyle w:val="BodyText"/>
        <w:spacing w:before="10"/>
        <w:rPr>
          <w:sz w:val="20"/>
        </w:rPr>
      </w:pPr>
    </w:p>
    <w:p>
      <w:pPr>
        <w:pStyle w:val="ListParagraph"/>
        <w:numPr>
          <w:ilvl w:val="2"/>
          <w:numId w:val="83"/>
        </w:numPr>
        <w:tabs>
          <w:tab w:pos="1047" w:val="left" w:leader="none"/>
        </w:tabs>
        <w:spacing w:line="240" w:lineRule="auto" w:before="0" w:after="0"/>
        <w:ind w:left="1046" w:right="186" w:hanging="360"/>
        <w:jc w:val="left"/>
        <w:rPr>
          <w:sz w:val="24"/>
        </w:rPr>
      </w:pPr>
      <w:r>
        <w:rPr>
          <w:b/>
          <w:strike w:val="0"/>
          <w:sz w:val="24"/>
        </w:rPr>
        <w:t>Project identification </w:t>
      </w:r>
      <w:r>
        <w:rPr>
          <w:b/>
          <w:strike/>
          <w:color w:val="2E97D3"/>
          <w:sz w:val="24"/>
        </w:rPr>
        <w:t>code</w:t>
      </w:r>
      <w:r>
        <w:rPr>
          <w:b/>
          <w:strike w:val="0"/>
          <w:color w:val="2E97D3"/>
          <w:sz w:val="24"/>
          <w:u w:val="thick" w:color="2E97D3"/>
        </w:rPr>
        <w:t>number </w:t>
      </w:r>
      <w:r>
        <w:rPr>
          <w:b/>
          <w:strike w:val="0"/>
          <w:sz w:val="24"/>
        </w:rPr>
        <w:t>structure</w:t>
      </w:r>
      <w:r>
        <w:rPr>
          <w:strike w:val="0"/>
          <w:sz w:val="24"/>
        </w:rPr>
        <w:t>. The </w:t>
      </w:r>
      <w:r>
        <w:rPr>
          <w:strike w:val="0"/>
          <w:color w:val="2E97D3"/>
          <w:sz w:val="24"/>
          <w:u w:val="single" w:color="2E97D3"/>
        </w:rPr>
        <w:t>FI$Cal </w:t>
      </w:r>
      <w:r>
        <w:rPr>
          <w:strike w:val="0"/>
          <w:sz w:val="24"/>
        </w:rPr>
        <w:t>project identification </w:t>
      </w:r>
      <w:r>
        <w:rPr>
          <w:strike/>
          <w:color w:val="2E97D3"/>
          <w:sz w:val="24"/>
        </w:rPr>
        <w:t>code</w:t>
      </w:r>
      <w:r>
        <w:rPr>
          <w:strike w:val="0"/>
          <w:color w:val="2E97D3"/>
          <w:sz w:val="24"/>
          <w:u w:val="single" w:color="2E97D3"/>
        </w:rPr>
        <w:t>number</w:t>
      </w:r>
      <w:r>
        <w:rPr>
          <w:strike w:val="0"/>
          <w:sz w:val="24"/>
        </w:rPr>
        <w:t>, as shown in </w:t>
      </w:r>
      <w:r>
        <w:rPr>
          <w:i/>
          <w:strike w:val="0"/>
          <w:sz w:val="24"/>
        </w:rPr>
        <w:t>the Governor’s Budget </w:t>
      </w:r>
      <w:r>
        <w:rPr>
          <w:strike w:val="0"/>
          <w:sz w:val="24"/>
        </w:rPr>
        <w:t>and Budget Act, and as utilized by </w:t>
      </w:r>
      <w:r>
        <w:rPr>
          <w:strike/>
          <w:color w:val="2E97D3"/>
          <w:sz w:val="24"/>
        </w:rPr>
        <w:t>SCO</w:t>
      </w:r>
      <w:r>
        <w:rPr>
          <w:strike w:val="0"/>
          <w:color w:val="2E97D3"/>
          <w:sz w:val="24"/>
          <w:u w:val="single" w:color="2E97D3"/>
        </w:rPr>
        <w:t>the State Controller’s Office </w:t>
      </w:r>
      <w:r>
        <w:rPr>
          <w:strike w:val="0"/>
          <w:sz w:val="24"/>
        </w:rPr>
        <w:t>and departments, is </w:t>
      </w:r>
      <w:r>
        <w:rPr>
          <w:strike/>
          <w:color w:val="2E97D3"/>
          <w:sz w:val="24"/>
        </w:rPr>
        <w:t>generally a seven-digit numeric code comprised of the first seven digits (program-element-component) of the ten-digit Uniform Codes Manual program field. The only exception to this rule</w:t>
      </w:r>
      <w:r>
        <w:rPr>
          <w:strike w:val="0"/>
          <w:color w:val="2E97D3"/>
          <w:sz w:val="24"/>
          <w:u w:val="single" w:color="2E97D3"/>
        </w:rPr>
        <w:t>a nine-digit auto generated number that </w:t>
      </w:r>
      <w:r>
        <w:rPr>
          <w:strike w:val="0"/>
          <w:sz w:val="24"/>
        </w:rPr>
        <w:t>is </w:t>
      </w:r>
      <w:r>
        <w:rPr>
          <w:strike w:val="0"/>
          <w:color w:val="2E97D3"/>
          <w:sz w:val="24"/>
          <w:u w:val="single" w:color="2E97D3"/>
        </w:rPr>
        <w:t>established in PeopleSoft </w:t>
      </w:r>
      <w:r>
        <w:rPr>
          <w:strike w:val="0"/>
          <w:sz w:val="24"/>
        </w:rPr>
        <w:t>when a </w:t>
      </w:r>
      <w:r>
        <w:rPr>
          <w:strike w:val="0"/>
          <w:color w:val="2E97D3"/>
          <w:sz w:val="24"/>
          <w:u w:val="single" w:color="2E97D3"/>
        </w:rPr>
        <w:t>new </w:t>
      </w:r>
      <w:r>
        <w:rPr>
          <w:strike w:val="0"/>
          <w:sz w:val="24"/>
        </w:rPr>
        <w:t>project </w:t>
      </w:r>
      <w:r>
        <w:rPr>
          <w:strike/>
          <w:color w:val="2E97D3"/>
          <w:sz w:val="24"/>
        </w:rPr>
        <w:t>has more than one phase </w:t>
      </w:r>
      <w:r>
        <w:rPr>
          <w:i/>
          <w:strike/>
          <w:color w:val="2E97D3"/>
          <w:sz w:val="24"/>
        </w:rPr>
        <w:t>scheduled separately </w:t>
      </w:r>
      <w:r>
        <w:rPr>
          <w:strike/>
          <w:color w:val="2E97D3"/>
          <w:sz w:val="24"/>
        </w:rPr>
        <w:t>in the same appropriation time (normally separate phases in a single budget act would be scheduled together). Although this situation </w:t>
      </w:r>
      <w:r>
        <w:rPr>
          <w:strike w:val="0"/>
          <w:sz w:val="24"/>
        </w:rPr>
        <w:t>is </w:t>
      </w:r>
      <w:r>
        <w:rPr>
          <w:strike/>
          <w:color w:val="2E97D3"/>
          <w:sz w:val="24"/>
        </w:rPr>
        <w:t>rare, the Legislature does sometimes appropriate in this manner.  When this occurs, the additional </w:t>
      </w:r>
      <w:r>
        <w:rPr>
          <w:strike w:val="0"/>
          <w:color w:val="2E97D3"/>
          <w:sz w:val="24"/>
          <w:u w:val="single" w:color="2E97D3"/>
        </w:rPr>
        <w:t>created. Therefore, there is no way to select or standardize project identification numbers. Note that the first </w:t>
      </w:r>
      <w:r>
        <w:rPr>
          <w:strike w:val="0"/>
          <w:sz w:val="24"/>
        </w:rPr>
        <w:t>three </w:t>
      </w:r>
      <w:r>
        <w:rPr>
          <w:strike/>
          <w:color w:val="2E97D3"/>
          <w:sz w:val="24"/>
        </w:rPr>
        <w:t>digits of the program field (also called the task code)</w:t>
      </w:r>
      <w:r>
        <w:rPr>
          <w:strike w:val="0"/>
          <w:color w:val="2E97D3"/>
          <w:sz w:val="24"/>
          <w:u w:val="single" w:color="2E97D3"/>
        </w:rPr>
        <w:t>numbers (usually zeros) of a project identification number </w:t>
      </w:r>
      <w:r>
        <w:rPr>
          <w:strike w:val="0"/>
          <w:sz w:val="24"/>
        </w:rPr>
        <w:t>are </w:t>
      </w:r>
      <w:r>
        <w:rPr>
          <w:strike/>
          <w:color w:val="2E97D3"/>
          <w:sz w:val="24"/>
        </w:rPr>
        <w:t>used to distinguish between the separately scheduled</w:t>
      </w:r>
      <w:r>
        <w:rPr>
          <w:strike/>
          <w:color w:val="2E97D3"/>
          <w:spacing w:val="-22"/>
          <w:sz w:val="24"/>
        </w:rPr>
        <w:t> </w:t>
      </w:r>
      <w:r>
        <w:rPr>
          <w:strike/>
          <w:color w:val="2E97D3"/>
          <w:sz w:val="24"/>
        </w:rPr>
        <w:t>phases.</w:t>
      </w:r>
    </w:p>
    <w:p>
      <w:pPr>
        <w:pStyle w:val="BodyText"/>
        <w:rPr>
          <w:sz w:val="21"/>
        </w:rPr>
      </w:pPr>
    </w:p>
    <w:p>
      <w:pPr>
        <w:pStyle w:val="BodyText"/>
        <w:spacing w:line="276" w:lineRule="auto" w:before="1"/>
        <w:ind w:left="1046" w:right="370" w:hanging="360"/>
      </w:pPr>
      <w:r>
        <w:rPr>
          <w:color w:val="2E97D3"/>
          <w:u w:val="single" w:color="2E97D3"/>
        </w:rPr>
        <w:t>1. </w:t>
      </w:r>
      <w:r>
        <w:rPr>
          <w:strike/>
          <w:color w:val="2E97D3"/>
        </w:rPr>
        <w:t>The assignment of the last three digits is made by the DOF Capital Outlay</w:t>
      </w:r>
      <w:r>
        <w:rPr>
          <w:strike w:val="0"/>
          <w:color w:val="2E97D3"/>
          <w:u w:val="single" w:color="2E97D3"/>
        </w:rPr>
        <w:t>excluded in the Budget Act </w:t>
      </w:r>
      <w:r>
        <w:rPr>
          <w:strike w:val="0"/>
        </w:rPr>
        <w:t>and </w:t>
      </w:r>
      <w:r>
        <w:rPr>
          <w:strike/>
          <w:color w:val="2E97D3"/>
        </w:rPr>
        <w:t>Financial Operations Units, when necessary. The three digits of the task field</w:t>
      </w:r>
      <w:r>
        <w:rPr>
          <w:strike w:val="0"/>
          <w:color w:val="2E97D3"/>
          <w:u w:val="single" w:color="2E97D3"/>
        </w:rPr>
        <w:t>other budget publications as these publications </w:t>
      </w:r>
      <w:r>
        <w:rPr>
          <w:strike w:val="0"/>
        </w:rPr>
        <w:t>are </w:t>
      </w:r>
      <w:r>
        <w:rPr>
          <w:strike/>
          <w:color w:val="2E97D3"/>
        </w:rPr>
        <w:t>used to identify the year of appropriation (two digits) and as a “sequencer” for the phases as follows:</w:t>
      </w:r>
      <w:r>
        <w:rPr>
          <w:strike w:val="0"/>
          <w:color w:val="2E97D3"/>
          <w:u w:val="single" w:color="2E97D3"/>
        </w:rPr>
        <w:t>designed to only use a seven-digit project identification number.</w:t>
      </w:r>
    </w:p>
    <w:p>
      <w:pPr>
        <w:pStyle w:val="BodyText"/>
        <w:spacing w:before="1"/>
        <w:rPr>
          <w:sz w:val="21"/>
        </w:r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9"/>
        <w:gridCol w:w="1550"/>
        <w:gridCol w:w="1550"/>
        <w:gridCol w:w="1802"/>
        <w:gridCol w:w="1476"/>
      </w:tblGrid>
      <w:tr>
        <w:trPr>
          <w:trHeight w:val="286" w:hRule="exact"/>
        </w:trPr>
        <w:tc>
          <w:tcPr>
            <w:tcW w:w="4810" w:type="dxa"/>
            <w:gridSpan w:val="3"/>
            <w:shd w:val="clear" w:color="auto" w:fill="DADADA"/>
          </w:tcPr>
          <w:p>
            <w:pPr>
              <w:pStyle w:val="TableParagraph"/>
              <w:spacing w:line="272" w:lineRule="exact"/>
              <w:ind w:left="875"/>
              <w:rPr>
                <w:b/>
                <w:sz w:val="24"/>
              </w:rPr>
            </w:pPr>
            <w:r>
              <w:rPr>
                <w:b/>
                <w:strike/>
                <w:color w:val="2E97D3"/>
                <w:sz w:val="24"/>
              </w:rPr>
              <w:t>Project Identification Code</w:t>
            </w:r>
          </w:p>
        </w:tc>
        <w:tc>
          <w:tcPr>
            <w:tcW w:w="3278" w:type="dxa"/>
            <w:gridSpan w:val="2"/>
            <w:shd w:val="clear" w:color="auto" w:fill="DADADA"/>
          </w:tcPr>
          <w:p>
            <w:pPr>
              <w:pStyle w:val="TableParagraph"/>
              <w:spacing w:line="272" w:lineRule="exact"/>
              <w:ind w:left="1027"/>
              <w:rPr>
                <w:b/>
                <w:sz w:val="24"/>
              </w:rPr>
            </w:pPr>
            <w:r>
              <w:rPr>
                <w:b/>
                <w:strike/>
                <w:color w:val="2E97D3"/>
                <w:sz w:val="24"/>
              </w:rPr>
              <w:t>Task Code</w:t>
            </w:r>
          </w:p>
        </w:tc>
      </w:tr>
      <w:tr>
        <w:trPr>
          <w:trHeight w:val="562" w:hRule="exact"/>
        </w:trPr>
        <w:tc>
          <w:tcPr>
            <w:tcW w:w="1709" w:type="dxa"/>
          </w:tcPr>
          <w:p>
            <w:pPr>
              <w:pStyle w:val="TableParagraph"/>
              <w:spacing w:before="135"/>
              <w:ind w:left="367" w:right="371"/>
              <w:jc w:val="center"/>
              <w:rPr>
                <w:sz w:val="24"/>
              </w:rPr>
            </w:pPr>
            <w:r>
              <w:rPr>
                <w:strike/>
                <w:color w:val="2E97D3"/>
                <w:sz w:val="24"/>
              </w:rPr>
              <w:t>Program</w:t>
            </w:r>
          </w:p>
        </w:tc>
        <w:tc>
          <w:tcPr>
            <w:tcW w:w="1550" w:type="dxa"/>
          </w:tcPr>
          <w:p>
            <w:pPr>
              <w:pStyle w:val="TableParagraph"/>
              <w:spacing w:before="135"/>
              <w:ind w:left="249" w:right="249"/>
              <w:jc w:val="center"/>
              <w:rPr>
                <w:sz w:val="24"/>
              </w:rPr>
            </w:pPr>
            <w:r>
              <w:rPr>
                <w:strike/>
                <w:color w:val="2E97D3"/>
                <w:sz w:val="24"/>
              </w:rPr>
              <w:t>Element</w:t>
            </w:r>
          </w:p>
        </w:tc>
        <w:tc>
          <w:tcPr>
            <w:tcW w:w="1550" w:type="dxa"/>
          </w:tcPr>
          <w:p>
            <w:pPr>
              <w:pStyle w:val="TableParagraph"/>
              <w:spacing w:before="135"/>
              <w:ind w:left="130" w:right="130"/>
              <w:jc w:val="center"/>
              <w:rPr>
                <w:sz w:val="24"/>
              </w:rPr>
            </w:pPr>
            <w:r>
              <w:rPr>
                <w:strike/>
                <w:color w:val="2E97D3"/>
                <w:sz w:val="24"/>
              </w:rPr>
              <w:t>Component</w:t>
            </w:r>
          </w:p>
        </w:tc>
        <w:tc>
          <w:tcPr>
            <w:tcW w:w="1802" w:type="dxa"/>
          </w:tcPr>
          <w:p>
            <w:pPr>
              <w:pStyle w:val="TableParagraph"/>
              <w:ind w:left="182" w:right="163" w:firstLine="326"/>
              <w:rPr>
                <w:sz w:val="24"/>
              </w:rPr>
            </w:pPr>
            <w:r>
              <w:rPr>
                <w:strike/>
                <w:color w:val="2E97D3"/>
                <w:sz w:val="24"/>
              </w:rPr>
              <w:t>Year of Appropriation</w:t>
            </w:r>
          </w:p>
        </w:tc>
        <w:tc>
          <w:tcPr>
            <w:tcW w:w="1476" w:type="dxa"/>
          </w:tcPr>
          <w:p>
            <w:pPr>
              <w:pStyle w:val="TableParagraph"/>
              <w:spacing w:before="135"/>
              <w:ind w:left="132" w:right="132"/>
              <w:jc w:val="center"/>
              <w:rPr>
                <w:sz w:val="24"/>
              </w:rPr>
            </w:pPr>
            <w:r>
              <w:rPr>
                <w:strike/>
                <w:color w:val="2E97D3"/>
                <w:sz w:val="24"/>
              </w:rPr>
              <w:t>Sequencer</w:t>
            </w:r>
          </w:p>
        </w:tc>
      </w:tr>
      <w:tr>
        <w:trPr>
          <w:trHeight w:val="288" w:hRule="exact"/>
        </w:trPr>
        <w:tc>
          <w:tcPr>
            <w:tcW w:w="1709" w:type="dxa"/>
          </w:tcPr>
          <w:p>
            <w:pPr>
              <w:pStyle w:val="TableParagraph"/>
              <w:spacing w:line="272" w:lineRule="exact"/>
              <w:ind w:left="364" w:right="371"/>
              <w:jc w:val="center"/>
              <w:rPr>
                <w:sz w:val="24"/>
              </w:rPr>
            </w:pPr>
            <w:r>
              <w:rPr>
                <w:strike/>
                <w:color w:val="2E97D3"/>
                <w:sz w:val="24"/>
              </w:rPr>
              <w:t>XX</w:t>
            </w:r>
          </w:p>
        </w:tc>
        <w:tc>
          <w:tcPr>
            <w:tcW w:w="1550" w:type="dxa"/>
          </w:tcPr>
          <w:p>
            <w:pPr>
              <w:pStyle w:val="TableParagraph"/>
              <w:spacing w:line="272" w:lineRule="exact"/>
              <w:ind w:left="247" w:right="249"/>
              <w:jc w:val="center"/>
              <w:rPr>
                <w:sz w:val="24"/>
              </w:rPr>
            </w:pPr>
            <w:r>
              <w:rPr>
                <w:strike/>
                <w:color w:val="2E97D3"/>
                <w:sz w:val="24"/>
              </w:rPr>
              <w:t>XX</w:t>
            </w:r>
          </w:p>
        </w:tc>
        <w:tc>
          <w:tcPr>
            <w:tcW w:w="1550" w:type="dxa"/>
          </w:tcPr>
          <w:p>
            <w:pPr>
              <w:pStyle w:val="TableParagraph"/>
              <w:spacing w:line="272" w:lineRule="exact"/>
              <w:ind w:left="130" w:right="130"/>
              <w:jc w:val="center"/>
              <w:rPr>
                <w:sz w:val="24"/>
              </w:rPr>
            </w:pPr>
            <w:r>
              <w:rPr>
                <w:strike/>
                <w:color w:val="2E97D3"/>
                <w:sz w:val="24"/>
              </w:rPr>
              <w:t>XXX</w:t>
            </w:r>
          </w:p>
        </w:tc>
        <w:tc>
          <w:tcPr>
            <w:tcW w:w="1802" w:type="dxa"/>
          </w:tcPr>
          <w:p>
            <w:pPr>
              <w:pStyle w:val="TableParagraph"/>
              <w:spacing w:line="272" w:lineRule="exact"/>
              <w:ind w:left="716" w:right="716"/>
              <w:jc w:val="center"/>
              <w:rPr>
                <w:sz w:val="24"/>
              </w:rPr>
            </w:pPr>
            <w:r>
              <w:rPr>
                <w:strike/>
                <w:color w:val="2E97D3"/>
                <w:sz w:val="24"/>
              </w:rPr>
              <w:t>XX</w:t>
            </w:r>
          </w:p>
        </w:tc>
        <w:tc>
          <w:tcPr>
            <w:tcW w:w="1476" w:type="dxa"/>
          </w:tcPr>
          <w:p>
            <w:pPr>
              <w:pStyle w:val="TableParagraph"/>
              <w:spacing w:line="272" w:lineRule="exact"/>
              <w:jc w:val="center"/>
              <w:rPr>
                <w:sz w:val="24"/>
              </w:rPr>
            </w:pPr>
            <w:r>
              <w:rPr>
                <w:strike/>
                <w:color w:val="2E97D3"/>
                <w:w w:val="100"/>
                <w:sz w:val="24"/>
              </w:rPr>
              <w:t>X</w:t>
            </w:r>
          </w:p>
        </w:tc>
      </w:tr>
    </w:tbl>
    <w:p>
      <w:pPr>
        <w:spacing w:after="0" w:line="272" w:lineRule="exact"/>
        <w:jc w:val="center"/>
        <w:rPr>
          <w:sz w:val="24"/>
        </w:rPr>
        <w:sectPr>
          <w:footerReference w:type="default" r:id="rId281"/>
          <w:pgSz w:w="12240" w:h="15840"/>
          <w:pgMar w:footer="792" w:header="724" w:top="980" w:bottom="980" w:left="480" w:right="1340"/>
        </w:sectPr>
      </w:pPr>
    </w:p>
    <w:p>
      <w:pPr>
        <w:pStyle w:val="BodyText"/>
        <w:rPr>
          <w:sz w:val="20"/>
        </w:rPr>
      </w:pPr>
    </w:p>
    <w:p>
      <w:pPr>
        <w:pStyle w:val="BodyText"/>
        <w:spacing w:before="4"/>
        <w:rPr>
          <w:sz w:val="18"/>
        </w:rPr>
      </w:pPr>
    </w:p>
    <w:p>
      <w:pPr>
        <w:spacing w:before="0"/>
        <w:ind w:left="736" w:right="0" w:firstLine="0"/>
        <w:jc w:val="left"/>
        <w:rPr>
          <w:rFonts w:ascii="Times New Roman"/>
          <w:sz w:val="20"/>
        </w:rPr>
      </w:pPr>
      <w:r>
        <w:rPr/>
        <w:pict>
          <v:line style="position:absolute;mso-position-horizontal-relative:page;mso-position-vertical-relative:paragraph;z-index:-445720" from="58.32pt,10.655937pt" to="60.84pt,10.655937pt" stroked="true" strokeweight=".48pt" strokecolor="#2e97d3">
            <v:stroke dashstyle="solid"/>
            <w10:wrap type="none"/>
          </v:line>
        </w:pict>
      </w:r>
      <w:r>
        <w:rPr/>
        <w:pict>
          <v:line style="position:absolute;mso-position-horizontal-relative:page;mso-position-vertical-relative:paragraph;z-index:26968" from="29.4pt,.335938pt" to="29.4pt,43.655938pt" stroked="true" strokeweight=".72pt" strokecolor="#000000">
            <v:stroke dashstyle="solid"/>
            <w10:wrap type="none"/>
          </v:line>
        </w:pict>
      </w:r>
      <w:r>
        <w:rPr>
          <w:rFonts w:ascii="Times New Roman"/>
          <w:sz w:val="20"/>
        </w:rPr>
        <w:t>(Continued)</w:t>
      </w:r>
    </w:p>
    <w:p>
      <w:pPr>
        <w:spacing w:after="0"/>
        <w:jc w:val="left"/>
        <w:rPr>
          <w:rFonts w:ascii="Times New Roman"/>
          <w:sz w:val="20"/>
        </w:rPr>
        <w:sectPr>
          <w:pgSz w:w="12240" w:h="15840"/>
          <w:pgMar w:header="724" w:footer="792" w:top="980" w:bottom="980" w:left="480" w:right="1720"/>
        </w:sectPr>
      </w:pPr>
    </w:p>
    <w:p>
      <w:pPr>
        <w:pStyle w:val="BodyText"/>
        <w:spacing w:before="4"/>
        <w:rPr>
          <w:rFonts w:ascii="Times New Roman"/>
          <w:sz w:val="17"/>
        </w:rPr>
      </w:pPr>
    </w:p>
    <w:p>
      <w:pPr>
        <w:spacing w:after="0"/>
        <w:rPr>
          <w:rFonts w:ascii="Times New Roman"/>
          <w:sz w:val="17"/>
        </w:rPr>
        <w:sectPr>
          <w:pgSz w:w="12240" w:h="15840"/>
          <w:pgMar w:header="724" w:footer="792" w:top="980" w:bottom="980" w:left="1720" w:right="1720"/>
        </w:sectPr>
      </w:pPr>
    </w:p>
    <w:p>
      <w:pPr>
        <w:pStyle w:val="BodyText"/>
        <w:rPr>
          <w:rFonts w:ascii="Times New Roman"/>
          <w:sz w:val="20"/>
        </w:rPr>
      </w:pPr>
    </w:p>
    <w:p>
      <w:pPr>
        <w:pStyle w:val="BodyText"/>
        <w:spacing w:before="216"/>
        <w:ind w:left="686"/>
      </w:pPr>
      <w:r>
        <w:rPr/>
        <w:t>(Continued)</w:t>
      </w:r>
    </w:p>
    <w:p>
      <w:pPr>
        <w:pStyle w:val="Heading2"/>
        <w:tabs>
          <w:tab w:pos="8783" w:val="left" w:leader="none"/>
        </w:tabs>
        <w:spacing w:before="38"/>
        <w:ind w:left="686"/>
        <w:rPr>
          <w:b w:val="0"/>
        </w:rPr>
      </w:pPr>
      <w:r>
        <w:rPr/>
        <w:pict>
          <v:line style="position:absolute;mso-position-horizontal-relative:page;mso-position-vertical-relative:paragraph;z-index:26992" from="29.4pt,15.915854pt" to="29.4pt,496.035854pt" stroked="true" strokeweight=".72pt" strokecolor="#000000">
            <v:stroke dashstyle="solid"/>
            <w10:wrap type="none"/>
          </v:line>
        </w:pict>
      </w:r>
      <w:r>
        <w:rPr/>
        <w:t>CAPITAL OUTLAY</w:t>
      </w:r>
      <w:r>
        <w:rPr>
          <w:spacing w:val="-7"/>
        </w:rPr>
        <w:t> </w:t>
      </w:r>
      <w:r>
        <w:rPr/>
        <w:t>CODING</w:t>
      </w:r>
      <w:r>
        <w:rPr>
          <w:spacing w:val="-3"/>
        </w:rPr>
        <w:t> </w:t>
      </w:r>
      <w:r>
        <w:rPr/>
        <w:t>STRUCTURES</w:t>
        <w:tab/>
        <w:t>6839 </w:t>
      </w:r>
      <w:r>
        <w:rPr>
          <w:b w:val="0"/>
        </w:rPr>
        <w:t>(Cont.</w:t>
      </w:r>
      <w:r>
        <w:rPr>
          <w:b w:val="0"/>
          <w:spacing w:val="-6"/>
        </w:rPr>
        <w:t> </w:t>
      </w:r>
      <w:r>
        <w:rPr>
          <w:b w:val="0"/>
        </w:rPr>
        <w:t>1)</w:t>
      </w:r>
    </w:p>
    <w:p>
      <w:pPr>
        <w:pStyle w:val="BodyText"/>
        <w:ind w:left="686"/>
      </w:pPr>
      <w:r>
        <w:rPr/>
        <w:t>(Revised </w:t>
      </w:r>
      <w:r>
        <w:rPr>
          <w:strike/>
          <w:color w:val="2E97D3"/>
        </w:rPr>
        <w:t>5/1998</w:t>
      </w:r>
      <w:r>
        <w:rPr>
          <w:strike w:val="0"/>
          <w:color w:val="2E97D3"/>
          <w:u w:val="single" w:color="2E97D3"/>
        </w:rPr>
        <w:t>09/2017</w:t>
      </w:r>
      <w:r>
        <w:rPr>
          <w:strike w:val="0"/>
        </w:rPr>
        <w:t>)</w:t>
      </w:r>
    </w:p>
    <w:p>
      <w:pPr>
        <w:pStyle w:val="BodyText"/>
        <w:spacing w:before="120"/>
        <w:ind w:left="1046" w:right="155"/>
      </w:pPr>
      <w:r>
        <w:rPr>
          <w:strike/>
          <w:color w:val="2E97D3"/>
        </w:rPr>
        <w:t>Except for the task code, the responsibility for code control and assignment lies</w:t>
      </w:r>
      <w:r>
        <w:rPr>
          <w:b/>
          <w:strike w:val="0"/>
          <w:color w:val="2E97D3"/>
          <w:u w:val="thick" w:color="2E97D3"/>
        </w:rPr>
        <w:t>Project Categories</w:t>
      </w:r>
      <w:r>
        <w:rPr>
          <w:strike w:val="0"/>
          <w:color w:val="2E97D3"/>
          <w:u w:val="thick" w:color="2E97D3"/>
        </w:rPr>
        <w:t>. Beginning </w:t>
      </w:r>
      <w:r>
        <w:rPr>
          <w:strike w:val="0"/>
        </w:rPr>
        <w:t>with the </w:t>
      </w:r>
      <w:r>
        <w:rPr>
          <w:strike/>
          <w:color w:val="2E97D3"/>
        </w:rPr>
        <w:t>departmental accounting office which should establish and maintain an ongoing log of numbers so that codes will not be duplicated. When working on the five-year</w:t>
      </w:r>
      <w:r>
        <w:rPr>
          <w:strike w:val="0"/>
          <w:color w:val="2E97D3"/>
          <w:u w:val="single" w:color="2E97D3"/>
        </w:rPr>
        <w:t>2017-18 Budget, all </w:t>
      </w:r>
      <w:r>
        <w:rPr>
          <w:strike w:val="0"/>
        </w:rPr>
        <w:t>capital outlay </w:t>
      </w:r>
      <w:r>
        <w:rPr>
          <w:strike/>
          <w:color w:val="2E97D3"/>
        </w:rPr>
        <w:t>program or the budget year projects (</w:t>
      </w:r>
      <w:r>
        <w:rPr>
          <w:i/>
          <w:strike/>
          <w:color w:val="2E97D3"/>
        </w:rPr>
        <w:t>Governor’s Budget</w:t>
      </w:r>
      <w:r>
        <w:rPr>
          <w:strike/>
          <w:color w:val="2E97D3"/>
        </w:rPr>
        <w:t>, Finance Letters, and Change Book), the client department’s budget office and the DOF Capital Outlay Unit staff should coordinate with the client department’s accounting office for the assignment of codes.</w:t>
      </w:r>
    </w:p>
    <w:p>
      <w:pPr>
        <w:pStyle w:val="Heading2"/>
        <w:numPr>
          <w:ilvl w:val="0"/>
          <w:numId w:val="84"/>
        </w:numPr>
        <w:tabs>
          <w:tab w:pos="1047" w:val="left" w:leader="none"/>
        </w:tabs>
        <w:spacing w:line="240" w:lineRule="auto" w:before="120" w:after="0"/>
        <w:ind w:left="1046" w:right="0" w:hanging="360"/>
        <w:jc w:val="left"/>
      </w:pPr>
      <w:r>
        <w:rPr>
          <w:strike/>
          <w:color w:val="2E97D3"/>
        </w:rPr>
        <w:t>Meaning of Statewide</w:t>
      </w:r>
      <w:r>
        <w:rPr>
          <w:strike/>
          <w:color w:val="2E97D3"/>
          <w:spacing w:val="-15"/>
        </w:rPr>
        <w:t> </w:t>
      </w:r>
      <w:r>
        <w:rPr>
          <w:strike/>
          <w:color w:val="2E97D3"/>
        </w:rPr>
        <w:t>Code</w:t>
      </w:r>
    </w:p>
    <w:p>
      <w:pPr>
        <w:pStyle w:val="ListParagraph"/>
        <w:numPr>
          <w:ilvl w:val="1"/>
          <w:numId w:val="84"/>
        </w:numPr>
        <w:tabs>
          <w:tab w:pos="1407" w:val="left" w:leader="none"/>
        </w:tabs>
        <w:spacing w:line="240" w:lineRule="auto" w:before="117" w:after="0"/>
        <w:ind w:left="1406" w:right="486" w:hanging="360"/>
        <w:jc w:val="left"/>
        <w:rPr>
          <w:sz w:val="24"/>
        </w:rPr>
      </w:pPr>
      <w:r>
        <w:rPr>
          <w:strike/>
          <w:color w:val="2E97D3"/>
          <w:sz w:val="24"/>
        </w:rPr>
        <w:t>Program: The two-digit agency specific program code denotes the </w:t>
      </w:r>
      <w:r>
        <w:rPr>
          <w:i/>
          <w:strike/>
          <w:color w:val="2E97D3"/>
          <w:sz w:val="24"/>
        </w:rPr>
        <w:t>capital outlay </w:t>
      </w:r>
      <w:r>
        <w:rPr>
          <w:i/>
          <w:strike/>
          <w:color w:val="2E97D3"/>
          <w:sz w:val="24"/>
        </w:rPr>
        <w:t>program </w:t>
      </w:r>
      <w:r>
        <w:rPr>
          <w:strike/>
          <w:color w:val="2E97D3"/>
          <w:sz w:val="24"/>
        </w:rPr>
        <w:t>within a department’s overall program structure (this is not applicable</w:t>
      </w:r>
      <w:r>
        <w:rPr>
          <w:strike w:val="0"/>
          <w:color w:val="2E97D3"/>
          <w:sz w:val="24"/>
          <w:u w:val="single" w:color="2E97D3"/>
        </w:rPr>
        <w:t>expenditures are budgeted </w:t>
      </w:r>
      <w:r>
        <w:rPr>
          <w:strike w:val="0"/>
          <w:sz w:val="24"/>
        </w:rPr>
        <w:t>to the </w:t>
      </w:r>
      <w:r>
        <w:rPr>
          <w:strike/>
          <w:color w:val="2E97D3"/>
          <w:sz w:val="24"/>
        </w:rPr>
        <w:t>Departments of Transportation and Water</w:t>
      </w:r>
      <w:r>
        <w:rPr>
          <w:strike/>
          <w:color w:val="2E97D3"/>
          <w:spacing w:val="-5"/>
          <w:sz w:val="24"/>
        </w:rPr>
        <w:t> </w:t>
      </w:r>
      <w:r>
        <w:rPr>
          <w:strike/>
          <w:color w:val="2E97D3"/>
          <w:sz w:val="24"/>
        </w:rPr>
        <w:t>Resources).</w:t>
      </w:r>
    </w:p>
    <w:p>
      <w:pPr>
        <w:pStyle w:val="ListParagraph"/>
        <w:numPr>
          <w:ilvl w:val="1"/>
          <w:numId w:val="84"/>
        </w:numPr>
        <w:tabs>
          <w:tab w:pos="1407" w:val="left" w:leader="none"/>
        </w:tabs>
        <w:spacing w:line="240" w:lineRule="auto" w:before="117" w:after="0"/>
        <w:ind w:left="1406" w:right="159" w:hanging="360"/>
        <w:jc w:val="left"/>
        <w:rPr>
          <w:sz w:val="24"/>
        </w:rPr>
      </w:pPr>
      <w:r>
        <w:rPr>
          <w:strike/>
          <w:color w:val="2E97D3"/>
          <w:sz w:val="24"/>
        </w:rPr>
        <w:t>Element: The two-digit element code denotes the applicable </w:t>
      </w:r>
      <w:r>
        <w:rPr>
          <w:i/>
          <w:strike/>
          <w:color w:val="2E97D3"/>
          <w:sz w:val="24"/>
        </w:rPr>
        <w:t>location</w:t>
      </w:r>
      <w:r>
        <w:rPr>
          <w:strike/>
          <w:color w:val="2E97D3"/>
          <w:sz w:val="24"/>
        </w:rPr>
        <w:t>s for major capital outlay projects for institutional and non-institutional departments with location breakdown. (The Department of Parks and Recreation is authorized to use an alpha-numeric code.) For those projects of a general nature not identified to a specific location, an agency specific code for “statewide” will be used. A separate element code is to be assigned for minor capital outlay. When developing the location codes, departments need to allow for expansion, i.e., plan for any new locations in the coding</w:t>
      </w:r>
      <w:r>
        <w:rPr>
          <w:strike/>
          <w:color w:val="2E97D3"/>
          <w:spacing w:val="-15"/>
          <w:sz w:val="24"/>
        </w:rPr>
        <w:t> </w:t>
      </w:r>
      <w:r>
        <w:rPr>
          <w:strike/>
          <w:color w:val="2E97D3"/>
          <w:sz w:val="24"/>
        </w:rPr>
        <w:t>structure.</w:t>
      </w:r>
    </w:p>
    <w:p>
      <w:pPr>
        <w:pStyle w:val="ListParagraph"/>
        <w:numPr>
          <w:ilvl w:val="1"/>
          <w:numId w:val="84"/>
        </w:numPr>
        <w:tabs>
          <w:tab w:pos="1407" w:val="left" w:leader="none"/>
        </w:tabs>
        <w:spacing w:line="240" w:lineRule="auto" w:before="117" w:after="0"/>
        <w:ind w:left="1406" w:right="622" w:hanging="360"/>
        <w:jc w:val="both"/>
        <w:rPr>
          <w:sz w:val="24"/>
        </w:rPr>
      </w:pPr>
      <w:r>
        <w:rPr>
          <w:strike/>
          <w:color w:val="2E97D3"/>
          <w:sz w:val="24"/>
        </w:rPr>
        <w:t>Component: The three-digit component code denotes the </w:t>
      </w:r>
      <w:r>
        <w:rPr>
          <w:i/>
          <w:strike/>
          <w:color w:val="2E97D3"/>
          <w:sz w:val="24"/>
        </w:rPr>
        <w:t>project</w:t>
      </w:r>
      <w:r>
        <w:rPr>
          <w:strike/>
          <w:color w:val="2E97D3"/>
          <w:sz w:val="24"/>
        </w:rPr>
        <w:t>s. If possible, numbering should be in increments of five or ten to allow for expansion. These should be unique to each location</w:t>
      </w:r>
      <w:r>
        <w:rPr>
          <w:strike/>
          <w:color w:val="2E97D3"/>
          <w:spacing w:val="-19"/>
          <w:sz w:val="24"/>
        </w:rPr>
        <w:t> </w:t>
      </w:r>
      <w:r>
        <w:rPr>
          <w:strike/>
          <w:color w:val="2E97D3"/>
          <w:sz w:val="24"/>
        </w:rPr>
        <w:t>(element).</w:t>
      </w:r>
    </w:p>
    <w:p>
      <w:pPr>
        <w:pStyle w:val="ListParagraph"/>
        <w:numPr>
          <w:ilvl w:val="1"/>
          <w:numId w:val="84"/>
        </w:numPr>
        <w:tabs>
          <w:tab w:pos="1407" w:val="left" w:leader="none"/>
        </w:tabs>
        <w:spacing w:line="240" w:lineRule="auto" w:before="119" w:after="0"/>
        <w:ind w:left="1406" w:right="143" w:hanging="360"/>
        <w:jc w:val="left"/>
        <w:rPr>
          <w:sz w:val="24"/>
        </w:rPr>
      </w:pPr>
      <w:r>
        <w:rPr>
          <w:strike/>
          <w:color w:val="2E97D3"/>
          <w:sz w:val="24"/>
        </w:rPr>
        <w:t>Task:  The three-digit task code can be assigned </w:t>
      </w:r>
      <w:r>
        <w:rPr>
          <w:strike w:val="0"/>
          <w:color w:val="2E97D3"/>
          <w:sz w:val="24"/>
          <w:u w:val="single" w:color="2E97D3"/>
        </w:rPr>
        <w:t>same category. Therefore, the </w:t>
      </w:r>
      <w:r>
        <w:rPr>
          <w:strike w:val="0"/>
          <w:sz w:val="24"/>
        </w:rPr>
        <w:t>only </w:t>
      </w:r>
      <w:r>
        <w:rPr>
          <w:strike/>
          <w:color w:val="2E97D3"/>
          <w:sz w:val="24"/>
        </w:rPr>
        <w:t>by the DOF Capital Outlay and Financial Operations Units when a</w:t>
      </w:r>
      <w:r>
        <w:rPr>
          <w:strike w:val="0"/>
          <w:color w:val="2E97D3"/>
          <w:sz w:val="24"/>
          <w:u w:val="single" w:color="2E97D3"/>
        </w:rPr>
        <w:t>way to delineate </w:t>
      </w:r>
      <w:r>
        <w:rPr>
          <w:strike w:val="0"/>
          <w:sz w:val="24"/>
        </w:rPr>
        <w:t>project </w:t>
      </w:r>
      <w:r>
        <w:rPr>
          <w:strike/>
          <w:color w:val="2E97D3"/>
          <w:sz w:val="24"/>
        </w:rPr>
        <w:t>has more than one </w:t>
      </w:r>
      <w:r>
        <w:rPr>
          <w:strike w:val="0"/>
          <w:color w:val="2E97D3"/>
          <w:sz w:val="24"/>
          <w:u w:val="single" w:color="2E97D3"/>
        </w:rPr>
        <w:t>expenditures is by </w:t>
      </w:r>
      <w:r>
        <w:rPr>
          <w:strike w:val="0"/>
          <w:sz w:val="24"/>
        </w:rPr>
        <w:t>phase </w:t>
      </w:r>
      <w:r>
        <w:rPr>
          <w:strike/>
          <w:color w:val="2E97D3"/>
          <w:sz w:val="24"/>
        </w:rPr>
        <w:t>scheduled separately in the same appropriation item (reference number and</w:t>
      </w:r>
      <w:r>
        <w:rPr>
          <w:strike/>
          <w:color w:val="2E97D3"/>
          <w:spacing w:val="-26"/>
          <w:sz w:val="24"/>
        </w:rPr>
        <w:t> </w:t>
      </w:r>
      <w:r>
        <w:rPr>
          <w:strike/>
          <w:color w:val="2E97D3"/>
          <w:sz w:val="24"/>
        </w:rPr>
        <w:t>fund).</w:t>
      </w:r>
    </w:p>
    <w:p>
      <w:pPr>
        <w:pStyle w:val="BodyText"/>
        <w:spacing w:before="9"/>
        <w:rPr>
          <w:sz w:val="20"/>
        </w:rPr>
      </w:pPr>
    </w:p>
    <w:p>
      <w:pPr>
        <w:pStyle w:val="BodyText"/>
        <w:ind w:left="686"/>
      </w:pPr>
      <w:r>
        <w:rPr>
          <w:strike/>
          <w:color w:val="2E97D3"/>
        </w:rPr>
        <w:t>(Continued)</w:t>
      </w:r>
    </w:p>
    <w:p>
      <w:pPr>
        <w:spacing w:after="0"/>
        <w:sectPr>
          <w:pgSz w:w="12240" w:h="15840"/>
          <w:pgMar w:header="724" w:footer="792" w:top="980" w:bottom="980" w:left="480" w:right="1320"/>
        </w:sectPr>
      </w:pPr>
    </w:p>
    <w:p>
      <w:pPr>
        <w:pStyle w:val="BodyText"/>
        <w:rPr>
          <w:sz w:val="20"/>
        </w:rPr>
      </w:pPr>
    </w:p>
    <w:p>
      <w:pPr>
        <w:pStyle w:val="BodyText"/>
        <w:spacing w:before="216"/>
        <w:ind w:left="686"/>
      </w:pPr>
      <w:r>
        <w:rPr/>
        <w:pict>
          <v:line style="position:absolute;mso-position-horizontal-relative:page;mso-position-vertical-relative:paragraph;z-index:27112" from="29.4pt,10.895886pt" to="29.4pt,161.135886pt" stroked="true" strokeweight=".72pt" strokecolor="#000000">
            <v:stroke dashstyle="solid"/>
            <w10:wrap type="none"/>
          </v:line>
        </w:pict>
      </w:r>
      <w:r>
        <w:rPr>
          <w:strike/>
          <w:color w:val="2C6234"/>
        </w:rPr>
        <w:t>(Continued)</w:t>
      </w:r>
    </w:p>
    <w:p>
      <w:pPr>
        <w:pStyle w:val="Heading2"/>
        <w:tabs>
          <w:tab w:pos="8783" w:val="left" w:leader="none"/>
        </w:tabs>
        <w:spacing w:before="38"/>
        <w:ind w:left="686"/>
        <w:rPr>
          <w:b w:val="0"/>
        </w:rPr>
      </w:pPr>
      <w:r>
        <w:rPr/>
        <w:pict>
          <v:group style="position:absolute;margin-left:58.02pt;margin-top:9.435855pt;width:482.2pt;height:1.8pt;mso-position-horizontal-relative:page;mso-position-vertical-relative:paragraph;z-index:-445648" coordorigin="1160,189" coordsize="9644,36">
            <v:line style="position:absolute" from="1166,219" to="10798,219" stroked="true" strokeweight=".599pt" strokecolor="#2c6234">
              <v:stroke dashstyle="solid"/>
            </v:line>
            <v:line style="position:absolute" from="1166,195" to="10798,195" stroked="true" strokeweight=".6pt" strokecolor="#2c6234">
              <v:stroke dashstyle="solid"/>
            </v:line>
            <w10:wrap type="none"/>
          </v:group>
        </w:pict>
      </w:r>
      <w:r>
        <w:rPr>
          <w:color w:val="2C6234"/>
        </w:rPr>
        <w:t>CAPITAL OUTLAY</w:t>
      </w:r>
      <w:r>
        <w:rPr>
          <w:color w:val="2C6234"/>
          <w:spacing w:val="-7"/>
        </w:rPr>
        <w:t> </w:t>
      </w:r>
      <w:r>
        <w:rPr>
          <w:color w:val="2C6234"/>
        </w:rPr>
        <w:t>CODING</w:t>
      </w:r>
      <w:r>
        <w:rPr>
          <w:color w:val="2C6234"/>
          <w:spacing w:val="-3"/>
        </w:rPr>
        <w:t> </w:t>
      </w:r>
      <w:r>
        <w:rPr>
          <w:color w:val="2C6234"/>
        </w:rPr>
        <w:t>STRUCTURES</w:t>
        <w:tab/>
        <w:t>6839 </w:t>
      </w:r>
      <w:r>
        <w:rPr>
          <w:b w:val="0"/>
          <w:color w:val="2C6234"/>
        </w:rPr>
        <w:t>(Cont.</w:t>
      </w:r>
      <w:r>
        <w:rPr>
          <w:b w:val="0"/>
          <w:color w:val="2C6234"/>
          <w:spacing w:val="-6"/>
        </w:rPr>
        <w:t> </w:t>
      </w:r>
      <w:r>
        <w:rPr>
          <w:b w:val="0"/>
          <w:color w:val="2C6234"/>
        </w:rPr>
        <w:t>2)</w:t>
      </w:r>
    </w:p>
    <w:p>
      <w:pPr>
        <w:pStyle w:val="BodyText"/>
        <w:ind w:left="686"/>
      </w:pPr>
      <w:r>
        <w:rPr>
          <w:strike/>
          <w:color w:val="2E97D3"/>
        </w:rPr>
        <w:t>(Revised 5/1998)</w:t>
      </w:r>
    </w:p>
    <w:p>
      <w:pPr>
        <w:pStyle w:val="Heading2"/>
        <w:spacing w:before="120"/>
        <w:ind w:left="686"/>
      </w:pPr>
      <w:r>
        <w:rPr>
          <w:strike/>
          <w:color w:val="2E97D3"/>
        </w:rPr>
        <w:t>Project Categories</w:t>
      </w:r>
    </w:p>
    <w:p>
      <w:pPr>
        <w:pStyle w:val="BodyText"/>
        <w:spacing w:before="10"/>
        <w:rPr>
          <w:b/>
          <w:sz w:val="20"/>
        </w:rPr>
      </w:pPr>
    </w:p>
    <w:p>
      <w:pPr>
        <w:pStyle w:val="BodyText"/>
        <w:ind w:left="686" w:right="155"/>
      </w:pPr>
      <w:r>
        <w:rPr/>
        <w:pict>
          <v:group style="position:absolute;margin-left:136.259995pt;margin-top:215.255829pt;width:366.15pt;height:1.8pt;mso-position-horizontal-relative:page;mso-position-vertical-relative:paragraph;z-index:-445624" coordorigin="2725,4305" coordsize="7323,36">
            <v:line style="position:absolute" from="2731,4335" to="4706,4335" stroked="true" strokeweight=".599pt" strokecolor="#2c6234">
              <v:stroke dashstyle="solid"/>
            </v:line>
            <v:line style="position:absolute" from="2731,4311" to="4706,4311" stroked="true" strokeweight=".6pt" strokecolor="#2c6234">
              <v:stroke dashstyle="solid"/>
            </v:line>
            <v:line style="position:absolute" from="4706,4323" to="10042,4323" stroked="true" strokeweight=".6pt" strokecolor="#2e97d3">
              <v:stroke dashstyle="solid"/>
            </v:line>
            <w10:wrap type="none"/>
          </v:group>
        </w:pict>
      </w:r>
      <w:r>
        <w:rPr/>
        <w:pict>
          <v:line style="position:absolute;mso-position-horizontal-relative:page;mso-position-vertical-relative:paragraph;z-index:27136" from="29.4pt,109.29583pt" to="29.4pt,582.45583pt" stroked="true" strokeweight=".72pt" strokecolor="#000000">
            <v:stroke dashstyle="solid"/>
            <w10:wrap type="none"/>
          </v:line>
        </w:pict>
      </w:r>
      <w:r>
        <w:rPr>
          <w:color w:val="2E97D3"/>
          <w:u w:val="single" w:color="2E97D3"/>
        </w:rPr>
        <w:t>. </w:t>
      </w:r>
      <w:r>
        <w:rPr/>
        <w:t>Project categories describe functional purpose. Use the following coding structure for COBCPs (Section 6818) and in the five-year capitalized assets plans (Section 6820). </w:t>
      </w:r>
      <w:r>
        <w:rPr>
          <w:color w:val="2E97D3"/>
          <w:u w:val="single" w:color="2E97D3"/>
        </w:rPr>
        <w:t>Note that these categories can be found, and should be updated, in the Project Details tab in Hyperion.</w:t>
      </w:r>
    </w:p>
    <w:p>
      <w:pPr>
        <w:pStyle w:val="BodyText"/>
        <w:spacing w:before="9"/>
        <w:rPr>
          <w:sz w:val="10"/>
        </w:rPr>
      </w:pPr>
    </w:p>
    <w:tbl>
      <w:tblPr>
        <w:tblW w:w="0" w:type="auto"/>
        <w:jc w:val="left"/>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7901"/>
      </w:tblGrid>
      <w:tr>
        <w:trPr>
          <w:trHeight w:val="953" w:hRule="exact"/>
        </w:trPr>
        <w:tc>
          <w:tcPr>
            <w:tcW w:w="1080" w:type="dxa"/>
            <w:tcBorders>
              <w:top w:val="nil"/>
              <w:left w:val="nil"/>
            </w:tcBorders>
          </w:tcPr>
          <w:p>
            <w:pPr>
              <w:pStyle w:val="TableParagraph"/>
              <w:spacing w:before="7"/>
              <w:rPr>
                <w:sz w:val="23"/>
              </w:rPr>
            </w:pPr>
          </w:p>
          <w:p>
            <w:pPr>
              <w:pStyle w:val="TableParagraph"/>
              <w:ind w:left="105"/>
              <w:rPr>
                <w:sz w:val="24"/>
              </w:rPr>
            </w:pPr>
            <w:r>
              <w:rPr>
                <w:sz w:val="24"/>
              </w:rPr>
              <w:t>FLS</w:t>
            </w:r>
          </w:p>
        </w:tc>
        <w:tc>
          <w:tcPr>
            <w:tcW w:w="7901" w:type="dxa"/>
            <w:tcBorders>
              <w:top w:val="nil"/>
              <w:right w:val="nil"/>
            </w:tcBorders>
          </w:tcPr>
          <w:p>
            <w:pPr>
              <w:pStyle w:val="TableParagraph"/>
              <w:ind w:left="100" w:right="92"/>
              <w:rPr>
                <w:sz w:val="24"/>
              </w:rPr>
            </w:pPr>
            <w:r>
              <w:rPr>
                <w:b/>
                <w:sz w:val="24"/>
              </w:rPr>
              <w:t>Fire</w:t>
            </w:r>
            <w:r>
              <w:rPr>
                <w:b/>
                <w:strike/>
                <w:color w:val="2E97D3"/>
                <w:sz w:val="24"/>
              </w:rPr>
              <w:t>/life safety </w:t>
            </w:r>
            <w:r>
              <w:rPr>
                <w:b/>
                <w:strike w:val="0"/>
                <w:color w:val="2E97D3"/>
                <w:sz w:val="24"/>
                <w:u w:val="thick" w:color="2E97D3"/>
              </w:rPr>
              <w:t>Life Safety</w:t>
            </w:r>
            <w:r>
              <w:rPr>
                <w:strike w:val="0"/>
                <w:sz w:val="24"/>
              </w:rPr>
              <w:t>. Projects required to avoid imminent danger to state employees or the public from physical characteristics or facility siting.</w:t>
            </w:r>
          </w:p>
        </w:tc>
      </w:tr>
      <w:tr>
        <w:trPr>
          <w:trHeight w:val="562" w:hRule="exact"/>
        </w:trPr>
        <w:tc>
          <w:tcPr>
            <w:tcW w:w="1080" w:type="dxa"/>
            <w:tcBorders>
              <w:left w:val="nil"/>
            </w:tcBorders>
          </w:tcPr>
          <w:p>
            <w:pPr>
              <w:pStyle w:val="TableParagraph"/>
              <w:spacing w:before="135"/>
              <w:ind w:left="331"/>
              <w:rPr>
                <w:sz w:val="24"/>
              </w:rPr>
            </w:pPr>
            <w:r>
              <w:rPr>
                <w:strike/>
                <w:color w:val="2E97D3"/>
                <w:sz w:val="24"/>
              </w:rPr>
              <w:t>CRI</w:t>
            </w:r>
          </w:p>
        </w:tc>
        <w:tc>
          <w:tcPr>
            <w:tcW w:w="7901" w:type="dxa"/>
            <w:tcBorders>
              <w:right w:val="nil"/>
            </w:tcBorders>
          </w:tcPr>
          <w:p>
            <w:pPr>
              <w:pStyle w:val="TableParagraph"/>
              <w:ind w:left="100" w:right="573"/>
              <w:rPr>
                <w:sz w:val="24"/>
              </w:rPr>
            </w:pPr>
            <w:r>
              <w:rPr>
                <w:b/>
                <w:strike/>
                <w:color w:val="2E97D3"/>
                <w:sz w:val="24"/>
              </w:rPr>
              <w:t>Critical infrastructure deficiencies </w:t>
            </w:r>
            <w:r>
              <w:rPr>
                <w:strike/>
                <w:color w:val="2E97D3"/>
                <w:sz w:val="24"/>
              </w:rPr>
              <w:t>which impair program delivery, such as replacement of aging mechanical systems.</w:t>
            </w:r>
          </w:p>
        </w:tc>
      </w:tr>
      <w:tr>
        <w:trPr>
          <w:trHeight w:val="838" w:hRule="exact"/>
        </w:trPr>
        <w:tc>
          <w:tcPr>
            <w:tcW w:w="1080" w:type="dxa"/>
            <w:tcBorders>
              <w:left w:val="nil"/>
            </w:tcBorders>
          </w:tcPr>
          <w:p>
            <w:pPr>
              <w:pStyle w:val="TableParagraph"/>
              <w:spacing w:before="7"/>
              <w:rPr>
                <w:sz w:val="23"/>
              </w:rPr>
            </w:pPr>
          </w:p>
          <w:p>
            <w:pPr>
              <w:pStyle w:val="TableParagraph"/>
              <w:ind w:left="344" w:right="344"/>
              <w:jc w:val="center"/>
              <w:rPr>
                <w:sz w:val="24"/>
              </w:rPr>
            </w:pPr>
            <w:r>
              <w:rPr>
                <w:strike/>
                <w:color w:val="2E97D3"/>
                <w:sz w:val="24"/>
              </w:rPr>
              <w:t>CD</w:t>
            </w:r>
          </w:p>
        </w:tc>
        <w:tc>
          <w:tcPr>
            <w:tcW w:w="7901" w:type="dxa"/>
            <w:tcBorders>
              <w:right w:val="nil"/>
            </w:tcBorders>
          </w:tcPr>
          <w:p>
            <w:pPr>
              <w:pStyle w:val="TableParagraph"/>
              <w:ind w:left="100" w:right="92"/>
              <w:rPr>
                <w:sz w:val="24"/>
              </w:rPr>
            </w:pPr>
            <w:r>
              <w:rPr>
                <w:b/>
                <w:strike/>
                <w:color w:val="2E97D3"/>
                <w:sz w:val="24"/>
              </w:rPr>
              <w:t>Code deficiencies</w:t>
            </w:r>
            <w:r>
              <w:rPr>
                <w:strike/>
                <w:color w:val="2E97D3"/>
                <w:sz w:val="24"/>
              </w:rPr>
              <w:t>. Non-critical fire/life safety projects, and all other code deficiencies except Americans with Disabilities Act </w:t>
            </w:r>
            <w:r>
              <w:rPr>
                <w:b/>
                <w:strike/>
                <w:color w:val="2E97D3"/>
                <w:sz w:val="24"/>
              </w:rPr>
              <w:t>(</w:t>
            </w:r>
            <w:r>
              <w:rPr>
                <w:strike/>
                <w:color w:val="2E97D3"/>
                <w:sz w:val="24"/>
              </w:rPr>
              <w:t>ADA)requirements.</w:t>
            </w:r>
          </w:p>
        </w:tc>
      </w:tr>
      <w:tr>
        <w:trPr>
          <w:trHeight w:val="288" w:hRule="exact"/>
        </w:trPr>
        <w:tc>
          <w:tcPr>
            <w:tcW w:w="1080" w:type="dxa"/>
            <w:tcBorders>
              <w:left w:val="nil"/>
            </w:tcBorders>
          </w:tcPr>
          <w:p>
            <w:pPr>
              <w:pStyle w:val="TableParagraph"/>
              <w:spacing w:line="274" w:lineRule="exact"/>
              <w:ind w:left="343" w:right="344"/>
              <w:jc w:val="center"/>
              <w:rPr>
                <w:sz w:val="24"/>
              </w:rPr>
            </w:pPr>
            <w:r>
              <w:rPr>
                <w:strike/>
                <w:color w:val="2E97D3"/>
                <w:sz w:val="24"/>
              </w:rPr>
              <w:t>SC</w:t>
            </w:r>
          </w:p>
        </w:tc>
        <w:tc>
          <w:tcPr>
            <w:tcW w:w="7901" w:type="dxa"/>
            <w:tcBorders>
              <w:right w:val="nil"/>
            </w:tcBorders>
          </w:tcPr>
          <w:p>
            <w:pPr>
              <w:pStyle w:val="TableParagraph"/>
              <w:spacing w:line="274" w:lineRule="exact"/>
              <w:ind w:left="100"/>
              <w:rPr>
                <w:sz w:val="24"/>
              </w:rPr>
            </w:pPr>
            <w:r>
              <w:rPr>
                <w:b/>
                <w:strike/>
                <w:color w:val="2E97D3"/>
                <w:sz w:val="24"/>
              </w:rPr>
              <w:t>Security</w:t>
            </w:r>
            <w:r>
              <w:rPr>
                <w:strike/>
                <w:color w:val="2E97D3"/>
                <w:sz w:val="24"/>
              </w:rPr>
              <w:t>.</w:t>
            </w:r>
          </w:p>
        </w:tc>
      </w:tr>
      <w:tr>
        <w:trPr>
          <w:trHeight w:val="286" w:hRule="exact"/>
        </w:trPr>
        <w:tc>
          <w:tcPr>
            <w:tcW w:w="1080" w:type="dxa"/>
            <w:tcBorders>
              <w:left w:val="nil"/>
            </w:tcBorders>
          </w:tcPr>
          <w:p>
            <w:pPr>
              <w:pStyle w:val="TableParagraph"/>
              <w:spacing w:line="272" w:lineRule="exact"/>
              <w:ind w:left="357"/>
              <w:rPr>
                <w:sz w:val="24"/>
              </w:rPr>
            </w:pPr>
            <w:r>
              <w:rPr>
                <w:strike/>
                <w:color w:val="2E97D3"/>
                <w:sz w:val="24"/>
              </w:rPr>
              <w:t>SM</w:t>
            </w:r>
          </w:p>
        </w:tc>
        <w:tc>
          <w:tcPr>
            <w:tcW w:w="7901" w:type="dxa"/>
            <w:tcBorders>
              <w:right w:val="nil"/>
            </w:tcBorders>
          </w:tcPr>
          <w:p>
            <w:pPr>
              <w:pStyle w:val="TableParagraph"/>
              <w:spacing w:line="272" w:lineRule="exact"/>
              <w:ind w:left="100"/>
              <w:rPr>
                <w:sz w:val="24"/>
              </w:rPr>
            </w:pPr>
            <w:r>
              <w:rPr>
                <w:b/>
                <w:strike/>
                <w:color w:val="2E97D3"/>
                <w:sz w:val="24"/>
              </w:rPr>
              <w:t>Seismic</w:t>
            </w:r>
            <w:r>
              <w:rPr>
                <w:strike/>
                <w:color w:val="2E97D3"/>
                <w:sz w:val="24"/>
              </w:rPr>
              <w:t>.</w:t>
            </w:r>
          </w:p>
        </w:tc>
      </w:tr>
      <w:tr>
        <w:trPr>
          <w:trHeight w:val="286" w:hRule="exact"/>
        </w:trPr>
        <w:tc>
          <w:tcPr>
            <w:tcW w:w="1080" w:type="dxa"/>
            <w:tcBorders>
              <w:left w:val="nil"/>
            </w:tcBorders>
          </w:tcPr>
          <w:p>
            <w:pPr>
              <w:pStyle w:val="TableParagraph"/>
              <w:spacing w:line="272" w:lineRule="exact"/>
              <w:ind w:right="221"/>
              <w:jc w:val="right"/>
              <w:rPr>
                <w:sz w:val="24"/>
              </w:rPr>
            </w:pPr>
            <w:r>
              <w:rPr>
                <w:strike/>
                <w:color w:val="2E97D3"/>
                <w:sz w:val="24"/>
              </w:rPr>
              <w:t>ADA1</w:t>
            </w:r>
          </w:p>
        </w:tc>
        <w:tc>
          <w:tcPr>
            <w:tcW w:w="7901" w:type="dxa"/>
            <w:tcBorders>
              <w:right w:val="nil"/>
            </w:tcBorders>
          </w:tcPr>
          <w:p>
            <w:pPr>
              <w:pStyle w:val="TableParagraph"/>
              <w:spacing w:line="272" w:lineRule="exact"/>
              <w:ind w:left="100"/>
              <w:rPr>
                <w:sz w:val="24"/>
              </w:rPr>
            </w:pPr>
            <w:r>
              <w:rPr>
                <w:b/>
                <w:color w:val="2C6234"/>
                <w:sz w:val="24"/>
              </w:rPr>
              <w:t>ADA compliance </w:t>
            </w:r>
            <w:r>
              <w:rPr>
                <w:b/>
                <w:color w:val="2E97D3"/>
                <w:sz w:val="24"/>
              </w:rPr>
              <w:t>for 24-hour care facilities and institutions only</w:t>
            </w:r>
            <w:r>
              <w:rPr>
                <w:color w:val="2E97D3"/>
                <w:sz w:val="24"/>
              </w:rPr>
              <w:t>.</w:t>
            </w:r>
          </w:p>
        </w:tc>
      </w:tr>
      <w:tr>
        <w:trPr>
          <w:trHeight w:val="286" w:hRule="exact"/>
        </w:trPr>
        <w:tc>
          <w:tcPr>
            <w:tcW w:w="1080" w:type="dxa"/>
            <w:tcBorders>
              <w:left w:val="nil"/>
            </w:tcBorders>
          </w:tcPr>
          <w:p>
            <w:pPr>
              <w:pStyle w:val="TableParagraph"/>
              <w:spacing w:line="272" w:lineRule="exact"/>
              <w:ind w:right="221"/>
              <w:jc w:val="right"/>
              <w:rPr>
                <w:sz w:val="24"/>
              </w:rPr>
            </w:pPr>
            <w:r>
              <w:rPr>
                <w:strike/>
                <w:color w:val="2E97D3"/>
                <w:sz w:val="24"/>
              </w:rPr>
              <w:t>ADA2</w:t>
            </w:r>
          </w:p>
        </w:tc>
        <w:tc>
          <w:tcPr>
            <w:tcW w:w="7901" w:type="dxa"/>
            <w:tcBorders>
              <w:right w:val="nil"/>
            </w:tcBorders>
          </w:tcPr>
          <w:p>
            <w:pPr>
              <w:pStyle w:val="TableParagraph"/>
              <w:spacing w:line="272" w:lineRule="exact"/>
              <w:ind w:left="100"/>
              <w:rPr>
                <w:sz w:val="24"/>
              </w:rPr>
            </w:pPr>
            <w:r>
              <w:rPr>
                <w:b/>
                <w:strike/>
                <w:color w:val="2E97D3"/>
                <w:sz w:val="24"/>
              </w:rPr>
              <w:t>All other ADA compliance</w:t>
            </w:r>
            <w:r>
              <w:rPr>
                <w:strike/>
                <w:color w:val="2E97D3"/>
                <w:sz w:val="24"/>
              </w:rPr>
              <w:t>.</w:t>
            </w:r>
          </w:p>
        </w:tc>
      </w:tr>
      <w:tr>
        <w:trPr>
          <w:trHeight w:val="562" w:hRule="exact"/>
        </w:trPr>
        <w:tc>
          <w:tcPr>
            <w:tcW w:w="1080" w:type="dxa"/>
            <w:tcBorders>
              <w:left w:val="nil"/>
            </w:tcBorders>
          </w:tcPr>
          <w:p>
            <w:pPr>
              <w:pStyle w:val="TableParagraph"/>
              <w:spacing w:before="135"/>
              <w:ind w:left="344" w:right="344"/>
              <w:jc w:val="center"/>
              <w:rPr>
                <w:sz w:val="24"/>
              </w:rPr>
            </w:pPr>
            <w:r>
              <w:rPr>
                <w:strike/>
                <w:color w:val="2E97D3"/>
                <w:sz w:val="24"/>
              </w:rPr>
              <w:t>PS</w:t>
            </w:r>
          </w:p>
        </w:tc>
        <w:tc>
          <w:tcPr>
            <w:tcW w:w="7901" w:type="dxa"/>
            <w:tcBorders>
              <w:right w:val="nil"/>
            </w:tcBorders>
          </w:tcPr>
          <w:p>
            <w:pPr>
              <w:pStyle w:val="TableParagraph"/>
              <w:ind w:left="100" w:right="92"/>
              <w:rPr>
                <w:sz w:val="24"/>
              </w:rPr>
            </w:pPr>
            <w:r>
              <w:rPr>
                <w:b/>
                <w:strike/>
                <w:color w:val="2E97D3"/>
                <w:sz w:val="24"/>
              </w:rPr>
              <w:t>Public safety</w:t>
            </w:r>
            <w:r>
              <w:rPr>
                <w:strike/>
                <w:color w:val="2E97D3"/>
                <w:sz w:val="24"/>
              </w:rPr>
              <w:t>. Any project needed to deliver critical public safety benefits.</w:t>
            </w:r>
          </w:p>
        </w:tc>
      </w:tr>
      <w:tr>
        <w:trPr>
          <w:trHeight w:val="682" w:hRule="exact"/>
        </w:trPr>
        <w:tc>
          <w:tcPr>
            <w:tcW w:w="1080" w:type="dxa"/>
            <w:tcBorders>
              <w:left w:val="nil"/>
            </w:tcBorders>
          </w:tcPr>
          <w:p>
            <w:pPr>
              <w:pStyle w:val="TableParagraph"/>
              <w:ind w:left="105"/>
              <w:rPr>
                <w:sz w:val="24"/>
              </w:rPr>
            </w:pPr>
            <w:r>
              <w:rPr>
                <w:strike/>
                <w:color w:val="2E97D3"/>
                <w:sz w:val="24"/>
              </w:rPr>
              <w:t>ECP</w:t>
            </w:r>
            <w:r>
              <w:rPr>
                <w:strike w:val="0"/>
                <w:color w:val="2E97D3"/>
                <w:sz w:val="24"/>
                <w:u w:val="single" w:color="2E97D3"/>
              </w:rPr>
              <w:t>W RK</w:t>
            </w:r>
          </w:p>
        </w:tc>
        <w:tc>
          <w:tcPr>
            <w:tcW w:w="7901" w:type="dxa"/>
            <w:tcBorders>
              <w:right w:val="nil"/>
            </w:tcBorders>
          </w:tcPr>
          <w:p>
            <w:pPr>
              <w:pStyle w:val="TableParagraph"/>
              <w:ind w:left="100" w:right="187"/>
              <w:rPr>
                <w:sz w:val="24"/>
              </w:rPr>
            </w:pPr>
            <w:r>
              <w:rPr>
                <w:b/>
                <w:sz w:val="24"/>
              </w:rPr>
              <w:t>Enrollment/caseload/population (ECP). </w:t>
            </w:r>
            <w:r>
              <w:rPr>
                <w:sz w:val="24"/>
              </w:rPr>
              <w:t>Usage is limited to changes to existing programs for recognized ECP departments.</w:t>
            </w:r>
          </w:p>
        </w:tc>
      </w:tr>
      <w:tr>
        <w:trPr>
          <w:trHeight w:val="1510" w:hRule="exact"/>
        </w:trPr>
        <w:tc>
          <w:tcPr>
            <w:tcW w:w="1080" w:type="dxa"/>
            <w:tcBorders>
              <w:left w:val="nil"/>
            </w:tcBorders>
          </w:tcPr>
          <w:p>
            <w:pPr>
              <w:pStyle w:val="TableParagraph"/>
              <w:spacing w:before="8"/>
              <w:rPr>
                <w:sz w:val="35"/>
              </w:rPr>
            </w:pPr>
          </w:p>
          <w:p>
            <w:pPr>
              <w:pStyle w:val="TableParagraph"/>
              <w:ind w:left="105" w:right="216"/>
              <w:rPr>
                <w:sz w:val="24"/>
              </w:rPr>
            </w:pPr>
            <w:r>
              <w:rPr>
                <w:strike/>
                <w:color w:val="2E97D3"/>
                <w:sz w:val="24"/>
              </w:rPr>
              <w:t>WRK</w:t>
            </w:r>
            <w:r>
              <w:rPr>
                <w:strike w:val="0"/>
                <w:color w:val="2E97D3"/>
                <w:sz w:val="24"/>
                <w:u w:val="single" w:color="2E97D3"/>
              </w:rPr>
              <w:t>C D</w:t>
            </w:r>
          </w:p>
        </w:tc>
        <w:tc>
          <w:tcPr>
            <w:tcW w:w="7901" w:type="dxa"/>
            <w:tcBorders>
              <w:right w:val="nil"/>
            </w:tcBorders>
          </w:tcPr>
          <w:p>
            <w:pPr>
              <w:pStyle w:val="TableParagraph"/>
              <w:ind w:left="100" w:right="92"/>
              <w:rPr>
                <w:sz w:val="24"/>
              </w:rPr>
            </w:pPr>
            <w:r>
              <w:rPr>
                <w:b/>
                <w:sz w:val="24"/>
              </w:rPr>
              <w:t>Workload</w:t>
            </w:r>
            <w:r>
              <w:rPr>
                <w:b/>
                <w:strike/>
                <w:color w:val="2E97D3"/>
                <w:sz w:val="24"/>
              </w:rPr>
              <w:t>-driven projects. </w:t>
            </w:r>
            <w:r>
              <w:rPr>
                <w:b/>
                <w:strike w:val="0"/>
                <w:color w:val="2E97D3"/>
                <w:sz w:val="24"/>
                <w:u w:val="thick" w:color="2E97D3"/>
              </w:rPr>
              <w:t>Space deficiencies. </w:t>
            </w:r>
            <w:r>
              <w:rPr>
                <w:strike w:val="0"/>
                <w:sz w:val="24"/>
              </w:rPr>
              <w:t>For non-ECP departments</w:t>
            </w:r>
            <w:r>
              <w:rPr>
                <w:strike w:val="0"/>
                <w:color w:val="2E97D3"/>
                <w:sz w:val="24"/>
              </w:rPr>
              <w:t>, </w:t>
            </w:r>
            <w:r>
              <w:rPr>
                <w:strike w:val="0"/>
                <w:sz w:val="24"/>
              </w:rPr>
              <w:t>these </w:t>
            </w:r>
            <w:r>
              <w:rPr>
                <w:strike/>
                <w:color w:val="2E97D3"/>
                <w:sz w:val="24"/>
              </w:rPr>
              <w:t>are </w:t>
            </w:r>
            <w:r>
              <w:rPr>
                <w:strike w:val="0"/>
                <w:sz w:val="24"/>
              </w:rPr>
              <w:t>projects for existing programs resulting </w:t>
            </w:r>
            <w:r>
              <w:rPr>
                <w:strike/>
                <w:color w:val="2E97D3"/>
                <w:sz w:val="24"/>
              </w:rPr>
              <w:t>from</w:t>
            </w:r>
            <w:r>
              <w:rPr>
                <w:strike w:val="0"/>
                <w:color w:val="2E97D3"/>
                <w:sz w:val="24"/>
                <w:u w:val="single" w:color="2E97D3"/>
              </w:rPr>
              <w:t>form </w:t>
            </w:r>
            <w:r>
              <w:rPr>
                <w:strike w:val="0"/>
                <w:sz w:val="24"/>
              </w:rPr>
              <w:t>workload (</w:t>
            </w:r>
            <w:r>
              <w:rPr>
                <w:strike/>
                <w:color w:val="2E97D3"/>
                <w:sz w:val="24"/>
              </w:rPr>
              <w:t>i.e., </w:t>
            </w:r>
            <w:r>
              <w:rPr>
                <w:strike w:val="0"/>
                <w:sz w:val="24"/>
              </w:rPr>
              <w:t>non-policy) changes. </w:t>
            </w:r>
            <w:r>
              <w:rPr>
                <w:strike w:val="0"/>
                <w:color w:val="2E97D3"/>
                <w:sz w:val="24"/>
                <w:u w:val="single" w:color="2E97D3"/>
              </w:rPr>
              <w:t>Non-critical fire/life safety projects, and all other code deficiencies except Americans with Disabilities Act </w:t>
            </w:r>
            <w:r>
              <w:rPr>
                <w:b/>
                <w:strike w:val="0"/>
                <w:color w:val="2E97D3"/>
                <w:sz w:val="24"/>
                <w:u w:val="single" w:color="2E97D3"/>
              </w:rPr>
              <w:t>(</w:t>
            </w:r>
            <w:r>
              <w:rPr>
                <w:strike w:val="0"/>
                <w:color w:val="2E97D3"/>
                <w:sz w:val="24"/>
                <w:u w:val="single" w:color="2E97D3"/>
              </w:rPr>
              <w:t>ADA) requirements.</w:t>
            </w:r>
          </w:p>
        </w:tc>
      </w:tr>
      <w:tr>
        <w:trPr>
          <w:trHeight w:val="684" w:hRule="exact"/>
        </w:trPr>
        <w:tc>
          <w:tcPr>
            <w:tcW w:w="1080" w:type="dxa"/>
            <w:tcBorders>
              <w:left w:val="nil"/>
            </w:tcBorders>
          </w:tcPr>
          <w:p>
            <w:pPr>
              <w:pStyle w:val="TableParagraph"/>
              <w:spacing w:before="135"/>
              <w:ind w:left="105"/>
              <w:rPr>
                <w:sz w:val="24"/>
              </w:rPr>
            </w:pPr>
            <w:r>
              <w:rPr>
                <w:color w:val="2E97D3"/>
                <w:sz w:val="24"/>
                <w:u w:val="single" w:color="2E97D3"/>
              </w:rPr>
              <w:t>CRI</w:t>
            </w:r>
          </w:p>
        </w:tc>
        <w:tc>
          <w:tcPr>
            <w:tcW w:w="7901" w:type="dxa"/>
            <w:tcBorders>
              <w:right w:val="nil"/>
            </w:tcBorders>
          </w:tcPr>
          <w:p>
            <w:pPr>
              <w:pStyle w:val="TableParagraph"/>
              <w:ind w:left="100" w:right="453"/>
              <w:rPr>
                <w:sz w:val="24"/>
              </w:rPr>
            </w:pPr>
            <w:r>
              <w:rPr>
                <w:b/>
                <w:color w:val="2E97D3"/>
                <w:sz w:val="24"/>
                <w:u w:val="thick" w:color="2E97D3"/>
              </w:rPr>
              <w:t>Critical infrastructure deficiencies. </w:t>
            </w:r>
            <w:r>
              <w:rPr>
                <w:color w:val="2E97D3"/>
                <w:sz w:val="24"/>
                <w:u w:val="thick" w:color="2E97D3"/>
              </w:rPr>
              <w:t>Which impair program delivery, </w:t>
            </w:r>
            <w:r>
              <w:rPr>
                <w:color w:val="2E97D3"/>
                <w:sz w:val="24"/>
                <w:u w:val="single" w:color="2E97D3"/>
              </w:rPr>
              <w:t>such as replacement of aging mechanical systems.</w:t>
            </w:r>
          </w:p>
        </w:tc>
      </w:tr>
      <w:tr>
        <w:trPr>
          <w:trHeight w:val="406" w:hRule="exact"/>
        </w:trPr>
        <w:tc>
          <w:tcPr>
            <w:tcW w:w="1080" w:type="dxa"/>
            <w:tcBorders>
              <w:left w:val="nil"/>
            </w:tcBorders>
          </w:tcPr>
          <w:p>
            <w:pPr>
              <w:pStyle w:val="TableParagraph"/>
              <w:spacing w:line="272" w:lineRule="exact"/>
              <w:ind w:left="105"/>
              <w:rPr>
                <w:sz w:val="24"/>
              </w:rPr>
            </w:pPr>
            <w:r>
              <w:rPr>
                <w:color w:val="2E97D3"/>
                <w:sz w:val="24"/>
                <w:u w:val="single" w:color="2E97D3"/>
              </w:rPr>
              <w:t>SM</w:t>
            </w:r>
          </w:p>
        </w:tc>
        <w:tc>
          <w:tcPr>
            <w:tcW w:w="7901" w:type="dxa"/>
            <w:tcBorders>
              <w:right w:val="nil"/>
            </w:tcBorders>
          </w:tcPr>
          <w:p>
            <w:pPr>
              <w:pStyle w:val="TableParagraph"/>
              <w:spacing w:line="272" w:lineRule="exact"/>
              <w:ind w:left="100"/>
              <w:rPr>
                <w:b/>
                <w:sz w:val="24"/>
              </w:rPr>
            </w:pPr>
            <w:r>
              <w:rPr>
                <w:b/>
                <w:color w:val="2E97D3"/>
                <w:sz w:val="24"/>
                <w:u w:val="thick" w:color="2E97D3"/>
              </w:rPr>
              <w:t>Seismic.</w:t>
            </w:r>
          </w:p>
        </w:tc>
      </w:tr>
      <w:tr>
        <w:trPr>
          <w:trHeight w:val="406" w:hRule="exact"/>
        </w:trPr>
        <w:tc>
          <w:tcPr>
            <w:tcW w:w="1080" w:type="dxa"/>
            <w:tcBorders>
              <w:left w:val="nil"/>
            </w:tcBorders>
          </w:tcPr>
          <w:p>
            <w:pPr>
              <w:pStyle w:val="TableParagraph"/>
              <w:spacing w:line="272" w:lineRule="exact"/>
              <w:ind w:left="105"/>
              <w:rPr>
                <w:sz w:val="24"/>
              </w:rPr>
            </w:pPr>
            <w:r>
              <w:rPr>
                <w:color w:val="2E97D3"/>
                <w:sz w:val="24"/>
                <w:u w:val="single" w:color="2E97D3"/>
              </w:rPr>
              <w:t>ADA</w:t>
            </w:r>
          </w:p>
        </w:tc>
        <w:tc>
          <w:tcPr>
            <w:tcW w:w="7901" w:type="dxa"/>
            <w:tcBorders>
              <w:right w:val="nil"/>
            </w:tcBorders>
          </w:tcPr>
          <w:p>
            <w:pPr>
              <w:pStyle w:val="TableParagraph"/>
              <w:spacing w:line="272" w:lineRule="exact"/>
              <w:ind w:left="100"/>
              <w:rPr>
                <w:sz w:val="24"/>
              </w:rPr>
            </w:pPr>
            <w:r>
              <w:rPr>
                <w:b/>
                <w:color w:val="2E97D3"/>
                <w:sz w:val="24"/>
              </w:rPr>
              <w:t>Public Access and Recreation. </w:t>
            </w:r>
            <w:r>
              <w:rPr>
                <w:color w:val="2C6234"/>
                <w:sz w:val="24"/>
              </w:rPr>
              <w:t>ADA compliance</w:t>
            </w:r>
          </w:p>
        </w:tc>
      </w:tr>
      <w:tr>
        <w:trPr>
          <w:trHeight w:val="406" w:hRule="exact"/>
        </w:trPr>
        <w:tc>
          <w:tcPr>
            <w:tcW w:w="1080" w:type="dxa"/>
            <w:tcBorders>
              <w:left w:val="nil"/>
            </w:tcBorders>
          </w:tcPr>
          <w:p>
            <w:pPr>
              <w:pStyle w:val="TableParagraph"/>
              <w:spacing w:line="272" w:lineRule="exact"/>
              <w:ind w:left="105"/>
              <w:rPr>
                <w:sz w:val="24"/>
              </w:rPr>
            </w:pPr>
            <w:r>
              <w:rPr>
                <w:color w:val="2E97D3"/>
                <w:w w:val="100"/>
                <w:sz w:val="24"/>
                <w:u w:val="single" w:color="2E97D3"/>
              </w:rPr>
              <w:t>O</w:t>
            </w:r>
          </w:p>
        </w:tc>
        <w:tc>
          <w:tcPr>
            <w:tcW w:w="7901" w:type="dxa"/>
            <w:tcBorders>
              <w:right w:val="nil"/>
            </w:tcBorders>
          </w:tcPr>
          <w:p>
            <w:pPr>
              <w:pStyle w:val="TableParagraph"/>
              <w:spacing w:line="272" w:lineRule="exact"/>
              <w:ind w:left="100"/>
              <w:rPr>
                <w:b/>
                <w:sz w:val="24"/>
              </w:rPr>
            </w:pPr>
            <w:r>
              <w:rPr>
                <w:b/>
                <w:color w:val="2E97D3"/>
                <w:sz w:val="24"/>
                <w:u w:val="thick" w:color="2E97D3"/>
              </w:rPr>
              <w:t>Other Critical Infrastructure.</w:t>
            </w:r>
          </w:p>
        </w:tc>
      </w:tr>
      <w:tr>
        <w:trPr>
          <w:trHeight w:val="958" w:hRule="exact"/>
        </w:trPr>
        <w:tc>
          <w:tcPr>
            <w:tcW w:w="1080" w:type="dxa"/>
            <w:tcBorders>
              <w:left w:val="nil"/>
            </w:tcBorders>
          </w:tcPr>
          <w:p>
            <w:pPr>
              <w:pStyle w:val="TableParagraph"/>
              <w:spacing w:before="135"/>
              <w:ind w:left="105" w:right="256"/>
              <w:rPr>
                <w:sz w:val="24"/>
              </w:rPr>
            </w:pPr>
            <w:r>
              <w:rPr>
                <w:strike/>
                <w:color w:val="2E97D3"/>
                <w:sz w:val="24"/>
              </w:rPr>
              <w:t>ECON </w:t>
            </w:r>
            <w:r>
              <w:rPr>
                <w:strike w:val="0"/>
                <w:color w:val="2E97D3"/>
                <w:sz w:val="24"/>
                <w:u w:val="single" w:color="2E97D3"/>
              </w:rPr>
              <w:t>RC</w:t>
            </w:r>
          </w:p>
        </w:tc>
        <w:tc>
          <w:tcPr>
            <w:tcW w:w="7901" w:type="dxa"/>
            <w:tcBorders>
              <w:right w:val="nil"/>
            </w:tcBorders>
          </w:tcPr>
          <w:p>
            <w:pPr>
              <w:pStyle w:val="TableParagraph"/>
              <w:ind w:left="100" w:right="332"/>
              <w:rPr>
                <w:b/>
                <w:sz w:val="24"/>
              </w:rPr>
            </w:pPr>
            <w:r>
              <w:rPr>
                <w:b/>
                <w:strike/>
                <w:color w:val="2E97D3"/>
                <w:sz w:val="24"/>
              </w:rPr>
              <w:t>Projects justified primarily by economic impacts. </w:t>
            </w:r>
            <w:r>
              <w:rPr>
                <w:b/>
                <w:strike w:val="0"/>
                <w:color w:val="2E97D3"/>
                <w:sz w:val="24"/>
                <w:u w:val="thick" w:color="2E97D3"/>
              </w:rPr>
              <w:t>Resource Conservation. </w:t>
            </w:r>
            <w:r>
              <w:rPr>
                <w:strike w:val="0"/>
                <w:sz w:val="24"/>
              </w:rPr>
              <w:t>Examples include savings, cost avoidance, or revenue generation</w:t>
            </w:r>
            <w:r>
              <w:rPr>
                <w:b/>
                <w:strike w:val="0"/>
                <w:sz w:val="24"/>
              </w:rPr>
              <w:t>.</w:t>
            </w:r>
          </w:p>
        </w:tc>
      </w:tr>
      <w:tr>
        <w:trPr>
          <w:trHeight w:val="521" w:hRule="exact"/>
        </w:trPr>
        <w:tc>
          <w:tcPr>
            <w:tcW w:w="1080" w:type="dxa"/>
            <w:tcBorders>
              <w:left w:val="nil"/>
              <w:bottom w:val="nil"/>
            </w:tcBorders>
          </w:tcPr>
          <w:p>
            <w:pPr>
              <w:pStyle w:val="TableParagraph"/>
              <w:spacing w:line="272" w:lineRule="exact"/>
              <w:jc w:val="center"/>
              <w:rPr>
                <w:sz w:val="24"/>
              </w:rPr>
            </w:pPr>
            <w:r>
              <w:rPr>
                <w:strike/>
                <w:color w:val="2E97D3"/>
                <w:w w:val="100"/>
                <w:sz w:val="24"/>
              </w:rPr>
              <w:t>O</w:t>
            </w:r>
          </w:p>
        </w:tc>
        <w:tc>
          <w:tcPr>
            <w:tcW w:w="7901" w:type="dxa"/>
            <w:tcBorders>
              <w:bottom w:val="nil"/>
              <w:right w:val="nil"/>
            </w:tcBorders>
          </w:tcPr>
          <w:p>
            <w:pPr>
              <w:pStyle w:val="TableParagraph"/>
              <w:spacing w:line="272" w:lineRule="exact"/>
              <w:ind w:left="100"/>
              <w:rPr>
                <w:b/>
                <w:sz w:val="24"/>
              </w:rPr>
            </w:pPr>
            <w:r>
              <w:rPr>
                <w:b/>
                <w:strike/>
                <w:color w:val="2E97D3"/>
                <w:sz w:val="24"/>
              </w:rPr>
              <w:t>All other.</w:t>
            </w:r>
          </w:p>
        </w:tc>
      </w:tr>
    </w:tbl>
    <w:p>
      <w:pPr>
        <w:pStyle w:val="Heading2"/>
        <w:ind w:left="686"/>
      </w:pPr>
      <w:r>
        <w:rPr/>
        <w:pict>
          <v:line style="position:absolute;mso-position-horizontal-relative:page;mso-position-vertical-relative:paragraph;z-index:-445600" from="203.399994pt,-221.843643pt" to="206.639994pt,-221.843643pt" stroked="true" strokeweight=".599pt" strokecolor="#2e97d3">
            <v:stroke dashstyle="solid"/>
            <w10:wrap type="none"/>
          </v:line>
        </w:pict>
      </w:r>
      <w:r>
        <w:rPr/>
        <w:pict>
          <v:group style="position:absolute;margin-left:135.960007pt;margin-top:-102.274139pt;width:267.850pt;height:1.95pt;mso-position-horizontal-relative:page;mso-position-vertical-relative:paragraph;z-index:-445576" coordorigin="2719,-2045" coordsize="5357,39">
            <v:line style="position:absolute" from="2731,-2021" to="6295,-2021" stroked="true" strokeweight="1.2pt" strokecolor="#2e97d3">
              <v:stroke dashstyle="solid"/>
            </v:line>
            <v:shape style="position:absolute;left:6295;top:-2040;width:1776;height:29" coordorigin="6295,-2040" coordsize="1776,29" path="m6295,-2040l8071,-2040m6295,-2012l8071,-2012e" filled="false" stroked="true" strokeweight=".48pt" strokecolor="#2c6234">
              <v:path arrowok="t"/>
              <v:stroke dashstyle="solid"/>
            </v:shape>
            <w10:wrap type="none"/>
          </v:group>
        </w:pict>
      </w:r>
      <w:r>
        <w:rPr>
          <w:strike/>
          <w:color w:val="2E97D3"/>
        </w:rPr>
        <w:t>Phase Codes</w:t>
      </w:r>
    </w:p>
    <w:p>
      <w:pPr>
        <w:pStyle w:val="BodyText"/>
        <w:spacing w:before="120"/>
        <w:ind w:left="686"/>
      </w:pPr>
      <w:r>
        <w:rPr>
          <w:strike/>
          <w:color w:val="2E97D3"/>
        </w:rPr>
        <w:t>Phase codes</w:t>
      </w:r>
    </w:p>
    <w:p>
      <w:pPr>
        <w:spacing w:after="0"/>
        <w:sectPr>
          <w:pgSz w:w="12240" w:h="15840"/>
          <w:pgMar w:header="724" w:footer="792" w:top="980" w:bottom="980" w:left="480" w:right="1320"/>
        </w:sectPr>
      </w:pPr>
    </w:p>
    <w:p>
      <w:pPr>
        <w:pStyle w:val="BodyText"/>
        <w:rPr>
          <w:sz w:val="20"/>
        </w:rPr>
      </w:pPr>
      <w:r>
        <w:rPr/>
        <w:pict>
          <v:line style="position:absolute;mso-position-horizontal-relative:page;mso-position-vertical-relative:page;z-index:-445480" from="202.199997pt,465.660492pt" to="205.559997pt,465.660492pt" stroked="true" strokeweight=".599pt" strokecolor="#2e97d3">
            <v:stroke dashstyle="solid"/>
            <w10:wrap type="none"/>
          </v:line>
        </w:pict>
      </w:r>
      <w:r>
        <w:rPr/>
        <w:pict>
          <v:line style="position:absolute;mso-position-horizontal-relative:page;mso-position-vertical-relative:page;z-index:27280" from="29.4pt,672.000977pt" to="29.4pt,721.559977pt" stroked="true" strokeweight=".72pt" strokecolor="#000000">
            <v:stroke dashstyle="solid"/>
            <w10:wrap type="none"/>
          </v:line>
        </w:pict>
      </w:r>
    </w:p>
    <w:p>
      <w:pPr>
        <w:pStyle w:val="BodyText"/>
        <w:spacing w:before="214"/>
        <w:ind w:left="686" w:right="114"/>
      </w:pPr>
      <w:r>
        <w:rPr/>
        <w:pict>
          <v:line style="position:absolute;mso-position-horizontal-relative:page;mso-position-vertical-relative:paragraph;z-index:27208" from="29.4pt,10.915881pt" to="29.4pt,24.715881pt" stroked="true" strokeweight=".72pt" strokecolor="#000000">
            <v:stroke dashstyle="solid"/>
            <w10:wrap type="none"/>
          </v:line>
        </w:pict>
      </w:r>
      <w:r>
        <w:rPr/>
        <w:pict>
          <v:line style="position:absolute;mso-position-horizontal-relative:page;mso-position-vertical-relative:paragraph;z-index:27232" from="29.4pt,52.31588pt" to="29.4pt,324.955880pt" stroked="true" strokeweight=".72pt" strokecolor="#000000">
            <v:stroke dashstyle="solid"/>
            <w10:wrap type="none"/>
          </v:line>
        </w:pict>
      </w:r>
      <w:r>
        <w:rPr>
          <w:b/>
          <w:color w:val="2E97D3"/>
          <w:u w:val="single" w:color="2E97D3"/>
        </w:rPr>
        <w:t>Phases</w:t>
      </w:r>
      <w:r>
        <w:rPr>
          <w:color w:val="2E97D3"/>
          <w:u w:val="single" w:color="2E97D3"/>
        </w:rPr>
        <w:t>. Phases </w:t>
      </w:r>
      <w:r>
        <w:rPr/>
        <w:t>describe the activity to be funded within the sequences of activities, from project inception to completion.  Not all projects require studies, acquisition, or equipment to complete the project. Some projects are solely for acquisition (either property—such as wetlands or a park—or improvements). </w:t>
      </w:r>
      <w:r>
        <w:rPr>
          <w:color w:val="2E97D3"/>
          <w:u w:val="single" w:color="2E97D3"/>
        </w:rPr>
        <w:t>Prior to the 2018-19 Budget, if multiple phases of funding were included in an appropriation, the funding by phase did not have to be scheduled separately (i.e. $1 million for acquisition, preliminary plans, and working drawings). However, beginning with the 2018-19 Budget, each phase of funding must be scheduled separately (i.e. $100,000 acquisition, $300,000 preliminary plans, and $600,000 working drawings).</w:t>
      </w:r>
    </w:p>
    <w:p>
      <w:pPr>
        <w:pStyle w:val="BodyText"/>
        <w:spacing w:before="120"/>
        <w:ind w:left="686" w:right="328"/>
      </w:pPr>
      <w:r>
        <w:rPr>
          <w:color w:val="2E97D3"/>
          <w:u w:val="single" w:color="2E97D3"/>
        </w:rPr>
        <w:t>Below is a list of all capital outlay phases used for budgetary purposes. Note that the </w:t>
      </w:r>
      <w:r>
        <w:rPr>
          <w:b/>
          <w:color w:val="2E97D3"/>
          <w:u w:val="single" w:color="2E97D3"/>
        </w:rPr>
        <w:t>bolded phases </w:t>
      </w:r>
      <w:r>
        <w:rPr>
          <w:color w:val="2E97D3"/>
          <w:u w:val="single" w:color="2E97D3"/>
        </w:rPr>
        <w:t>are “parent” of the “children” phases below them. In FI$Cal, dollars can only be entered at the child level. However, expenditures are rolled up to the parent level for the Budget Act and other budget publications. See section 6808 for a detailed description of project phases.</w:t>
      </w:r>
    </w:p>
    <w:p>
      <w:pPr>
        <w:pStyle w:val="BodyText"/>
        <w:ind w:left="686"/>
      </w:pPr>
      <w:r>
        <w:rPr>
          <w:color w:val="2C6234"/>
          <w:u w:val="thick" w:color="2C6234"/>
        </w:rPr>
        <w:t>(Continued)</w:t>
      </w:r>
    </w:p>
    <w:p>
      <w:pPr>
        <w:pStyle w:val="BodyText"/>
        <w:rPr>
          <w:sz w:val="20"/>
        </w:rPr>
      </w:pPr>
    </w:p>
    <w:p>
      <w:pPr>
        <w:pStyle w:val="BodyText"/>
        <w:spacing w:before="3"/>
        <w:rPr>
          <w:sz w:val="27"/>
        </w:rPr>
      </w:pPr>
    </w:p>
    <w:p>
      <w:pPr>
        <w:pStyle w:val="BodyText"/>
        <w:spacing w:before="92"/>
        <w:ind w:left="686"/>
      </w:pPr>
      <w:r>
        <w:rPr>
          <w:color w:val="2C6234"/>
          <w:u w:val="thick" w:color="2C6234"/>
        </w:rPr>
        <w:t>(Continued)</w:t>
      </w:r>
    </w:p>
    <w:p>
      <w:pPr>
        <w:pStyle w:val="Heading2"/>
        <w:tabs>
          <w:tab w:pos="8783" w:val="left" w:leader="none"/>
        </w:tabs>
        <w:spacing w:before="40"/>
        <w:ind w:left="686"/>
        <w:rPr>
          <w:b w:val="0"/>
        </w:rPr>
      </w:pPr>
      <w:r>
        <w:rPr/>
        <w:pict>
          <v:shape style="position:absolute;margin-left:58.32pt;margin-top:14.035867pt;width:481.6pt;height:1.6pt;mso-position-horizontal-relative:page;mso-position-vertical-relative:paragraph;z-index:-445504" coordorigin="1166,281" coordsize="9632,32" path="m1166,281l10798,281m1166,312l10798,312e" filled="false" stroked="true" strokeweight=".6pt" strokecolor="#2c6234">
            <v:path arrowok="t"/>
            <v:stroke dashstyle="solid"/>
            <w10:wrap type="none"/>
          </v:shape>
        </w:pict>
      </w:r>
      <w:r>
        <w:rPr>
          <w:color w:val="2C6234"/>
        </w:rPr>
        <w:t>CAPITAL OUTLAY</w:t>
      </w:r>
      <w:r>
        <w:rPr>
          <w:color w:val="2C6234"/>
          <w:spacing w:val="-7"/>
        </w:rPr>
        <w:t> </w:t>
      </w:r>
      <w:r>
        <w:rPr>
          <w:color w:val="2C6234"/>
        </w:rPr>
        <w:t>CODING</w:t>
      </w:r>
      <w:r>
        <w:rPr>
          <w:color w:val="2C6234"/>
          <w:spacing w:val="-3"/>
        </w:rPr>
        <w:t> </w:t>
      </w:r>
      <w:r>
        <w:rPr>
          <w:color w:val="2C6234"/>
        </w:rPr>
        <w:t>STRUCTURES</w:t>
        <w:tab/>
        <w:t>6839 </w:t>
      </w:r>
      <w:r>
        <w:rPr>
          <w:b w:val="0"/>
          <w:color w:val="2C6234"/>
        </w:rPr>
        <w:t>(Cont.</w:t>
      </w:r>
      <w:r>
        <w:rPr>
          <w:b w:val="0"/>
          <w:color w:val="2C6234"/>
          <w:spacing w:val="-6"/>
        </w:rPr>
        <w:t> </w:t>
      </w:r>
      <w:r>
        <w:rPr>
          <w:b w:val="0"/>
          <w:color w:val="2C6234"/>
        </w:rPr>
        <w:t>2)</w:t>
      </w:r>
    </w:p>
    <w:p>
      <w:pPr>
        <w:pStyle w:val="BodyText"/>
        <w:ind w:left="686"/>
      </w:pPr>
      <w:r>
        <w:rPr/>
        <w:pict>
          <v:line style="position:absolute;mso-position-horizontal-relative:page;mso-position-vertical-relative:paragraph;z-index:27256" from="29.4pt,96.935852pt" to="29.4pt,318.095852pt" stroked="true" strokeweight=".72pt" strokecolor="#000000">
            <v:stroke dashstyle="solid"/>
            <w10:wrap type="none"/>
          </v:line>
        </w:pict>
      </w:r>
      <w:r>
        <w:rPr>
          <w:color w:val="2E97D3"/>
          <w:u w:val="single" w:color="2E97D3"/>
        </w:rPr>
        <w:t>(Revised 09/2017)</w:t>
      </w:r>
    </w:p>
    <w:p>
      <w:pPr>
        <w:pStyle w:val="BodyText"/>
        <w:rPr>
          <w:sz w:val="20"/>
        </w:rPr>
      </w:pPr>
    </w:p>
    <w:p>
      <w:pPr>
        <w:pStyle w:val="BodyText"/>
        <w:spacing w:before="3"/>
        <w:rPr>
          <w:sz w:val="25"/>
        </w:rPr>
      </w:pPr>
    </w:p>
    <w:tbl>
      <w:tblPr>
        <w:tblW w:w="0" w:type="auto"/>
        <w:jc w:val="left"/>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4500"/>
      </w:tblGrid>
      <w:tr>
        <w:trPr>
          <w:trHeight w:val="281" w:hRule="exact"/>
        </w:trPr>
        <w:tc>
          <w:tcPr>
            <w:tcW w:w="900" w:type="dxa"/>
            <w:tcBorders>
              <w:top w:val="nil"/>
              <w:left w:val="nil"/>
            </w:tcBorders>
          </w:tcPr>
          <w:p>
            <w:pPr>
              <w:pStyle w:val="TableParagraph"/>
              <w:spacing w:line="272" w:lineRule="exact"/>
              <w:jc w:val="center"/>
              <w:rPr>
                <w:b/>
                <w:sz w:val="24"/>
              </w:rPr>
            </w:pPr>
            <w:r>
              <w:rPr>
                <w:b/>
                <w:w w:val="100"/>
                <w:sz w:val="24"/>
              </w:rPr>
              <w:t>S</w:t>
            </w:r>
          </w:p>
        </w:tc>
        <w:tc>
          <w:tcPr>
            <w:tcW w:w="4500" w:type="dxa"/>
            <w:tcBorders>
              <w:top w:val="nil"/>
              <w:right w:val="nil"/>
            </w:tcBorders>
          </w:tcPr>
          <w:p>
            <w:pPr>
              <w:pStyle w:val="TableParagraph"/>
              <w:spacing w:line="272" w:lineRule="exact"/>
              <w:ind w:left="100"/>
              <w:rPr>
                <w:b/>
                <w:sz w:val="24"/>
              </w:rPr>
            </w:pPr>
            <w:r>
              <w:rPr>
                <w:b/>
                <w:sz w:val="24"/>
              </w:rPr>
              <w:t>Studies.</w:t>
            </w:r>
          </w:p>
        </w:tc>
      </w:tr>
      <w:tr>
        <w:trPr>
          <w:trHeight w:val="286" w:hRule="exact"/>
        </w:trPr>
        <w:tc>
          <w:tcPr>
            <w:tcW w:w="900" w:type="dxa"/>
            <w:tcBorders>
              <w:left w:val="nil"/>
            </w:tcBorders>
          </w:tcPr>
          <w:p>
            <w:pPr>
              <w:pStyle w:val="TableParagraph"/>
              <w:spacing w:line="272" w:lineRule="exact"/>
              <w:ind w:right="1"/>
              <w:jc w:val="center"/>
              <w:rPr>
                <w:b/>
                <w:sz w:val="24"/>
              </w:rPr>
            </w:pPr>
            <w:r>
              <w:rPr>
                <w:b/>
                <w:w w:val="99"/>
                <w:sz w:val="24"/>
              </w:rPr>
              <w:t>A</w:t>
            </w:r>
          </w:p>
        </w:tc>
        <w:tc>
          <w:tcPr>
            <w:tcW w:w="4500" w:type="dxa"/>
            <w:tcBorders>
              <w:right w:val="nil"/>
            </w:tcBorders>
          </w:tcPr>
          <w:p>
            <w:pPr>
              <w:pStyle w:val="TableParagraph"/>
              <w:spacing w:line="272" w:lineRule="exact"/>
              <w:ind w:left="100"/>
              <w:rPr>
                <w:b/>
                <w:sz w:val="24"/>
              </w:rPr>
            </w:pPr>
            <w:r>
              <w:rPr>
                <w:b/>
                <w:sz w:val="24"/>
              </w:rPr>
              <w:t>Acquisition.</w:t>
            </w:r>
          </w:p>
        </w:tc>
      </w:tr>
      <w:tr>
        <w:trPr>
          <w:trHeight w:val="286" w:hRule="exact"/>
        </w:trPr>
        <w:tc>
          <w:tcPr>
            <w:tcW w:w="900" w:type="dxa"/>
            <w:tcBorders>
              <w:left w:val="nil"/>
            </w:tcBorders>
          </w:tcPr>
          <w:p>
            <w:pPr>
              <w:pStyle w:val="TableParagraph"/>
              <w:spacing w:line="272" w:lineRule="exact"/>
              <w:jc w:val="center"/>
              <w:rPr>
                <w:b/>
                <w:sz w:val="24"/>
              </w:rPr>
            </w:pPr>
            <w:r>
              <w:rPr>
                <w:b/>
                <w:w w:val="100"/>
                <w:sz w:val="24"/>
              </w:rPr>
              <w:t>P</w:t>
            </w:r>
          </w:p>
        </w:tc>
        <w:tc>
          <w:tcPr>
            <w:tcW w:w="4500" w:type="dxa"/>
            <w:tcBorders>
              <w:right w:val="nil"/>
            </w:tcBorders>
          </w:tcPr>
          <w:p>
            <w:pPr>
              <w:pStyle w:val="TableParagraph"/>
              <w:spacing w:line="272" w:lineRule="exact"/>
              <w:ind w:left="100"/>
              <w:rPr>
                <w:b/>
                <w:sz w:val="24"/>
              </w:rPr>
            </w:pPr>
            <w:r>
              <w:rPr>
                <w:b/>
                <w:sz w:val="24"/>
              </w:rPr>
              <w:t>Preliminary plans.</w:t>
            </w:r>
          </w:p>
        </w:tc>
      </w:tr>
      <w:tr>
        <w:trPr>
          <w:trHeight w:val="286" w:hRule="exact"/>
        </w:trPr>
        <w:tc>
          <w:tcPr>
            <w:tcW w:w="900" w:type="dxa"/>
            <w:tcBorders>
              <w:left w:val="nil"/>
            </w:tcBorders>
          </w:tcPr>
          <w:p>
            <w:pPr>
              <w:pStyle w:val="TableParagraph"/>
              <w:spacing w:line="272" w:lineRule="exact"/>
              <w:ind w:right="1"/>
              <w:jc w:val="center"/>
              <w:rPr>
                <w:b/>
                <w:sz w:val="24"/>
              </w:rPr>
            </w:pPr>
            <w:r>
              <w:rPr>
                <w:b/>
                <w:w w:val="100"/>
                <w:sz w:val="24"/>
              </w:rPr>
              <w:t>W</w:t>
            </w:r>
          </w:p>
        </w:tc>
        <w:tc>
          <w:tcPr>
            <w:tcW w:w="4500" w:type="dxa"/>
            <w:tcBorders>
              <w:right w:val="nil"/>
            </w:tcBorders>
          </w:tcPr>
          <w:p>
            <w:pPr>
              <w:pStyle w:val="TableParagraph"/>
              <w:spacing w:line="272" w:lineRule="exact"/>
              <w:ind w:left="100"/>
              <w:rPr>
                <w:b/>
                <w:sz w:val="24"/>
              </w:rPr>
            </w:pPr>
            <w:r>
              <w:rPr>
                <w:b/>
                <w:sz w:val="24"/>
              </w:rPr>
              <w:t>Working drawings.</w:t>
            </w:r>
          </w:p>
        </w:tc>
      </w:tr>
      <w:tr>
        <w:trPr>
          <w:trHeight w:val="286" w:hRule="exact"/>
        </w:trPr>
        <w:tc>
          <w:tcPr>
            <w:tcW w:w="900" w:type="dxa"/>
            <w:tcBorders>
              <w:left w:val="nil"/>
            </w:tcBorders>
          </w:tcPr>
          <w:p>
            <w:pPr>
              <w:pStyle w:val="TableParagraph"/>
              <w:spacing w:line="272" w:lineRule="exact"/>
              <w:ind w:left="280"/>
              <w:rPr>
                <w:b/>
                <w:sz w:val="24"/>
              </w:rPr>
            </w:pPr>
            <w:r>
              <w:rPr>
                <w:b/>
                <w:color w:val="2E97D3"/>
                <w:sz w:val="24"/>
                <w:u w:val="thick" w:color="2E97D3"/>
              </w:rPr>
              <w:t>PC</w:t>
            </w:r>
          </w:p>
        </w:tc>
        <w:tc>
          <w:tcPr>
            <w:tcW w:w="4500" w:type="dxa"/>
            <w:tcBorders>
              <w:right w:val="nil"/>
            </w:tcBorders>
          </w:tcPr>
          <w:p>
            <w:pPr>
              <w:pStyle w:val="TableParagraph"/>
              <w:spacing w:line="272" w:lineRule="exact"/>
              <w:ind w:left="100"/>
              <w:rPr>
                <w:b/>
                <w:sz w:val="24"/>
              </w:rPr>
            </w:pPr>
            <w:r>
              <w:rPr>
                <w:b/>
                <w:color w:val="2E97D3"/>
                <w:sz w:val="24"/>
                <w:u w:val="thick" w:color="2E97D3"/>
              </w:rPr>
              <w:t>Performance Criteria</w:t>
            </w:r>
          </w:p>
        </w:tc>
      </w:tr>
      <w:tr>
        <w:trPr>
          <w:trHeight w:val="286" w:hRule="exact"/>
        </w:trPr>
        <w:tc>
          <w:tcPr>
            <w:tcW w:w="900" w:type="dxa"/>
            <w:tcBorders>
              <w:left w:val="nil"/>
            </w:tcBorders>
          </w:tcPr>
          <w:p>
            <w:pPr>
              <w:pStyle w:val="TableParagraph"/>
              <w:spacing w:line="272" w:lineRule="exact"/>
              <w:ind w:right="1"/>
              <w:jc w:val="center"/>
              <w:rPr>
                <w:b/>
                <w:sz w:val="24"/>
              </w:rPr>
            </w:pPr>
            <w:r>
              <w:rPr>
                <w:b/>
                <w:w w:val="99"/>
                <w:sz w:val="24"/>
              </w:rPr>
              <w:t>C</w:t>
            </w:r>
          </w:p>
        </w:tc>
        <w:tc>
          <w:tcPr>
            <w:tcW w:w="4500" w:type="dxa"/>
            <w:tcBorders>
              <w:right w:val="nil"/>
            </w:tcBorders>
          </w:tcPr>
          <w:p>
            <w:pPr>
              <w:pStyle w:val="TableParagraph"/>
              <w:spacing w:line="272" w:lineRule="exact"/>
              <w:ind w:left="100"/>
              <w:rPr>
                <w:sz w:val="24"/>
              </w:rPr>
            </w:pPr>
            <w:r>
              <w:rPr>
                <w:b/>
                <w:sz w:val="24"/>
              </w:rPr>
              <w:t>Construction</w:t>
            </w:r>
            <w:r>
              <w:rPr>
                <w:color w:val="2E97D3"/>
                <w:sz w:val="24"/>
              </w:rPr>
              <w:t>.</w:t>
            </w:r>
          </w:p>
        </w:tc>
      </w:tr>
      <w:tr>
        <w:trPr>
          <w:trHeight w:val="286" w:hRule="exact"/>
        </w:trPr>
        <w:tc>
          <w:tcPr>
            <w:tcW w:w="900" w:type="dxa"/>
            <w:tcBorders>
              <w:left w:val="nil"/>
            </w:tcBorders>
          </w:tcPr>
          <w:p>
            <w:pPr/>
          </w:p>
        </w:tc>
        <w:tc>
          <w:tcPr>
            <w:tcW w:w="4500" w:type="dxa"/>
            <w:tcBorders>
              <w:right w:val="nil"/>
            </w:tcBorders>
          </w:tcPr>
          <w:p>
            <w:pPr>
              <w:pStyle w:val="TableParagraph"/>
              <w:spacing w:line="272" w:lineRule="exact"/>
              <w:ind w:left="100"/>
              <w:rPr>
                <w:sz w:val="24"/>
              </w:rPr>
            </w:pPr>
            <w:r>
              <w:rPr>
                <w:color w:val="2E97D3"/>
                <w:sz w:val="24"/>
                <w:u w:val="single" w:color="2E97D3"/>
              </w:rPr>
              <w:t>Contract</w:t>
            </w:r>
          </w:p>
        </w:tc>
      </w:tr>
      <w:tr>
        <w:trPr>
          <w:trHeight w:val="288" w:hRule="exact"/>
        </w:trPr>
        <w:tc>
          <w:tcPr>
            <w:tcW w:w="900" w:type="dxa"/>
            <w:tcBorders>
              <w:left w:val="nil"/>
            </w:tcBorders>
          </w:tcPr>
          <w:p>
            <w:pPr/>
          </w:p>
        </w:tc>
        <w:tc>
          <w:tcPr>
            <w:tcW w:w="4500" w:type="dxa"/>
            <w:tcBorders>
              <w:right w:val="nil"/>
            </w:tcBorders>
          </w:tcPr>
          <w:p>
            <w:pPr>
              <w:pStyle w:val="TableParagraph"/>
              <w:spacing w:line="274" w:lineRule="exact"/>
              <w:ind w:left="100"/>
              <w:rPr>
                <w:sz w:val="24"/>
              </w:rPr>
            </w:pPr>
            <w:r>
              <w:rPr>
                <w:color w:val="2E97D3"/>
                <w:sz w:val="24"/>
                <w:u w:val="single" w:color="2E97D3"/>
              </w:rPr>
              <w:t>Contingency</w:t>
            </w:r>
          </w:p>
        </w:tc>
      </w:tr>
      <w:tr>
        <w:trPr>
          <w:trHeight w:val="286" w:hRule="exact"/>
        </w:trPr>
        <w:tc>
          <w:tcPr>
            <w:tcW w:w="900" w:type="dxa"/>
            <w:tcBorders>
              <w:left w:val="nil"/>
            </w:tcBorders>
          </w:tcPr>
          <w:p>
            <w:pPr/>
          </w:p>
        </w:tc>
        <w:tc>
          <w:tcPr>
            <w:tcW w:w="4500" w:type="dxa"/>
            <w:tcBorders>
              <w:right w:val="nil"/>
            </w:tcBorders>
          </w:tcPr>
          <w:p>
            <w:pPr>
              <w:pStyle w:val="TableParagraph"/>
              <w:spacing w:line="272" w:lineRule="exact"/>
              <w:ind w:left="100"/>
              <w:rPr>
                <w:sz w:val="24"/>
              </w:rPr>
            </w:pPr>
            <w:r>
              <w:rPr>
                <w:color w:val="2E97D3"/>
                <w:sz w:val="24"/>
                <w:u w:val="single" w:color="2E97D3"/>
              </w:rPr>
              <w:t>A&amp;E</w:t>
            </w:r>
          </w:p>
        </w:tc>
      </w:tr>
      <w:tr>
        <w:trPr>
          <w:trHeight w:val="286" w:hRule="exact"/>
        </w:trPr>
        <w:tc>
          <w:tcPr>
            <w:tcW w:w="900" w:type="dxa"/>
            <w:tcBorders>
              <w:left w:val="nil"/>
            </w:tcBorders>
          </w:tcPr>
          <w:p>
            <w:pPr/>
          </w:p>
        </w:tc>
        <w:tc>
          <w:tcPr>
            <w:tcW w:w="4500" w:type="dxa"/>
            <w:tcBorders>
              <w:right w:val="nil"/>
            </w:tcBorders>
          </w:tcPr>
          <w:p>
            <w:pPr>
              <w:pStyle w:val="TableParagraph"/>
              <w:spacing w:line="272" w:lineRule="exact"/>
              <w:ind w:left="100"/>
              <w:rPr>
                <w:sz w:val="24"/>
              </w:rPr>
            </w:pPr>
            <w:r>
              <w:rPr>
                <w:color w:val="2E97D3"/>
                <w:sz w:val="24"/>
                <w:u w:val="single" w:color="2E97D3"/>
              </w:rPr>
              <w:t>Agency Retained</w:t>
            </w:r>
          </w:p>
        </w:tc>
      </w:tr>
      <w:tr>
        <w:trPr>
          <w:trHeight w:val="286" w:hRule="exact"/>
        </w:trPr>
        <w:tc>
          <w:tcPr>
            <w:tcW w:w="900" w:type="dxa"/>
            <w:tcBorders>
              <w:left w:val="nil"/>
            </w:tcBorders>
          </w:tcPr>
          <w:p>
            <w:pPr/>
          </w:p>
        </w:tc>
        <w:tc>
          <w:tcPr>
            <w:tcW w:w="4500" w:type="dxa"/>
            <w:tcBorders>
              <w:right w:val="nil"/>
            </w:tcBorders>
          </w:tcPr>
          <w:p>
            <w:pPr>
              <w:pStyle w:val="TableParagraph"/>
              <w:spacing w:line="272" w:lineRule="exact"/>
              <w:ind w:left="100"/>
              <w:rPr>
                <w:sz w:val="24"/>
              </w:rPr>
            </w:pPr>
            <w:r>
              <w:rPr>
                <w:color w:val="2E97D3"/>
                <w:sz w:val="24"/>
                <w:u w:val="single" w:color="2E97D3"/>
              </w:rPr>
              <w:t>Construction—Other</w:t>
            </w:r>
          </w:p>
        </w:tc>
      </w:tr>
      <w:tr>
        <w:trPr>
          <w:trHeight w:val="286" w:hRule="exact"/>
        </w:trPr>
        <w:tc>
          <w:tcPr>
            <w:tcW w:w="900" w:type="dxa"/>
            <w:tcBorders>
              <w:left w:val="nil"/>
            </w:tcBorders>
          </w:tcPr>
          <w:p>
            <w:pPr/>
          </w:p>
        </w:tc>
        <w:tc>
          <w:tcPr>
            <w:tcW w:w="4500" w:type="dxa"/>
            <w:tcBorders>
              <w:right w:val="nil"/>
            </w:tcBorders>
          </w:tcPr>
          <w:p>
            <w:pPr>
              <w:pStyle w:val="TableParagraph"/>
              <w:spacing w:line="272" w:lineRule="exact"/>
              <w:ind w:left="100"/>
              <w:rPr>
                <w:sz w:val="24"/>
              </w:rPr>
            </w:pPr>
            <w:r>
              <w:rPr>
                <w:color w:val="2E97D3"/>
                <w:sz w:val="24"/>
                <w:u w:val="single" w:color="2E97D3"/>
              </w:rPr>
              <w:t>Construction—Actual</w:t>
            </w:r>
          </w:p>
        </w:tc>
      </w:tr>
      <w:tr>
        <w:trPr>
          <w:trHeight w:val="286" w:hRule="exact"/>
        </w:trPr>
        <w:tc>
          <w:tcPr>
            <w:tcW w:w="900" w:type="dxa"/>
            <w:tcBorders>
              <w:left w:val="nil"/>
            </w:tcBorders>
          </w:tcPr>
          <w:p>
            <w:pPr>
              <w:pStyle w:val="TableParagraph"/>
              <w:spacing w:line="272" w:lineRule="exact"/>
              <w:ind w:left="105"/>
              <w:rPr>
                <w:b/>
                <w:sz w:val="24"/>
              </w:rPr>
            </w:pPr>
            <w:r>
              <w:rPr>
                <w:b/>
                <w:color w:val="2E97D3"/>
                <w:sz w:val="24"/>
                <w:u w:val="thick" w:color="2E97D3"/>
              </w:rPr>
              <w:t>DB</w:t>
            </w:r>
          </w:p>
        </w:tc>
        <w:tc>
          <w:tcPr>
            <w:tcW w:w="4500" w:type="dxa"/>
            <w:tcBorders>
              <w:right w:val="nil"/>
            </w:tcBorders>
          </w:tcPr>
          <w:p>
            <w:pPr>
              <w:pStyle w:val="TableParagraph"/>
              <w:spacing w:line="272" w:lineRule="exact"/>
              <w:ind w:left="100"/>
              <w:rPr>
                <w:b/>
                <w:sz w:val="24"/>
              </w:rPr>
            </w:pPr>
            <w:r>
              <w:rPr>
                <w:b/>
                <w:color w:val="2E97D3"/>
                <w:sz w:val="24"/>
                <w:u w:val="thick" w:color="2E97D3"/>
              </w:rPr>
              <w:t>Design Build</w:t>
            </w:r>
          </w:p>
        </w:tc>
      </w:tr>
      <w:tr>
        <w:trPr>
          <w:trHeight w:val="288" w:hRule="exact"/>
        </w:trPr>
        <w:tc>
          <w:tcPr>
            <w:tcW w:w="900" w:type="dxa"/>
            <w:tcBorders>
              <w:left w:val="nil"/>
            </w:tcBorders>
          </w:tcPr>
          <w:p>
            <w:pPr/>
          </w:p>
        </w:tc>
        <w:tc>
          <w:tcPr>
            <w:tcW w:w="4500" w:type="dxa"/>
            <w:tcBorders>
              <w:right w:val="nil"/>
            </w:tcBorders>
          </w:tcPr>
          <w:p>
            <w:pPr>
              <w:pStyle w:val="TableParagraph"/>
              <w:spacing w:line="274" w:lineRule="exact"/>
              <w:ind w:left="100"/>
              <w:rPr>
                <w:sz w:val="24"/>
              </w:rPr>
            </w:pPr>
            <w:r>
              <w:rPr>
                <w:color w:val="2E97D3"/>
                <w:sz w:val="24"/>
                <w:u w:val="single" w:color="2E97D3"/>
              </w:rPr>
              <w:t>Design Build—Contract</w:t>
            </w:r>
          </w:p>
        </w:tc>
      </w:tr>
      <w:tr>
        <w:trPr>
          <w:trHeight w:val="286" w:hRule="exact"/>
        </w:trPr>
        <w:tc>
          <w:tcPr>
            <w:tcW w:w="900" w:type="dxa"/>
            <w:tcBorders>
              <w:left w:val="nil"/>
            </w:tcBorders>
          </w:tcPr>
          <w:p>
            <w:pPr/>
          </w:p>
        </w:tc>
        <w:tc>
          <w:tcPr>
            <w:tcW w:w="4500" w:type="dxa"/>
            <w:tcBorders>
              <w:right w:val="nil"/>
            </w:tcBorders>
          </w:tcPr>
          <w:p>
            <w:pPr>
              <w:pStyle w:val="TableParagraph"/>
              <w:spacing w:line="272" w:lineRule="exact"/>
              <w:ind w:left="100"/>
              <w:rPr>
                <w:sz w:val="24"/>
              </w:rPr>
            </w:pPr>
            <w:r>
              <w:rPr>
                <w:color w:val="2E97D3"/>
                <w:sz w:val="24"/>
                <w:u w:val="single" w:color="2E97D3"/>
              </w:rPr>
              <w:t>Design Build—Contingency</w:t>
            </w:r>
          </w:p>
        </w:tc>
      </w:tr>
      <w:tr>
        <w:trPr>
          <w:trHeight w:val="286" w:hRule="exact"/>
        </w:trPr>
        <w:tc>
          <w:tcPr>
            <w:tcW w:w="900" w:type="dxa"/>
            <w:tcBorders>
              <w:left w:val="nil"/>
            </w:tcBorders>
          </w:tcPr>
          <w:p>
            <w:pPr/>
          </w:p>
        </w:tc>
        <w:tc>
          <w:tcPr>
            <w:tcW w:w="4500" w:type="dxa"/>
            <w:tcBorders>
              <w:right w:val="nil"/>
            </w:tcBorders>
          </w:tcPr>
          <w:p>
            <w:pPr>
              <w:pStyle w:val="TableParagraph"/>
              <w:spacing w:line="272" w:lineRule="exact"/>
              <w:ind w:left="100"/>
              <w:rPr>
                <w:sz w:val="24"/>
              </w:rPr>
            </w:pPr>
            <w:r>
              <w:rPr>
                <w:color w:val="2E97D3"/>
                <w:sz w:val="24"/>
                <w:u w:val="single" w:color="2E97D3"/>
              </w:rPr>
              <w:t>Design Build—A&amp;E</w:t>
            </w:r>
          </w:p>
        </w:tc>
      </w:tr>
      <w:tr>
        <w:trPr>
          <w:trHeight w:val="286" w:hRule="exact"/>
        </w:trPr>
        <w:tc>
          <w:tcPr>
            <w:tcW w:w="900" w:type="dxa"/>
            <w:tcBorders>
              <w:left w:val="nil"/>
            </w:tcBorders>
          </w:tcPr>
          <w:p>
            <w:pPr/>
          </w:p>
        </w:tc>
        <w:tc>
          <w:tcPr>
            <w:tcW w:w="4500" w:type="dxa"/>
            <w:tcBorders>
              <w:right w:val="nil"/>
            </w:tcBorders>
          </w:tcPr>
          <w:p>
            <w:pPr>
              <w:pStyle w:val="TableParagraph"/>
              <w:spacing w:line="272" w:lineRule="exact"/>
              <w:ind w:left="100"/>
              <w:rPr>
                <w:sz w:val="24"/>
              </w:rPr>
            </w:pPr>
            <w:r>
              <w:rPr>
                <w:color w:val="2E97D3"/>
                <w:sz w:val="24"/>
                <w:u w:val="single" w:color="2E97D3"/>
              </w:rPr>
              <w:t>Design Build—Agency Retained</w:t>
            </w:r>
          </w:p>
        </w:tc>
      </w:tr>
      <w:tr>
        <w:trPr>
          <w:trHeight w:val="286" w:hRule="exact"/>
        </w:trPr>
        <w:tc>
          <w:tcPr>
            <w:tcW w:w="900" w:type="dxa"/>
            <w:tcBorders>
              <w:left w:val="nil"/>
            </w:tcBorders>
          </w:tcPr>
          <w:p>
            <w:pPr/>
          </w:p>
        </w:tc>
        <w:tc>
          <w:tcPr>
            <w:tcW w:w="4500" w:type="dxa"/>
            <w:tcBorders>
              <w:right w:val="nil"/>
            </w:tcBorders>
          </w:tcPr>
          <w:p>
            <w:pPr>
              <w:pStyle w:val="TableParagraph"/>
              <w:spacing w:line="272" w:lineRule="exact"/>
              <w:ind w:left="100"/>
              <w:rPr>
                <w:sz w:val="24"/>
              </w:rPr>
            </w:pPr>
            <w:r>
              <w:rPr>
                <w:color w:val="2E97D3"/>
                <w:sz w:val="24"/>
                <w:u w:val="single" w:color="2E97D3"/>
              </w:rPr>
              <w:t>Design Build—Other</w:t>
            </w:r>
          </w:p>
        </w:tc>
      </w:tr>
      <w:tr>
        <w:trPr>
          <w:trHeight w:val="286" w:hRule="exact"/>
        </w:trPr>
        <w:tc>
          <w:tcPr>
            <w:tcW w:w="900" w:type="dxa"/>
            <w:tcBorders>
              <w:left w:val="nil"/>
            </w:tcBorders>
          </w:tcPr>
          <w:p>
            <w:pPr/>
          </w:p>
        </w:tc>
        <w:tc>
          <w:tcPr>
            <w:tcW w:w="4500" w:type="dxa"/>
            <w:tcBorders>
              <w:right w:val="nil"/>
            </w:tcBorders>
          </w:tcPr>
          <w:p>
            <w:pPr>
              <w:pStyle w:val="TableParagraph"/>
              <w:spacing w:line="272" w:lineRule="exact"/>
              <w:ind w:left="100"/>
              <w:rPr>
                <w:sz w:val="24"/>
              </w:rPr>
            </w:pPr>
            <w:r>
              <w:rPr>
                <w:color w:val="2E97D3"/>
                <w:sz w:val="24"/>
                <w:u w:val="single" w:color="2E97D3"/>
              </w:rPr>
              <w:t>Design Build—Actual</w:t>
            </w:r>
          </w:p>
        </w:tc>
      </w:tr>
      <w:tr>
        <w:trPr>
          <w:trHeight w:val="288" w:hRule="exact"/>
        </w:trPr>
        <w:tc>
          <w:tcPr>
            <w:tcW w:w="900" w:type="dxa"/>
            <w:tcBorders>
              <w:left w:val="nil"/>
            </w:tcBorders>
          </w:tcPr>
          <w:p>
            <w:pPr>
              <w:pStyle w:val="TableParagraph"/>
              <w:spacing w:line="274" w:lineRule="exact"/>
              <w:jc w:val="center"/>
              <w:rPr>
                <w:b/>
                <w:sz w:val="24"/>
              </w:rPr>
            </w:pPr>
            <w:r>
              <w:rPr>
                <w:b/>
                <w:w w:val="100"/>
                <w:sz w:val="24"/>
              </w:rPr>
              <w:t>E</w:t>
            </w:r>
          </w:p>
        </w:tc>
        <w:tc>
          <w:tcPr>
            <w:tcW w:w="4500" w:type="dxa"/>
            <w:tcBorders>
              <w:right w:val="nil"/>
            </w:tcBorders>
          </w:tcPr>
          <w:p>
            <w:pPr>
              <w:pStyle w:val="TableParagraph"/>
              <w:spacing w:line="274" w:lineRule="exact"/>
              <w:ind w:left="100"/>
              <w:rPr>
                <w:b/>
                <w:sz w:val="24"/>
              </w:rPr>
            </w:pPr>
            <w:r>
              <w:rPr>
                <w:b/>
                <w:sz w:val="24"/>
              </w:rPr>
              <w:t>Equipment (i.e., Group 2 equipment).</w:t>
            </w:r>
          </w:p>
        </w:tc>
      </w:tr>
      <w:tr>
        <w:trPr>
          <w:trHeight w:val="286" w:hRule="exact"/>
        </w:trPr>
        <w:tc>
          <w:tcPr>
            <w:tcW w:w="900" w:type="dxa"/>
            <w:tcBorders>
              <w:left w:val="nil"/>
            </w:tcBorders>
          </w:tcPr>
          <w:p>
            <w:pPr>
              <w:pStyle w:val="TableParagraph"/>
              <w:spacing w:line="272" w:lineRule="exact"/>
              <w:jc w:val="center"/>
              <w:rPr>
                <w:sz w:val="24"/>
              </w:rPr>
            </w:pPr>
            <w:r>
              <w:rPr>
                <w:strike/>
                <w:color w:val="2E97D3"/>
                <w:w w:val="100"/>
                <w:sz w:val="24"/>
              </w:rPr>
              <w:t>O</w:t>
            </w:r>
          </w:p>
        </w:tc>
        <w:tc>
          <w:tcPr>
            <w:tcW w:w="4500" w:type="dxa"/>
            <w:tcBorders>
              <w:right w:val="nil"/>
            </w:tcBorders>
          </w:tcPr>
          <w:p>
            <w:pPr>
              <w:pStyle w:val="TableParagraph"/>
              <w:spacing w:line="272" w:lineRule="exact"/>
              <w:ind w:left="100"/>
              <w:rPr>
                <w:sz w:val="24"/>
              </w:rPr>
            </w:pPr>
            <w:r>
              <w:rPr>
                <w:strike/>
                <w:color w:val="2E97D3"/>
                <w:sz w:val="24"/>
              </w:rPr>
              <w:t>Other.</w:t>
            </w:r>
          </w:p>
        </w:tc>
      </w:tr>
      <w:tr>
        <w:trPr>
          <w:trHeight w:val="286" w:hRule="exact"/>
        </w:trPr>
        <w:tc>
          <w:tcPr>
            <w:tcW w:w="900" w:type="dxa"/>
            <w:tcBorders>
              <w:left w:val="nil"/>
            </w:tcBorders>
          </w:tcPr>
          <w:p>
            <w:pPr>
              <w:pStyle w:val="TableParagraph"/>
              <w:spacing w:line="272" w:lineRule="exact"/>
              <w:jc w:val="center"/>
              <w:rPr>
                <w:b/>
                <w:sz w:val="24"/>
              </w:rPr>
            </w:pPr>
            <w:r>
              <w:rPr>
                <w:b/>
                <w:w w:val="99"/>
                <w:sz w:val="24"/>
              </w:rPr>
              <w:t>M</w:t>
            </w:r>
          </w:p>
        </w:tc>
        <w:tc>
          <w:tcPr>
            <w:tcW w:w="4500" w:type="dxa"/>
            <w:tcBorders>
              <w:right w:val="nil"/>
            </w:tcBorders>
          </w:tcPr>
          <w:p>
            <w:pPr>
              <w:pStyle w:val="TableParagraph"/>
              <w:spacing w:line="272" w:lineRule="exact"/>
              <w:ind w:left="100"/>
              <w:rPr>
                <w:b/>
                <w:sz w:val="24"/>
              </w:rPr>
            </w:pPr>
            <w:r>
              <w:rPr>
                <w:b/>
                <w:sz w:val="24"/>
              </w:rPr>
              <w:t>Minor </w:t>
            </w:r>
            <w:r>
              <w:rPr>
                <w:strike/>
                <w:color w:val="2E97D3"/>
                <w:sz w:val="24"/>
              </w:rPr>
              <w:t>project.</w:t>
            </w:r>
            <w:r>
              <w:rPr>
                <w:b/>
                <w:strike w:val="0"/>
                <w:color w:val="2E97D3"/>
                <w:sz w:val="24"/>
                <w:u w:val="thick" w:color="2E97D3"/>
              </w:rPr>
              <w:t>Projects</w:t>
            </w:r>
          </w:p>
        </w:tc>
      </w:tr>
      <w:tr>
        <w:trPr>
          <w:trHeight w:val="281" w:hRule="exact"/>
        </w:trPr>
        <w:tc>
          <w:tcPr>
            <w:tcW w:w="900" w:type="dxa"/>
            <w:tcBorders>
              <w:left w:val="nil"/>
              <w:bottom w:val="nil"/>
            </w:tcBorders>
          </w:tcPr>
          <w:p>
            <w:pPr>
              <w:pStyle w:val="TableParagraph"/>
              <w:spacing w:line="272" w:lineRule="exact"/>
              <w:jc w:val="center"/>
              <w:rPr>
                <w:b/>
                <w:sz w:val="24"/>
              </w:rPr>
            </w:pPr>
            <w:r>
              <w:rPr>
                <w:b/>
                <w:color w:val="2E97D3"/>
                <w:w w:val="100"/>
                <w:sz w:val="24"/>
                <w:u w:val="thick" w:color="2E97D3"/>
              </w:rPr>
              <w:t>V</w:t>
            </w:r>
          </w:p>
        </w:tc>
        <w:tc>
          <w:tcPr>
            <w:tcW w:w="4500" w:type="dxa"/>
            <w:tcBorders>
              <w:bottom w:val="nil"/>
              <w:right w:val="nil"/>
            </w:tcBorders>
          </w:tcPr>
          <w:p>
            <w:pPr>
              <w:pStyle w:val="TableParagraph"/>
              <w:spacing w:line="272" w:lineRule="exact"/>
              <w:ind w:left="100"/>
              <w:rPr>
                <w:b/>
                <w:sz w:val="24"/>
              </w:rPr>
            </w:pPr>
            <w:r>
              <w:rPr>
                <w:b/>
                <w:color w:val="2E97D3"/>
                <w:sz w:val="24"/>
                <w:u w:val="thick" w:color="2E97D3"/>
              </w:rPr>
              <w:t>Various Items</w:t>
            </w:r>
          </w:p>
        </w:tc>
      </w:tr>
    </w:tbl>
    <w:p>
      <w:pPr>
        <w:spacing w:after="0" w:line="272" w:lineRule="exact"/>
        <w:rPr>
          <w:sz w:val="24"/>
        </w:rPr>
        <w:sectPr>
          <w:pgSz w:w="12240" w:h="15840"/>
          <w:pgMar w:header="724" w:footer="792" w:top="980" w:bottom="980" w:left="480" w:right="1320"/>
        </w:sectPr>
      </w:pPr>
    </w:p>
    <w:p>
      <w:pPr>
        <w:pStyle w:val="BodyText"/>
        <w:spacing w:before="4"/>
        <w:rPr>
          <w:rFonts w:ascii="Times New Roman"/>
          <w:sz w:val="17"/>
        </w:rPr>
      </w:pPr>
      <w:r>
        <w:rPr/>
        <w:pict>
          <v:line style="position:absolute;mso-position-horizontal-relative:page;mso-position-vertical-relative:page;z-index:27304" from="29.4pt,91.800003pt" to="29.4pt,117.720003pt" stroked="true" strokeweight=".72pt" strokecolor="#000000">
            <v:stroke dashstyle="solid"/>
            <w10:wrap type="none"/>
          </v:line>
        </w:pict>
      </w:r>
    </w:p>
    <w:p>
      <w:pPr>
        <w:spacing w:after="0"/>
        <w:rPr>
          <w:rFonts w:ascii="Times New Roman"/>
          <w:sz w:val="17"/>
        </w:rPr>
        <w:sectPr>
          <w:pgSz w:w="12240" w:h="15840"/>
          <w:pgMar w:header="724" w:footer="792" w:top="980" w:bottom="980" w:left="480" w:right="1720"/>
        </w:sectPr>
      </w:pPr>
    </w:p>
    <w:p>
      <w:pPr>
        <w:pStyle w:val="BodyText"/>
        <w:rPr>
          <w:rFonts w:ascii="Times New Roman"/>
          <w:sz w:val="20"/>
        </w:rPr>
      </w:pPr>
    </w:p>
    <w:p>
      <w:pPr>
        <w:tabs>
          <w:tab w:pos="9784" w:val="left" w:leader="none"/>
        </w:tabs>
        <w:spacing w:before="214"/>
        <w:ind w:left="686" w:right="0" w:firstLine="0"/>
        <w:jc w:val="left"/>
        <w:rPr>
          <w:b/>
          <w:sz w:val="24"/>
        </w:rPr>
      </w:pPr>
      <w:r>
        <w:rPr>
          <w:b/>
          <w:sz w:val="24"/>
        </w:rPr>
        <w:t>ADMINISTRATION OF THE CAPITAL</w:t>
      </w:r>
      <w:r>
        <w:rPr>
          <w:b/>
          <w:spacing w:val="-13"/>
          <w:sz w:val="24"/>
        </w:rPr>
        <w:t> </w:t>
      </w:r>
      <w:r>
        <w:rPr>
          <w:b/>
          <w:sz w:val="24"/>
        </w:rPr>
        <w:t>OUTLAY</w:t>
      </w:r>
      <w:r>
        <w:rPr>
          <w:b/>
          <w:spacing w:val="-3"/>
          <w:sz w:val="24"/>
        </w:rPr>
        <w:t> </w:t>
      </w:r>
      <w:r>
        <w:rPr>
          <w:b/>
          <w:sz w:val="24"/>
        </w:rPr>
        <w:t>PROGRAM</w:t>
        <w:tab/>
        <w:t>6840</w:t>
      </w:r>
    </w:p>
    <w:p>
      <w:pPr>
        <w:pStyle w:val="BodyText"/>
        <w:ind w:left="686"/>
      </w:pPr>
      <w:r>
        <w:rPr/>
        <w:t>(Revised 5/1998)</w:t>
      </w:r>
    </w:p>
    <w:p>
      <w:pPr>
        <w:pStyle w:val="BodyText"/>
        <w:spacing w:before="120"/>
        <w:ind w:left="686"/>
      </w:pPr>
      <w:r>
        <w:rPr/>
        <w:t>Sections 6840–6869 address policy and procedures for fiscal administration of funded capital outlay projects. The primary oversight entities are PWB, DOF, and the Joint Legislative Budget Committee (JLBC). Although long-term and interim financing for capital outlay projects are part of project implementation, they are addressed in a separate financing portion of the chapter (Sections 6870 et seq.). An overview of capital outlay is provided in Section 6801 to 6809. Acronyms, terminology and forms are defined and indexed in the glossary, Section 6899.</w:t>
      </w:r>
    </w:p>
    <w:p>
      <w:pPr>
        <w:spacing w:after="0"/>
        <w:sectPr>
          <w:footerReference w:type="default" r:id="rId282"/>
          <w:pgSz w:w="12240" w:h="15840"/>
          <w:pgMar w:footer="1079" w:header="724" w:top="980" w:bottom="1260" w:left="480" w:right="1340"/>
        </w:sectPr>
      </w:pPr>
    </w:p>
    <w:p>
      <w:pPr>
        <w:pStyle w:val="BodyText"/>
        <w:rPr>
          <w:sz w:val="20"/>
        </w:rPr>
      </w:pPr>
    </w:p>
    <w:p>
      <w:pPr>
        <w:pStyle w:val="Heading2"/>
        <w:tabs>
          <w:tab w:pos="9784" w:val="left" w:leader="none"/>
        </w:tabs>
        <w:spacing w:before="214"/>
        <w:ind w:left="686"/>
      </w:pPr>
      <w:r>
        <w:rPr/>
        <w:t>METHODS OF</w:t>
      </w:r>
      <w:r>
        <w:rPr>
          <w:spacing w:val="-4"/>
        </w:rPr>
        <w:t> </w:t>
      </w:r>
      <w:r>
        <w:rPr/>
        <w:t>PROJECT</w:t>
      </w:r>
      <w:r>
        <w:rPr>
          <w:spacing w:val="-3"/>
        </w:rPr>
        <w:t> </w:t>
      </w:r>
      <w:r>
        <w:rPr/>
        <w:t>DELIVERY</w:t>
        <w:tab/>
        <w:t>6841</w:t>
      </w:r>
    </w:p>
    <w:p>
      <w:pPr>
        <w:pStyle w:val="BodyText"/>
        <w:ind w:left="686"/>
      </w:pPr>
      <w:r>
        <w:rPr/>
        <w:t>(New 5/1998)</w:t>
      </w:r>
    </w:p>
    <w:p>
      <w:pPr>
        <w:pStyle w:val="BodyText"/>
        <w:spacing w:before="117"/>
        <w:ind w:left="686" w:right="101"/>
      </w:pPr>
      <w:r>
        <w:rPr/>
        <w:t>The state traditionally uses the </w:t>
      </w:r>
      <w:r>
        <w:rPr>
          <w:i/>
        </w:rPr>
        <w:t>design-bid-build </w:t>
      </w:r>
      <w:r>
        <w:rPr/>
        <w:t>method of procuring design and construction services for most of its capital outlay projects. In addition, the state also uses various lease methods to obtain the </w:t>
      </w:r>
      <w:r>
        <w:rPr>
          <w:i/>
        </w:rPr>
        <w:t>use </w:t>
      </w:r>
      <w:r>
        <w:rPr/>
        <w:t>of facilities, both with and without facility acquisition at some point in the lease. The following discussion briefly outlines standard procurement methods in the building industry and the resulting budget implications.</w:t>
      </w:r>
    </w:p>
    <w:p>
      <w:pPr>
        <w:pStyle w:val="BodyText"/>
        <w:spacing w:before="119"/>
        <w:ind w:left="686" w:right="149"/>
      </w:pPr>
      <w:r>
        <w:rPr>
          <w:b/>
        </w:rPr>
        <w:t>Design-bid-build</w:t>
      </w:r>
      <w:r>
        <w:rPr/>
        <w:t>. The state’s contract law and budget processes for capital outlay are based on design-bid-build processes because that approach allows the state to determine the exact product before it begins construction. Projects are not bid on by construction contractors until working drawings are completed by a separate architect-engineering firm.</w:t>
      </w:r>
    </w:p>
    <w:p>
      <w:pPr>
        <w:pStyle w:val="BodyText"/>
        <w:spacing w:before="119"/>
        <w:ind w:left="686" w:right="167"/>
      </w:pPr>
      <w:r>
        <w:rPr/>
        <w:t>In the traditional design-bid-build process, preliminary plans, working drawings, and construction are all separate phases; an overview of all typical capital outlay phases is provided in Section 6808. Funds are not normally committed to a phase unless there is a strong assurance that they can be encumbered within a single fiscal year. Consequently, most design-bid-build projects are budgeted in several phases over two to three years (sometimes longer). Each separate appropriation requires a COBCP (Section 6818) and must be included in the client department’s five-year capitalized assets plan (Section 6820).</w:t>
      </w:r>
    </w:p>
    <w:p>
      <w:pPr>
        <w:pStyle w:val="BodyText"/>
        <w:spacing w:before="119"/>
        <w:ind w:left="686" w:right="641"/>
      </w:pPr>
      <w:r>
        <w:rPr/>
        <w:t>In addition, PWB and DOF perform an oversight role for design-bid-build projects by reviewing and approving the design phases of a proposed project (Sections 6842 and 6851).</w:t>
      </w:r>
    </w:p>
    <w:p>
      <w:pPr>
        <w:pStyle w:val="BodyText"/>
        <w:spacing w:before="119"/>
        <w:ind w:left="686"/>
      </w:pPr>
      <w:r>
        <w:rPr>
          <w:b/>
        </w:rPr>
        <w:t>Design-build</w:t>
      </w:r>
      <w:r>
        <w:rPr/>
        <w:t>. In design-build projects, design work is performed by the same entity that constructs the project, and the design-build contract award is made in a lump sum.</w:t>
      </w:r>
    </w:p>
    <w:p>
      <w:pPr>
        <w:pStyle w:val="BodyText"/>
        <w:ind w:left="686" w:right="312"/>
      </w:pPr>
      <w:r>
        <w:rPr/>
        <w:t>Consequently, there are no separate phases—or appropriations—for preliminary plans, working drawings, and construction. The client is responsible for providing a project definition which the design-build firm uses as the basis for its bid. The advantage of the design-build approach is that the project delivery team has single-point responsibility for the project. This helps expedite construction time-frames and may reduce the number of change orders.</w:t>
      </w:r>
    </w:p>
    <w:p>
      <w:pPr>
        <w:pStyle w:val="BodyText"/>
        <w:spacing w:before="120"/>
        <w:ind w:left="686" w:right="135"/>
      </w:pPr>
      <w:r>
        <w:rPr/>
        <w:t>There are variations of design-build in which the project definition is elaborated through more detailed narrative specifications and/or drawings. This modified approach is called </w:t>
      </w:r>
      <w:r>
        <w:rPr>
          <w:i/>
        </w:rPr>
        <w:t>bridging design-build </w:t>
      </w:r>
      <w:r>
        <w:rPr/>
        <w:t>and for some projects may result in project performance specifications that are nearly as detailed as preliminary plans. Greater specificity is helpful when program needs reduce the range of acceptable design solutions or materials.  From a budget perspective, the development of performance specifications may require a separate phase appropriation since the level of detail required could substantially exceed that of a budget package (Section 6828).</w:t>
      </w:r>
    </w:p>
    <w:p>
      <w:pPr>
        <w:pStyle w:val="BodyText"/>
        <w:spacing w:before="119"/>
        <w:ind w:left="686" w:right="122"/>
      </w:pPr>
      <w:r>
        <w:rPr/>
        <w:t>State contract law currently does not support the design-build process, except for the California State University and the University of California which have specific design-build authority. Similarly, the PWB process does not presently recognize an alternative to preliminary plans approval.</w:t>
      </w:r>
    </w:p>
    <w:p>
      <w:pPr>
        <w:pStyle w:val="BodyText"/>
        <w:spacing w:before="9"/>
        <w:rPr>
          <w:sz w:val="20"/>
        </w:rPr>
      </w:pPr>
    </w:p>
    <w:p>
      <w:pPr>
        <w:pStyle w:val="BodyText"/>
        <w:ind w:left="686"/>
      </w:pPr>
      <w:r>
        <w:rPr/>
        <w:t>(Continued)</w:t>
      </w:r>
    </w:p>
    <w:p>
      <w:pPr>
        <w:spacing w:after="0"/>
        <w:sectPr>
          <w:pgSz w:w="12240" w:h="15840"/>
          <w:pgMar w:header="724" w:footer="1079" w:top="980" w:bottom="1260" w:left="480" w:right="1340"/>
        </w:sectPr>
      </w:pPr>
    </w:p>
    <w:p>
      <w:pPr>
        <w:pStyle w:val="BodyText"/>
        <w:rPr>
          <w:sz w:val="20"/>
        </w:rPr>
      </w:pPr>
    </w:p>
    <w:p>
      <w:pPr>
        <w:pStyle w:val="BodyText"/>
        <w:spacing w:before="214"/>
        <w:ind w:left="686"/>
      </w:pPr>
      <w:r>
        <w:rPr/>
        <w:t>(Continued)</w:t>
      </w:r>
    </w:p>
    <w:p>
      <w:pPr>
        <w:tabs>
          <w:tab w:pos="8783" w:val="left" w:leader="none"/>
        </w:tabs>
        <w:spacing w:before="0"/>
        <w:ind w:left="686" w:right="116" w:firstLine="0"/>
        <w:jc w:val="left"/>
        <w:rPr>
          <w:sz w:val="24"/>
        </w:rPr>
      </w:pPr>
      <w:r>
        <w:rPr>
          <w:b/>
          <w:sz w:val="24"/>
        </w:rPr>
        <w:t>METHODS OF</w:t>
      </w:r>
      <w:r>
        <w:rPr>
          <w:b/>
          <w:spacing w:val="-4"/>
          <w:sz w:val="24"/>
        </w:rPr>
        <w:t> </w:t>
      </w:r>
      <w:r>
        <w:rPr>
          <w:b/>
          <w:sz w:val="24"/>
        </w:rPr>
        <w:t>PROJECT</w:t>
      </w:r>
      <w:r>
        <w:rPr>
          <w:b/>
          <w:spacing w:val="-3"/>
          <w:sz w:val="24"/>
        </w:rPr>
        <w:t> </w:t>
      </w:r>
      <w:r>
        <w:rPr>
          <w:b/>
          <w:sz w:val="24"/>
        </w:rPr>
        <w:t>DELIVERY</w:t>
        <w:tab/>
        <w:t>6841</w:t>
      </w:r>
      <w:r>
        <w:rPr>
          <w:b/>
          <w:spacing w:val="-2"/>
          <w:sz w:val="24"/>
        </w:rPr>
        <w:t> </w:t>
      </w:r>
      <w:r>
        <w:rPr>
          <w:sz w:val="24"/>
        </w:rPr>
        <w:t>(Cont.</w:t>
      </w:r>
      <w:r>
        <w:rPr>
          <w:spacing w:val="-5"/>
          <w:sz w:val="24"/>
        </w:rPr>
        <w:t> </w:t>
      </w:r>
      <w:r>
        <w:rPr>
          <w:sz w:val="24"/>
        </w:rPr>
        <w:t>1)</w:t>
      </w:r>
      <w:r>
        <w:rPr>
          <w:w w:val="99"/>
          <w:sz w:val="24"/>
        </w:rPr>
        <w:t> </w:t>
      </w:r>
      <w:r>
        <w:rPr>
          <w:sz w:val="24"/>
        </w:rPr>
        <w:t>(New</w:t>
      </w:r>
      <w:r>
        <w:rPr>
          <w:spacing w:val="-6"/>
          <w:sz w:val="24"/>
        </w:rPr>
        <w:t> </w:t>
      </w:r>
      <w:r>
        <w:rPr>
          <w:sz w:val="24"/>
        </w:rPr>
        <w:t>5/1998)</w:t>
      </w:r>
    </w:p>
    <w:p>
      <w:pPr>
        <w:pStyle w:val="BodyText"/>
      </w:pPr>
    </w:p>
    <w:p>
      <w:pPr>
        <w:pStyle w:val="BodyText"/>
        <w:ind w:left="686" w:right="182"/>
      </w:pPr>
      <w:r>
        <w:rPr>
          <w:b/>
        </w:rPr>
        <w:t>Turnkey, Design-Build-Lease, Lease-Purchase. </w:t>
      </w:r>
      <w:r>
        <w:rPr/>
        <w:t>These are financing methods in which an owner retains an entity which has single-point responsibility for developing a project. In addition to design and construction, the selected entity is responsible for providing one or more other project development functions, such as selecting and acquiring a site, financing, and even owning or operating the facility which is leased to the client department (with or without an option to purchase). From a budget perspective, these financing approaches are subject to this chapter if they meet the definition of a capitalized lease (Section 6818), or if—when being financed—an obligation for continuing state disclosure is created (Sections 6876 and</w:t>
      </w:r>
      <w:r>
        <w:rPr>
          <w:spacing w:val="-21"/>
        </w:rPr>
        <w:t> </w:t>
      </w:r>
      <w:r>
        <w:rPr/>
        <w:t>6884).</w:t>
      </w:r>
    </w:p>
    <w:p>
      <w:pPr>
        <w:pStyle w:val="BodyText"/>
        <w:spacing w:before="120"/>
        <w:ind w:left="686" w:right="236"/>
      </w:pPr>
      <w:r>
        <w:rPr/>
        <w:t>The following discussion on capital outlay administration (Sections 6842–6869) deals with </w:t>
      </w:r>
      <w:r>
        <w:rPr>
          <w:i/>
        </w:rPr>
        <w:t>design-bid-build state construction projects</w:t>
      </w:r>
      <w:r>
        <w:rPr/>
        <w:t>—i.e., excludes leased facilities. Leasing alternatives are addressed in the capital asset planning and budgeting portion of the chapter (Sections 6810–6839) and as part of capital asset financing (Sections 6870– 6888).</w:t>
      </w:r>
    </w:p>
    <w:p>
      <w:pPr>
        <w:spacing w:after="0"/>
        <w:sectPr>
          <w:pgSz w:w="12240" w:h="15840"/>
          <w:pgMar w:header="724" w:footer="1079" w:top="980" w:bottom="1260" w:left="480" w:right="1320"/>
        </w:sectPr>
      </w:pPr>
    </w:p>
    <w:p>
      <w:pPr>
        <w:pStyle w:val="BodyText"/>
        <w:rPr>
          <w:sz w:val="20"/>
        </w:rPr>
      </w:pPr>
    </w:p>
    <w:p>
      <w:pPr>
        <w:pStyle w:val="Heading2"/>
        <w:tabs>
          <w:tab w:pos="9784" w:val="left" w:leader="none"/>
        </w:tabs>
        <w:spacing w:before="214"/>
        <w:ind w:left="686"/>
      </w:pPr>
      <w:r>
        <w:rPr/>
        <w:t>STATE PUBLIC WORKS BOARD</w:t>
      </w:r>
      <w:r>
        <w:rPr>
          <w:spacing w:val="-8"/>
        </w:rPr>
        <w:t> </w:t>
      </w:r>
      <w:r>
        <w:rPr/>
        <w:t>(PWB)</w:t>
      </w:r>
      <w:r>
        <w:rPr>
          <w:spacing w:val="-4"/>
        </w:rPr>
        <w:t> </w:t>
      </w:r>
      <w:r>
        <w:rPr/>
        <w:t>OVERVIEW</w:t>
        <w:tab/>
        <w:t>6842</w:t>
      </w:r>
    </w:p>
    <w:p>
      <w:pPr>
        <w:pStyle w:val="BodyText"/>
        <w:ind w:left="686"/>
      </w:pPr>
      <w:r>
        <w:rPr/>
        <w:t>(New 5/1998)</w:t>
      </w:r>
    </w:p>
    <w:p>
      <w:pPr>
        <w:pStyle w:val="BodyText"/>
        <w:spacing w:before="120"/>
        <w:ind w:left="686"/>
      </w:pPr>
      <w:r>
        <w:rPr/>
        <w:t>The following summarizes statutory and administrative provisions relating to PWB.</w:t>
      </w:r>
    </w:p>
    <w:p>
      <w:pPr>
        <w:pStyle w:val="BodyText"/>
        <w:spacing w:before="120"/>
        <w:ind w:left="686"/>
      </w:pPr>
      <w:r>
        <w:rPr>
          <w:b/>
        </w:rPr>
        <w:t>Origin/Role</w:t>
      </w:r>
      <w:r>
        <w:rPr/>
        <w:t>: PWB was created by the Legislature in 1946 to offset any economic decline due to the cessation of a wartime economy, with two major areas of responsibility:</w:t>
      </w:r>
    </w:p>
    <w:p>
      <w:pPr>
        <w:pStyle w:val="BodyText"/>
        <w:spacing w:before="120"/>
        <w:ind w:left="1046"/>
      </w:pPr>
      <w:r>
        <w:rPr>
          <w:strike/>
          <w:color w:val="2E97D3"/>
        </w:rPr>
        <w:t>1.</w:t>
      </w:r>
      <w:r>
        <w:rPr>
          <w:strike w:val="0"/>
          <w:color w:val="2E97D3"/>
          <w:u w:val="single" w:color="2E97D3"/>
        </w:rPr>
        <w:t>a................................................................................................................................ </w:t>
      </w:r>
      <w:r>
        <w:rPr>
          <w:strike w:val="0"/>
        </w:rPr>
        <w:t>A</w:t>
      </w:r>
    </w:p>
    <w:p>
      <w:pPr>
        <w:pStyle w:val="BodyText"/>
        <w:ind w:left="1406" w:right="135"/>
      </w:pPr>
      <w:r>
        <w:rPr/>
        <w:t>pproving plans, allocating funds and determining the timing of major construction projects of state agencies after appropriations for such projects have been made by the Legislature; and</w:t>
      </w:r>
    </w:p>
    <w:p>
      <w:pPr>
        <w:pStyle w:val="BodyText"/>
        <w:spacing w:before="10"/>
        <w:rPr>
          <w:sz w:val="20"/>
        </w:rPr>
      </w:pPr>
    </w:p>
    <w:p>
      <w:pPr>
        <w:pStyle w:val="BodyText"/>
        <w:ind w:left="1046"/>
      </w:pPr>
      <w:r>
        <w:rPr>
          <w:strike/>
          <w:color w:val="2E97D3"/>
        </w:rPr>
        <w:t>2.</w:t>
      </w:r>
      <w:r>
        <w:rPr>
          <w:strike w:val="0"/>
          <w:color w:val="2E97D3"/>
          <w:u w:val="single" w:color="2E97D3"/>
        </w:rPr>
        <w:t>b................................................................................................................................ </w:t>
      </w:r>
      <w:r>
        <w:rPr>
          <w:strike w:val="0"/>
        </w:rPr>
        <w:t>S</w:t>
      </w:r>
    </w:p>
    <w:p>
      <w:pPr>
        <w:pStyle w:val="BodyText"/>
        <w:ind w:left="1406" w:right="362"/>
      </w:pPr>
      <w:r>
        <w:rPr/>
        <w:t>election and acquisition of real property for location or expansion of state facilities and programs.</w:t>
      </w:r>
    </w:p>
    <w:p>
      <w:pPr>
        <w:pStyle w:val="BodyText"/>
        <w:spacing w:before="10"/>
        <w:rPr>
          <w:sz w:val="20"/>
        </w:rPr>
      </w:pPr>
    </w:p>
    <w:p>
      <w:pPr>
        <w:pStyle w:val="BodyText"/>
        <w:ind w:left="686"/>
      </w:pPr>
      <w:r>
        <w:rPr/>
        <w:t>Over the past 50 years, the role of PWB has changed to:</w:t>
      </w:r>
    </w:p>
    <w:p>
      <w:pPr>
        <w:pStyle w:val="BodyText"/>
        <w:spacing w:before="9"/>
        <w:rPr>
          <w:sz w:val="20"/>
        </w:rPr>
      </w:pPr>
    </w:p>
    <w:p>
      <w:pPr>
        <w:pStyle w:val="BodyText"/>
        <w:spacing w:before="1"/>
        <w:ind w:left="686"/>
      </w:pPr>
      <w:r>
        <w:rPr>
          <w:strike/>
          <w:color w:val="2E97D3"/>
        </w:rPr>
        <w:t>1.</w:t>
      </w:r>
      <w:r>
        <w:rPr>
          <w:strike w:val="0"/>
          <w:color w:val="2E97D3"/>
          <w:u w:val="single" w:color="2E97D3"/>
        </w:rPr>
        <w:t>5. .................................................................................................................................... </w:t>
      </w:r>
      <w:r>
        <w:rPr>
          <w:strike w:val="0"/>
        </w:rPr>
        <w:t>Pr</w:t>
      </w:r>
    </w:p>
    <w:p>
      <w:pPr>
        <w:pStyle w:val="BodyText"/>
        <w:ind w:left="1046" w:right="428"/>
      </w:pPr>
      <w:r>
        <w:rPr/>
        <w:t>oviding a review and approval process for adherence to the Legislature’s intent in its appropriation of funds for capital outlay projects;</w:t>
      </w:r>
    </w:p>
    <w:p>
      <w:pPr>
        <w:pStyle w:val="BodyText"/>
        <w:spacing w:before="10"/>
        <w:rPr>
          <w:sz w:val="20"/>
        </w:rPr>
      </w:pPr>
    </w:p>
    <w:p>
      <w:pPr>
        <w:pStyle w:val="BodyText"/>
        <w:ind w:left="686"/>
      </w:pPr>
      <w:r>
        <w:rPr>
          <w:strike/>
          <w:color w:val="2E97D3"/>
        </w:rPr>
        <w:t>2.</w:t>
      </w:r>
      <w:r>
        <w:rPr>
          <w:strike w:val="0"/>
          <w:color w:val="2E97D3"/>
          <w:u w:val="single" w:color="2E97D3"/>
        </w:rPr>
        <w:t>6. .................................................................................................................................... </w:t>
      </w:r>
      <w:r>
        <w:rPr>
          <w:strike w:val="0"/>
        </w:rPr>
        <w:t>C</w:t>
      </w:r>
    </w:p>
    <w:p>
      <w:pPr>
        <w:pStyle w:val="BodyText"/>
        <w:ind w:left="1046"/>
      </w:pPr>
      <w:r>
        <w:rPr/>
        <w:t>arrying out various statutory control provisions relating to capital outlay projects;</w:t>
      </w:r>
    </w:p>
    <w:p>
      <w:pPr>
        <w:pStyle w:val="BodyText"/>
        <w:spacing w:before="10"/>
        <w:rPr>
          <w:sz w:val="20"/>
        </w:rPr>
      </w:pPr>
    </w:p>
    <w:p>
      <w:pPr>
        <w:pStyle w:val="BodyText"/>
        <w:ind w:left="686"/>
      </w:pPr>
      <w:r>
        <w:rPr>
          <w:strike/>
          <w:color w:val="2E97D3"/>
        </w:rPr>
        <w:t>3.</w:t>
      </w:r>
      <w:r>
        <w:rPr>
          <w:strike w:val="0"/>
          <w:color w:val="2E97D3"/>
          <w:u w:val="single" w:color="2E97D3"/>
        </w:rPr>
        <w:t>7. .................................................................................................................................... </w:t>
      </w:r>
      <w:r>
        <w:rPr>
          <w:strike w:val="0"/>
        </w:rPr>
        <w:t>S</w:t>
      </w:r>
    </w:p>
    <w:p>
      <w:pPr>
        <w:pStyle w:val="BodyText"/>
        <w:ind w:left="1046"/>
      </w:pPr>
      <w:r>
        <w:rPr/>
        <w:t>electing and acquiring real property for location or expansion of state facilities;</w:t>
      </w:r>
    </w:p>
    <w:p>
      <w:pPr>
        <w:pStyle w:val="BodyText"/>
        <w:spacing w:before="10"/>
        <w:rPr>
          <w:sz w:val="20"/>
        </w:rPr>
      </w:pPr>
    </w:p>
    <w:p>
      <w:pPr>
        <w:pStyle w:val="BodyText"/>
        <w:ind w:left="686"/>
      </w:pPr>
      <w:r>
        <w:rPr>
          <w:strike/>
          <w:color w:val="2E97D3"/>
        </w:rPr>
        <w:t>4.</w:t>
      </w:r>
      <w:r>
        <w:rPr>
          <w:strike w:val="0"/>
          <w:color w:val="2E97D3"/>
          <w:u w:val="single" w:color="2E97D3"/>
        </w:rPr>
        <w:t>8. .................................................................................................................................... </w:t>
      </w:r>
      <w:r>
        <w:rPr>
          <w:strike w:val="0"/>
        </w:rPr>
        <w:t>A</w:t>
      </w:r>
    </w:p>
    <w:p>
      <w:pPr>
        <w:pStyle w:val="BodyText"/>
        <w:ind w:left="1046" w:right="201"/>
      </w:pPr>
      <w:r>
        <w:rPr/>
        <w:t>pproving sales of surplus property pursuant to annual statutes authorizing the disposal of surplus real property; and</w:t>
      </w:r>
    </w:p>
    <w:p>
      <w:pPr>
        <w:pStyle w:val="BodyText"/>
        <w:spacing w:before="10"/>
        <w:rPr>
          <w:sz w:val="20"/>
        </w:rPr>
      </w:pPr>
    </w:p>
    <w:p>
      <w:pPr>
        <w:pStyle w:val="BodyText"/>
        <w:ind w:left="686"/>
      </w:pPr>
      <w:r>
        <w:rPr>
          <w:strike/>
          <w:color w:val="2E97D3"/>
        </w:rPr>
        <w:t>5.</w:t>
      </w:r>
      <w:r>
        <w:rPr>
          <w:strike w:val="0"/>
          <w:color w:val="2E97D3"/>
          <w:u w:val="single" w:color="2E97D3"/>
        </w:rPr>
        <w:t>9. .................................................................................................................................... </w:t>
      </w:r>
      <w:r>
        <w:rPr>
          <w:strike w:val="0"/>
        </w:rPr>
        <w:t>A</w:t>
      </w:r>
    </w:p>
    <w:p>
      <w:pPr>
        <w:pStyle w:val="BodyText"/>
        <w:spacing w:line="274" w:lineRule="exact" w:before="6"/>
        <w:ind w:left="1046" w:right="309"/>
      </w:pPr>
      <w:r>
        <w:rPr/>
        <w:t>cquiring property and constructing facilities from the proceeds of revenue bonds (also called </w:t>
      </w:r>
      <w:r>
        <w:rPr>
          <w:i/>
        </w:rPr>
        <w:t>lease-revenue bonds</w:t>
      </w:r>
      <w:r>
        <w:rPr/>
        <w:t>) issued by the board.</w:t>
      </w:r>
    </w:p>
    <w:p>
      <w:pPr>
        <w:pStyle w:val="BodyText"/>
        <w:spacing w:before="3"/>
        <w:rPr>
          <w:sz w:val="34"/>
        </w:rPr>
      </w:pPr>
    </w:p>
    <w:p>
      <w:pPr>
        <w:spacing w:before="0"/>
        <w:ind w:left="686" w:right="0" w:firstLine="0"/>
        <w:jc w:val="left"/>
        <w:rPr>
          <w:sz w:val="24"/>
        </w:rPr>
      </w:pPr>
      <w:r>
        <w:rPr>
          <w:b/>
          <w:sz w:val="24"/>
        </w:rPr>
        <w:t>Membership</w:t>
      </w:r>
      <w:r>
        <w:rPr>
          <w:sz w:val="24"/>
        </w:rPr>
        <w:t>:  Voting members are the:</w:t>
      </w:r>
    </w:p>
    <w:p>
      <w:pPr>
        <w:pStyle w:val="ListParagraph"/>
        <w:numPr>
          <w:ilvl w:val="0"/>
          <w:numId w:val="85"/>
        </w:numPr>
        <w:tabs>
          <w:tab w:pos="1047" w:val="left" w:leader="none"/>
        </w:tabs>
        <w:spacing w:line="240" w:lineRule="auto" w:before="119" w:after="0"/>
        <w:ind w:left="686" w:right="0" w:firstLine="0"/>
        <w:jc w:val="left"/>
        <w:rPr>
          <w:sz w:val="24"/>
        </w:rPr>
      </w:pPr>
      <w:r>
        <w:rPr>
          <w:sz w:val="24"/>
        </w:rPr>
        <w:t>Director of Finance, who historically has chaired</w:t>
      </w:r>
      <w:r>
        <w:rPr>
          <w:spacing w:val="-23"/>
          <w:sz w:val="24"/>
        </w:rPr>
        <w:t> </w:t>
      </w:r>
      <w:r>
        <w:rPr>
          <w:sz w:val="24"/>
        </w:rPr>
        <w:t>PWB;</w:t>
      </w:r>
    </w:p>
    <w:p>
      <w:pPr>
        <w:pStyle w:val="BodyText"/>
        <w:spacing w:before="9"/>
        <w:rPr>
          <w:sz w:val="20"/>
        </w:rPr>
      </w:pPr>
    </w:p>
    <w:p>
      <w:pPr>
        <w:pStyle w:val="ListParagraph"/>
        <w:numPr>
          <w:ilvl w:val="0"/>
          <w:numId w:val="85"/>
        </w:numPr>
        <w:tabs>
          <w:tab w:pos="1047" w:val="left" w:leader="none"/>
        </w:tabs>
        <w:spacing w:line="240" w:lineRule="auto" w:before="0" w:after="0"/>
        <w:ind w:left="1046" w:right="0" w:hanging="360"/>
        <w:jc w:val="left"/>
        <w:rPr>
          <w:sz w:val="24"/>
        </w:rPr>
      </w:pPr>
      <w:r>
        <w:rPr>
          <w:sz w:val="24"/>
        </w:rPr>
        <w:t>Director of</w:t>
      </w:r>
      <w:r>
        <w:rPr>
          <w:spacing w:val="-12"/>
          <w:sz w:val="24"/>
        </w:rPr>
        <w:t> </w:t>
      </w:r>
      <w:r>
        <w:rPr>
          <w:sz w:val="24"/>
        </w:rPr>
        <w:t>Transportation;</w:t>
      </w:r>
    </w:p>
    <w:p>
      <w:pPr>
        <w:pStyle w:val="BodyText"/>
        <w:spacing w:before="9"/>
        <w:rPr>
          <w:sz w:val="20"/>
        </w:rPr>
      </w:pPr>
    </w:p>
    <w:p>
      <w:pPr>
        <w:pStyle w:val="ListParagraph"/>
        <w:numPr>
          <w:ilvl w:val="0"/>
          <w:numId w:val="85"/>
        </w:numPr>
        <w:tabs>
          <w:tab w:pos="1047" w:val="left" w:leader="none"/>
        </w:tabs>
        <w:spacing w:line="240" w:lineRule="auto" w:before="0" w:after="0"/>
        <w:ind w:left="1046" w:right="0" w:hanging="360"/>
        <w:jc w:val="left"/>
        <w:rPr>
          <w:sz w:val="24"/>
        </w:rPr>
      </w:pPr>
      <w:r>
        <w:rPr>
          <w:sz w:val="24"/>
        </w:rPr>
        <w:t>Director of General</w:t>
      </w:r>
      <w:r>
        <w:rPr>
          <w:spacing w:val="-14"/>
          <w:sz w:val="24"/>
        </w:rPr>
        <w:t> </w:t>
      </w:r>
      <w:r>
        <w:rPr>
          <w:sz w:val="24"/>
        </w:rPr>
        <w:t>Services;</w:t>
      </w:r>
    </w:p>
    <w:p>
      <w:pPr>
        <w:pStyle w:val="BodyText"/>
        <w:spacing w:before="9"/>
        <w:rPr>
          <w:sz w:val="20"/>
        </w:rPr>
      </w:pPr>
    </w:p>
    <w:p>
      <w:pPr>
        <w:pStyle w:val="ListParagraph"/>
        <w:numPr>
          <w:ilvl w:val="0"/>
          <w:numId w:val="85"/>
        </w:numPr>
        <w:tabs>
          <w:tab w:pos="1047" w:val="left" w:leader="none"/>
        </w:tabs>
        <w:spacing w:line="240" w:lineRule="auto" w:before="0" w:after="0"/>
        <w:ind w:left="1046" w:right="0" w:hanging="360"/>
        <w:jc w:val="left"/>
        <w:rPr>
          <w:sz w:val="24"/>
        </w:rPr>
      </w:pPr>
      <w:r>
        <w:rPr>
          <w:sz w:val="24"/>
        </w:rPr>
        <w:t>State Controller (for revenue bond matters only);</w:t>
      </w:r>
      <w:r>
        <w:rPr>
          <w:spacing w:val="-27"/>
          <w:sz w:val="24"/>
        </w:rPr>
        <w:t> </w:t>
      </w:r>
      <w:r>
        <w:rPr>
          <w:sz w:val="24"/>
        </w:rPr>
        <w:t>and</w:t>
      </w:r>
    </w:p>
    <w:p>
      <w:pPr>
        <w:pStyle w:val="BodyText"/>
        <w:spacing w:before="9"/>
        <w:rPr>
          <w:sz w:val="20"/>
        </w:rPr>
      </w:pPr>
    </w:p>
    <w:p>
      <w:pPr>
        <w:pStyle w:val="ListParagraph"/>
        <w:numPr>
          <w:ilvl w:val="0"/>
          <w:numId w:val="85"/>
        </w:numPr>
        <w:tabs>
          <w:tab w:pos="1047" w:val="left" w:leader="none"/>
        </w:tabs>
        <w:spacing w:line="448" w:lineRule="auto" w:before="0" w:after="0"/>
        <w:ind w:left="686" w:right="4224" w:firstLine="0"/>
        <w:jc w:val="left"/>
        <w:rPr>
          <w:sz w:val="24"/>
        </w:rPr>
      </w:pPr>
      <w:r>
        <w:rPr>
          <w:sz w:val="24"/>
        </w:rPr>
        <w:t>State Treasurer (for revenue bond matters</w:t>
      </w:r>
      <w:r>
        <w:rPr>
          <w:spacing w:val="-27"/>
          <w:sz w:val="24"/>
        </w:rPr>
        <w:t> </w:t>
      </w:r>
      <w:r>
        <w:rPr>
          <w:sz w:val="24"/>
        </w:rPr>
        <w:t>only). (Continued)</w:t>
      </w:r>
    </w:p>
    <w:p>
      <w:pPr>
        <w:spacing w:after="0" w:line="448" w:lineRule="auto"/>
        <w:jc w:val="left"/>
        <w:rPr>
          <w:sz w:val="24"/>
        </w:rPr>
        <w:sectPr>
          <w:pgSz w:w="12240" w:h="15840"/>
          <w:pgMar w:header="724" w:footer="1079" w:top="980" w:bottom="1260" w:left="480" w:right="1340"/>
        </w:sectPr>
      </w:pPr>
    </w:p>
    <w:p>
      <w:pPr>
        <w:pStyle w:val="BodyText"/>
        <w:spacing w:before="4"/>
        <w:rPr>
          <w:rFonts w:ascii="Times New Roman"/>
          <w:sz w:val="17"/>
        </w:rPr>
      </w:pPr>
    </w:p>
    <w:p>
      <w:pPr>
        <w:spacing w:after="0"/>
        <w:rPr>
          <w:rFonts w:ascii="Times New Roman"/>
          <w:sz w:val="17"/>
        </w:rPr>
        <w:sectPr>
          <w:pgSz w:w="12240" w:h="15840"/>
          <w:pgMar w:header="724" w:footer="1079" w:top="980" w:bottom="1260" w:left="480" w:right="1720"/>
        </w:sectPr>
      </w:pPr>
    </w:p>
    <w:p>
      <w:pPr>
        <w:pStyle w:val="BodyText"/>
        <w:rPr>
          <w:rFonts w:ascii="Times New Roman"/>
          <w:sz w:val="20"/>
        </w:rPr>
      </w:pPr>
    </w:p>
    <w:p>
      <w:pPr>
        <w:pStyle w:val="BodyText"/>
        <w:spacing w:before="214"/>
        <w:ind w:left="686"/>
      </w:pPr>
      <w:r>
        <w:rPr/>
        <w:t>(Continued)</w:t>
      </w:r>
    </w:p>
    <w:p>
      <w:pPr>
        <w:tabs>
          <w:tab w:pos="8783" w:val="left" w:leader="none"/>
        </w:tabs>
        <w:spacing w:before="0"/>
        <w:ind w:left="686" w:right="116" w:firstLine="0"/>
        <w:jc w:val="left"/>
        <w:rPr>
          <w:sz w:val="24"/>
        </w:rPr>
      </w:pPr>
      <w:r>
        <w:rPr>
          <w:b/>
          <w:sz w:val="24"/>
        </w:rPr>
        <w:t>STATE PUBLIC WORKS BOARD</w:t>
      </w:r>
      <w:r>
        <w:rPr>
          <w:b/>
          <w:spacing w:val="-8"/>
          <w:sz w:val="24"/>
        </w:rPr>
        <w:t> </w:t>
      </w:r>
      <w:r>
        <w:rPr>
          <w:b/>
          <w:sz w:val="24"/>
        </w:rPr>
        <w:t>(PWB)</w:t>
      </w:r>
      <w:r>
        <w:rPr>
          <w:b/>
          <w:spacing w:val="-4"/>
          <w:sz w:val="24"/>
        </w:rPr>
        <w:t> </w:t>
      </w:r>
      <w:r>
        <w:rPr>
          <w:b/>
          <w:sz w:val="24"/>
        </w:rPr>
        <w:t>OVERVIEW</w:t>
        <w:tab/>
        <w:t>6842</w:t>
      </w:r>
      <w:r>
        <w:rPr>
          <w:b/>
          <w:spacing w:val="-2"/>
          <w:sz w:val="24"/>
        </w:rPr>
        <w:t> </w:t>
      </w:r>
      <w:r>
        <w:rPr>
          <w:sz w:val="24"/>
        </w:rPr>
        <w:t>(Cont.</w:t>
      </w:r>
      <w:r>
        <w:rPr>
          <w:spacing w:val="-5"/>
          <w:sz w:val="24"/>
        </w:rPr>
        <w:t> </w:t>
      </w:r>
      <w:r>
        <w:rPr>
          <w:sz w:val="24"/>
        </w:rPr>
        <w:t>1)</w:t>
      </w:r>
      <w:r>
        <w:rPr>
          <w:w w:val="99"/>
          <w:sz w:val="24"/>
        </w:rPr>
        <w:t> </w:t>
      </w:r>
      <w:r>
        <w:rPr>
          <w:sz w:val="24"/>
        </w:rPr>
        <w:t>(New</w:t>
      </w:r>
      <w:r>
        <w:rPr>
          <w:spacing w:val="-6"/>
          <w:sz w:val="24"/>
        </w:rPr>
        <w:t> </w:t>
      </w:r>
      <w:r>
        <w:rPr>
          <w:sz w:val="24"/>
        </w:rPr>
        <w:t>5/1998)</w:t>
      </w:r>
    </w:p>
    <w:p>
      <w:pPr>
        <w:pStyle w:val="BodyText"/>
      </w:pPr>
    </w:p>
    <w:p>
      <w:pPr>
        <w:pStyle w:val="BodyText"/>
        <w:ind w:left="686" w:right="249"/>
      </w:pPr>
      <w:r>
        <w:rPr/>
        <w:t>In addition, PWB has the following advisory members: The Director of the Employment Development Department when PWB is engaged in contingency planning for emergency public works per Government Code Section 15799.2; and non-voting legislative advisors (three Senators appointed by the Senate Rules Committee and three Assembly members appointed by the Speaker).</w:t>
      </w:r>
    </w:p>
    <w:p>
      <w:pPr>
        <w:pStyle w:val="BodyText"/>
        <w:spacing w:before="120"/>
        <w:ind w:left="686" w:right="317"/>
        <w:jc w:val="both"/>
      </w:pPr>
      <w:r>
        <w:rPr>
          <w:b/>
        </w:rPr>
        <w:t>PWB staff</w:t>
      </w:r>
      <w:r>
        <w:rPr/>
        <w:t>: The DOF Capital Outlay unit administers the functions of PWB and provides whatever assistance the board may require. DGS provides staff support for real property acquisitions and sales, and for energy assessment programs.</w:t>
      </w:r>
    </w:p>
    <w:p>
      <w:pPr>
        <w:pStyle w:val="BodyText"/>
        <w:spacing w:before="120"/>
        <w:ind w:left="686"/>
      </w:pPr>
      <w:r>
        <w:rPr>
          <w:b/>
        </w:rPr>
        <w:t>Meetings</w:t>
      </w:r>
      <w:r>
        <w:rPr/>
        <w:t>:  The PWB process, including monthly meetings, is described in Section 6844.</w:t>
      </w:r>
    </w:p>
    <w:p>
      <w:pPr>
        <w:pStyle w:val="BodyText"/>
        <w:spacing w:before="9"/>
        <w:rPr>
          <w:sz w:val="20"/>
        </w:rPr>
      </w:pPr>
    </w:p>
    <w:p>
      <w:pPr>
        <w:pStyle w:val="BodyText"/>
        <w:spacing w:before="1"/>
        <w:ind w:left="686" w:right="102"/>
      </w:pPr>
      <w:r>
        <w:rPr>
          <w:b/>
        </w:rPr>
        <w:t>Certifications/notifications to the Legislature that the project is within scope and cost</w:t>
      </w:r>
      <w:r>
        <w:rPr/>
        <w:t>:  Prior to board action on any capital outlay appropriation, DOF certifies in writing to the Chairperson of the JLBC, the chairpersons of the respective fiscal committees, and the legislative members of PWB whether the requested action is in accordance with scope and cost as approved by the Legislature.  If DOF approves changes to the legislatively approved scope or cost, or both, it must detail the changes and associated cost implications. Such reports also include all proposed or potential augmentations, as well as anticipated recognized deficits in excess of ten percent of the amount appropriated for the capital outlay projects. See additional procedures for certifications/notifications in Sections 6844, 6861, and 6863 of this chapter.</w:t>
      </w:r>
    </w:p>
    <w:p>
      <w:pPr>
        <w:pStyle w:val="BodyText"/>
        <w:spacing w:before="10"/>
        <w:rPr>
          <w:sz w:val="20"/>
        </w:rPr>
      </w:pPr>
    </w:p>
    <w:p>
      <w:pPr>
        <w:pStyle w:val="BodyText"/>
        <w:ind w:left="686" w:right="208"/>
      </w:pPr>
      <w:r>
        <w:rPr>
          <w:b/>
        </w:rPr>
        <w:t>Approval of preliminary plans</w:t>
      </w:r>
      <w:r>
        <w:rPr/>
        <w:t>: Per Government Code Section </w:t>
      </w:r>
      <w:hyperlink r:id="rId171">
        <w:r>
          <w:rPr>
            <w:color w:val="0000FF"/>
            <w:u w:val="single" w:color="0000FF"/>
          </w:rPr>
          <w:t>13332.11</w:t>
        </w:r>
      </w:hyperlink>
      <w:r>
        <w:rPr/>
        <w:t>, funds appropriated for capital outlay may not be expended by any state department until DOF and PWB have approved preliminary plans for the project. PWB’s approval of preliminary plans ensures that a project proceeding into the working drawing and construction phases is consistent with legislatively approved cost and scope. This requirement does not apply to the Department of Transportation, to higher education segments’ non-state funded capital outlay, to the California Exposition and State Fair, or to any project specifically exempted from Section </w:t>
      </w:r>
      <w:hyperlink r:id="rId171">
        <w:r>
          <w:rPr>
            <w:color w:val="0000FF"/>
            <w:u w:val="single" w:color="0000FF"/>
          </w:rPr>
          <w:t>13332.11</w:t>
        </w:r>
      </w:hyperlink>
      <w:r>
        <w:rPr/>
        <w:t>.  In addition, this provision does not apply to acquisitions, equipment, minor projects, or amounts appropriated specifically for preliminary surveys, studies, or program planning. Finally, PWB processes in general do not apply to the State Water Project.</w:t>
      </w:r>
    </w:p>
    <w:p>
      <w:pPr>
        <w:pStyle w:val="BodyText"/>
        <w:spacing w:before="196"/>
        <w:ind w:left="686"/>
      </w:pPr>
      <w:r>
        <w:rPr/>
        <w:t>(Continued)</w:t>
      </w:r>
    </w:p>
    <w:p>
      <w:pPr>
        <w:spacing w:after="0"/>
        <w:sectPr>
          <w:pgSz w:w="12240" w:h="15840"/>
          <w:pgMar w:header="724" w:footer="1079" w:top="980" w:bottom="1260" w:left="480" w:right="1320"/>
        </w:sectPr>
      </w:pPr>
    </w:p>
    <w:p>
      <w:pPr>
        <w:pStyle w:val="BodyText"/>
        <w:rPr>
          <w:sz w:val="20"/>
        </w:rPr>
      </w:pPr>
    </w:p>
    <w:p>
      <w:pPr>
        <w:pStyle w:val="BodyText"/>
        <w:spacing w:before="214"/>
        <w:ind w:left="686"/>
      </w:pPr>
      <w:r>
        <w:rPr/>
        <w:t>(Continued)</w:t>
      </w:r>
    </w:p>
    <w:p>
      <w:pPr>
        <w:tabs>
          <w:tab w:pos="8783" w:val="left" w:leader="none"/>
        </w:tabs>
        <w:spacing w:before="0"/>
        <w:ind w:left="686" w:right="116" w:firstLine="0"/>
        <w:jc w:val="left"/>
        <w:rPr>
          <w:sz w:val="24"/>
        </w:rPr>
      </w:pPr>
      <w:r>
        <w:rPr>
          <w:b/>
          <w:sz w:val="24"/>
        </w:rPr>
        <w:t>STATE PUBLIC WORKS BOARD</w:t>
      </w:r>
      <w:r>
        <w:rPr>
          <w:b/>
          <w:spacing w:val="-8"/>
          <w:sz w:val="24"/>
        </w:rPr>
        <w:t> </w:t>
      </w:r>
      <w:r>
        <w:rPr>
          <w:b/>
          <w:sz w:val="24"/>
        </w:rPr>
        <w:t>(PWB)</w:t>
      </w:r>
      <w:r>
        <w:rPr>
          <w:b/>
          <w:spacing w:val="-4"/>
          <w:sz w:val="24"/>
        </w:rPr>
        <w:t> </w:t>
      </w:r>
      <w:r>
        <w:rPr>
          <w:b/>
          <w:sz w:val="24"/>
        </w:rPr>
        <w:t>OVERVIEW</w:t>
        <w:tab/>
        <w:t>6842</w:t>
      </w:r>
      <w:r>
        <w:rPr>
          <w:b/>
          <w:spacing w:val="-2"/>
          <w:sz w:val="24"/>
        </w:rPr>
        <w:t> </w:t>
      </w:r>
      <w:r>
        <w:rPr>
          <w:sz w:val="24"/>
        </w:rPr>
        <w:t>(Cont.</w:t>
      </w:r>
      <w:r>
        <w:rPr>
          <w:spacing w:val="-5"/>
          <w:sz w:val="24"/>
        </w:rPr>
        <w:t> </w:t>
      </w:r>
      <w:r>
        <w:rPr>
          <w:sz w:val="24"/>
        </w:rPr>
        <w:t>2)</w:t>
      </w:r>
      <w:r>
        <w:rPr>
          <w:w w:val="99"/>
          <w:sz w:val="24"/>
        </w:rPr>
        <w:t> </w:t>
      </w:r>
      <w:r>
        <w:rPr>
          <w:sz w:val="24"/>
        </w:rPr>
        <w:t>(New</w:t>
      </w:r>
      <w:r>
        <w:rPr>
          <w:spacing w:val="-6"/>
          <w:sz w:val="24"/>
        </w:rPr>
        <w:t> </w:t>
      </w:r>
      <w:r>
        <w:rPr>
          <w:sz w:val="24"/>
        </w:rPr>
        <w:t>5/1998)</w:t>
      </w:r>
    </w:p>
    <w:p>
      <w:pPr>
        <w:pStyle w:val="BodyText"/>
        <w:spacing w:before="5"/>
        <w:rPr>
          <w:sz w:val="34"/>
        </w:rPr>
      </w:pPr>
    </w:p>
    <w:p>
      <w:pPr>
        <w:pStyle w:val="BodyText"/>
        <w:ind w:left="686" w:right="101"/>
      </w:pPr>
      <w:r>
        <w:rPr>
          <w:b/>
        </w:rPr>
        <w:t>Project augmentation: </w:t>
      </w:r>
      <w:r>
        <w:rPr/>
        <w:t>Sections </w:t>
      </w:r>
      <w:hyperlink r:id="rId172">
        <w:r>
          <w:rPr>
            <w:color w:val="0000FF"/>
            <w:u w:val="single" w:color="0000FF"/>
          </w:rPr>
          <w:t>16352</w:t>
        </w:r>
      </w:hyperlink>
      <w:r>
        <w:rPr/>
        <w:t>, </w:t>
      </w:r>
      <w:hyperlink r:id="rId173">
        <w:r>
          <w:rPr>
            <w:color w:val="0000FF"/>
            <w:u w:val="single" w:color="0000FF"/>
          </w:rPr>
          <w:t>16352.5</w:t>
        </w:r>
      </w:hyperlink>
      <w:r>
        <w:rPr/>
        <w:t>, </w:t>
      </w:r>
      <w:hyperlink r:id="rId174">
        <w:r>
          <w:rPr>
            <w:color w:val="0000FF"/>
            <w:u w:val="single" w:color="0000FF"/>
          </w:rPr>
          <w:t>16354</w:t>
        </w:r>
      </w:hyperlink>
      <w:r>
        <w:rPr/>
        <w:t>, and </w:t>
      </w:r>
      <w:hyperlink r:id="rId175">
        <w:r>
          <w:rPr>
            <w:color w:val="0000FF"/>
            <w:u w:val="single" w:color="0000FF"/>
          </w:rPr>
          <w:t>16409 </w:t>
        </w:r>
      </w:hyperlink>
      <w:r>
        <w:rPr/>
        <w:t>of the Government Code make appropriations and authorize PWB to approve allocations of additional funds to augment construction and acquisition appropriations when projects cannot be undertaken because the cost exceeds the funds available for the projects.</w:t>
      </w:r>
    </w:p>
    <w:p>
      <w:pPr>
        <w:pStyle w:val="BodyText"/>
        <w:spacing w:before="120"/>
        <w:ind w:left="686" w:right="836"/>
      </w:pPr>
      <w:r>
        <w:rPr/>
        <w:t>PWB’s authority to augment projects is limited to the following by Government Code Section </w:t>
      </w:r>
      <w:hyperlink r:id="rId171">
        <w:r>
          <w:rPr>
            <w:color w:val="0000FF"/>
            <w:u w:val="single" w:color="0000FF"/>
          </w:rPr>
          <w:t>13332.11</w:t>
        </w:r>
      </w:hyperlink>
      <w:r>
        <w:rPr/>
        <w:t>:</w:t>
      </w:r>
    </w:p>
    <w:p>
      <w:pPr>
        <w:pStyle w:val="BodyText"/>
        <w:spacing w:before="120"/>
        <w:ind w:left="1046"/>
      </w:pPr>
      <w:r>
        <w:rPr>
          <w:strike/>
          <w:color w:val="2E97D3"/>
        </w:rPr>
        <w:t>1.</w:t>
      </w:r>
      <w:r>
        <w:rPr>
          <w:strike w:val="0"/>
          <w:color w:val="2E97D3"/>
          <w:u w:val="single" w:color="2E97D3"/>
        </w:rPr>
        <w:t>a................................................................................................................................ </w:t>
      </w:r>
      <w:r>
        <w:rPr>
          <w:strike w:val="0"/>
        </w:rPr>
        <w:t>P</w:t>
      </w:r>
    </w:p>
    <w:p>
      <w:pPr>
        <w:pStyle w:val="BodyText"/>
        <w:ind w:left="1406" w:right="195"/>
      </w:pPr>
      <w:r>
        <w:rPr/>
        <w:t>WB must defer any augmentation in excess of 20 percent of the amount appropriated for a capital outlay project until the Legislature makes additional funds available for the specific project;</w:t>
      </w:r>
    </w:p>
    <w:p>
      <w:pPr>
        <w:pStyle w:val="BodyText"/>
        <w:spacing w:before="197"/>
        <w:ind w:left="1046"/>
      </w:pPr>
      <w:r>
        <w:rPr>
          <w:strike/>
          <w:color w:val="2E97D3"/>
        </w:rPr>
        <w:t>2.</w:t>
      </w:r>
      <w:r>
        <w:rPr>
          <w:strike w:val="0"/>
          <w:color w:val="2E97D3"/>
          <w:u w:val="single" w:color="2E97D3"/>
        </w:rPr>
        <w:t>b................................................................................................................................ </w:t>
      </w:r>
      <w:r>
        <w:rPr>
          <w:strike w:val="0"/>
        </w:rPr>
        <w:t>A</w:t>
      </w:r>
    </w:p>
    <w:p>
      <w:pPr>
        <w:pStyle w:val="BodyText"/>
        <w:ind w:left="1406" w:right="356"/>
      </w:pPr>
      <w:r>
        <w:rPr/>
        <w:t>ugmentations in excess of 10 percent (but no greater than 20 percent) of the amount appropriated for each capital outlay project must be reported to the Chairperson of the JLBC, or his or her designees, 20 days prior to PWB approval.</w:t>
      </w:r>
    </w:p>
    <w:p>
      <w:pPr>
        <w:pStyle w:val="BodyText"/>
        <w:spacing w:before="196"/>
        <w:ind w:left="1046"/>
      </w:pPr>
      <w:r>
        <w:rPr>
          <w:strike/>
          <w:color w:val="2E97D3"/>
        </w:rPr>
        <w:t>3.</w:t>
      </w:r>
      <w:r>
        <w:rPr>
          <w:strike w:val="0"/>
          <w:color w:val="2E97D3"/>
          <w:u w:val="single" w:color="2E97D3"/>
        </w:rPr>
        <w:t>c.</w:t>
      </w:r>
      <w:r>
        <w:rPr>
          <w:strike w:val="0"/>
          <w:color w:val="2E97D3"/>
          <w:spacing w:val="-52"/>
          <w:u w:val="single" w:color="2E97D3"/>
        </w:rPr>
        <w:t> </w:t>
      </w:r>
      <w:r>
        <w:rPr>
          <w:strike w:val="0"/>
          <w:color w:val="2E97D3"/>
          <w:u w:val="single" w:color="2E97D3"/>
        </w:rPr>
        <w:t>............................................................................................................................... </w:t>
      </w:r>
      <w:r>
        <w:rPr>
          <w:strike w:val="0"/>
        </w:rPr>
        <w:t>P</w:t>
      </w:r>
    </w:p>
    <w:p>
      <w:pPr>
        <w:pStyle w:val="BodyText"/>
        <w:ind w:left="1406" w:right="169"/>
      </w:pPr>
      <w:r>
        <w:rPr/>
        <w:t>WB must defer approval of preliminary plans or any portion of an acquisition project if the estimated cost of the total project exceeds 20 percent of the amount appropriated, unless in the case of an acquisition project the board determines that a lesser portion of the property is sufficient to meet the objectives of the project approved by the Legislature.</w:t>
      </w:r>
    </w:p>
    <w:p>
      <w:pPr>
        <w:pStyle w:val="BodyText"/>
        <w:spacing w:before="200"/>
        <w:ind w:left="686" w:right="275"/>
      </w:pPr>
      <w:r>
        <w:rPr/>
        <w:t>By resolution, PWB has authorized the Director of Finance to augment projects within the following limits:</w:t>
      </w:r>
    </w:p>
    <w:p>
      <w:pPr>
        <w:pStyle w:val="BodyText"/>
        <w:tabs>
          <w:tab w:pos="10315" w:val="right" w:leader="dot"/>
        </w:tabs>
        <w:spacing w:before="120"/>
        <w:ind w:left="1046"/>
      </w:pPr>
      <w:r>
        <w:rPr>
          <w:strike/>
          <w:color w:val="2E97D3"/>
        </w:rPr>
        <w:t>1.</w:t>
      </w:r>
      <w:r>
        <w:rPr>
          <w:strike w:val="0"/>
          <w:color w:val="2E97D3"/>
          <w:u w:val="single" w:color="2E97D3"/>
        </w:rPr>
        <w:t>a</w:t>
      </w:r>
      <w:r>
        <w:rPr>
          <w:strike w:val="0"/>
        </w:rPr>
        <w:tab/>
        <w:t>10</w:t>
      </w:r>
    </w:p>
    <w:p>
      <w:pPr>
        <w:pStyle w:val="BodyText"/>
        <w:ind w:left="1406" w:right="154"/>
      </w:pPr>
      <w:r>
        <w:rPr/>
        <w:t>percent of the total of the official estimate for that portion of the work, including related overhead and contingency expenses for such portion, or $50,000 whichever is the lesser; or</w:t>
      </w:r>
    </w:p>
    <w:p>
      <w:pPr>
        <w:pStyle w:val="BodyText"/>
        <w:spacing w:before="197"/>
        <w:ind w:left="1046"/>
      </w:pPr>
      <w:r>
        <w:rPr>
          <w:strike/>
          <w:color w:val="2E97D3"/>
        </w:rPr>
        <w:t>2.</w:t>
      </w:r>
      <w:r>
        <w:rPr>
          <w:strike w:val="0"/>
          <w:color w:val="2E97D3"/>
          <w:u w:val="single" w:color="2E97D3"/>
        </w:rPr>
        <w:t>b................................................................................................................................ </w:t>
      </w:r>
      <w:r>
        <w:rPr>
          <w:strike w:val="0"/>
        </w:rPr>
        <w:t>T</w:t>
      </w:r>
    </w:p>
    <w:p>
      <w:pPr>
        <w:pStyle w:val="BodyText"/>
        <w:spacing w:line="412" w:lineRule="auto" w:before="2"/>
        <w:ind w:left="1046" w:right="2690" w:firstLine="360"/>
      </w:pPr>
      <w:r>
        <w:rPr/>
        <w:t>he anticipated deficit previously recognized by the board; or </w:t>
      </w:r>
      <w:r>
        <w:rPr>
          <w:strike/>
          <w:color w:val="2E97D3"/>
        </w:rPr>
        <w:t>3</w:t>
      </w:r>
      <w:r>
        <w:rPr>
          <w:strike w:val="0"/>
          <w:color w:val="2E97D3"/>
          <w:u w:val="single" w:color="2E97D3"/>
        </w:rPr>
        <w:t>a.</w:t>
      </w:r>
      <w:r>
        <w:rPr>
          <w:strike w:val="0"/>
        </w:rPr>
        <w:t>$1,000 or less.</w:t>
      </w:r>
    </w:p>
    <w:p>
      <w:pPr>
        <w:pStyle w:val="BodyText"/>
        <w:spacing w:line="242" w:lineRule="auto" w:before="5"/>
        <w:ind w:left="1046" w:right="729" w:hanging="360"/>
      </w:pPr>
      <w:r>
        <w:rPr/>
        <w:t>See Section 6861 for further discussion of PWB practices in interpreting Government Code Section </w:t>
      </w:r>
      <w:hyperlink r:id="rId171">
        <w:r>
          <w:rPr>
            <w:color w:val="0000FF"/>
            <w:u w:val="single" w:color="0000FF"/>
          </w:rPr>
          <w:t>13332.11</w:t>
        </w:r>
      </w:hyperlink>
      <w:r>
        <w:rPr/>
        <w:t>.</w:t>
      </w:r>
    </w:p>
    <w:p>
      <w:pPr>
        <w:pStyle w:val="BodyText"/>
        <w:spacing w:before="193"/>
        <w:ind w:left="686"/>
      </w:pPr>
      <w:r>
        <w:rPr/>
        <w:t>(Continued)</w:t>
      </w:r>
    </w:p>
    <w:p>
      <w:pPr>
        <w:spacing w:after="0"/>
        <w:sectPr>
          <w:pgSz w:w="12240" w:h="15840"/>
          <w:pgMar w:header="724" w:footer="1079" w:top="980" w:bottom="1260" w:left="480" w:right="1320"/>
        </w:sectPr>
      </w:pPr>
    </w:p>
    <w:p>
      <w:pPr>
        <w:pStyle w:val="BodyText"/>
        <w:rPr>
          <w:sz w:val="20"/>
        </w:rPr>
      </w:pPr>
    </w:p>
    <w:p>
      <w:pPr>
        <w:pStyle w:val="BodyText"/>
        <w:spacing w:before="214"/>
        <w:ind w:left="686"/>
      </w:pPr>
      <w:r>
        <w:rPr/>
        <w:t>(Continued)</w:t>
      </w:r>
    </w:p>
    <w:p>
      <w:pPr>
        <w:tabs>
          <w:tab w:pos="8783" w:val="left" w:leader="none"/>
        </w:tabs>
        <w:spacing w:before="0"/>
        <w:ind w:left="686" w:right="117" w:firstLine="0"/>
        <w:jc w:val="left"/>
        <w:rPr>
          <w:sz w:val="24"/>
        </w:rPr>
      </w:pPr>
      <w:r>
        <w:rPr>
          <w:b/>
          <w:sz w:val="24"/>
        </w:rPr>
        <w:t>STATE PUBLIC WORKS BOARD</w:t>
      </w:r>
      <w:r>
        <w:rPr>
          <w:b/>
          <w:spacing w:val="-8"/>
          <w:sz w:val="24"/>
        </w:rPr>
        <w:t> </w:t>
      </w:r>
      <w:r>
        <w:rPr>
          <w:b/>
          <w:sz w:val="24"/>
        </w:rPr>
        <w:t>(PWB)</w:t>
      </w:r>
      <w:r>
        <w:rPr>
          <w:b/>
          <w:spacing w:val="-4"/>
          <w:sz w:val="24"/>
        </w:rPr>
        <w:t> </w:t>
      </w:r>
      <w:r>
        <w:rPr>
          <w:b/>
          <w:sz w:val="24"/>
        </w:rPr>
        <w:t>OVERVIEW</w:t>
        <w:tab/>
        <w:t>6842</w:t>
      </w:r>
      <w:r>
        <w:rPr>
          <w:b/>
          <w:spacing w:val="-2"/>
          <w:sz w:val="24"/>
        </w:rPr>
        <w:t> </w:t>
      </w:r>
      <w:r>
        <w:rPr>
          <w:sz w:val="24"/>
        </w:rPr>
        <w:t>(Cont.</w:t>
      </w:r>
      <w:r>
        <w:rPr>
          <w:spacing w:val="-5"/>
          <w:sz w:val="24"/>
        </w:rPr>
        <w:t> </w:t>
      </w:r>
      <w:r>
        <w:rPr>
          <w:sz w:val="24"/>
        </w:rPr>
        <w:t>3)</w:t>
      </w:r>
      <w:r>
        <w:rPr>
          <w:w w:val="99"/>
          <w:sz w:val="24"/>
        </w:rPr>
        <w:t> </w:t>
      </w:r>
      <w:r>
        <w:rPr>
          <w:sz w:val="24"/>
        </w:rPr>
        <w:t>(New</w:t>
      </w:r>
      <w:r>
        <w:rPr>
          <w:spacing w:val="-6"/>
          <w:sz w:val="24"/>
        </w:rPr>
        <w:t> </w:t>
      </w:r>
      <w:r>
        <w:rPr>
          <w:sz w:val="24"/>
        </w:rPr>
        <w:t>5/1998)</w:t>
      </w:r>
    </w:p>
    <w:p>
      <w:pPr>
        <w:pStyle w:val="BodyText"/>
      </w:pPr>
    </w:p>
    <w:p>
      <w:pPr>
        <w:pStyle w:val="BodyText"/>
        <w:ind w:left="686" w:right="281"/>
      </w:pPr>
      <w:r>
        <w:rPr>
          <w:b/>
        </w:rPr>
        <w:t>Property acquisition law</w:t>
      </w:r>
      <w:r>
        <w:rPr/>
        <w:t>: The Legislature enacted the property acquisition in 1944, which is now set forth in Government Code Sections </w:t>
      </w:r>
      <w:hyperlink r:id="rId283">
        <w:r>
          <w:rPr>
            <w:color w:val="0000FF"/>
            <w:u w:val="single" w:color="0000FF"/>
          </w:rPr>
          <w:t>15850–15866</w:t>
        </w:r>
      </w:hyperlink>
      <w:r>
        <w:rPr/>
        <w:t>. Principal provisions include:</w:t>
      </w:r>
    </w:p>
    <w:p>
      <w:pPr>
        <w:pStyle w:val="BodyText"/>
        <w:spacing w:before="120"/>
        <w:ind w:left="686"/>
      </w:pPr>
      <w:r>
        <w:rPr>
          <w:strike/>
          <w:color w:val="2E97D3"/>
        </w:rPr>
        <w:t>1.</w:t>
      </w:r>
      <w:r>
        <w:rPr>
          <w:strike w:val="0"/>
          <w:color w:val="2E97D3"/>
          <w:u w:val="single" w:color="2E97D3"/>
        </w:rPr>
        <w:t>4. .................................................................................................................................... </w:t>
      </w:r>
      <w:r>
        <w:rPr>
          <w:strike w:val="0"/>
        </w:rPr>
        <w:t>P</w:t>
      </w:r>
    </w:p>
    <w:p>
      <w:pPr>
        <w:pStyle w:val="BodyText"/>
        <w:ind w:left="1046" w:right="131"/>
      </w:pPr>
      <w:r>
        <w:rPr>
          <w:spacing w:val="3"/>
        </w:rPr>
        <w:t>WB </w:t>
      </w:r>
      <w:r>
        <w:rPr/>
        <w:t>selects and acquires real property for state departments when funds are appropriated by the Legislature, except for acquisitions for the following entities: Department of Water Resources; the State Reclamation Board; the Wildlife Conservation Board; the Department of Transportation; the Public Employees Retirement System; the Department of Fish and Game; the State Teachers’ Retirement System; the Department of Housing and Community Development; and the State Lands Commission.  In addition, PWB approval processes for real property transactions do not apply to projects for the University of California and the California State University which are not funded through state appropriations.  (Limited exemptions for the state conservancies have been authorized in</w:t>
      </w:r>
      <w:r>
        <w:rPr>
          <w:spacing w:val="-36"/>
        </w:rPr>
        <w:t> </w:t>
      </w:r>
      <w:r>
        <w:rPr/>
        <w:t>statute.)</w:t>
      </w:r>
    </w:p>
    <w:p>
      <w:pPr>
        <w:pStyle w:val="BodyText"/>
        <w:spacing w:before="196"/>
        <w:ind w:left="686"/>
      </w:pPr>
      <w:r>
        <w:rPr>
          <w:strike/>
          <w:color w:val="2E97D3"/>
        </w:rPr>
        <w:t>2.</w:t>
      </w:r>
      <w:r>
        <w:rPr>
          <w:strike w:val="0"/>
          <w:color w:val="2E97D3"/>
          <w:u w:val="single" w:color="2E97D3"/>
        </w:rPr>
        <w:t>5. .................................................................................................................................... </w:t>
      </w:r>
      <w:r>
        <w:rPr>
          <w:strike w:val="0"/>
        </w:rPr>
        <w:t>All</w:t>
      </w:r>
    </w:p>
    <w:p>
      <w:pPr>
        <w:pStyle w:val="BodyText"/>
        <w:ind w:left="1046" w:right="234"/>
      </w:pPr>
      <w:r>
        <w:rPr/>
        <w:t>proposed acquisitions are brought to PWB for site selection and acquisition by negotiation or, if unable to purchase by negotiation, by filing an eminent domain action (Government Code Section </w:t>
      </w:r>
      <w:hyperlink r:id="rId284">
        <w:r>
          <w:rPr>
            <w:color w:val="0000FF"/>
            <w:u w:val="single" w:color="0000FF"/>
          </w:rPr>
          <w:t>15853</w:t>
        </w:r>
      </w:hyperlink>
      <w:r>
        <w:rPr/>
        <w:t>). Sites for lands acquired on behalf of the State Park System are selected by the Director of Parks and Recreation (Section </w:t>
      </w:r>
      <w:hyperlink r:id="rId196">
        <w:r>
          <w:rPr>
            <w:color w:val="0000FF"/>
            <w:u w:val="single" w:color="0000FF"/>
          </w:rPr>
          <w:t>5006</w:t>
        </w:r>
      </w:hyperlink>
      <w:r>
        <w:rPr/>
        <w:t>, Public Resources Code).</w:t>
      </w:r>
    </w:p>
    <w:p>
      <w:pPr>
        <w:pStyle w:val="BodyText"/>
        <w:spacing w:before="197"/>
        <w:ind w:left="686"/>
      </w:pPr>
      <w:r>
        <w:rPr>
          <w:strike/>
          <w:color w:val="2E97D3"/>
        </w:rPr>
        <w:t>3.</w:t>
      </w:r>
      <w:r>
        <w:rPr>
          <w:strike w:val="0"/>
          <w:color w:val="2E97D3"/>
          <w:u w:val="single" w:color="2E97D3"/>
        </w:rPr>
        <w:t>6. .................................................................................................................................... </w:t>
      </w:r>
      <w:r>
        <w:rPr>
          <w:strike w:val="0"/>
        </w:rPr>
        <w:t>G</w:t>
      </w:r>
    </w:p>
    <w:p>
      <w:pPr>
        <w:pStyle w:val="BodyText"/>
        <w:ind w:left="1046" w:right="302"/>
      </w:pPr>
      <w:r>
        <w:rPr/>
        <w:t>overnment Code Section </w:t>
      </w:r>
      <w:hyperlink r:id="rId284">
        <w:r>
          <w:rPr>
            <w:color w:val="0000FF"/>
            <w:u w:val="single" w:color="0000FF"/>
          </w:rPr>
          <w:t>15853 </w:t>
        </w:r>
      </w:hyperlink>
      <w:r>
        <w:rPr/>
        <w:t>also requires PWB to make reports on the status and timing of park acquisitions to the Legislature.  The essential feature are:</w:t>
      </w:r>
    </w:p>
    <w:p>
      <w:pPr>
        <w:pStyle w:val="BodyText"/>
        <w:spacing w:before="120"/>
        <w:ind w:left="686"/>
      </w:pPr>
      <w:r>
        <w:rPr>
          <w:strike/>
          <w:color w:val="2E97D3"/>
        </w:rPr>
        <w:t>a.</w:t>
      </w:r>
      <w:r>
        <w:rPr>
          <w:strike w:val="0"/>
          <w:color w:val="2E97D3"/>
          <w:u w:val="single" w:color="2E97D3"/>
        </w:rPr>
        <w:t>1. .................................................................................................................................... </w:t>
      </w:r>
      <w:r>
        <w:rPr>
          <w:strike w:val="0"/>
        </w:rPr>
        <w:t>F</w:t>
      </w:r>
    </w:p>
    <w:p>
      <w:pPr>
        <w:pStyle w:val="BodyText"/>
        <w:ind w:left="1046" w:right="488"/>
      </w:pPr>
      <w:r>
        <w:rPr/>
        <w:t>or any park acquisition not completed through negotiations and/or condemnation, or abandoned by the </w:t>
      </w:r>
      <w:hyperlink r:id="rId285">
        <w:r>
          <w:rPr>
            <w:color w:val="0000FF"/>
            <w:u w:val="single" w:color="0000FF"/>
          </w:rPr>
          <w:t>Department of Parks and Recreation </w:t>
        </w:r>
      </w:hyperlink>
      <w:r>
        <w:rPr/>
        <w:t>within six months of commencement of purchase negotiations, notice is given to appropriate fiscal committees and legislative members whose districts are affected; and</w:t>
      </w:r>
    </w:p>
    <w:p>
      <w:pPr>
        <w:pStyle w:val="BodyText"/>
        <w:spacing w:before="120"/>
        <w:ind w:left="686"/>
      </w:pPr>
      <w:r>
        <w:rPr>
          <w:strike/>
          <w:color w:val="2E97D3"/>
        </w:rPr>
        <w:t>b.</w:t>
      </w:r>
      <w:r>
        <w:rPr>
          <w:strike w:val="0"/>
          <w:color w:val="2E97D3"/>
          <w:u w:val="single" w:color="2E97D3"/>
        </w:rPr>
        <w:t>2. .................................................................................................................................... </w:t>
      </w:r>
      <w:r>
        <w:rPr>
          <w:strike w:val="0"/>
        </w:rPr>
        <w:t>Si</w:t>
      </w:r>
    </w:p>
    <w:p>
      <w:pPr>
        <w:pStyle w:val="BodyText"/>
        <w:ind w:left="1046"/>
      </w:pPr>
      <w:r>
        <w:rPr/>
        <w:t>x months after the notice set forth in the preceding text, the same legislators are given the status of the projects, if parcels have been abandoned or not acquired. DGS prepares this report for PWB.</w:t>
      </w:r>
    </w:p>
    <w:p>
      <w:pPr>
        <w:pStyle w:val="BodyText"/>
        <w:spacing w:before="120"/>
        <w:ind w:left="686"/>
      </w:pPr>
      <w:r>
        <w:rPr>
          <w:strike/>
          <w:color w:val="2E97D3"/>
        </w:rPr>
        <w:t>4.</w:t>
      </w:r>
      <w:r>
        <w:rPr>
          <w:strike w:val="0"/>
          <w:color w:val="2E97D3"/>
          <w:u w:val="single" w:color="2E97D3"/>
        </w:rPr>
        <w:t>7. .................................................................................................................................... </w:t>
      </w:r>
      <w:r>
        <w:rPr>
          <w:strike w:val="0"/>
        </w:rPr>
        <w:t>P</w:t>
      </w:r>
    </w:p>
    <w:p>
      <w:pPr>
        <w:pStyle w:val="BodyText"/>
        <w:ind w:left="1046"/>
      </w:pPr>
      <w:r>
        <w:rPr/>
        <w:t>WB may acquire any interest in real property it deems advisable.</w:t>
      </w:r>
    </w:p>
    <w:p>
      <w:pPr>
        <w:pStyle w:val="BodyText"/>
        <w:spacing w:before="10"/>
        <w:rPr>
          <w:sz w:val="20"/>
        </w:rPr>
      </w:pPr>
    </w:p>
    <w:p>
      <w:pPr>
        <w:pStyle w:val="BodyText"/>
        <w:ind w:left="686"/>
      </w:pPr>
      <w:r>
        <w:rPr>
          <w:strike/>
          <w:color w:val="2E97D3"/>
        </w:rPr>
        <w:t>5.</w:t>
      </w:r>
      <w:r>
        <w:rPr>
          <w:strike w:val="0"/>
          <w:color w:val="2E97D3"/>
          <w:u w:val="single" w:color="2E97D3"/>
        </w:rPr>
        <w:t>8. .................................................................................................................................... </w:t>
      </w:r>
      <w:r>
        <w:rPr>
          <w:strike w:val="0"/>
        </w:rPr>
        <w:t>P</w:t>
      </w:r>
    </w:p>
    <w:p>
      <w:pPr>
        <w:pStyle w:val="BodyText"/>
        <w:ind w:left="1046" w:right="382"/>
      </w:pPr>
      <w:r>
        <w:rPr/>
        <w:t>WB may purchase furnishings contained with any acquired improvement if the owner agrees to sell.</w:t>
      </w:r>
    </w:p>
    <w:p>
      <w:pPr>
        <w:pStyle w:val="BodyText"/>
        <w:spacing w:before="10"/>
        <w:rPr>
          <w:sz w:val="20"/>
        </w:rPr>
      </w:pPr>
    </w:p>
    <w:p>
      <w:pPr>
        <w:pStyle w:val="BodyText"/>
        <w:ind w:left="686"/>
      </w:pPr>
      <w:r>
        <w:rPr/>
        <w:t>(Continued)</w:t>
      </w:r>
    </w:p>
    <w:p>
      <w:pPr>
        <w:spacing w:after="0"/>
        <w:sectPr>
          <w:pgSz w:w="12240" w:h="15840"/>
          <w:pgMar w:header="724" w:footer="1079" w:top="980" w:bottom="1260" w:left="480" w:right="1320"/>
        </w:sectPr>
      </w:pPr>
    </w:p>
    <w:p>
      <w:pPr>
        <w:pStyle w:val="BodyText"/>
        <w:spacing w:before="4"/>
        <w:rPr>
          <w:rFonts w:ascii="Times New Roman"/>
          <w:sz w:val="17"/>
        </w:rPr>
      </w:pPr>
    </w:p>
    <w:p>
      <w:pPr>
        <w:spacing w:after="0"/>
        <w:rPr>
          <w:rFonts w:ascii="Times New Roman"/>
          <w:sz w:val="17"/>
        </w:rPr>
        <w:sectPr>
          <w:pgSz w:w="12240" w:h="15840"/>
          <w:pgMar w:header="724" w:footer="1079" w:top="980" w:bottom="1260" w:left="480" w:right="1720"/>
        </w:sectPr>
      </w:pPr>
    </w:p>
    <w:p>
      <w:pPr>
        <w:pStyle w:val="BodyText"/>
        <w:rPr>
          <w:rFonts w:ascii="Times New Roman"/>
          <w:sz w:val="20"/>
        </w:rPr>
      </w:pPr>
    </w:p>
    <w:p>
      <w:pPr>
        <w:pStyle w:val="BodyText"/>
        <w:spacing w:before="214"/>
        <w:ind w:left="686"/>
      </w:pPr>
      <w:r>
        <w:rPr/>
        <w:t>(Continued)</w:t>
      </w:r>
    </w:p>
    <w:p>
      <w:pPr>
        <w:tabs>
          <w:tab w:pos="8783" w:val="left" w:leader="none"/>
        </w:tabs>
        <w:spacing w:before="0"/>
        <w:ind w:left="686" w:right="117" w:firstLine="0"/>
        <w:jc w:val="left"/>
        <w:rPr>
          <w:sz w:val="24"/>
        </w:rPr>
      </w:pPr>
      <w:r>
        <w:rPr>
          <w:b/>
          <w:sz w:val="24"/>
        </w:rPr>
        <w:t>STATE PUBLIC WORKS BOARD</w:t>
      </w:r>
      <w:r>
        <w:rPr>
          <w:b/>
          <w:spacing w:val="-8"/>
          <w:sz w:val="24"/>
        </w:rPr>
        <w:t> </w:t>
      </w:r>
      <w:r>
        <w:rPr>
          <w:b/>
          <w:sz w:val="24"/>
        </w:rPr>
        <w:t>(PWB)</w:t>
      </w:r>
      <w:r>
        <w:rPr>
          <w:b/>
          <w:spacing w:val="-4"/>
          <w:sz w:val="24"/>
        </w:rPr>
        <w:t> </w:t>
      </w:r>
      <w:r>
        <w:rPr>
          <w:b/>
          <w:sz w:val="24"/>
        </w:rPr>
        <w:t>OVERVIEW</w:t>
        <w:tab/>
        <w:t>6842</w:t>
      </w:r>
      <w:r>
        <w:rPr>
          <w:b/>
          <w:spacing w:val="-2"/>
          <w:sz w:val="24"/>
        </w:rPr>
        <w:t> </w:t>
      </w:r>
      <w:r>
        <w:rPr>
          <w:sz w:val="24"/>
        </w:rPr>
        <w:t>(Cont.</w:t>
      </w:r>
      <w:r>
        <w:rPr>
          <w:spacing w:val="-5"/>
          <w:sz w:val="24"/>
        </w:rPr>
        <w:t> </w:t>
      </w:r>
      <w:r>
        <w:rPr>
          <w:sz w:val="24"/>
        </w:rPr>
        <w:t>4)</w:t>
      </w:r>
      <w:r>
        <w:rPr>
          <w:w w:val="99"/>
          <w:sz w:val="24"/>
        </w:rPr>
        <w:t> </w:t>
      </w:r>
      <w:r>
        <w:rPr>
          <w:sz w:val="24"/>
        </w:rPr>
        <w:t>(New</w:t>
      </w:r>
      <w:r>
        <w:rPr>
          <w:spacing w:val="-6"/>
          <w:sz w:val="24"/>
        </w:rPr>
        <w:t> </w:t>
      </w:r>
      <w:r>
        <w:rPr>
          <w:sz w:val="24"/>
        </w:rPr>
        <w:t>5/1998)</w:t>
      </w:r>
    </w:p>
    <w:p>
      <w:pPr>
        <w:pStyle w:val="BodyText"/>
        <w:rPr>
          <w:sz w:val="26"/>
        </w:rPr>
      </w:pPr>
    </w:p>
    <w:p>
      <w:pPr>
        <w:pStyle w:val="BodyText"/>
        <w:spacing w:before="217"/>
        <w:ind w:left="686"/>
      </w:pPr>
      <w:r>
        <w:rPr>
          <w:strike/>
          <w:color w:val="2E97D3"/>
        </w:rPr>
        <w:t>6.</w:t>
      </w:r>
      <w:r>
        <w:rPr>
          <w:strike w:val="0"/>
          <w:color w:val="2E97D3"/>
          <w:u w:val="single" w:color="2E97D3"/>
        </w:rPr>
        <w:t>9. .................................................................................................................................... </w:t>
      </w:r>
      <w:r>
        <w:rPr>
          <w:strike w:val="0"/>
        </w:rPr>
        <w:t>P</w:t>
      </w:r>
    </w:p>
    <w:p>
      <w:pPr>
        <w:pStyle w:val="BodyText"/>
        <w:ind w:left="1046" w:right="435"/>
      </w:pPr>
      <w:r>
        <w:rPr/>
        <w:t>WB has eminent domain (condemnation) authority as described in Section 6866. Pursuant to Government Code Section </w:t>
      </w:r>
      <w:hyperlink r:id="rId181">
        <w:r>
          <w:rPr>
            <w:color w:val="0000FF"/>
            <w:u w:val="single" w:color="0000FF"/>
          </w:rPr>
          <w:t>15855 </w:t>
        </w:r>
      </w:hyperlink>
      <w:r>
        <w:rPr/>
        <w:t>(b), the board is the only state agency that may exercise this authority, with the exception of the following entities:</w:t>
      </w:r>
    </w:p>
    <w:p>
      <w:pPr>
        <w:pStyle w:val="BodyText"/>
        <w:spacing w:before="10"/>
        <w:rPr>
          <w:sz w:val="20"/>
        </w:rPr>
      </w:pPr>
    </w:p>
    <w:p>
      <w:pPr>
        <w:pStyle w:val="BodyText"/>
        <w:ind w:left="686"/>
      </w:pPr>
      <w:r>
        <w:rPr>
          <w:strike/>
          <w:color w:val="2E97D3"/>
        </w:rPr>
        <w:t>a.</w:t>
      </w:r>
      <w:r>
        <w:rPr>
          <w:strike w:val="0"/>
          <w:color w:val="2E97D3"/>
          <w:u w:val="single" w:color="2E97D3"/>
        </w:rPr>
        <w:t>1. .................................................................................................................................... </w:t>
      </w:r>
      <w:r>
        <w:rPr>
          <w:strike w:val="0"/>
        </w:rPr>
        <w:t>T</w:t>
      </w:r>
    </w:p>
    <w:p>
      <w:pPr>
        <w:pStyle w:val="BodyText"/>
        <w:ind w:left="1046"/>
      </w:pPr>
      <w:r>
        <w:rPr/>
        <w:t>he </w:t>
      </w:r>
      <w:hyperlink r:id="rId286">
        <w:r>
          <w:rPr>
            <w:color w:val="0000FF"/>
            <w:u w:val="single" w:color="0000FF"/>
          </w:rPr>
          <w:t>Department of Transportation</w:t>
        </w:r>
      </w:hyperlink>
      <w:r>
        <w:rPr/>
        <w:t>,</w:t>
      </w:r>
    </w:p>
    <w:p>
      <w:pPr>
        <w:pStyle w:val="BodyText"/>
        <w:spacing w:before="120"/>
        <w:ind w:left="686"/>
      </w:pPr>
      <w:r>
        <w:rPr>
          <w:strike/>
          <w:color w:val="2E97D3"/>
        </w:rPr>
        <w:t>b.</w:t>
      </w:r>
      <w:r>
        <w:rPr>
          <w:strike w:val="0"/>
          <w:color w:val="2E97D3"/>
          <w:u w:val="single" w:color="2E97D3"/>
        </w:rPr>
        <w:t>2. .................................................................................................................................... </w:t>
      </w:r>
      <w:r>
        <w:rPr>
          <w:strike w:val="0"/>
        </w:rPr>
        <w:t>T</w:t>
      </w:r>
    </w:p>
    <w:p>
      <w:pPr>
        <w:pStyle w:val="BodyText"/>
        <w:ind w:left="1046"/>
      </w:pPr>
      <w:r>
        <w:rPr/>
        <w:t>he </w:t>
      </w:r>
      <w:hyperlink r:id="rId287">
        <w:r>
          <w:rPr>
            <w:color w:val="0000FF"/>
            <w:u w:val="single" w:color="0000FF"/>
          </w:rPr>
          <w:t>Department of Water Resources</w:t>
        </w:r>
      </w:hyperlink>
      <w:r>
        <w:rPr/>
        <w:t>,</w:t>
      </w:r>
    </w:p>
    <w:p>
      <w:pPr>
        <w:pStyle w:val="BodyText"/>
        <w:spacing w:before="120"/>
        <w:ind w:left="686"/>
      </w:pPr>
      <w:r>
        <w:rPr>
          <w:strike/>
          <w:color w:val="2E97D3"/>
        </w:rPr>
        <w:t>c.</w:t>
      </w:r>
      <w:r>
        <w:rPr>
          <w:strike w:val="0"/>
          <w:color w:val="2E97D3"/>
          <w:u w:val="single" w:color="2E97D3"/>
        </w:rPr>
        <w:t>3. .................................................................................................................................... </w:t>
      </w:r>
      <w:r>
        <w:rPr>
          <w:strike w:val="0"/>
        </w:rPr>
        <w:t>T</w:t>
      </w:r>
    </w:p>
    <w:p>
      <w:pPr>
        <w:pStyle w:val="BodyText"/>
        <w:ind w:left="1046"/>
      </w:pPr>
      <w:r>
        <w:rPr/>
        <w:t>he </w:t>
      </w:r>
      <w:hyperlink r:id="rId288">
        <w:r>
          <w:rPr>
            <w:color w:val="0000FF"/>
            <w:u w:val="single" w:color="0000FF"/>
          </w:rPr>
          <w:t>State Lands Commission</w:t>
        </w:r>
      </w:hyperlink>
      <w:r>
        <w:rPr/>
        <w:t>,</w:t>
      </w:r>
    </w:p>
    <w:p>
      <w:pPr>
        <w:pStyle w:val="BodyText"/>
        <w:spacing w:before="120"/>
        <w:ind w:left="686"/>
      </w:pPr>
      <w:r>
        <w:rPr>
          <w:strike/>
          <w:color w:val="2E97D3"/>
        </w:rPr>
        <w:t>d.</w:t>
      </w:r>
      <w:r>
        <w:rPr>
          <w:strike w:val="0"/>
          <w:color w:val="2E97D3"/>
          <w:u w:val="single" w:color="2E97D3"/>
        </w:rPr>
        <w:t>4. .................................................................................................................................... </w:t>
      </w:r>
      <w:r>
        <w:rPr>
          <w:strike w:val="0"/>
        </w:rPr>
        <w:t>T</w:t>
      </w:r>
    </w:p>
    <w:p>
      <w:pPr>
        <w:pStyle w:val="BodyText"/>
        <w:ind w:left="1046"/>
      </w:pPr>
      <w:r>
        <w:rPr/>
        <w:t>he State Reclamation Board,</w:t>
      </w:r>
    </w:p>
    <w:p>
      <w:pPr>
        <w:pStyle w:val="BodyText"/>
        <w:spacing w:before="120"/>
        <w:ind w:left="686"/>
      </w:pPr>
      <w:r>
        <w:rPr>
          <w:strike/>
          <w:color w:val="2E97D3"/>
        </w:rPr>
        <w:t>e.</w:t>
      </w:r>
      <w:r>
        <w:rPr>
          <w:strike w:val="0"/>
          <w:color w:val="2E97D3"/>
          <w:u w:val="single" w:color="2E97D3"/>
        </w:rPr>
        <w:t>5. .................................................................................................................................... </w:t>
      </w:r>
      <w:r>
        <w:rPr>
          <w:strike w:val="0"/>
        </w:rPr>
        <w:t>T</w:t>
      </w:r>
    </w:p>
    <w:p>
      <w:pPr>
        <w:pStyle w:val="BodyText"/>
        <w:ind w:left="1046"/>
      </w:pPr>
      <w:r>
        <w:rPr/>
        <w:t>he </w:t>
      </w:r>
      <w:hyperlink r:id="rId289">
        <w:r>
          <w:rPr>
            <w:color w:val="0000FF"/>
            <w:u w:val="single" w:color="0000FF"/>
          </w:rPr>
          <w:t>Department of Fish and Game</w:t>
        </w:r>
      </w:hyperlink>
      <w:r>
        <w:rPr/>
        <w:t>,</w:t>
      </w:r>
    </w:p>
    <w:p>
      <w:pPr>
        <w:pStyle w:val="BodyText"/>
        <w:spacing w:before="120"/>
        <w:ind w:left="686"/>
      </w:pPr>
      <w:r>
        <w:rPr>
          <w:strike/>
          <w:color w:val="2E97D3"/>
        </w:rPr>
        <w:t>f.</w:t>
      </w:r>
      <w:r>
        <w:rPr>
          <w:strike w:val="0"/>
          <w:color w:val="2E97D3"/>
          <w:u w:val="single" w:color="2E97D3"/>
        </w:rPr>
        <w:t>6. </w:t>
      </w:r>
      <w:hyperlink r:id="rId290">
        <w:r>
          <w:rPr>
            <w:strike w:val="0"/>
            <w:color w:val="0000FF"/>
            <w:u w:val="single" w:color="0000FF"/>
          </w:rPr>
          <w:t>Hastings College of the Law</w:t>
        </w:r>
      </w:hyperlink>
      <w:r>
        <w:rPr>
          <w:strike w:val="0"/>
        </w:rPr>
        <w:t>, and</w:t>
      </w:r>
    </w:p>
    <w:p>
      <w:pPr>
        <w:pStyle w:val="BodyText"/>
        <w:spacing w:before="120"/>
        <w:ind w:left="686"/>
      </w:pPr>
      <w:hyperlink r:id="rId291">
        <w:r>
          <w:rPr>
            <w:strike/>
            <w:color w:val="2E97D3"/>
          </w:rPr>
          <w:t>g.</w:t>
        </w:r>
        <w:r>
          <w:rPr>
            <w:strike w:val="0"/>
            <w:color w:val="2E97D3"/>
            <w:u w:val="single" w:color="2E97D3"/>
          </w:rPr>
          <w:t>7. .................................................................................................................................... </w:t>
        </w:r>
        <w:r>
          <w:rPr>
            <w:strike w:val="0"/>
            <w:color w:val="0000FF"/>
            <w:u w:val="single" w:color="0000FF"/>
          </w:rPr>
          <w:t>T</w:t>
        </w:r>
      </w:hyperlink>
    </w:p>
    <w:p>
      <w:pPr>
        <w:pStyle w:val="BodyText"/>
        <w:ind w:left="1046"/>
      </w:pPr>
      <w:hyperlink r:id="rId291">
        <w:r>
          <w:rPr>
            <w:color w:val="0000FF"/>
            <w:u w:val="single" w:color="0000FF"/>
          </w:rPr>
          <w:t>he University of California</w:t>
        </w:r>
      </w:hyperlink>
      <w:r>
        <w:rPr/>
        <w:t>.</w:t>
      </w:r>
    </w:p>
    <w:p>
      <w:pPr>
        <w:pStyle w:val="BodyText"/>
        <w:spacing w:before="11"/>
        <w:rPr>
          <w:sz w:val="15"/>
        </w:rPr>
      </w:pPr>
    </w:p>
    <w:p>
      <w:pPr>
        <w:pStyle w:val="BodyText"/>
        <w:spacing w:before="92"/>
        <w:ind w:left="1046" w:right="142"/>
      </w:pPr>
      <w:r>
        <w:rPr/>
        <w:t>Current law and procedure require that certain “evidences” (discussed in Section 6849) must be provided before an acquisition is submitted for board consideration. Until the property acquired is actually needed, jurisdiction lies with DGS (Government Code Section </w:t>
      </w:r>
      <w:hyperlink r:id="rId292">
        <w:r>
          <w:rPr>
            <w:color w:val="0000FF"/>
            <w:u w:val="single" w:color="0000FF"/>
          </w:rPr>
          <w:t>15862</w:t>
        </w:r>
      </w:hyperlink>
      <w:r>
        <w:rPr/>
        <w:t>).</w:t>
      </w:r>
    </w:p>
    <w:p>
      <w:pPr>
        <w:pStyle w:val="BodyText"/>
        <w:spacing w:before="119"/>
        <w:ind w:left="1046" w:right="222"/>
      </w:pPr>
      <w:r>
        <w:rPr/>
        <w:t>As staff to PWB on acquisition matters, DGS obtains the information needed to assure PWB that:</w:t>
      </w:r>
    </w:p>
    <w:p>
      <w:pPr>
        <w:pStyle w:val="BodyText"/>
        <w:spacing w:line="274" w:lineRule="exact" w:before="142"/>
        <w:ind w:left="1406" w:right="428" w:hanging="360"/>
      </w:pPr>
      <w:r>
        <w:rPr>
          <w:rFonts w:ascii="Symbol" w:hAnsi="Symbol"/>
          <w:strike/>
          <w:color w:val="2E97D3"/>
        </w:rPr>
        <w:t></w:t>
      </w:r>
      <w:r>
        <w:rPr>
          <w:strike w:val="0"/>
          <w:color w:val="2E97D3"/>
          <w:u w:val="single" w:color="2E97D3"/>
        </w:rPr>
        <w:t>1. </w:t>
      </w:r>
      <w:r>
        <w:rPr>
          <w:strike w:val="0"/>
        </w:rPr>
        <w:t>The location of the proposed site meets the requirements of the department for which it is being acquired;</w:t>
      </w:r>
    </w:p>
    <w:p>
      <w:pPr>
        <w:pStyle w:val="BodyText"/>
        <w:spacing w:before="116"/>
        <w:ind w:left="1406" w:hanging="360"/>
      </w:pPr>
      <w:r>
        <w:rPr>
          <w:rFonts w:ascii="Symbol" w:hAnsi="Symbol"/>
          <w:strike/>
          <w:color w:val="2E97D3"/>
        </w:rPr>
        <w:t></w:t>
      </w:r>
      <w:r>
        <w:rPr>
          <w:strike w:val="0"/>
          <w:color w:val="2E97D3"/>
          <w:u w:val="single" w:color="2E97D3"/>
        </w:rPr>
        <w:t>2. </w:t>
      </w:r>
      <w:r>
        <w:rPr>
          <w:strike w:val="0"/>
        </w:rPr>
        <w:t>The site is suitable for the project’s purpose and will not result in increased project costs;</w:t>
      </w:r>
    </w:p>
    <w:p>
      <w:pPr>
        <w:pStyle w:val="BodyText"/>
        <w:spacing w:before="120"/>
        <w:ind w:left="1406" w:hanging="360"/>
      </w:pPr>
      <w:r>
        <w:rPr>
          <w:rFonts w:ascii="Symbol" w:hAnsi="Symbol"/>
          <w:strike/>
          <w:color w:val="2E97D3"/>
        </w:rPr>
        <w:t></w:t>
      </w:r>
      <w:r>
        <w:rPr>
          <w:strike w:val="0"/>
          <w:color w:val="2E97D3"/>
          <w:u w:val="single" w:color="2E97D3"/>
        </w:rPr>
        <w:t>3. </w:t>
      </w:r>
      <w:r>
        <w:rPr>
          <w:strike w:val="0"/>
        </w:rPr>
        <w:t>The site can be acquired within the funds available and is in accordance with the intent of the Legislature; and</w:t>
      </w:r>
    </w:p>
    <w:p>
      <w:pPr>
        <w:pStyle w:val="BodyText"/>
        <w:spacing w:before="120"/>
        <w:ind w:left="1046"/>
      </w:pPr>
      <w:r>
        <w:rPr>
          <w:rFonts w:ascii="Symbol" w:hAnsi="Symbol"/>
          <w:strike/>
          <w:color w:val="2E97D3"/>
        </w:rPr>
        <w:t></w:t>
      </w:r>
      <w:r>
        <w:rPr>
          <w:strike w:val="0"/>
          <w:color w:val="2E97D3"/>
          <w:u w:val="single" w:color="2E97D3"/>
        </w:rPr>
        <w:t>2. </w:t>
      </w:r>
      <w:r>
        <w:rPr>
          <w:strike w:val="0"/>
        </w:rPr>
        <w:t>The price paid for the property is fully supported by an appraisal.</w:t>
      </w:r>
    </w:p>
    <w:p>
      <w:pPr>
        <w:pStyle w:val="BodyText"/>
        <w:spacing w:before="117"/>
        <w:ind w:left="686" w:right="144"/>
      </w:pPr>
      <w:r>
        <w:rPr>
          <w:b/>
        </w:rPr>
        <w:t>Sale of surplus property</w:t>
      </w:r>
      <w:r>
        <w:rPr/>
        <w:t>: DGS sponsors an annual bill to authorize disposition of excess state-owned real property (Government Code Section </w:t>
      </w:r>
      <w:hyperlink r:id="rId293">
        <w:r>
          <w:rPr>
            <w:color w:val="0000FF"/>
            <w:u w:val="single" w:color="0000FF"/>
          </w:rPr>
          <w:t>11011</w:t>
        </w:r>
      </w:hyperlink>
      <w:r>
        <w:rPr/>
        <w:t>). The legislation typically provides that PWB approves final disposition. However, DGS does not handle the sale of property for the Department of Transportation and the Department of Water Resources, or</w:t>
      </w:r>
    </w:p>
    <w:p>
      <w:pPr>
        <w:spacing w:after="0"/>
        <w:sectPr>
          <w:pgSz w:w="12240" w:h="15840"/>
          <w:pgMar w:header="724" w:footer="1079" w:top="980" w:bottom="1260" w:left="480" w:right="1320"/>
        </w:sectPr>
      </w:pPr>
    </w:p>
    <w:p>
      <w:pPr>
        <w:pStyle w:val="BodyText"/>
        <w:rPr>
          <w:sz w:val="20"/>
        </w:rPr>
      </w:pPr>
    </w:p>
    <w:p>
      <w:pPr>
        <w:pStyle w:val="BodyText"/>
        <w:spacing w:before="214"/>
        <w:ind w:left="686" w:right="89"/>
      </w:pPr>
      <w:r>
        <w:rPr/>
        <w:t>for properties of the University of California, the California State University or the California Community Colleges acquired through non-state funds.</w:t>
      </w:r>
    </w:p>
    <w:p>
      <w:pPr>
        <w:pStyle w:val="BodyText"/>
        <w:rPr>
          <w:sz w:val="26"/>
        </w:rPr>
      </w:pPr>
    </w:p>
    <w:p>
      <w:pPr>
        <w:pStyle w:val="BodyText"/>
        <w:spacing w:before="217"/>
        <w:ind w:left="686"/>
      </w:pPr>
      <w:r>
        <w:rPr/>
        <w:t>(Continued)</w:t>
      </w:r>
    </w:p>
    <w:p>
      <w:pPr>
        <w:spacing w:after="0"/>
        <w:sectPr>
          <w:pgSz w:w="12240" w:h="15840"/>
          <w:pgMar w:header="724" w:footer="1079" w:top="980" w:bottom="1260" w:left="480" w:right="1360"/>
        </w:sectPr>
      </w:pPr>
    </w:p>
    <w:p>
      <w:pPr>
        <w:pStyle w:val="BodyText"/>
        <w:rPr>
          <w:sz w:val="20"/>
        </w:rPr>
      </w:pPr>
    </w:p>
    <w:p>
      <w:pPr>
        <w:pStyle w:val="BodyText"/>
        <w:spacing w:before="214"/>
        <w:ind w:left="686"/>
      </w:pPr>
      <w:r>
        <w:rPr/>
        <w:t>(Continued)</w:t>
      </w:r>
    </w:p>
    <w:p>
      <w:pPr>
        <w:tabs>
          <w:tab w:pos="8783" w:val="left" w:leader="none"/>
        </w:tabs>
        <w:spacing w:before="0"/>
        <w:ind w:left="686" w:right="117" w:firstLine="0"/>
        <w:jc w:val="left"/>
        <w:rPr>
          <w:sz w:val="24"/>
        </w:rPr>
      </w:pPr>
      <w:r>
        <w:rPr>
          <w:b/>
          <w:sz w:val="24"/>
        </w:rPr>
        <w:t>STATE PUBLIC WORKS BOARD</w:t>
      </w:r>
      <w:r>
        <w:rPr>
          <w:b/>
          <w:spacing w:val="-8"/>
          <w:sz w:val="24"/>
        </w:rPr>
        <w:t> </w:t>
      </w:r>
      <w:r>
        <w:rPr>
          <w:b/>
          <w:sz w:val="24"/>
        </w:rPr>
        <w:t>(PWB)</w:t>
      </w:r>
      <w:r>
        <w:rPr>
          <w:b/>
          <w:spacing w:val="-4"/>
          <w:sz w:val="24"/>
        </w:rPr>
        <w:t> </w:t>
      </w:r>
      <w:r>
        <w:rPr>
          <w:b/>
          <w:sz w:val="24"/>
        </w:rPr>
        <w:t>OVERVIEW</w:t>
        <w:tab/>
        <w:t>6842</w:t>
      </w:r>
      <w:r>
        <w:rPr>
          <w:b/>
          <w:spacing w:val="-2"/>
          <w:sz w:val="24"/>
        </w:rPr>
        <w:t> </w:t>
      </w:r>
      <w:r>
        <w:rPr>
          <w:sz w:val="24"/>
        </w:rPr>
        <w:t>(Cont.</w:t>
      </w:r>
      <w:r>
        <w:rPr>
          <w:spacing w:val="-5"/>
          <w:sz w:val="24"/>
        </w:rPr>
        <w:t> </w:t>
      </w:r>
      <w:r>
        <w:rPr>
          <w:sz w:val="24"/>
        </w:rPr>
        <w:t>5)</w:t>
      </w:r>
      <w:r>
        <w:rPr>
          <w:w w:val="99"/>
          <w:sz w:val="24"/>
        </w:rPr>
        <w:t> </w:t>
      </w:r>
      <w:r>
        <w:rPr>
          <w:sz w:val="24"/>
        </w:rPr>
        <w:t>(New</w:t>
      </w:r>
      <w:r>
        <w:rPr>
          <w:spacing w:val="-6"/>
          <w:sz w:val="24"/>
        </w:rPr>
        <w:t> </w:t>
      </w:r>
      <w:r>
        <w:rPr>
          <w:sz w:val="24"/>
        </w:rPr>
        <w:t>5/1998)</w:t>
      </w:r>
    </w:p>
    <w:p>
      <w:pPr>
        <w:pStyle w:val="BodyText"/>
        <w:spacing w:before="5"/>
        <w:rPr>
          <w:sz w:val="34"/>
        </w:rPr>
      </w:pPr>
    </w:p>
    <w:p>
      <w:pPr>
        <w:pStyle w:val="BodyText"/>
        <w:ind w:left="686" w:right="148"/>
      </w:pPr>
      <w:r>
        <w:rPr>
          <w:b/>
        </w:rPr>
        <w:t>PWB lease-revenue bonds</w:t>
      </w:r>
      <w:r>
        <w:rPr/>
        <w:t>: PWB is authorized to issue revenue bonds (commonly referred to as lease-revenue bonds). The board administers four lease-revenue programs: public building construction, new prison construction, high technology educational and research facilities in public universities, and energy conservation.  For additional information on these programs, see Section 6873.</w:t>
      </w:r>
    </w:p>
    <w:p>
      <w:pPr>
        <w:pStyle w:val="BodyText"/>
        <w:spacing w:before="120"/>
        <w:ind w:left="686" w:right="181"/>
      </w:pPr>
      <w:r>
        <w:rPr>
          <w:b/>
        </w:rPr>
        <w:t>Contingency plan for emergency public works: </w:t>
      </w:r>
      <w:r>
        <w:rPr/>
        <w:t>If conditions warrant, PWB may develop a contingency plan for emergency public works pursuant to Sections </w:t>
      </w:r>
      <w:hyperlink r:id="rId294">
        <w:r>
          <w:rPr>
            <w:color w:val="0000FF"/>
            <w:u w:val="single" w:color="0000FF"/>
          </w:rPr>
          <w:t>15799.2 </w:t>
        </w:r>
      </w:hyperlink>
      <w:r>
        <w:rPr/>
        <w:t>and </w:t>
      </w:r>
      <w:hyperlink r:id="rId295">
        <w:r>
          <w:rPr>
            <w:color w:val="0000FF"/>
            <w:u w:val="single" w:color="0000FF"/>
          </w:rPr>
          <w:t>15799.4 </w:t>
        </w:r>
      </w:hyperlink>
      <w:r>
        <w:rPr/>
        <w:t>of the Government Code. The plan consists of capital outlay or maintenance projects that have not been included in the Governor's Budget or otherwise presented for legislative review but which PWB believes would serve a useful public purpose if implemented.  PWB then submits the plan to the Governor for incorporation into the annual economic report to the Legislature required by Section </w:t>
      </w:r>
      <w:hyperlink r:id="rId296">
        <w:r>
          <w:rPr>
            <w:color w:val="0000FF"/>
            <w:u w:val="single" w:color="0000FF"/>
          </w:rPr>
          <w:t>15901 </w:t>
        </w:r>
      </w:hyperlink>
      <w:r>
        <w:rPr/>
        <w:t>of the Government Code.</w:t>
      </w:r>
    </w:p>
    <w:p>
      <w:pPr>
        <w:pStyle w:val="BodyText"/>
        <w:spacing w:before="120"/>
        <w:ind w:left="686" w:right="281"/>
      </w:pPr>
      <w:r>
        <w:rPr>
          <w:b/>
        </w:rPr>
        <w:t>Public land trusts</w:t>
      </w:r>
      <w:r>
        <w:rPr/>
        <w:t>: Section </w:t>
      </w:r>
      <w:hyperlink r:id="rId199">
        <w:r>
          <w:rPr>
            <w:color w:val="0000FF"/>
            <w:u w:val="single" w:color="0000FF"/>
          </w:rPr>
          <w:t>831.5 </w:t>
        </w:r>
      </w:hyperlink>
      <w:r>
        <w:rPr/>
        <w:t>of the Government Code allows non-profit public land trusts to enter into agreements with the state to preserve open space and allow public access to natural resources and, in return, receive certain immunities from liability for injuries caused by natural conditions of unimproved property. The State Coastal Conservancy can enter into such agreements for projects in the Coastal Zone, and the Tahoe Conservancy can enter into agreements in the Tahoe Basin. PWB is responsible for agreements in the rest of the state.</w:t>
      </w:r>
    </w:p>
    <w:p>
      <w:pPr>
        <w:pStyle w:val="BodyText"/>
        <w:spacing w:before="120"/>
        <w:ind w:left="686" w:right="302"/>
      </w:pPr>
      <w:r>
        <w:rPr>
          <w:b/>
        </w:rPr>
        <w:t>Department of Parks and Recreation concessions agreements</w:t>
      </w:r>
      <w:r>
        <w:rPr/>
        <w:t>: Public Resources Code Section 5080.20 requires PWB to approve any proposed concessions agreements with a total investment or estimated annual gross sales in excess of $500,000, which has not been approved by the Legislature in the Budget Act. The agreement may not be advertised for bid, negotiated, or amended in any way until PWB has notified the Legislature that:</w:t>
      </w:r>
    </w:p>
    <w:p>
      <w:pPr>
        <w:pStyle w:val="ListParagraph"/>
        <w:numPr>
          <w:ilvl w:val="0"/>
          <w:numId w:val="86"/>
        </w:numPr>
        <w:tabs>
          <w:tab w:pos="1047" w:val="left" w:leader="none"/>
        </w:tabs>
        <w:spacing w:line="240" w:lineRule="auto" w:before="120" w:after="0"/>
        <w:ind w:left="1046" w:right="154" w:hanging="360"/>
        <w:jc w:val="left"/>
        <w:rPr>
          <w:sz w:val="24"/>
        </w:rPr>
      </w:pPr>
      <w:r>
        <w:rPr>
          <w:sz w:val="24"/>
        </w:rPr>
        <w:t>The proposed concession agreement could not have been presented to the Legislature for review and approval or that it is necessary to revise the terms after legislative approval;</w:t>
      </w:r>
      <w:r>
        <w:rPr>
          <w:spacing w:val="-7"/>
          <w:sz w:val="24"/>
        </w:rPr>
        <w:t> </w:t>
      </w:r>
      <w:r>
        <w:rPr>
          <w:sz w:val="24"/>
        </w:rPr>
        <w:t>and</w:t>
      </w:r>
    </w:p>
    <w:p>
      <w:pPr>
        <w:pStyle w:val="ListParagraph"/>
        <w:numPr>
          <w:ilvl w:val="0"/>
          <w:numId w:val="86"/>
        </w:numPr>
        <w:tabs>
          <w:tab w:pos="1047" w:val="left" w:leader="none"/>
        </w:tabs>
        <w:spacing w:line="240" w:lineRule="auto" w:before="120" w:after="0"/>
        <w:ind w:left="1046" w:right="145" w:hanging="360"/>
        <w:jc w:val="left"/>
        <w:rPr>
          <w:sz w:val="24"/>
        </w:rPr>
      </w:pPr>
      <w:r>
        <w:rPr>
          <w:sz w:val="24"/>
        </w:rPr>
        <w:t>It would be adverse to the interests of the public to defer the review and approval to the time the Legislature next considers a budget</w:t>
      </w:r>
      <w:r>
        <w:rPr>
          <w:spacing w:val="-25"/>
          <w:sz w:val="24"/>
        </w:rPr>
        <w:t> </w:t>
      </w:r>
      <w:r>
        <w:rPr>
          <w:sz w:val="24"/>
        </w:rPr>
        <w:t>bill.</w:t>
      </w:r>
    </w:p>
    <w:p>
      <w:pPr>
        <w:pStyle w:val="BodyText"/>
        <w:spacing w:before="122"/>
        <w:ind w:left="686"/>
      </w:pPr>
      <w:r>
        <w:rPr/>
        <w:t>(Continued)</w:t>
      </w:r>
    </w:p>
    <w:p>
      <w:pPr>
        <w:spacing w:after="0"/>
        <w:sectPr>
          <w:pgSz w:w="12240" w:h="15840"/>
          <w:pgMar w:header="724" w:footer="1079" w:top="980" w:bottom="1260" w:left="480" w:right="1320"/>
        </w:sectPr>
      </w:pPr>
    </w:p>
    <w:p>
      <w:pPr>
        <w:pStyle w:val="BodyText"/>
        <w:rPr>
          <w:sz w:val="20"/>
        </w:rPr>
      </w:pPr>
    </w:p>
    <w:p>
      <w:pPr>
        <w:pStyle w:val="BodyText"/>
        <w:spacing w:before="216"/>
        <w:ind w:left="686"/>
      </w:pPr>
      <w:r>
        <w:rPr/>
        <w:t>(Continued)</w:t>
      </w:r>
    </w:p>
    <w:p>
      <w:pPr>
        <w:tabs>
          <w:tab w:pos="8783" w:val="left" w:leader="none"/>
        </w:tabs>
        <w:spacing w:before="38"/>
        <w:ind w:left="686" w:right="117" w:firstLine="0"/>
        <w:jc w:val="left"/>
        <w:rPr>
          <w:sz w:val="24"/>
        </w:rPr>
      </w:pPr>
      <w:r>
        <w:rPr>
          <w:b/>
          <w:sz w:val="24"/>
        </w:rPr>
        <w:t>STATE PUBLIC WORKS BOARD</w:t>
      </w:r>
      <w:r>
        <w:rPr>
          <w:b/>
          <w:spacing w:val="-8"/>
          <w:sz w:val="24"/>
        </w:rPr>
        <w:t> </w:t>
      </w:r>
      <w:r>
        <w:rPr>
          <w:b/>
          <w:sz w:val="24"/>
        </w:rPr>
        <w:t>(PWB)</w:t>
      </w:r>
      <w:r>
        <w:rPr>
          <w:b/>
          <w:spacing w:val="-4"/>
          <w:sz w:val="24"/>
        </w:rPr>
        <w:t> </w:t>
      </w:r>
      <w:r>
        <w:rPr>
          <w:b/>
          <w:sz w:val="24"/>
        </w:rPr>
        <w:t>OVERVIEW</w:t>
        <w:tab/>
        <w:t>6842</w:t>
      </w:r>
      <w:r>
        <w:rPr>
          <w:b/>
          <w:spacing w:val="-2"/>
          <w:sz w:val="24"/>
        </w:rPr>
        <w:t> </w:t>
      </w:r>
      <w:r>
        <w:rPr>
          <w:sz w:val="24"/>
        </w:rPr>
        <w:t>(Cont.</w:t>
      </w:r>
      <w:r>
        <w:rPr>
          <w:spacing w:val="-5"/>
          <w:sz w:val="24"/>
        </w:rPr>
        <w:t> </w:t>
      </w:r>
      <w:r>
        <w:rPr>
          <w:sz w:val="24"/>
        </w:rPr>
        <w:t>6)</w:t>
      </w:r>
      <w:r>
        <w:rPr>
          <w:w w:val="99"/>
          <w:sz w:val="24"/>
        </w:rPr>
        <w:t> </w:t>
      </w:r>
      <w:r>
        <w:rPr>
          <w:sz w:val="24"/>
        </w:rPr>
        <w:t>(New</w:t>
      </w:r>
      <w:r>
        <w:rPr>
          <w:spacing w:val="-6"/>
          <w:sz w:val="24"/>
        </w:rPr>
        <w:t> </w:t>
      </w:r>
      <w:r>
        <w:rPr>
          <w:sz w:val="24"/>
        </w:rPr>
        <w:t>5/1998)</w:t>
      </w:r>
    </w:p>
    <w:p>
      <w:pPr>
        <w:pStyle w:val="BodyText"/>
        <w:spacing w:before="10"/>
        <w:rPr>
          <w:sz w:val="20"/>
        </w:rPr>
      </w:pPr>
    </w:p>
    <w:p>
      <w:pPr>
        <w:pStyle w:val="BodyText"/>
        <w:ind w:left="686" w:right="262"/>
      </w:pPr>
      <w:r>
        <w:rPr/>
        <w:t>PWB may approve the proposed concession after giving at least 20 days written notice to the JLBC and the appropriate fiscal and policy committees.</w:t>
      </w:r>
    </w:p>
    <w:p>
      <w:pPr>
        <w:pStyle w:val="BodyText"/>
        <w:spacing w:before="120"/>
        <w:ind w:left="686" w:right="315"/>
      </w:pPr>
      <w:r>
        <w:rPr>
          <w:b/>
        </w:rPr>
        <w:t>Long-lead capital outlay equipment</w:t>
      </w:r>
      <w:r>
        <w:rPr/>
        <w:t>: Pursuant to Government Code Section </w:t>
      </w:r>
      <w:hyperlink r:id="rId170">
        <w:r>
          <w:rPr>
            <w:color w:val="0000FF"/>
            <w:u w:val="single" w:color="0000FF"/>
          </w:rPr>
          <w:t>15792</w:t>
        </w:r>
      </w:hyperlink>
      <w:r>
        <w:rPr/>
        <w:t>, PWB approval is required for state departments to incur obligations, to be met during the fiscal year following the year of project completion, for the purchase of equipment related to capital outlay projects for which the Legislature has approved construction funds. See also Section 6855, “long-lead equipment.”</w:t>
      </w:r>
    </w:p>
    <w:p>
      <w:pPr>
        <w:pStyle w:val="BodyText"/>
        <w:spacing w:before="120"/>
        <w:ind w:left="686" w:right="221"/>
      </w:pPr>
      <w:r>
        <w:rPr>
          <w:b/>
        </w:rPr>
        <w:t>Quarterly reports: </w:t>
      </w:r>
      <w:r>
        <w:rPr/>
        <w:t>Client departments must submit quarterly reports to PWB on each project’s progress with respect to schedule, scope, and actual and projected expenditures (Section 6864).</w:t>
      </w:r>
    </w:p>
    <w:p>
      <w:pPr>
        <w:spacing w:after="0"/>
        <w:sectPr>
          <w:pgSz w:w="12240" w:h="15840"/>
          <w:pgMar w:header="724" w:footer="1079" w:top="980" w:bottom="1260" w:left="480" w:right="1320"/>
        </w:sectPr>
      </w:pPr>
    </w:p>
    <w:p>
      <w:pPr>
        <w:pStyle w:val="BodyText"/>
        <w:rPr>
          <w:sz w:val="20"/>
        </w:rPr>
      </w:pPr>
    </w:p>
    <w:p>
      <w:pPr>
        <w:pStyle w:val="Heading2"/>
        <w:tabs>
          <w:tab w:pos="9784" w:val="left" w:leader="none"/>
        </w:tabs>
        <w:spacing w:before="214"/>
        <w:ind w:left="686"/>
      </w:pPr>
      <w:r>
        <w:rPr/>
        <w:t>MONTHLY PUBLIC WORKS</w:t>
      </w:r>
      <w:r>
        <w:rPr>
          <w:spacing w:val="-8"/>
        </w:rPr>
        <w:t> </w:t>
      </w:r>
      <w:r>
        <w:rPr/>
        <w:t>BOARD</w:t>
      </w:r>
      <w:r>
        <w:rPr>
          <w:spacing w:val="-3"/>
        </w:rPr>
        <w:t> </w:t>
      </w:r>
      <w:r>
        <w:rPr/>
        <w:t>PROCESS</w:t>
        <w:tab/>
        <w:t>6844</w:t>
      </w:r>
    </w:p>
    <w:p>
      <w:pPr>
        <w:pStyle w:val="BodyText"/>
        <w:ind w:left="686"/>
      </w:pPr>
      <w:r>
        <w:rPr/>
        <w:t>(New 5/1998)</w:t>
      </w:r>
    </w:p>
    <w:p>
      <w:pPr>
        <w:pStyle w:val="BodyText"/>
        <w:spacing w:before="120"/>
        <w:ind w:left="686" w:right="281"/>
      </w:pPr>
      <w:r>
        <w:rPr>
          <w:b/>
        </w:rPr>
        <w:t>Board meetings</w:t>
      </w:r>
      <w:r>
        <w:rPr/>
        <w:t>: PWB meets monthly to consider proposed capital outlay expenditures. Meetings are normally held in Sacramento on the second Friday of each month. The meeting notice and the agenda are distributed at least ten days in advance of the board meeting (Government Code Section </w:t>
      </w:r>
      <w:hyperlink r:id="rId297">
        <w:r>
          <w:rPr>
            <w:color w:val="0000FF"/>
            <w:u w:val="single" w:color="0000FF"/>
          </w:rPr>
          <w:t>11125</w:t>
        </w:r>
      </w:hyperlink>
      <w:r>
        <w:rPr/>
        <w:t>). To be placed on the mailing list, contact the Capital Outlay Unit of DOF. Agenda package requirements for proposed board actions are described in Section 6845.</w:t>
      </w:r>
    </w:p>
    <w:p>
      <w:pPr>
        <w:pStyle w:val="BodyText"/>
        <w:spacing w:before="120"/>
        <w:ind w:left="686" w:right="241"/>
      </w:pPr>
      <w:r>
        <w:rPr/>
        <w:t>The chairperson may call special meetings to consider projects of an emergency or high priority nature. For example, a special meeting might be called if a critical project milestone cannot otherwise be met, such as awarding of low bid or acceptance of a time- limited acquisition settlement. Special meetings are held to a minimum and require a ten- day notice, except for emergency meetings due to the disruption or threat of disruption of state facilities.</w:t>
      </w:r>
    </w:p>
    <w:p>
      <w:pPr>
        <w:pStyle w:val="BodyText"/>
        <w:spacing w:before="120"/>
        <w:ind w:left="686" w:right="174"/>
      </w:pPr>
      <w:r>
        <w:rPr>
          <w:b/>
        </w:rPr>
        <w:t>Screening meetings</w:t>
      </w:r>
      <w:r>
        <w:rPr/>
        <w:t>: PWB staff conducts a screening meeting for proposed agenda items, usually three Wednesdays prior to the monthly meeting. The purpose of the screening meeting is to verify the accuracy of all information contained in the proposed agenda and resolve any open questions the board’s staff may have. Departments must attend the screening meeting if they have submitted an agenda item, unless attendance is waived by PWB staff.</w:t>
      </w:r>
    </w:p>
    <w:p>
      <w:pPr>
        <w:pStyle w:val="BodyText"/>
        <w:spacing w:before="120"/>
        <w:ind w:left="686" w:right="167"/>
      </w:pPr>
      <w:r>
        <w:rPr>
          <w:b/>
        </w:rPr>
        <w:t>Annual calendars</w:t>
      </w:r>
      <w:r>
        <w:rPr/>
        <w:t>: PWB approves an annual calendar showing planned board meetings as well as staff screening meetings.  The annual calendar and its updates are distributed to all departments with active capital outlay programs and to interested parties who request inclusion on the mailing list.</w:t>
      </w:r>
    </w:p>
    <w:p>
      <w:pPr>
        <w:pStyle w:val="Heading2"/>
        <w:spacing w:before="120"/>
        <w:ind w:left="686"/>
        <w:rPr>
          <w:b w:val="0"/>
        </w:rPr>
      </w:pPr>
      <w:r>
        <w:rPr/>
        <w:t>Key monthly time-frames</w:t>
      </w:r>
      <w:r>
        <w:rPr>
          <w:b w:val="0"/>
        </w:rPr>
        <w:t>:</w:t>
      </w:r>
    </w:p>
    <w:p>
      <w:pPr>
        <w:pStyle w:val="ListParagraph"/>
        <w:numPr>
          <w:ilvl w:val="0"/>
          <w:numId w:val="87"/>
        </w:numPr>
        <w:tabs>
          <w:tab w:pos="1047" w:val="left" w:leader="none"/>
        </w:tabs>
        <w:spacing w:line="240" w:lineRule="auto" w:before="120" w:after="0"/>
        <w:ind w:left="1046" w:right="110" w:hanging="360"/>
        <w:jc w:val="left"/>
        <w:rPr>
          <w:i/>
          <w:sz w:val="24"/>
        </w:rPr>
      </w:pPr>
      <w:r>
        <w:rPr>
          <w:b/>
          <w:sz w:val="24"/>
        </w:rPr>
        <w:t>Proposed board actions requiring legislative notification:  </w:t>
      </w:r>
      <w:r>
        <w:rPr>
          <w:sz w:val="24"/>
        </w:rPr>
        <w:t>Prior to any board action, DOF reviews projects with proposed scope changes or cost increases and, if concurring, may need to notify the Legislature. (Section 6861 describes which project cost increases require legislative notification.)  Capital outlay legislative notifications are referred to as “20-day letters,” meaning the Legislature has twenty calendar days to respond before PWB will take action on the project. For requests which require a 20- day letter, departments must submit PWB agenda items </w:t>
      </w:r>
      <w:r>
        <w:rPr>
          <w:i/>
          <w:sz w:val="24"/>
        </w:rPr>
        <w:t>30 working days in advance of </w:t>
      </w:r>
      <w:r>
        <w:rPr>
          <w:i/>
          <w:sz w:val="24"/>
        </w:rPr>
        <w:t>the scheduled board</w:t>
      </w:r>
      <w:r>
        <w:rPr>
          <w:i/>
          <w:spacing w:val="-16"/>
          <w:sz w:val="24"/>
        </w:rPr>
        <w:t> </w:t>
      </w:r>
      <w:r>
        <w:rPr>
          <w:i/>
          <w:sz w:val="24"/>
        </w:rPr>
        <w:t>meeting.</w:t>
      </w:r>
    </w:p>
    <w:p>
      <w:pPr>
        <w:pStyle w:val="BodyText"/>
        <w:rPr>
          <w:i/>
          <w:sz w:val="21"/>
        </w:rPr>
      </w:pPr>
    </w:p>
    <w:p>
      <w:pPr>
        <w:pStyle w:val="ListParagraph"/>
        <w:numPr>
          <w:ilvl w:val="0"/>
          <w:numId w:val="87"/>
        </w:numPr>
        <w:tabs>
          <w:tab w:pos="1047" w:val="left" w:leader="none"/>
        </w:tabs>
        <w:spacing w:line="240" w:lineRule="auto" w:before="1" w:after="0"/>
        <w:ind w:left="1046" w:right="327" w:hanging="360"/>
        <w:jc w:val="left"/>
        <w:rPr>
          <w:sz w:val="24"/>
        </w:rPr>
      </w:pPr>
      <w:r>
        <w:rPr>
          <w:b/>
          <w:sz w:val="24"/>
        </w:rPr>
        <w:t>Proposed board actions NOT requiring legislative notifications: </w:t>
      </w:r>
      <w:r>
        <w:rPr>
          <w:sz w:val="24"/>
        </w:rPr>
        <w:t>All items except scope changes and certain project cost increases may be approved by the board without waiting for a legislative response. These items are due at least </w:t>
      </w:r>
      <w:r>
        <w:rPr>
          <w:i/>
          <w:sz w:val="24"/>
        </w:rPr>
        <w:t>20 working </w:t>
      </w:r>
      <w:r>
        <w:rPr>
          <w:i/>
          <w:sz w:val="24"/>
        </w:rPr>
        <w:t>days prior to the board</w:t>
      </w:r>
      <w:r>
        <w:rPr>
          <w:i/>
          <w:spacing w:val="-15"/>
          <w:sz w:val="24"/>
        </w:rPr>
        <w:t> </w:t>
      </w:r>
      <w:r>
        <w:rPr>
          <w:i/>
          <w:sz w:val="24"/>
        </w:rPr>
        <w:t>meeting</w:t>
      </w:r>
      <w:r>
        <w:rPr>
          <w:sz w:val="24"/>
        </w:rPr>
        <w:t>.</w:t>
      </w:r>
    </w:p>
    <w:p>
      <w:pPr>
        <w:pStyle w:val="BodyText"/>
        <w:spacing w:before="1"/>
        <w:rPr>
          <w:sz w:val="21"/>
        </w:rPr>
      </w:pPr>
    </w:p>
    <w:p>
      <w:pPr>
        <w:pStyle w:val="ListParagraph"/>
        <w:numPr>
          <w:ilvl w:val="0"/>
          <w:numId w:val="87"/>
        </w:numPr>
        <w:tabs>
          <w:tab w:pos="1047" w:val="left" w:leader="none"/>
        </w:tabs>
        <w:spacing w:line="240" w:lineRule="auto" w:before="0" w:after="0"/>
        <w:ind w:left="1046" w:right="326" w:hanging="360"/>
        <w:jc w:val="left"/>
        <w:rPr>
          <w:sz w:val="24"/>
        </w:rPr>
      </w:pPr>
      <w:r>
        <w:rPr>
          <w:b/>
          <w:sz w:val="24"/>
        </w:rPr>
        <w:t>Certification letters: </w:t>
      </w:r>
      <w:r>
        <w:rPr>
          <w:sz w:val="24"/>
        </w:rPr>
        <w:t>In conjunction with each PWB agenda, DOF must certify to the Legislature whether proposed PWB actions are within legislatively approved limits. Although minimum time requirements are not specified in law, DOF submits this certification letter to the Legislature not less than seven calendar days prior to the scheduled PWB meeting.  (See also Section</w:t>
      </w:r>
      <w:r>
        <w:rPr>
          <w:spacing w:val="-21"/>
          <w:sz w:val="24"/>
        </w:rPr>
        <w:t> </w:t>
      </w:r>
      <w:r>
        <w:rPr>
          <w:sz w:val="24"/>
        </w:rPr>
        <w:t>6842.)</w:t>
      </w:r>
    </w:p>
    <w:p>
      <w:pPr>
        <w:spacing w:after="0" w:line="240" w:lineRule="auto"/>
        <w:jc w:val="left"/>
        <w:rPr>
          <w:sz w:val="24"/>
        </w:rPr>
        <w:sectPr>
          <w:pgSz w:w="12240" w:h="15840"/>
          <w:pgMar w:header="724" w:footer="1079" w:top="980" w:bottom="1260" w:left="480" w:right="1340"/>
        </w:sectPr>
      </w:pPr>
    </w:p>
    <w:p>
      <w:pPr>
        <w:pStyle w:val="BodyText"/>
        <w:rPr>
          <w:sz w:val="20"/>
        </w:rPr>
      </w:pPr>
    </w:p>
    <w:p>
      <w:pPr>
        <w:pStyle w:val="BodyText"/>
        <w:spacing w:line="516" w:lineRule="exact" w:before="26"/>
        <w:ind w:left="686" w:right="8479"/>
      </w:pPr>
      <w:r>
        <w:rPr/>
        <w:t>(Continued) (Continued)</w:t>
      </w:r>
    </w:p>
    <w:p>
      <w:pPr>
        <w:pStyle w:val="Heading2"/>
        <w:tabs>
          <w:tab w:pos="8783" w:val="left" w:leader="none"/>
        </w:tabs>
        <w:spacing w:line="224" w:lineRule="exact"/>
        <w:ind w:left="686"/>
        <w:jc w:val="both"/>
        <w:rPr>
          <w:b w:val="0"/>
        </w:rPr>
      </w:pPr>
      <w:r>
        <w:rPr/>
        <w:t>MONTHLY PUBLIC WORKS</w:t>
      </w:r>
      <w:r>
        <w:rPr>
          <w:spacing w:val="-8"/>
        </w:rPr>
        <w:t> </w:t>
      </w:r>
      <w:r>
        <w:rPr/>
        <w:t>BOARD</w:t>
      </w:r>
      <w:r>
        <w:rPr>
          <w:spacing w:val="-3"/>
        </w:rPr>
        <w:t> </w:t>
      </w:r>
      <w:r>
        <w:rPr/>
        <w:t>PROCESS</w:t>
        <w:tab/>
        <w:t>6844 </w:t>
      </w:r>
      <w:r>
        <w:rPr>
          <w:b w:val="0"/>
        </w:rPr>
        <w:t>(Cont.</w:t>
      </w:r>
      <w:r>
        <w:rPr>
          <w:b w:val="0"/>
          <w:spacing w:val="-6"/>
        </w:rPr>
        <w:t> </w:t>
      </w:r>
      <w:r>
        <w:rPr>
          <w:b w:val="0"/>
        </w:rPr>
        <w:t>1)</w:t>
      </w:r>
    </w:p>
    <w:p>
      <w:pPr>
        <w:pStyle w:val="BodyText"/>
        <w:ind w:left="686"/>
        <w:jc w:val="both"/>
      </w:pPr>
      <w:r>
        <w:rPr/>
        <w:t>(New 5/1998)</w:t>
      </w:r>
    </w:p>
    <w:p>
      <w:pPr>
        <w:spacing w:before="119"/>
        <w:ind w:left="686" w:right="772" w:firstLine="0"/>
        <w:jc w:val="both"/>
        <w:rPr>
          <w:sz w:val="24"/>
        </w:rPr>
      </w:pPr>
      <w:r>
        <w:rPr>
          <w:b/>
          <w:sz w:val="24"/>
        </w:rPr>
        <w:t>Delegated agenda items (reportables): </w:t>
      </w:r>
      <w:r>
        <w:rPr>
          <w:sz w:val="24"/>
        </w:rPr>
        <w:t>By resolution, PWB has delegated to DOF approval for selected non-policy actions. These actions, referred to as “reportables”, include:</w:t>
      </w:r>
    </w:p>
    <w:p>
      <w:pPr>
        <w:pStyle w:val="ListParagraph"/>
        <w:numPr>
          <w:ilvl w:val="0"/>
          <w:numId w:val="88"/>
        </w:numPr>
        <w:tabs>
          <w:tab w:pos="1047" w:val="left" w:leader="none"/>
        </w:tabs>
        <w:spacing w:line="240" w:lineRule="auto" w:before="119" w:after="0"/>
        <w:ind w:left="1046" w:right="1236" w:hanging="360"/>
        <w:jc w:val="left"/>
        <w:rPr>
          <w:sz w:val="24"/>
        </w:rPr>
      </w:pPr>
      <w:r>
        <w:rPr>
          <w:sz w:val="24"/>
        </w:rPr>
        <w:t>Lesser augmentations, described in Section 6842 under the heading “Project Augmentations,”</w:t>
      </w:r>
    </w:p>
    <w:p>
      <w:pPr>
        <w:pStyle w:val="BodyText"/>
        <w:spacing w:before="9"/>
        <w:rPr>
          <w:sz w:val="20"/>
        </w:rPr>
      </w:pPr>
    </w:p>
    <w:p>
      <w:pPr>
        <w:pStyle w:val="ListParagraph"/>
        <w:numPr>
          <w:ilvl w:val="0"/>
          <w:numId w:val="88"/>
        </w:numPr>
        <w:tabs>
          <w:tab w:pos="1047" w:val="left" w:leader="none"/>
        </w:tabs>
        <w:spacing w:line="240" w:lineRule="auto" w:before="0" w:after="0"/>
        <w:ind w:left="1046" w:right="0" w:hanging="360"/>
        <w:jc w:val="both"/>
        <w:rPr>
          <w:sz w:val="24"/>
        </w:rPr>
      </w:pPr>
      <w:r>
        <w:rPr>
          <w:sz w:val="24"/>
        </w:rPr>
        <w:t>Reversions of a non-policy nature (Section</w:t>
      </w:r>
      <w:r>
        <w:rPr>
          <w:spacing w:val="-24"/>
          <w:sz w:val="24"/>
        </w:rPr>
        <w:t> </w:t>
      </w:r>
      <w:r>
        <w:rPr>
          <w:sz w:val="24"/>
        </w:rPr>
        <w:t>6862),</w:t>
      </w:r>
    </w:p>
    <w:p>
      <w:pPr>
        <w:pStyle w:val="BodyText"/>
        <w:spacing w:before="9"/>
        <w:rPr>
          <w:sz w:val="20"/>
        </w:rPr>
      </w:pPr>
    </w:p>
    <w:p>
      <w:pPr>
        <w:pStyle w:val="ListParagraph"/>
        <w:numPr>
          <w:ilvl w:val="0"/>
          <w:numId w:val="88"/>
        </w:numPr>
        <w:tabs>
          <w:tab w:pos="1047" w:val="left" w:leader="none"/>
        </w:tabs>
        <w:spacing w:line="240" w:lineRule="auto" w:before="0" w:after="0"/>
        <w:ind w:left="1046" w:right="0" w:hanging="360"/>
        <w:jc w:val="both"/>
        <w:rPr>
          <w:sz w:val="24"/>
        </w:rPr>
      </w:pPr>
      <w:r>
        <w:rPr>
          <w:sz w:val="24"/>
        </w:rPr>
        <w:t>Cost increases within appropriation (Section</w:t>
      </w:r>
      <w:r>
        <w:rPr>
          <w:spacing w:val="-25"/>
          <w:sz w:val="24"/>
        </w:rPr>
        <w:t> </w:t>
      </w:r>
      <w:r>
        <w:rPr>
          <w:sz w:val="24"/>
        </w:rPr>
        <w:t>6861),</w:t>
      </w:r>
    </w:p>
    <w:p>
      <w:pPr>
        <w:pStyle w:val="BodyText"/>
        <w:spacing w:before="9"/>
        <w:rPr>
          <w:sz w:val="20"/>
        </w:rPr>
      </w:pPr>
    </w:p>
    <w:p>
      <w:pPr>
        <w:pStyle w:val="ListParagraph"/>
        <w:numPr>
          <w:ilvl w:val="0"/>
          <w:numId w:val="88"/>
        </w:numPr>
        <w:tabs>
          <w:tab w:pos="1047" w:val="left" w:leader="none"/>
        </w:tabs>
        <w:spacing w:line="240" w:lineRule="auto" w:before="0" w:after="0"/>
        <w:ind w:left="1046" w:right="0" w:hanging="360"/>
        <w:jc w:val="both"/>
        <w:rPr>
          <w:sz w:val="24"/>
        </w:rPr>
      </w:pPr>
      <w:r>
        <w:rPr>
          <w:sz w:val="24"/>
        </w:rPr>
        <w:t>Settlements related to real estate transactions of a non-policy</w:t>
      </w:r>
      <w:r>
        <w:rPr>
          <w:spacing w:val="-33"/>
          <w:sz w:val="24"/>
        </w:rPr>
        <w:t> </w:t>
      </w:r>
      <w:r>
        <w:rPr>
          <w:sz w:val="24"/>
        </w:rPr>
        <w:t>nature,</w:t>
      </w:r>
    </w:p>
    <w:p>
      <w:pPr>
        <w:pStyle w:val="BodyText"/>
        <w:spacing w:before="9"/>
        <w:rPr>
          <w:sz w:val="20"/>
        </w:rPr>
      </w:pPr>
    </w:p>
    <w:p>
      <w:pPr>
        <w:pStyle w:val="ListParagraph"/>
        <w:numPr>
          <w:ilvl w:val="0"/>
          <w:numId w:val="88"/>
        </w:numPr>
        <w:tabs>
          <w:tab w:pos="1047" w:val="left" w:leader="none"/>
        </w:tabs>
        <w:spacing w:line="240" w:lineRule="auto" w:before="0" w:after="0"/>
        <w:ind w:left="1046" w:right="0" w:hanging="360"/>
        <w:jc w:val="both"/>
        <w:rPr>
          <w:sz w:val="24"/>
        </w:rPr>
      </w:pPr>
      <w:r>
        <w:rPr>
          <w:sz w:val="24"/>
        </w:rPr>
        <w:t>Revisions of previous board actions of a non-policy</w:t>
      </w:r>
      <w:r>
        <w:rPr>
          <w:spacing w:val="-30"/>
          <w:sz w:val="24"/>
        </w:rPr>
        <w:t> </w:t>
      </w:r>
      <w:r>
        <w:rPr>
          <w:sz w:val="24"/>
        </w:rPr>
        <w:t>nature.</w:t>
      </w:r>
    </w:p>
    <w:p>
      <w:pPr>
        <w:spacing w:after="0" w:line="240" w:lineRule="auto"/>
        <w:jc w:val="both"/>
        <w:rPr>
          <w:sz w:val="24"/>
        </w:rPr>
        <w:sectPr>
          <w:pgSz w:w="12240" w:h="15840"/>
          <w:pgMar w:header="724" w:footer="1079" w:top="980" w:bottom="1260" w:left="480" w:right="1320"/>
        </w:sectPr>
      </w:pPr>
    </w:p>
    <w:p>
      <w:pPr>
        <w:pStyle w:val="BodyText"/>
        <w:rPr>
          <w:sz w:val="20"/>
        </w:rPr>
      </w:pPr>
    </w:p>
    <w:p>
      <w:pPr>
        <w:pStyle w:val="Heading2"/>
        <w:spacing w:before="214"/>
        <w:ind w:left="686"/>
      </w:pPr>
      <w:r>
        <w:rPr/>
        <w:t>STANDARD INFORMATION REQUIRED WHEN REQUESTING</w:t>
      </w:r>
    </w:p>
    <w:p>
      <w:pPr>
        <w:tabs>
          <w:tab w:pos="9784" w:val="left" w:leader="none"/>
        </w:tabs>
        <w:spacing w:before="0"/>
        <w:ind w:left="686" w:right="0" w:firstLine="0"/>
        <w:jc w:val="left"/>
        <w:rPr>
          <w:b/>
          <w:sz w:val="24"/>
        </w:rPr>
      </w:pPr>
      <w:r>
        <w:rPr>
          <w:b/>
          <w:sz w:val="24"/>
        </w:rPr>
        <w:t>PWB OR</w:t>
      </w:r>
      <w:r>
        <w:rPr>
          <w:b/>
          <w:spacing w:val="-4"/>
          <w:sz w:val="24"/>
        </w:rPr>
        <w:t> </w:t>
      </w:r>
      <w:r>
        <w:rPr>
          <w:b/>
          <w:sz w:val="24"/>
        </w:rPr>
        <w:t>DOF ACTION</w:t>
        <w:tab/>
        <w:t>6845</w:t>
      </w:r>
    </w:p>
    <w:p>
      <w:pPr>
        <w:pStyle w:val="BodyText"/>
        <w:ind w:left="686"/>
      </w:pPr>
      <w:r>
        <w:rPr/>
        <w:t>(New 5/1998)</w:t>
      </w:r>
    </w:p>
    <w:p>
      <w:pPr>
        <w:pStyle w:val="BodyText"/>
      </w:pPr>
    </w:p>
    <w:p>
      <w:pPr>
        <w:pStyle w:val="BodyText"/>
        <w:ind w:left="686" w:right="148"/>
      </w:pPr>
      <w:r>
        <w:rPr/>
        <w:t>PWB and DOF information needs related to capital outlay projects are very similar. Both require an action request called the DF-14D, </w:t>
      </w:r>
      <w:r>
        <w:rPr>
          <w:i/>
        </w:rPr>
        <w:t>Request for Approval to Proceed or </w:t>
      </w:r>
      <w:r>
        <w:rPr>
          <w:i/>
        </w:rPr>
        <w:t>Encumber Funds</w:t>
      </w:r>
      <w:r>
        <w:rPr/>
        <w:t>, as well as standardized project cost and history information. This chapter refers to that common block of information as “standard fiscal reporting requirements.” In addition, PWB requires an agenda package made up of a specifically- formatted agenda item, a briefing document, and additional information depending upon the type of proposed board item.</w:t>
      </w:r>
    </w:p>
    <w:p>
      <w:pPr>
        <w:pStyle w:val="BodyText"/>
        <w:spacing w:before="120"/>
        <w:ind w:left="686" w:right="316"/>
      </w:pPr>
      <w:r>
        <w:rPr/>
        <w:t>This section describes the standard reporting requirements used by both PWB and DOF, and the PWB agenda package.</w:t>
      </w:r>
    </w:p>
    <w:p>
      <w:pPr>
        <w:pStyle w:val="BodyText"/>
        <w:spacing w:before="120"/>
        <w:ind w:left="686" w:right="236"/>
      </w:pPr>
      <w:r>
        <w:rPr>
          <w:b/>
        </w:rPr>
        <w:t>Standard fiscal reporting requirements: </w:t>
      </w:r>
      <w:r>
        <w:rPr/>
        <w:t>When submitting a request for an action or approval by either PWB or DOF, the department must provide completed versions of the following standard reporting forms. (Only one set of standard reporting forms is required if submitting a request for multiple actions on the same project.)</w:t>
      </w:r>
    </w:p>
    <w:p>
      <w:pPr>
        <w:pStyle w:val="ListParagraph"/>
        <w:numPr>
          <w:ilvl w:val="0"/>
          <w:numId w:val="89"/>
        </w:numPr>
        <w:tabs>
          <w:tab w:pos="1047" w:val="left" w:leader="none"/>
        </w:tabs>
        <w:spacing w:line="240" w:lineRule="auto" w:before="120" w:after="0"/>
        <w:ind w:left="1046" w:right="277" w:hanging="360"/>
        <w:jc w:val="left"/>
        <w:rPr>
          <w:sz w:val="24"/>
        </w:rPr>
      </w:pPr>
      <w:r>
        <w:rPr>
          <w:b/>
          <w:sz w:val="24"/>
        </w:rPr>
        <w:t>DF-14D, Request for Approval to Proceed or Encumber Funds: </w:t>
      </w:r>
      <w:r>
        <w:rPr>
          <w:sz w:val="24"/>
        </w:rPr>
        <w:t>The DF-14D, shown in 6845 Illustration 1 of this section, is the official request document which identifies the project and the requested action, and serves as the official, signed certification by the department related to scope, cost and CEQA compliance. For projects managed by DGS, the “Project Manager” signature is the DGS project manager, otherwise it is the department’s project manager. The “Department Director or Designee” signature is the department requesting the action (submitting the DF 14D). DOF’s signature on the returned DF-14D is evidence of PWB/DOF approval of the request.  Any conditions of approval will be noted on the</w:t>
      </w:r>
      <w:r>
        <w:rPr>
          <w:spacing w:val="-34"/>
          <w:sz w:val="24"/>
        </w:rPr>
        <w:t> </w:t>
      </w:r>
      <w:r>
        <w:rPr>
          <w:sz w:val="24"/>
        </w:rPr>
        <w:t>document.</w:t>
      </w:r>
    </w:p>
    <w:p>
      <w:pPr>
        <w:pStyle w:val="ListParagraph"/>
        <w:numPr>
          <w:ilvl w:val="0"/>
          <w:numId w:val="89"/>
        </w:numPr>
        <w:tabs>
          <w:tab w:pos="1047" w:val="left" w:leader="none"/>
        </w:tabs>
        <w:spacing w:line="240" w:lineRule="auto" w:before="120" w:after="0"/>
        <w:ind w:left="1046" w:right="115" w:hanging="360"/>
        <w:jc w:val="left"/>
        <w:rPr>
          <w:sz w:val="24"/>
        </w:rPr>
      </w:pPr>
      <w:r>
        <w:rPr>
          <w:b/>
          <w:sz w:val="24"/>
        </w:rPr>
        <w:t>Project Cost, Funding and Schedule Summary: </w:t>
      </w:r>
      <w:r>
        <w:rPr>
          <w:sz w:val="24"/>
        </w:rPr>
        <w:t>This summary, shown in 6845 Illustration 2 of this section, is a chronological history of costs, funding and schedules. Each submittal requires a new column with the most recent totals and dates. The cost summary is provided in the same manner as in the project’s COBCP. A section is provided to detail construction costs. The funding data includes all approved appropriations and executive orders, changes included in this request, and future funding requirements.  “Total funding” must equal “total costs”.  The schedule reflects the same events as those in the initial budget package.  The first column must reflect the project as initially approved. Additional columns reflect the project at the time of the submittal of the requested</w:t>
      </w:r>
      <w:r>
        <w:rPr>
          <w:spacing w:val="-15"/>
          <w:sz w:val="24"/>
        </w:rPr>
        <w:t> </w:t>
      </w:r>
      <w:r>
        <w:rPr>
          <w:sz w:val="24"/>
        </w:rPr>
        <w:t>action.</w:t>
      </w:r>
    </w:p>
    <w:p>
      <w:pPr>
        <w:pStyle w:val="BodyText"/>
        <w:tabs>
          <w:tab w:pos="1406" w:val="left" w:leader="none"/>
        </w:tabs>
        <w:spacing w:before="120"/>
        <w:ind w:left="1046" w:right="155" w:hanging="360"/>
      </w:pPr>
      <w:r>
        <w:rPr>
          <w:strike/>
          <w:color w:val="2E97D3"/>
        </w:rPr>
        <w:t>3.</w:t>
      </w:r>
      <w:r>
        <w:rPr>
          <w:strike w:val="0"/>
          <w:color w:val="2E97D3"/>
          <w:u w:val="single" w:color="2E97D3"/>
        </w:rPr>
        <w:t>1.</w:t>
        <w:tab/>
      </w:r>
      <w:r>
        <w:rPr>
          <w:b/>
          <w:strike w:val="0"/>
        </w:rPr>
        <w:t>Project Cost Detail Worksheet: </w:t>
      </w:r>
      <w:r>
        <w:rPr>
          <w:strike w:val="0"/>
        </w:rPr>
        <w:t>The department must provide cost</w:t>
      </w:r>
      <w:r>
        <w:rPr>
          <w:strike w:val="0"/>
          <w:spacing w:val="-39"/>
        </w:rPr>
        <w:t> </w:t>
      </w:r>
      <w:r>
        <w:rPr>
          <w:strike w:val="0"/>
        </w:rPr>
        <w:t>information</w:t>
      </w:r>
      <w:r>
        <w:rPr>
          <w:strike w:val="0"/>
          <w:spacing w:val="-3"/>
        </w:rPr>
        <w:t> </w:t>
      </w:r>
      <w:r>
        <w:rPr>
          <w:strike w:val="0"/>
        </w:rPr>
        <w:t>in</w:t>
      </w:r>
      <w:r>
        <w:rPr>
          <w:strike w:val="0"/>
          <w:w w:val="99"/>
        </w:rPr>
        <w:t> </w:t>
      </w:r>
      <w:r>
        <w:rPr>
          <w:strike w:val="0"/>
        </w:rPr>
        <w:t>sufficient detail to communicate and support the request. The level of detail should be consistent with the budget package detail displayed in 6828 Illustration 2. The total costs must tie to the Project Cost, Funding and Schedule Summary, 6845 Illustration</w:t>
      </w:r>
      <w:r>
        <w:rPr>
          <w:strike w:val="0"/>
          <w:spacing w:val="-35"/>
        </w:rPr>
        <w:t> </w:t>
      </w:r>
      <w:r>
        <w:rPr>
          <w:strike w:val="0"/>
        </w:rPr>
        <w:t>2.</w:t>
      </w:r>
    </w:p>
    <w:p>
      <w:pPr>
        <w:pStyle w:val="BodyText"/>
        <w:spacing w:before="2"/>
      </w:pPr>
    </w:p>
    <w:p>
      <w:pPr>
        <w:pStyle w:val="BodyText"/>
        <w:ind w:left="686"/>
      </w:pPr>
      <w:r>
        <w:rPr/>
        <w:t>(Continued)</w:t>
      </w:r>
    </w:p>
    <w:p>
      <w:pPr>
        <w:spacing w:after="0"/>
        <w:sectPr>
          <w:pgSz w:w="12240" w:h="15840"/>
          <w:pgMar w:header="724" w:footer="1079" w:top="980" w:bottom="1260" w:left="480" w:right="1320"/>
        </w:sectPr>
      </w:pPr>
    </w:p>
    <w:p>
      <w:pPr>
        <w:pStyle w:val="BodyText"/>
        <w:rPr>
          <w:sz w:val="20"/>
        </w:rPr>
      </w:pPr>
    </w:p>
    <w:p>
      <w:pPr>
        <w:pStyle w:val="BodyText"/>
        <w:spacing w:before="214"/>
        <w:ind w:left="686"/>
      </w:pPr>
      <w:r>
        <w:rPr/>
        <w:t>(Continued)</w:t>
      </w:r>
    </w:p>
    <w:p>
      <w:pPr>
        <w:pStyle w:val="Heading2"/>
        <w:ind w:left="686"/>
      </w:pPr>
      <w:r>
        <w:rPr/>
        <w:t>STANDARD INFORMATION REQUIRED WHEN REQUESTING</w:t>
      </w:r>
    </w:p>
    <w:p>
      <w:pPr>
        <w:tabs>
          <w:tab w:pos="8783" w:val="left" w:leader="none"/>
        </w:tabs>
        <w:spacing w:before="0"/>
        <w:ind w:left="686" w:right="0" w:firstLine="0"/>
        <w:jc w:val="left"/>
        <w:rPr>
          <w:sz w:val="24"/>
        </w:rPr>
      </w:pPr>
      <w:r>
        <w:rPr>
          <w:b/>
          <w:sz w:val="24"/>
        </w:rPr>
        <w:t>PWB OR</w:t>
      </w:r>
      <w:r>
        <w:rPr>
          <w:b/>
          <w:spacing w:val="-4"/>
          <w:sz w:val="24"/>
        </w:rPr>
        <w:t> </w:t>
      </w:r>
      <w:r>
        <w:rPr>
          <w:b/>
          <w:sz w:val="24"/>
        </w:rPr>
        <w:t>DOF ACTION</w:t>
        <w:tab/>
        <w:t>6845 </w:t>
      </w:r>
      <w:r>
        <w:rPr>
          <w:sz w:val="24"/>
        </w:rPr>
        <w:t>(Cont.</w:t>
      </w:r>
      <w:r>
        <w:rPr>
          <w:spacing w:val="-6"/>
          <w:sz w:val="24"/>
        </w:rPr>
        <w:t> </w:t>
      </w:r>
      <w:r>
        <w:rPr>
          <w:sz w:val="24"/>
        </w:rPr>
        <w:t>1)</w:t>
      </w:r>
    </w:p>
    <w:p>
      <w:pPr>
        <w:pStyle w:val="BodyText"/>
        <w:ind w:left="686"/>
      </w:pPr>
      <w:r>
        <w:rPr/>
        <w:t>(New 5/1998)</w:t>
      </w:r>
    </w:p>
    <w:p>
      <w:pPr>
        <w:pStyle w:val="BodyText"/>
        <w:spacing w:before="5"/>
        <w:rPr>
          <w:sz w:val="34"/>
        </w:rPr>
      </w:pPr>
    </w:p>
    <w:p>
      <w:pPr>
        <w:pStyle w:val="Heading2"/>
        <w:ind w:left="686"/>
      </w:pPr>
      <w:r>
        <w:rPr/>
        <w:t>PWB agenda package:</w:t>
      </w:r>
    </w:p>
    <w:p>
      <w:pPr>
        <w:pStyle w:val="BodyText"/>
        <w:spacing w:before="120"/>
        <w:ind w:left="1046" w:hanging="360"/>
      </w:pPr>
      <w:r>
        <w:rPr>
          <w:strike/>
          <w:color w:val="2E97D3"/>
        </w:rPr>
        <w:t>1.</w:t>
      </w:r>
      <w:r>
        <w:rPr>
          <w:strike w:val="0"/>
          <w:color w:val="2E97D3"/>
          <w:u w:val="single" w:color="2E97D3"/>
        </w:rPr>
        <w:t>3 </w:t>
      </w:r>
      <w:r>
        <w:rPr>
          <w:b/>
          <w:strike w:val="0"/>
        </w:rPr>
        <w:t>Who submits an agenda package: </w:t>
      </w:r>
      <w:r>
        <w:rPr>
          <w:strike w:val="0"/>
        </w:rPr>
        <w:t>The project manager—either DGS or the client department if it is authorized to act as project manager—submits the agenda item. However, if DGS submits the agenda item, the client department is nonetheless responsible for the accuracy of program information and for providing all required supporting documents to DGS in a timely manner.</w:t>
      </w:r>
    </w:p>
    <w:p>
      <w:pPr>
        <w:pStyle w:val="Heading2"/>
        <w:numPr>
          <w:ilvl w:val="1"/>
          <w:numId w:val="90"/>
        </w:numPr>
        <w:tabs>
          <w:tab w:pos="1047" w:val="left" w:leader="none"/>
        </w:tabs>
        <w:spacing w:line="240" w:lineRule="auto" w:before="120" w:after="0"/>
        <w:ind w:left="1046" w:right="0" w:hanging="360"/>
        <w:jc w:val="left"/>
      </w:pPr>
      <w:r>
        <w:rPr>
          <w:strike w:val="0"/>
        </w:rPr>
        <w:t>What comprises the agenda</w:t>
      </w:r>
      <w:r>
        <w:rPr>
          <w:strike w:val="0"/>
          <w:spacing w:val="-20"/>
        </w:rPr>
        <w:t> </w:t>
      </w:r>
      <w:r>
        <w:rPr>
          <w:strike w:val="0"/>
        </w:rPr>
        <w:t>package:</w:t>
      </w:r>
    </w:p>
    <w:p>
      <w:pPr>
        <w:pStyle w:val="ListParagraph"/>
        <w:numPr>
          <w:ilvl w:val="2"/>
          <w:numId w:val="90"/>
        </w:numPr>
        <w:tabs>
          <w:tab w:pos="1407" w:val="left" w:leader="none"/>
        </w:tabs>
        <w:spacing w:line="242" w:lineRule="auto" w:before="117" w:after="0"/>
        <w:ind w:left="1406" w:right="289" w:hanging="360"/>
        <w:jc w:val="left"/>
        <w:rPr>
          <w:sz w:val="24"/>
        </w:rPr>
      </w:pPr>
      <w:r>
        <w:rPr>
          <w:i/>
          <w:sz w:val="24"/>
        </w:rPr>
        <w:t>An agenda item, </w:t>
      </w:r>
      <w:r>
        <w:rPr>
          <w:sz w:val="24"/>
        </w:rPr>
        <w:t>which is the legal action the client department is asking the board to</w:t>
      </w:r>
      <w:r>
        <w:rPr>
          <w:spacing w:val="-2"/>
          <w:sz w:val="24"/>
        </w:rPr>
        <w:t> </w:t>
      </w:r>
      <w:r>
        <w:rPr>
          <w:sz w:val="24"/>
        </w:rPr>
        <w:t>take.</w:t>
      </w:r>
    </w:p>
    <w:p>
      <w:pPr>
        <w:pStyle w:val="ListParagraph"/>
        <w:numPr>
          <w:ilvl w:val="2"/>
          <w:numId w:val="90"/>
        </w:numPr>
        <w:tabs>
          <w:tab w:pos="1407" w:val="left" w:leader="none"/>
        </w:tabs>
        <w:spacing w:line="240" w:lineRule="auto" w:before="114" w:after="0"/>
        <w:ind w:left="1406" w:right="835" w:hanging="360"/>
        <w:jc w:val="left"/>
        <w:rPr>
          <w:sz w:val="24"/>
        </w:rPr>
      </w:pPr>
      <w:r>
        <w:rPr>
          <w:i/>
          <w:sz w:val="24"/>
        </w:rPr>
        <w:t>A briefing document, </w:t>
      </w:r>
      <w:r>
        <w:rPr>
          <w:sz w:val="24"/>
        </w:rPr>
        <w:t>which is used as part of the staff analysis for the board agenda. Briefing documents must include all the information described in the following text and in general should fit on one</w:t>
      </w:r>
      <w:r>
        <w:rPr>
          <w:spacing w:val="-24"/>
          <w:sz w:val="24"/>
        </w:rPr>
        <w:t> </w:t>
      </w:r>
      <w:r>
        <w:rPr>
          <w:sz w:val="24"/>
        </w:rPr>
        <w:t>page.</w:t>
      </w:r>
    </w:p>
    <w:p>
      <w:pPr>
        <w:pStyle w:val="ListParagraph"/>
        <w:numPr>
          <w:ilvl w:val="2"/>
          <w:numId w:val="90"/>
        </w:numPr>
        <w:tabs>
          <w:tab w:pos="1407" w:val="left" w:leader="none"/>
        </w:tabs>
        <w:spacing w:line="240" w:lineRule="auto" w:before="117" w:after="0"/>
        <w:ind w:left="1406" w:right="183" w:hanging="360"/>
        <w:jc w:val="left"/>
        <w:rPr>
          <w:sz w:val="24"/>
        </w:rPr>
      </w:pPr>
      <w:r>
        <w:rPr>
          <w:i/>
          <w:sz w:val="24"/>
        </w:rPr>
        <w:t>All pertinent backup material</w:t>
      </w:r>
      <w:r>
        <w:rPr>
          <w:sz w:val="24"/>
        </w:rPr>
        <w:t>. Different types of agenda items have different information requirements. See the various sections on site selection and acquisition, preliminary plans, construction, bond items, augmentations, and project scope.</w:t>
      </w:r>
    </w:p>
    <w:p>
      <w:pPr>
        <w:pStyle w:val="ListParagraph"/>
        <w:numPr>
          <w:ilvl w:val="2"/>
          <w:numId w:val="90"/>
        </w:numPr>
        <w:tabs>
          <w:tab w:pos="1407" w:val="left" w:leader="none"/>
        </w:tabs>
        <w:spacing w:line="240" w:lineRule="auto" w:before="117" w:after="0"/>
        <w:ind w:left="1406" w:right="275" w:hanging="360"/>
        <w:jc w:val="left"/>
        <w:rPr>
          <w:sz w:val="24"/>
        </w:rPr>
      </w:pPr>
      <w:r>
        <w:rPr>
          <w:i/>
          <w:sz w:val="24"/>
        </w:rPr>
        <w:t>A draft 20-day notification letter </w:t>
      </w:r>
      <w:r>
        <w:rPr>
          <w:sz w:val="24"/>
        </w:rPr>
        <w:t>for items which must be noticed to the Legislature (scope changes and certain augmentations). See Section 6861 for augmentations and Section 6863 for scope changes. Examples of notification letters to the Legislature are available from the DOF Capital Outlay</w:t>
      </w:r>
      <w:r>
        <w:rPr>
          <w:spacing w:val="-27"/>
          <w:sz w:val="24"/>
        </w:rPr>
        <w:t> </w:t>
      </w:r>
      <w:r>
        <w:rPr>
          <w:sz w:val="24"/>
        </w:rPr>
        <w:t>Unit.</w:t>
      </w:r>
    </w:p>
    <w:p>
      <w:pPr>
        <w:pStyle w:val="BodyText"/>
        <w:tabs>
          <w:tab w:pos="1406" w:val="left" w:leader="none"/>
        </w:tabs>
        <w:spacing w:before="119"/>
        <w:ind w:left="1046" w:right="208" w:hanging="360"/>
      </w:pPr>
      <w:r>
        <w:rPr>
          <w:strike/>
          <w:color w:val="2E97D3"/>
        </w:rPr>
        <w:t>3.</w:t>
      </w:r>
      <w:r>
        <w:rPr>
          <w:strike w:val="0"/>
          <w:color w:val="2E97D3"/>
          <w:u w:val="single" w:color="2E97D3"/>
        </w:rPr>
        <w:t>1.</w:t>
        <w:tab/>
      </w:r>
      <w:r>
        <w:rPr>
          <w:b/>
          <w:strike w:val="0"/>
        </w:rPr>
        <w:t>Format for agenda items:  </w:t>
      </w:r>
      <w:r>
        <w:rPr>
          <w:strike w:val="0"/>
        </w:rPr>
        <w:t>Departments must use a specific format for</w:t>
      </w:r>
      <w:r>
        <w:rPr>
          <w:strike w:val="0"/>
          <w:spacing w:val="-38"/>
        </w:rPr>
        <w:t> </w:t>
      </w:r>
      <w:r>
        <w:rPr>
          <w:strike w:val="0"/>
        </w:rPr>
        <w:t>each</w:t>
      </w:r>
      <w:r>
        <w:rPr>
          <w:strike w:val="0"/>
          <w:spacing w:val="-2"/>
        </w:rPr>
        <w:t> </w:t>
      </w:r>
      <w:r>
        <w:rPr>
          <w:strike w:val="0"/>
        </w:rPr>
        <w:t>type</w:t>
      </w:r>
      <w:r>
        <w:rPr>
          <w:strike w:val="0"/>
          <w:w w:val="99"/>
        </w:rPr>
        <w:t> </w:t>
      </w:r>
      <w:r>
        <w:rPr>
          <w:strike w:val="0"/>
        </w:rPr>
        <w:t>of agenda item.  Because there are a number of possible board actions, formats are not included in this chapter. Obtain format guidelines from the DOF Capital Outlay unit and use only those guidelines when preparing agenda items for PWB</w:t>
      </w:r>
      <w:r>
        <w:rPr>
          <w:strike w:val="0"/>
          <w:spacing w:val="-37"/>
        </w:rPr>
        <w:t> </w:t>
      </w:r>
      <w:r>
        <w:rPr>
          <w:strike w:val="0"/>
        </w:rPr>
        <w:t>action.</w:t>
      </w:r>
    </w:p>
    <w:p>
      <w:pPr>
        <w:pStyle w:val="BodyText"/>
        <w:spacing w:before="9"/>
        <w:rPr>
          <w:sz w:val="20"/>
        </w:rPr>
      </w:pPr>
    </w:p>
    <w:p>
      <w:pPr>
        <w:pStyle w:val="BodyText"/>
        <w:tabs>
          <w:tab w:pos="1406" w:val="left" w:leader="none"/>
        </w:tabs>
        <w:ind w:left="1046" w:right="182" w:hanging="360"/>
      </w:pPr>
      <w:r>
        <w:rPr>
          <w:strike/>
          <w:color w:val="2E97D3"/>
        </w:rPr>
        <w:t>4.</w:t>
      </w:r>
      <w:r>
        <w:rPr>
          <w:strike w:val="0"/>
          <w:color w:val="2E97D3"/>
          <w:u w:val="single" w:color="2E97D3"/>
        </w:rPr>
        <w:t>2.</w:t>
        <w:tab/>
      </w:r>
      <w:r>
        <w:rPr>
          <w:b/>
          <w:strike w:val="0"/>
        </w:rPr>
        <w:t>How to submit agenda packages:  </w:t>
      </w:r>
      <w:r>
        <w:rPr>
          <w:strike w:val="0"/>
        </w:rPr>
        <w:t>For all agenda items and</w:t>
      </w:r>
      <w:r>
        <w:rPr>
          <w:strike w:val="0"/>
          <w:spacing w:val="-35"/>
        </w:rPr>
        <w:t> </w:t>
      </w:r>
      <w:r>
        <w:rPr>
          <w:strike w:val="0"/>
        </w:rPr>
        <w:t>briefing</w:t>
      </w:r>
      <w:r>
        <w:rPr>
          <w:strike w:val="0"/>
          <w:spacing w:val="-4"/>
        </w:rPr>
        <w:t> </w:t>
      </w:r>
      <w:r>
        <w:rPr>
          <w:strike w:val="0"/>
        </w:rPr>
        <w:t>documents,</w:t>
      </w:r>
      <w:r>
        <w:rPr>
          <w:strike w:val="0"/>
          <w:w w:val="100"/>
        </w:rPr>
        <w:t> </w:t>
      </w:r>
      <w:r>
        <w:rPr>
          <w:strike w:val="0"/>
        </w:rPr>
        <w:t>provide both an electronic copy on disk as well as a hard copy. The rest of the agenda package is submitted only in hard</w:t>
      </w:r>
      <w:r>
        <w:rPr>
          <w:strike w:val="0"/>
          <w:spacing w:val="-18"/>
        </w:rPr>
        <w:t> </w:t>
      </w:r>
      <w:r>
        <w:rPr>
          <w:strike w:val="0"/>
        </w:rPr>
        <w:t>copy.</w:t>
      </w:r>
    </w:p>
    <w:p>
      <w:pPr>
        <w:pStyle w:val="BodyText"/>
        <w:rPr>
          <w:sz w:val="21"/>
        </w:rPr>
      </w:pPr>
    </w:p>
    <w:p>
      <w:pPr>
        <w:pStyle w:val="BodyText"/>
        <w:ind w:left="686"/>
      </w:pPr>
      <w:r>
        <w:rPr/>
        <w:t>(Continued)</w:t>
      </w:r>
    </w:p>
    <w:p>
      <w:pPr>
        <w:spacing w:after="0"/>
        <w:sectPr>
          <w:pgSz w:w="12240" w:h="15840"/>
          <w:pgMar w:header="724" w:footer="1079" w:top="980" w:bottom="1260" w:left="480" w:right="1320"/>
        </w:sectPr>
      </w:pPr>
    </w:p>
    <w:p>
      <w:pPr>
        <w:pStyle w:val="BodyText"/>
        <w:rPr>
          <w:sz w:val="20"/>
        </w:rPr>
      </w:pPr>
    </w:p>
    <w:p>
      <w:pPr>
        <w:pStyle w:val="BodyText"/>
        <w:spacing w:before="216"/>
        <w:ind w:left="686"/>
      </w:pPr>
      <w:r>
        <w:rPr/>
        <w:t>(Continued)</w:t>
      </w:r>
    </w:p>
    <w:p>
      <w:pPr>
        <w:pStyle w:val="Heading2"/>
        <w:spacing w:before="38"/>
        <w:ind w:left="686"/>
      </w:pPr>
      <w:r>
        <w:rPr/>
        <w:t>STANDARD INFORMATION REQUIRED WHEN REQUESTING</w:t>
      </w:r>
    </w:p>
    <w:p>
      <w:pPr>
        <w:tabs>
          <w:tab w:pos="8783" w:val="left" w:leader="none"/>
        </w:tabs>
        <w:spacing w:before="0"/>
        <w:ind w:left="686" w:right="0" w:firstLine="0"/>
        <w:jc w:val="left"/>
        <w:rPr>
          <w:sz w:val="24"/>
        </w:rPr>
      </w:pPr>
      <w:r>
        <w:rPr>
          <w:b/>
          <w:sz w:val="24"/>
        </w:rPr>
        <w:t>PWB OR</w:t>
      </w:r>
      <w:r>
        <w:rPr>
          <w:b/>
          <w:spacing w:val="-4"/>
          <w:sz w:val="24"/>
        </w:rPr>
        <w:t> </w:t>
      </w:r>
      <w:r>
        <w:rPr>
          <w:b/>
          <w:sz w:val="24"/>
        </w:rPr>
        <w:t>DOF ACTION</w:t>
        <w:tab/>
        <w:t>6845 </w:t>
      </w:r>
      <w:r>
        <w:rPr>
          <w:sz w:val="24"/>
        </w:rPr>
        <w:t>(Cont.</w:t>
      </w:r>
      <w:r>
        <w:rPr>
          <w:spacing w:val="-6"/>
          <w:sz w:val="24"/>
        </w:rPr>
        <w:t> </w:t>
      </w:r>
      <w:r>
        <w:rPr>
          <w:sz w:val="24"/>
        </w:rPr>
        <w:t>2)</w:t>
      </w:r>
    </w:p>
    <w:p>
      <w:pPr>
        <w:pStyle w:val="BodyText"/>
        <w:ind w:left="686"/>
      </w:pPr>
      <w:r>
        <w:rPr/>
        <w:t>(New 5/1998)</w:t>
      </w:r>
    </w:p>
    <w:p>
      <w:pPr>
        <w:pStyle w:val="BodyText"/>
        <w:spacing w:before="10"/>
        <w:rPr>
          <w:sz w:val="20"/>
        </w:rPr>
      </w:pPr>
    </w:p>
    <w:p>
      <w:pPr>
        <w:tabs>
          <w:tab w:pos="1406" w:val="left" w:leader="none"/>
        </w:tabs>
        <w:spacing w:before="0"/>
        <w:ind w:left="1046" w:right="574" w:hanging="360"/>
        <w:jc w:val="left"/>
        <w:rPr>
          <w:sz w:val="24"/>
        </w:rPr>
      </w:pPr>
      <w:r>
        <w:rPr>
          <w:strike/>
          <w:color w:val="2E97D3"/>
          <w:sz w:val="24"/>
        </w:rPr>
        <w:t>5.</w:t>
      </w:r>
      <w:r>
        <w:rPr>
          <w:strike w:val="0"/>
          <w:color w:val="2E97D3"/>
          <w:sz w:val="24"/>
          <w:u w:val="single" w:color="2E97D3"/>
        </w:rPr>
        <w:t>3.</w:t>
        <w:tab/>
      </w:r>
      <w:r>
        <w:rPr>
          <w:b/>
          <w:strike w:val="0"/>
          <w:sz w:val="24"/>
        </w:rPr>
        <w:t>When to submit agenda packages</w:t>
      </w:r>
      <w:r>
        <w:rPr>
          <w:strike w:val="0"/>
          <w:sz w:val="24"/>
        </w:rPr>
        <w:t>:  See “key monthly time-frames”</w:t>
      </w:r>
      <w:r>
        <w:rPr>
          <w:strike w:val="0"/>
          <w:spacing w:val="-32"/>
          <w:sz w:val="24"/>
        </w:rPr>
        <w:t> </w:t>
      </w:r>
      <w:r>
        <w:rPr>
          <w:strike w:val="0"/>
          <w:sz w:val="24"/>
        </w:rPr>
        <w:t>in</w:t>
      </w:r>
      <w:r>
        <w:rPr>
          <w:strike w:val="0"/>
          <w:spacing w:val="-2"/>
          <w:sz w:val="24"/>
        </w:rPr>
        <w:t> </w:t>
      </w:r>
      <w:r>
        <w:rPr>
          <w:strike w:val="0"/>
          <w:sz w:val="24"/>
        </w:rPr>
        <w:t>Section</w:t>
      </w:r>
      <w:r>
        <w:rPr>
          <w:strike w:val="0"/>
          <w:w w:val="99"/>
          <w:sz w:val="24"/>
        </w:rPr>
        <w:t> </w:t>
      </w:r>
      <w:r>
        <w:rPr>
          <w:strike w:val="0"/>
          <w:sz w:val="24"/>
        </w:rPr>
        <w:t>6844.</w:t>
      </w:r>
    </w:p>
    <w:p>
      <w:pPr>
        <w:pStyle w:val="BodyText"/>
        <w:spacing w:before="10"/>
        <w:rPr>
          <w:sz w:val="20"/>
        </w:rPr>
      </w:pPr>
    </w:p>
    <w:p>
      <w:pPr>
        <w:pStyle w:val="BodyText"/>
        <w:ind w:left="686" w:right="249"/>
      </w:pPr>
      <w:r>
        <w:rPr>
          <w:b/>
        </w:rPr>
        <w:t>Briefing document for agenda packages: </w:t>
      </w:r>
      <w:r>
        <w:rPr/>
        <w:t>As noted in the preceding text, a board briefing document must accompany each agenda package requesting a board action. This information is used in the staff analysis for the board meeting. Present information in the following</w:t>
      </w:r>
      <w:r>
        <w:rPr>
          <w:spacing w:val="-9"/>
        </w:rPr>
        <w:t> </w:t>
      </w:r>
      <w:r>
        <w:rPr/>
        <w:t>format:</w:t>
      </w:r>
    </w:p>
    <w:p>
      <w:pPr>
        <w:pStyle w:val="BodyText"/>
        <w:tabs>
          <w:tab w:pos="2126" w:val="left" w:leader="none"/>
        </w:tabs>
        <w:spacing w:line="343" w:lineRule="auto" w:before="120"/>
        <w:ind w:left="1046" w:right="4560"/>
      </w:pPr>
      <w:r>
        <w:rPr>
          <w:strike/>
          <w:color w:val="2E97D3"/>
        </w:rPr>
        <w:t>1.</w:t>
      </w:r>
      <w:r>
        <w:rPr>
          <w:strike w:val="0"/>
          <w:color w:val="2E97D3"/>
          <w:u w:val="single" w:color="2E97D3"/>
        </w:rPr>
        <w:t>a.</w:t>
        <w:tab/>
      </w:r>
      <w:r>
        <w:rPr>
          <w:strike w:val="0"/>
        </w:rPr>
        <w:t>Project title, matching</w:t>
      </w:r>
      <w:r>
        <w:rPr>
          <w:strike w:val="0"/>
          <w:spacing w:val="-12"/>
        </w:rPr>
        <w:t> </w:t>
      </w:r>
      <w:r>
        <w:rPr>
          <w:strike w:val="0"/>
        </w:rPr>
        <w:t>agenda</w:t>
      </w:r>
      <w:r>
        <w:rPr>
          <w:strike w:val="0"/>
          <w:spacing w:val="-4"/>
        </w:rPr>
        <w:t> </w:t>
      </w:r>
      <w:r>
        <w:rPr>
          <w:strike w:val="0"/>
        </w:rPr>
        <w:t>item.</w:t>
      </w:r>
      <w:r>
        <w:rPr>
          <w:strike w:val="0"/>
          <w:w w:val="100"/>
        </w:rPr>
        <w:t> </w:t>
      </w:r>
      <w:r>
        <w:rPr>
          <w:strike/>
          <w:color w:val="2E97D3"/>
        </w:rPr>
        <w:t>2.</w:t>
      </w:r>
      <w:r>
        <w:rPr>
          <w:strike w:val="0"/>
          <w:color w:val="2E97D3"/>
          <w:u w:val="single" w:color="2E97D3"/>
        </w:rPr>
        <w:t>b.</w:t>
        <w:tab/>
      </w:r>
      <w:r>
        <w:rPr>
          <w:strike w:val="0"/>
        </w:rPr>
        <w:t>Project authority (all</w:t>
      </w:r>
      <w:r>
        <w:rPr>
          <w:strike w:val="0"/>
          <w:spacing w:val="-13"/>
        </w:rPr>
        <w:t> </w:t>
      </w:r>
      <w:r>
        <w:rPr>
          <w:strike w:val="0"/>
        </w:rPr>
        <w:t>phases).</w:t>
      </w:r>
    </w:p>
    <w:p>
      <w:pPr>
        <w:pStyle w:val="BodyText"/>
        <w:tabs>
          <w:tab w:pos="2126" w:val="left" w:leader="none"/>
        </w:tabs>
        <w:spacing w:before="4"/>
        <w:ind w:left="1046"/>
      </w:pPr>
      <w:r>
        <w:rPr>
          <w:strike/>
          <w:color w:val="2E97D3"/>
        </w:rPr>
        <w:t>3.</w:t>
      </w:r>
      <w:r>
        <w:rPr>
          <w:strike w:val="0"/>
          <w:color w:val="2E97D3"/>
          <w:u w:val="single" w:color="2E97D3"/>
        </w:rPr>
        <w:t>c.</w:t>
        <w:tab/>
      </w:r>
      <w:r>
        <w:rPr>
          <w:strike w:val="0"/>
        </w:rPr>
        <w:t>Purpose of project and nature of proposed</w:t>
      </w:r>
      <w:r>
        <w:rPr>
          <w:strike w:val="0"/>
          <w:spacing w:val="-23"/>
        </w:rPr>
        <w:t> </w:t>
      </w:r>
      <w:r>
        <w:rPr>
          <w:strike w:val="0"/>
        </w:rPr>
        <w:t>action:</w:t>
      </w:r>
    </w:p>
    <w:p>
      <w:pPr>
        <w:pStyle w:val="ListParagraph"/>
        <w:numPr>
          <w:ilvl w:val="0"/>
          <w:numId w:val="91"/>
        </w:numPr>
        <w:tabs>
          <w:tab w:pos="1407" w:val="left" w:leader="none"/>
        </w:tabs>
        <w:spacing w:line="240" w:lineRule="auto" w:before="119" w:after="0"/>
        <w:ind w:left="1406" w:right="0" w:hanging="360"/>
        <w:jc w:val="left"/>
        <w:rPr>
          <w:sz w:val="24"/>
        </w:rPr>
      </w:pPr>
      <w:r>
        <w:rPr>
          <w:sz w:val="24"/>
        </w:rPr>
        <w:t>For preliminary plan</w:t>
      </w:r>
      <w:r>
        <w:rPr>
          <w:spacing w:val="-18"/>
          <w:sz w:val="24"/>
        </w:rPr>
        <w:t> </w:t>
      </w:r>
      <w:r>
        <w:rPr>
          <w:sz w:val="24"/>
        </w:rPr>
        <w:t>approvals:</w:t>
      </w:r>
    </w:p>
    <w:p>
      <w:pPr>
        <w:pStyle w:val="ListParagraph"/>
        <w:numPr>
          <w:ilvl w:val="1"/>
          <w:numId w:val="91"/>
        </w:numPr>
        <w:tabs>
          <w:tab w:pos="1767" w:val="left" w:leader="none"/>
        </w:tabs>
        <w:spacing w:line="240" w:lineRule="auto" w:before="119" w:after="0"/>
        <w:ind w:left="1766" w:right="0" w:hanging="360"/>
        <w:jc w:val="left"/>
        <w:rPr>
          <w:sz w:val="24"/>
        </w:rPr>
      </w:pPr>
      <w:r>
        <w:rPr>
          <w:sz w:val="24"/>
        </w:rPr>
        <w:t>Square footage by program use,</w:t>
      </w:r>
      <w:r>
        <w:rPr>
          <w:spacing w:val="-16"/>
          <w:sz w:val="24"/>
        </w:rPr>
        <w:t> </w:t>
      </w:r>
      <w:r>
        <w:rPr>
          <w:sz w:val="24"/>
        </w:rPr>
        <w:t>and</w:t>
      </w:r>
    </w:p>
    <w:p>
      <w:pPr>
        <w:pStyle w:val="BodyText"/>
        <w:spacing w:before="10"/>
        <w:rPr>
          <w:sz w:val="23"/>
        </w:rPr>
      </w:pPr>
    </w:p>
    <w:p>
      <w:pPr>
        <w:pStyle w:val="ListParagraph"/>
        <w:numPr>
          <w:ilvl w:val="1"/>
          <w:numId w:val="91"/>
        </w:numPr>
        <w:tabs>
          <w:tab w:pos="1767" w:val="left" w:leader="none"/>
        </w:tabs>
        <w:spacing w:line="240" w:lineRule="auto" w:before="1" w:after="0"/>
        <w:ind w:left="1766" w:right="0" w:hanging="360"/>
        <w:jc w:val="left"/>
        <w:rPr>
          <w:sz w:val="24"/>
        </w:rPr>
      </w:pPr>
      <w:r>
        <w:rPr>
          <w:sz w:val="24"/>
        </w:rPr>
        <w:t>Number and type of buildings and landscaping</w:t>
      </w:r>
      <w:r>
        <w:rPr>
          <w:spacing w:val="-25"/>
          <w:sz w:val="24"/>
        </w:rPr>
        <w:t> </w:t>
      </w:r>
      <w:r>
        <w:rPr>
          <w:sz w:val="24"/>
        </w:rPr>
        <w:t>etc.</w:t>
      </w:r>
    </w:p>
    <w:p>
      <w:pPr>
        <w:pStyle w:val="ListParagraph"/>
        <w:numPr>
          <w:ilvl w:val="0"/>
          <w:numId w:val="91"/>
        </w:numPr>
        <w:tabs>
          <w:tab w:pos="1407" w:val="left" w:leader="none"/>
        </w:tabs>
        <w:spacing w:line="240" w:lineRule="auto" w:before="120" w:after="0"/>
        <w:ind w:left="1406" w:right="0" w:hanging="360"/>
        <w:jc w:val="left"/>
        <w:rPr>
          <w:sz w:val="24"/>
        </w:rPr>
      </w:pPr>
      <w:r>
        <w:rPr>
          <w:sz w:val="24"/>
        </w:rPr>
        <w:t>For site selection</w:t>
      </w:r>
      <w:r>
        <w:rPr>
          <w:spacing w:val="-17"/>
          <w:sz w:val="24"/>
        </w:rPr>
        <w:t> </w:t>
      </w:r>
      <w:r>
        <w:rPr>
          <w:sz w:val="24"/>
        </w:rPr>
        <w:t>approvals:</w:t>
      </w:r>
    </w:p>
    <w:p>
      <w:pPr>
        <w:pStyle w:val="BodyText"/>
        <w:spacing w:before="11"/>
        <w:rPr>
          <w:sz w:val="23"/>
        </w:rPr>
      </w:pPr>
    </w:p>
    <w:p>
      <w:pPr>
        <w:pStyle w:val="ListParagraph"/>
        <w:numPr>
          <w:ilvl w:val="1"/>
          <w:numId w:val="91"/>
        </w:numPr>
        <w:tabs>
          <w:tab w:pos="1767" w:val="left" w:leader="none"/>
        </w:tabs>
        <w:spacing w:line="240" w:lineRule="auto" w:before="0" w:after="0"/>
        <w:ind w:left="1766" w:right="0" w:hanging="360"/>
        <w:jc w:val="left"/>
        <w:rPr>
          <w:sz w:val="24"/>
        </w:rPr>
      </w:pPr>
      <w:r>
        <w:rPr>
          <w:sz w:val="24"/>
        </w:rPr>
        <w:t>Estimated dollar</w:t>
      </w:r>
      <w:r>
        <w:rPr>
          <w:spacing w:val="-12"/>
          <w:sz w:val="24"/>
        </w:rPr>
        <w:t> </w:t>
      </w:r>
      <w:r>
        <w:rPr>
          <w:sz w:val="24"/>
        </w:rPr>
        <w:t>amount,</w:t>
      </w:r>
    </w:p>
    <w:p>
      <w:pPr>
        <w:pStyle w:val="BodyText"/>
        <w:spacing w:before="11"/>
        <w:rPr>
          <w:sz w:val="23"/>
        </w:rPr>
      </w:pPr>
    </w:p>
    <w:p>
      <w:pPr>
        <w:pStyle w:val="ListParagraph"/>
        <w:numPr>
          <w:ilvl w:val="1"/>
          <w:numId w:val="91"/>
        </w:numPr>
        <w:tabs>
          <w:tab w:pos="1767" w:val="left" w:leader="none"/>
        </w:tabs>
        <w:spacing w:line="240" w:lineRule="auto" w:before="0" w:after="0"/>
        <w:ind w:left="1766" w:right="0" w:hanging="360"/>
        <w:jc w:val="left"/>
        <w:rPr>
          <w:sz w:val="24"/>
        </w:rPr>
      </w:pPr>
      <w:r>
        <w:rPr>
          <w:sz w:val="24"/>
        </w:rPr>
        <w:t>Acreage,</w:t>
      </w:r>
      <w:r>
        <w:rPr>
          <w:spacing w:val="-5"/>
          <w:sz w:val="24"/>
        </w:rPr>
        <w:t> </w:t>
      </w:r>
      <w:r>
        <w:rPr>
          <w:sz w:val="24"/>
        </w:rPr>
        <w:t>and</w:t>
      </w:r>
    </w:p>
    <w:p>
      <w:pPr>
        <w:pStyle w:val="BodyText"/>
        <w:spacing w:before="11"/>
        <w:rPr>
          <w:sz w:val="23"/>
        </w:rPr>
      </w:pPr>
    </w:p>
    <w:p>
      <w:pPr>
        <w:pStyle w:val="ListParagraph"/>
        <w:numPr>
          <w:ilvl w:val="1"/>
          <w:numId w:val="91"/>
        </w:numPr>
        <w:tabs>
          <w:tab w:pos="1767" w:val="left" w:leader="none"/>
        </w:tabs>
        <w:spacing w:line="240" w:lineRule="auto" w:before="0" w:after="0"/>
        <w:ind w:left="1766" w:right="0" w:hanging="360"/>
        <w:jc w:val="left"/>
        <w:rPr>
          <w:sz w:val="24"/>
        </w:rPr>
      </w:pPr>
      <w:r>
        <w:rPr>
          <w:sz w:val="24"/>
        </w:rPr>
        <w:t>Ultimate</w:t>
      </w:r>
      <w:r>
        <w:rPr>
          <w:spacing w:val="-7"/>
          <w:sz w:val="24"/>
        </w:rPr>
        <w:t> </w:t>
      </w:r>
      <w:r>
        <w:rPr>
          <w:sz w:val="24"/>
        </w:rPr>
        <w:t>purpose.</w:t>
      </w:r>
    </w:p>
    <w:p>
      <w:pPr>
        <w:pStyle w:val="ListParagraph"/>
        <w:numPr>
          <w:ilvl w:val="0"/>
          <w:numId w:val="91"/>
        </w:numPr>
        <w:tabs>
          <w:tab w:pos="1407" w:val="left" w:leader="none"/>
        </w:tabs>
        <w:spacing w:line="240" w:lineRule="auto" w:before="119" w:after="0"/>
        <w:ind w:left="1406" w:right="450" w:hanging="360"/>
        <w:jc w:val="left"/>
        <w:rPr>
          <w:sz w:val="24"/>
        </w:rPr>
      </w:pPr>
      <w:r>
        <w:rPr>
          <w:sz w:val="24"/>
        </w:rPr>
        <w:t>For reversions, the reason for the reversion and the fund source reverted monies will be returned to (Section 6862 describes types of</w:t>
      </w:r>
      <w:r>
        <w:rPr>
          <w:spacing w:val="-29"/>
          <w:sz w:val="24"/>
        </w:rPr>
        <w:t> </w:t>
      </w:r>
      <w:r>
        <w:rPr>
          <w:sz w:val="24"/>
        </w:rPr>
        <w:t>reversions).</w:t>
      </w:r>
    </w:p>
    <w:p>
      <w:pPr>
        <w:pStyle w:val="ListParagraph"/>
        <w:numPr>
          <w:ilvl w:val="0"/>
          <w:numId w:val="92"/>
        </w:numPr>
        <w:tabs>
          <w:tab w:pos="1047" w:val="left" w:leader="none"/>
        </w:tabs>
        <w:spacing w:line="240" w:lineRule="auto" w:before="119" w:after="0"/>
        <w:ind w:left="1046" w:right="0" w:hanging="360"/>
        <w:jc w:val="left"/>
        <w:rPr>
          <w:sz w:val="24"/>
        </w:rPr>
      </w:pPr>
      <w:r>
        <w:rPr>
          <w:sz w:val="24"/>
        </w:rPr>
        <w:t>Statement of scope and</w:t>
      </w:r>
      <w:r>
        <w:rPr>
          <w:spacing w:val="-10"/>
          <w:sz w:val="24"/>
        </w:rPr>
        <w:t> </w:t>
      </w:r>
      <w:r>
        <w:rPr>
          <w:sz w:val="24"/>
        </w:rPr>
        <w:t>cost:</w:t>
      </w:r>
    </w:p>
    <w:p>
      <w:pPr>
        <w:pStyle w:val="ListParagraph"/>
        <w:numPr>
          <w:ilvl w:val="1"/>
          <w:numId w:val="92"/>
        </w:numPr>
        <w:tabs>
          <w:tab w:pos="1407" w:val="left" w:leader="none"/>
        </w:tabs>
        <w:spacing w:line="240" w:lineRule="auto" w:before="119" w:after="0"/>
        <w:ind w:left="1406" w:right="0" w:hanging="360"/>
        <w:jc w:val="left"/>
        <w:rPr>
          <w:sz w:val="24"/>
        </w:rPr>
      </w:pPr>
      <w:r>
        <w:rPr>
          <w:sz w:val="24"/>
        </w:rPr>
        <w:t>Identify any legislatively-imposed restrictions on the</w:t>
      </w:r>
      <w:r>
        <w:rPr>
          <w:spacing w:val="-30"/>
          <w:sz w:val="24"/>
        </w:rPr>
        <w:t> </w:t>
      </w:r>
      <w:r>
        <w:rPr>
          <w:sz w:val="24"/>
        </w:rPr>
        <w:t>project;</w:t>
      </w:r>
    </w:p>
    <w:p>
      <w:pPr>
        <w:pStyle w:val="ListParagraph"/>
        <w:numPr>
          <w:ilvl w:val="1"/>
          <w:numId w:val="92"/>
        </w:numPr>
        <w:tabs>
          <w:tab w:pos="1407" w:val="left" w:leader="none"/>
        </w:tabs>
        <w:spacing w:line="240" w:lineRule="auto" w:before="119" w:after="0"/>
        <w:ind w:left="1406" w:right="0" w:hanging="360"/>
        <w:jc w:val="left"/>
        <w:rPr>
          <w:sz w:val="24"/>
        </w:rPr>
      </w:pPr>
      <w:r>
        <w:rPr>
          <w:sz w:val="24"/>
        </w:rPr>
        <w:t>If the project is within scope and cost, a statement of consistency is</w:t>
      </w:r>
      <w:r>
        <w:rPr>
          <w:spacing w:val="-30"/>
          <w:sz w:val="24"/>
        </w:rPr>
        <w:t> </w:t>
      </w:r>
      <w:r>
        <w:rPr>
          <w:sz w:val="24"/>
        </w:rPr>
        <w:t>adequate;</w:t>
      </w:r>
    </w:p>
    <w:p>
      <w:pPr>
        <w:pStyle w:val="ListParagraph"/>
        <w:numPr>
          <w:ilvl w:val="1"/>
          <w:numId w:val="92"/>
        </w:numPr>
        <w:tabs>
          <w:tab w:pos="1407" w:val="left" w:leader="none"/>
        </w:tabs>
        <w:spacing w:line="240" w:lineRule="auto" w:before="119" w:after="0"/>
        <w:ind w:left="1406" w:right="434" w:hanging="360"/>
        <w:jc w:val="left"/>
        <w:rPr>
          <w:sz w:val="24"/>
        </w:rPr>
      </w:pPr>
      <w:r>
        <w:rPr>
          <w:sz w:val="24"/>
        </w:rPr>
        <w:t>If the scope has changed, provide a brief description of change, its necessity and the date that the request for JLBC notification was</w:t>
      </w:r>
      <w:r>
        <w:rPr>
          <w:spacing w:val="-26"/>
          <w:sz w:val="24"/>
        </w:rPr>
        <w:t> </w:t>
      </w:r>
      <w:r>
        <w:rPr>
          <w:sz w:val="24"/>
        </w:rPr>
        <w:t>submitted;</w:t>
      </w:r>
    </w:p>
    <w:p>
      <w:pPr>
        <w:pStyle w:val="ListParagraph"/>
        <w:numPr>
          <w:ilvl w:val="1"/>
          <w:numId w:val="92"/>
        </w:numPr>
        <w:tabs>
          <w:tab w:pos="1407" w:val="left" w:leader="none"/>
        </w:tabs>
        <w:spacing w:line="240" w:lineRule="auto" w:before="119" w:after="0"/>
        <w:ind w:left="1406" w:right="157" w:hanging="360"/>
        <w:jc w:val="left"/>
        <w:rPr>
          <w:sz w:val="24"/>
        </w:rPr>
      </w:pPr>
      <w:r>
        <w:rPr>
          <w:sz w:val="24"/>
        </w:rPr>
        <w:t>If the cost has changed, cite the dollar amount of the change. For increases, also provide the percentage of increase based on the legislatively approved cost for that phase. (Section 6861 provides instructions for computing augmentations.) If the increase exceeds 10 percent, provide the date that the request for JLBC notification was submitted to DOF;</w:t>
      </w:r>
      <w:r>
        <w:rPr>
          <w:spacing w:val="-10"/>
          <w:sz w:val="24"/>
        </w:rPr>
        <w:t> </w:t>
      </w:r>
      <w:r>
        <w:rPr>
          <w:sz w:val="24"/>
        </w:rPr>
        <w:t>and</w:t>
      </w:r>
    </w:p>
    <w:p>
      <w:pPr>
        <w:pStyle w:val="ListParagraph"/>
        <w:numPr>
          <w:ilvl w:val="1"/>
          <w:numId w:val="92"/>
        </w:numPr>
        <w:tabs>
          <w:tab w:pos="1407" w:val="left" w:leader="none"/>
        </w:tabs>
        <w:spacing w:line="240" w:lineRule="auto" w:before="119" w:after="0"/>
        <w:ind w:left="1406" w:right="466" w:hanging="360"/>
        <w:jc w:val="left"/>
        <w:rPr>
          <w:sz w:val="24"/>
        </w:rPr>
      </w:pPr>
      <w:r>
        <w:rPr>
          <w:sz w:val="24"/>
        </w:rPr>
        <w:t>Identify any previously approved augmentations and the total cumulative costs in both dollars and</w:t>
      </w:r>
      <w:r>
        <w:rPr>
          <w:spacing w:val="-13"/>
          <w:sz w:val="24"/>
        </w:rPr>
        <w:t> </w:t>
      </w:r>
      <w:r>
        <w:rPr>
          <w:sz w:val="24"/>
        </w:rPr>
        <w:t>percentages.</w:t>
      </w:r>
    </w:p>
    <w:p>
      <w:pPr>
        <w:pStyle w:val="BodyText"/>
        <w:spacing w:before="119"/>
        <w:ind w:left="686"/>
      </w:pPr>
      <w:r>
        <w:rPr/>
        <w:t>(Continued)</w:t>
      </w:r>
    </w:p>
    <w:p>
      <w:pPr>
        <w:spacing w:after="0"/>
        <w:sectPr>
          <w:pgSz w:w="12240" w:h="15840"/>
          <w:pgMar w:header="724" w:footer="1079" w:top="980" w:bottom="1260" w:left="480" w:right="1320"/>
        </w:sectPr>
      </w:pPr>
    </w:p>
    <w:p>
      <w:pPr>
        <w:pStyle w:val="BodyText"/>
        <w:spacing w:before="4"/>
        <w:rPr>
          <w:rFonts w:ascii="Times New Roman"/>
          <w:sz w:val="17"/>
        </w:rPr>
      </w:pPr>
    </w:p>
    <w:p>
      <w:pPr>
        <w:spacing w:after="0"/>
        <w:rPr>
          <w:rFonts w:ascii="Times New Roman"/>
          <w:sz w:val="17"/>
        </w:rPr>
        <w:sectPr>
          <w:pgSz w:w="12240" w:h="15840"/>
          <w:pgMar w:header="724" w:footer="1079" w:top="980" w:bottom="1260" w:left="480" w:right="1720"/>
        </w:sectPr>
      </w:pPr>
    </w:p>
    <w:p>
      <w:pPr>
        <w:pStyle w:val="BodyText"/>
        <w:rPr>
          <w:rFonts w:ascii="Times New Roman"/>
          <w:sz w:val="20"/>
        </w:rPr>
      </w:pPr>
    </w:p>
    <w:p>
      <w:pPr>
        <w:pStyle w:val="BodyText"/>
        <w:spacing w:before="214"/>
        <w:ind w:left="686"/>
      </w:pPr>
      <w:r>
        <w:rPr/>
        <w:t>(Continued)</w:t>
      </w:r>
    </w:p>
    <w:p>
      <w:pPr>
        <w:pStyle w:val="Heading2"/>
        <w:ind w:left="686"/>
      </w:pPr>
      <w:r>
        <w:rPr/>
        <w:t>STANDARD INFORMATION REQUIRED WHEN REQUESTING</w:t>
      </w:r>
    </w:p>
    <w:p>
      <w:pPr>
        <w:tabs>
          <w:tab w:pos="8783" w:val="left" w:leader="none"/>
        </w:tabs>
        <w:spacing w:before="0"/>
        <w:ind w:left="686" w:right="0" w:firstLine="0"/>
        <w:jc w:val="left"/>
        <w:rPr>
          <w:sz w:val="24"/>
        </w:rPr>
      </w:pPr>
      <w:r>
        <w:rPr>
          <w:b/>
          <w:sz w:val="24"/>
        </w:rPr>
        <w:t>PWB OR</w:t>
      </w:r>
      <w:r>
        <w:rPr>
          <w:b/>
          <w:spacing w:val="-4"/>
          <w:sz w:val="24"/>
        </w:rPr>
        <w:t> </w:t>
      </w:r>
      <w:r>
        <w:rPr>
          <w:b/>
          <w:sz w:val="24"/>
        </w:rPr>
        <w:t>DOF ACTION</w:t>
        <w:tab/>
        <w:t>6845 </w:t>
      </w:r>
      <w:r>
        <w:rPr>
          <w:sz w:val="24"/>
        </w:rPr>
        <w:t>(Cont.</w:t>
      </w:r>
      <w:r>
        <w:rPr>
          <w:spacing w:val="-6"/>
          <w:sz w:val="24"/>
        </w:rPr>
        <w:t> </w:t>
      </w:r>
      <w:r>
        <w:rPr>
          <w:sz w:val="24"/>
        </w:rPr>
        <w:t>3)</w:t>
      </w:r>
    </w:p>
    <w:p>
      <w:pPr>
        <w:pStyle w:val="BodyText"/>
        <w:ind w:left="686"/>
      </w:pPr>
      <w:r>
        <w:rPr/>
        <w:t>(New 5/1998)</w:t>
      </w:r>
    </w:p>
    <w:p>
      <w:pPr>
        <w:pStyle w:val="BodyText"/>
        <w:spacing w:before="10"/>
        <w:rPr>
          <w:sz w:val="20"/>
        </w:rPr>
      </w:pPr>
    </w:p>
    <w:p>
      <w:pPr>
        <w:pStyle w:val="ListParagraph"/>
        <w:numPr>
          <w:ilvl w:val="0"/>
          <w:numId w:val="92"/>
        </w:numPr>
        <w:tabs>
          <w:tab w:pos="1047" w:val="left" w:leader="none"/>
        </w:tabs>
        <w:spacing w:line="240" w:lineRule="auto" w:before="0" w:after="0"/>
        <w:ind w:left="1046" w:right="344" w:hanging="360"/>
        <w:jc w:val="left"/>
        <w:rPr>
          <w:sz w:val="24"/>
        </w:rPr>
      </w:pPr>
      <w:r>
        <w:rPr>
          <w:sz w:val="24"/>
        </w:rPr>
        <w:t>Depending upon the type of item, certify that funds are available. If the fund is managed by another department, provide a certification from that department that funds are available. If the appropriation is not project-specific, the department should declare that use of these funds for this project is consistent with the department’s expenditure plan for the appropriation. Fund certification is not required for funds managed by DOF (e.g., the General Fund, Public Resources Account,</w:t>
      </w:r>
      <w:r>
        <w:rPr>
          <w:spacing w:val="-31"/>
          <w:sz w:val="24"/>
        </w:rPr>
        <w:t> </w:t>
      </w:r>
      <w:r>
        <w:rPr>
          <w:sz w:val="24"/>
        </w:rPr>
        <w:t>etc.).</w:t>
      </w:r>
    </w:p>
    <w:p>
      <w:pPr>
        <w:pStyle w:val="ListParagraph"/>
        <w:numPr>
          <w:ilvl w:val="0"/>
          <w:numId w:val="92"/>
        </w:numPr>
        <w:tabs>
          <w:tab w:pos="1047" w:val="left" w:leader="none"/>
        </w:tabs>
        <w:spacing w:line="242" w:lineRule="auto" w:before="120" w:after="0"/>
        <w:ind w:left="1046" w:right="853" w:hanging="360"/>
        <w:jc w:val="left"/>
        <w:rPr>
          <w:sz w:val="24"/>
        </w:rPr>
      </w:pPr>
      <w:r>
        <w:rPr>
          <w:sz w:val="24"/>
        </w:rPr>
        <w:t>For construction projects, departmental certification per Section 6850 that CEQA requirements have been</w:t>
      </w:r>
      <w:r>
        <w:rPr>
          <w:spacing w:val="-13"/>
          <w:sz w:val="24"/>
        </w:rPr>
        <w:t> </w:t>
      </w:r>
      <w:r>
        <w:rPr>
          <w:sz w:val="24"/>
        </w:rPr>
        <w:t>met.</w:t>
      </w:r>
    </w:p>
    <w:p>
      <w:pPr>
        <w:pStyle w:val="BodyText"/>
        <w:tabs>
          <w:tab w:pos="2126" w:val="left" w:leader="none"/>
        </w:tabs>
        <w:spacing w:before="194"/>
        <w:ind w:left="1406" w:right="489" w:hanging="360"/>
      </w:pPr>
      <w:r>
        <w:rPr>
          <w:strike/>
          <w:color w:val="2E97D3"/>
        </w:rPr>
        <w:t>7.</w:t>
      </w:r>
      <w:r>
        <w:rPr>
          <w:strike w:val="0"/>
          <w:color w:val="2E97D3"/>
          <w:u w:val="single" w:color="2E97D3"/>
        </w:rPr>
        <w:t>a.</w:t>
        <w:tab/>
      </w:r>
      <w:r>
        <w:rPr>
          <w:strike w:val="0"/>
        </w:rPr>
        <w:t>For site selections and acquisitions, departmental certification</w:t>
      </w:r>
      <w:r>
        <w:rPr>
          <w:strike w:val="0"/>
          <w:spacing w:val="-30"/>
        </w:rPr>
        <w:t> </w:t>
      </w:r>
      <w:r>
        <w:rPr>
          <w:strike w:val="0"/>
        </w:rPr>
        <w:t>per</w:t>
      </w:r>
      <w:r>
        <w:rPr>
          <w:strike w:val="0"/>
          <w:spacing w:val="-6"/>
        </w:rPr>
        <w:t> </w:t>
      </w:r>
      <w:r>
        <w:rPr>
          <w:strike w:val="0"/>
        </w:rPr>
        <w:t>Section</w:t>
      </w:r>
      <w:r>
        <w:rPr>
          <w:strike w:val="0"/>
          <w:w w:val="99"/>
        </w:rPr>
        <w:t> </w:t>
      </w:r>
      <w:r>
        <w:rPr>
          <w:strike w:val="0"/>
        </w:rPr>
        <w:t>6849</w:t>
      </w:r>
      <w:r>
        <w:rPr>
          <w:strike w:val="0"/>
          <w:spacing w:val="-4"/>
        </w:rPr>
        <w:t> </w:t>
      </w:r>
      <w:r>
        <w:rPr>
          <w:strike w:val="0"/>
        </w:rPr>
        <w:t>that:</w:t>
      </w:r>
    </w:p>
    <w:p>
      <w:pPr>
        <w:pStyle w:val="ListParagraph"/>
        <w:numPr>
          <w:ilvl w:val="0"/>
          <w:numId w:val="93"/>
        </w:numPr>
        <w:tabs>
          <w:tab w:pos="1407" w:val="left" w:leader="none"/>
        </w:tabs>
        <w:spacing w:line="242" w:lineRule="auto" w:before="117" w:after="0"/>
        <w:ind w:left="1406" w:right="185" w:hanging="360"/>
        <w:jc w:val="left"/>
        <w:rPr>
          <w:sz w:val="24"/>
        </w:rPr>
      </w:pPr>
      <w:r>
        <w:rPr>
          <w:sz w:val="24"/>
        </w:rPr>
        <w:t>CEQA has been complied with, including date final review period will be completed</w:t>
      </w:r>
      <w:r>
        <w:rPr>
          <w:i/>
          <w:sz w:val="24"/>
        </w:rPr>
        <w:t>. </w:t>
      </w:r>
      <w:r>
        <w:rPr>
          <w:sz w:val="24"/>
        </w:rPr>
        <w:t>(Provide a copy of the dated State Clearinghouse</w:t>
      </w:r>
      <w:r>
        <w:rPr>
          <w:spacing w:val="-25"/>
          <w:sz w:val="24"/>
        </w:rPr>
        <w:t> </w:t>
      </w:r>
      <w:r>
        <w:rPr>
          <w:sz w:val="24"/>
        </w:rPr>
        <w:t>document.)</w:t>
      </w:r>
    </w:p>
    <w:p>
      <w:pPr>
        <w:pStyle w:val="BodyText"/>
        <w:spacing w:before="8"/>
        <w:rPr>
          <w:sz w:val="23"/>
        </w:rPr>
      </w:pPr>
    </w:p>
    <w:p>
      <w:pPr>
        <w:pStyle w:val="ListParagraph"/>
        <w:numPr>
          <w:ilvl w:val="0"/>
          <w:numId w:val="93"/>
        </w:numPr>
        <w:tabs>
          <w:tab w:pos="1407" w:val="left" w:leader="none"/>
        </w:tabs>
        <w:spacing w:line="240" w:lineRule="auto" w:before="0" w:after="0"/>
        <w:ind w:left="1406" w:right="0" w:hanging="360"/>
        <w:jc w:val="left"/>
        <w:rPr>
          <w:sz w:val="24"/>
        </w:rPr>
      </w:pPr>
      <w:r>
        <w:rPr>
          <w:sz w:val="24"/>
        </w:rPr>
        <w:t>Implied dedication has been considered in the property</w:t>
      </w:r>
      <w:r>
        <w:rPr>
          <w:spacing w:val="-30"/>
          <w:sz w:val="24"/>
        </w:rPr>
        <w:t> </w:t>
      </w:r>
      <w:r>
        <w:rPr>
          <w:sz w:val="24"/>
        </w:rPr>
        <w:t>value.</w:t>
      </w:r>
    </w:p>
    <w:p>
      <w:pPr>
        <w:pStyle w:val="BodyText"/>
        <w:spacing w:before="11"/>
        <w:rPr>
          <w:sz w:val="23"/>
        </w:rPr>
      </w:pPr>
    </w:p>
    <w:p>
      <w:pPr>
        <w:pStyle w:val="ListParagraph"/>
        <w:numPr>
          <w:ilvl w:val="0"/>
          <w:numId w:val="93"/>
        </w:numPr>
        <w:tabs>
          <w:tab w:pos="1407" w:val="left" w:leader="none"/>
        </w:tabs>
        <w:spacing w:line="240" w:lineRule="auto" w:before="0" w:after="0"/>
        <w:ind w:left="1406" w:right="1033" w:hanging="360"/>
        <w:jc w:val="left"/>
        <w:rPr>
          <w:sz w:val="24"/>
        </w:rPr>
      </w:pPr>
      <w:r>
        <w:rPr>
          <w:sz w:val="24"/>
        </w:rPr>
        <w:t>If necessary, a relocation study has been prepared and adequate funds are available for relocation</w:t>
      </w:r>
      <w:r>
        <w:rPr>
          <w:spacing w:val="-14"/>
          <w:sz w:val="24"/>
        </w:rPr>
        <w:t> </w:t>
      </w:r>
      <w:r>
        <w:rPr>
          <w:sz w:val="24"/>
        </w:rPr>
        <w:t>costs.</w:t>
      </w:r>
    </w:p>
    <w:p>
      <w:pPr>
        <w:pStyle w:val="BodyText"/>
        <w:tabs>
          <w:tab w:pos="2126" w:val="left" w:leader="none"/>
        </w:tabs>
        <w:spacing w:before="120"/>
        <w:ind w:left="1046"/>
      </w:pPr>
      <w:r>
        <w:rPr>
          <w:strike/>
          <w:color w:val="2E97D3"/>
        </w:rPr>
        <w:t>8.</w:t>
      </w:r>
      <w:r>
        <w:rPr>
          <w:strike w:val="0"/>
          <w:color w:val="2E97D3"/>
          <w:u w:val="single" w:color="2E97D3"/>
        </w:rPr>
        <w:t>b.</w:t>
        <w:tab/>
      </w:r>
      <w:r>
        <w:rPr>
          <w:strike w:val="0"/>
        </w:rPr>
        <w:t>Project identification code (Section</w:t>
      </w:r>
      <w:r>
        <w:rPr>
          <w:strike w:val="0"/>
          <w:spacing w:val="-19"/>
        </w:rPr>
        <w:t> </w:t>
      </w:r>
      <w:r>
        <w:rPr>
          <w:strike w:val="0"/>
        </w:rPr>
        <w:t>6839).</w:t>
      </w:r>
    </w:p>
    <w:p>
      <w:pPr>
        <w:pStyle w:val="BodyText"/>
        <w:tabs>
          <w:tab w:pos="2126" w:val="left" w:leader="none"/>
        </w:tabs>
        <w:spacing w:before="120"/>
        <w:ind w:left="1046"/>
      </w:pPr>
      <w:r>
        <w:rPr>
          <w:strike/>
          <w:color w:val="2E97D3"/>
        </w:rPr>
        <w:t>9.</w:t>
      </w:r>
      <w:r>
        <w:rPr>
          <w:strike w:val="0"/>
          <w:color w:val="2E97D3"/>
          <w:u w:val="single" w:color="2E97D3"/>
        </w:rPr>
        <w:t>c.</w:t>
        <w:tab/>
      </w:r>
      <w:r>
        <w:rPr>
          <w:strike w:val="0"/>
        </w:rPr>
        <w:t>Summary of the construction/implementation</w:t>
      </w:r>
      <w:r>
        <w:rPr>
          <w:strike w:val="0"/>
          <w:spacing w:val="-25"/>
        </w:rPr>
        <w:t> </w:t>
      </w:r>
      <w:r>
        <w:rPr>
          <w:strike w:val="0"/>
        </w:rPr>
        <w:t>schedule.</w:t>
      </w:r>
    </w:p>
    <w:p>
      <w:pPr>
        <w:pStyle w:val="BodyText"/>
        <w:tabs>
          <w:tab w:pos="2126" w:val="left" w:leader="none"/>
        </w:tabs>
        <w:spacing w:before="120"/>
        <w:ind w:left="1406" w:right="1198" w:hanging="360"/>
      </w:pPr>
      <w:r>
        <w:rPr>
          <w:strike/>
          <w:color w:val="2E97D3"/>
        </w:rPr>
        <w:t>10.</w:t>
      </w:r>
      <w:r>
        <w:rPr>
          <w:strike w:val="0"/>
          <w:color w:val="2E97D3"/>
          <w:u w:val="single" w:color="2E97D3"/>
        </w:rPr>
        <w:t>d.</w:t>
        <w:tab/>
      </w:r>
      <w:r>
        <w:rPr>
          <w:strike w:val="0"/>
        </w:rPr>
        <w:t>Identify and discuss any other risks, concerns, controversy</w:t>
      </w:r>
      <w:r>
        <w:rPr>
          <w:strike w:val="0"/>
          <w:spacing w:val="-27"/>
        </w:rPr>
        <w:t> </w:t>
      </w:r>
      <w:r>
        <w:rPr>
          <w:strike w:val="0"/>
        </w:rPr>
        <w:t>or</w:t>
      </w:r>
      <w:r>
        <w:rPr>
          <w:strike w:val="0"/>
          <w:spacing w:val="-4"/>
        </w:rPr>
        <w:t> </w:t>
      </w:r>
      <w:r>
        <w:rPr>
          <w:strike w:val="0"/>
        </w:rPr>
        <w:t>other</w:t>
      </w:r>
      <w:r>
        <w:rPr>
          <w:strike w:val="0"/>
          <w:w w:val="99"/>
        </w:rPr>
        <w:t> </w:t>
      </w:r>
      <w:r>
        <w:rPr>
          <w:strike w:val="0"/>
        </w:rPr>
        <w:t>information that the board may need to make a fully informed</w:t>
      </w:r>
      <w:r>
        <w:rPr>
          <w:strike w:val="0"/>
          <w:spacing w:val="-30"/>
        </w:rPr>
        <w:t> </w:t>
      </w:r>
      <w:r>
        <w:rPr>
          <w:strike w:val="0"/>
        </w:rPr>
        <w:t>decision.</w:t>
      </w:r>
    </w:p>
    <w:p>
      <w:pPr>
        <w:pStyle w:val="BodyText"/>
        <w:spacing w:before="120"/>
        <w:ind w:left="686"/>
      </w:pPr>
      <w:r>
        <w:rPr/>
        <w:t>Examples of briefing documents are available from the DOF Capital Outlay unit.</w:t>
      </w:r>
    </w:p>
    <w:p>
      <w:pPr>
        <w:spacing w:after="0"/>
        <w:sectPr>
          <w:pgSz w:w="12240" w:h="15840"/>
          <w:pgMar w:header="724" w:footer="1079" w:top="980" w:bottom="1260" w:left="480" w:right="1320"/>
        </w:sectPr>
      </w:pPr>
    </w:p>
    <w:p>
      <w:pPr>
        <w:pStyle w:val="BodyText"/>
        <w:rPr>
          <w:sz w:val="20"/>
        </w:rPr>
      </w:pPr>
    </w:p>
    <w:p>
      <w:pPr>
        <w:spacing w:before="214"/>
        <w:ind w:left="1720" w:right="0" w:firstLine="0"/>
        <w:jc w:val="left"/>
        <w:rPr>
          <w:b/>
          <w:sz w:val="24"/>
        </w:rPr>
      </w:pPr>
      <w:r>
        <w:rPr>
          <w:b/>
          <w:sz w:val="24"/>
        </w:rPr>
        <w:t>REQUEST FOR APPROVAL TO PROCEED OR ENCUMBER FUNDS</w:t>
      </w:r>
    </w:p>
    <w:p>
      <w:pPr>
        <w:pStyle w:val="BodyText"/>
        <w:spacing w:before="11"/>
        <w:rPr>
          <w:b/>
          <w:sz w:val="15"/>
        </w:rPr>
      </w:pPr>
    </w:p>
    <w:p>
      <w:pPr>
        <w:spacing w:after="0"/>
        <w:rPr>
          <w:sz w:val="15"/>
        </w:rPr>
        <w:sectPr>
          <w:footerReference w:type="default" r:id="rId298"/>
          <w:pgSz w:w="12240" w:h="15840"/>
          <w:pgMar w:footer="1068" w:header="724" w:top="980" w:bottom="1260" w:left="480" w:right="1340"/>
        </w:sectPr>
      </w:pPr>
    </w:p>
    <w:p>
      <w:pPr>
        <w:pStyle w:val="BodyText"/>
        <w:tabs>
          <w:tab w:pos="5492" w:val="left" w:leader="none"/>
        </w:tabs>
        <w:spacing w:before="92"/>
        <w:ind w:left="686"/>
      </w:pPr>
      <w:r>
        <w:rPr/>
        <w:t>The</w:t>
      </w:r>
      <w:r>
        <w:rPr>
          <w:spacing w:val="-3"/>
        </w:rPr>
        <w:t> </w:t>
      </w:r>
      <w:r>
        <w:rPr/>
        <w:t>Department</w:t>
      </w:r>
      <w:r>
        <w:rPr>
          <w:spacing w:val="-6"/>
        </w:rPr>
        <w:t> </w:t>
      </w:r>
      <w:r>
        <w:rPr/>
        <w:t>of </w:t>
      </w:r>
      <w:r>
        <w:rPr>
          <w:spacing w:val="1"/>
        </w:rPr>
        <w:t> </w:t>
      </w:r>
      <w:r>
        <w:rPr>
          <w:w w:val="100"/>
          <w:u w:val="single"/>
        </w:rPr>
        <w:t> </w:t>
      </w:r>
      <w:r>
        <w:rPr>
          <w:u w:val="single"/>
        </w:rPr>
        <w:tab/>
      </w:r>
      <w:r>
        <w:rPr/>
        <w:t> to the following</w:t>
      </w:r>
      <w:r>
        <w:rPr>
          <w:spacing w:val="-12"/>
        </w:rPr>
        <w:t> </w:t>
      </w:r>
      <w:r>
        <w:rPr/>
        <w:t>project:</w:t>
      </w:r>
    </w:p>
    <w:p>
      <w:pPr>
        <w:pStyle w:val="BodyText"/>
        <w:spacing w:before="92"/>
        <w:ind w:left="92"/>
      </w:pPr>
      <w:r>
        <w:rPr/>
        <w:br w:type="column"/>
      </w:r>
      <w:r>
        <w:rPr/>
        <w:t>hereby requests PWB / DOF action related</w:t>
      </w:r>
    </w:p>
    <w:p>
      <w:pPr>
        <w:spacing w:after="0"/>
        <w:sectPr>
          <w:type w:val="continuous"/>
          <w:pgSz w:w="12240" w:h="15840"/>
          <w:pgMar w:top="560" w:bottom="280" w:left="480" w:right="1340"/>
          <w:cols w:num="2" w:equalWidth="0">
            <w:col w:w="5493" w:space="40"/>
            <w:col w:w="4887"/>
          </w:cols>
        </w:sectPr>
      </w:pPr>
    </w:p>
    <w:p>
      <w:pPr>
        <w:pStyle w:val="BodyText"/>
        <w:spacing w:before="3"/>
        <w:rPr>
          <w:sz w:val="15"/>
        </w:rPr>
      </w:pPr>
      <w:r>
        <w:rPr/>
        <w:pict>
          <v:line style="position:absolute;mso-position-horizontal-relative:page;mso-position-vertical-relative:page;z-index:27328" from="29.4pt,742.200012pt" to="29.4pt,756.000012pt" stroked="true" strokeweight=".72pt" strokecolor="#000000">
            <v:stroke dashstyle="solid"/>
            <w10:wrap type="none"/>
          </v:line>
        </w:pict>
      </w:r>
    </w:p>
    <w:p>
      <w:pPr>
        <w:pStyle w:val="BodyText"/>
        <w:tabs>
          <w:tab w:pos="3968" w:val="left" w:leader="none"/>
          <w:tab w:pos="10242" w:val="left" w:leader="none"/>
        </w:tabs>
        <w:spacing w:before="100"/>
        <w:ind w:left="686"/>
      </w:pPr>
      <w:r>
        <w:rPr>
          <w:strike/>
          <w:color w:val="2E97D3"/>
        </w:rPr>
        <w:t>1.</w:t>
      </w:r>
      <w:r>
        <w:rPr>
          <w:rFonts w:ascii="Symbol" w:hAnsi="Symbol"/>
          <w:strike w:val="0"/>
          <w:color w:val="2E97D3"/>
          <w:u w:val="single" w:color="2E97D3"/>
        </w:rPr>
        <w:t></w:t>
      </w:r>
      <w:r>
        <w:rPr>
          <w:rFonts w:ascii="Times New Roman" w:hAnsi="Times New Roman"/>
          <w:strike w:val="0"/>
          <w:color w:val="2E97D3"/>
          <w:spacing w:val="-13"/>
          <w:u w:val="single" w:color="2E97D3"/>
        </w:rPr>
        <w:t> </w:t>
      </w:r>
      <w:r>
        <w:rPr>
          <w:strike w:val="0"/>
        </w:rPr>
        <w:t>Project ID:</w:t>
      </w:r>
      <w:r>
        <w:rPr>
          <w:strike w:val="0"/>
          <w:u w:val="single"/>
        </w:rPr>
        <w:tab/>
      </w:r>
      <w:r>
        <w:rPr>
          <w:strike w:val="0"/>
        </w:rPr>
        <w:t>Project</w:t>
      </w:r>
      <w:r>
        <w:rPr>
          <w:strike w:val="0"/>
          <w:spacing w:val="-3"/>
        </w:rPr>
        <w:t> </w:t>
      </w:r>
      <w:r>
        <w:rPr>
          <w:strike w:val="0"/>
        </w:rPr>
        <w:t>Title: </w:t>
      </w:r>
      <w:r>
        <w:rPr>
          <w:strike w:val="0"/>
          <w:spacing w:val="-1"/>
        </w:rPr>
        <w:t> </w:t>
      </w:r>
      <w:r>
        <w:rPr>
          <w:strike w:val="0"/>
          <w:w w:val="100"/>
          <w:u w:val="single"/>
        </w:rPr>
        <w:t> </w:t>
      </w:r>
      <w:r>
        <w:rPr>
          <w:strike w:val="0"/>
          <w:u w:val="single"/>
        </w:rPr>
        <w:tab/>
      </w:r>
    </w:p>
    <w:p>
      <w:pPr>
        <w:pStyle w:val="BodyText"/>
        <w:spacing w:before="1"/>
        <w:rPr>
          <w:sz w:val="15"/>
        </w:rPr>
      </w:pPr>
    </w:p>
    <w:p>
      <w:pPr>
        <w:pStyle w:val="BodyText"/>
        <w:tabs>
          <w:tab w:pos="6772" w:val="left" w:leader="none"/>
          <w:tab w:pos="10242" w:val="left" w:leader="none"/>
        </w:tabs>
        <w:spacing w:before="100"/>
        <w:ind w:left="686"/>
      </w:pPr>
      <w:r>
        <w:rPr>
          <w:strike/>
          <w:color w:val="2E97D3"/>
        </w:rPr>
        <w:t>2.</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Requested PWB/DOF</w:t>
      </w:r>
      <w:r>
        <w:rPr>
          <w:strike w:val="0"/>
          <w:spacing w:val="-21"/>
        </w:rPr>
        <w:t> </w:t>
      </w:r>
      <w:r>
        <w:rPr>
          <w:strike w:val="0"/>
        </w:rPr>
        <w:t>Action</w:t>
      </w:r>
      <w:r>
        <w:rPr>
          <w:strike w:val="0"/>
          <w:spacing w:val="-1"/>
        </w:rPr>
        <w:t> </w:t>
      </w:r>
      <w:r>
        <w:rPr>
          <w:strike w:val="0"/>
        </w:rPr>
        <w:t>Date:</w:t>
      </w:r>
      <w:r>
        <w:rPr>
          <w:strike w:val="0"/>
          <w:u w:val="single"/>
        </w:rPr>
        <w:t> </w:t>
        <w:tab/>
      </w:r>
      <w:r>
        <w:rPr>
          <w:strike w:val="0"/>
        </w:rPr>
        <w:t>Date of last</w:t>
      </w:r>
      <w:r>
        <w:rPr>
          <w:strike w:val="0"/>
          <w:spacing w:val="-11"/>
        </w:rPr>
        <w:t> </w:t>
      </w:r>
      <w:r>
        <w:rPr>
          <w:strike w:val="0"/>
        </w:rPr>
        <w:t>approval:</w:t>
      </w:r>
      <w:r>
        <w:rPr>
          <w:strike w:val="0"/>
          <w:u w:val="single"/>
        </w:rPr>
        <w:t> </w:t>
        <w:tab/>
      </w:r>
    </w:p>
    <w:p>
      <w:pPr>
        <w:pStyle w:val="BodyText"/>
        <w:spacing w:before="7"/>
        <w:rPr>
          <w:sz w:val="23"/>
        </w:rPr>
      </w:pPr>
    </w:p>
    <w:p>
      <w:pPr>
        <w:pStyle w:val="BodyText"/>
        <w:ind w:left="1046" w:right="406" w:hanging="360"/>
      </w:pPr>
      <w:r>
        <w:rPr>
          <w:strike/>
          <w:color w:val="2E97D3"/>
        </w:rPr>
        <w:t>3.</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Requested Action: (all reporting requirements related to this request as defined in SAM, are attached)</w:t>
      </w:r>
    </w:p>
    <w:p>
      <w:pPr>
        <w:pStyle w:val="BodyText"/>
        <w:tabs>
          <w:tab w:pos="1580" w:val="left" w:leader="none"/>
        </w:tabs>
        <w:ind w:left="1742" w:right="697" w:hanging="696"/>
      </w:pPr>
      <w:r>
        <w:rPr>
          <w:w w:val="100"/>
          <w:u w:val="single"/>
        </w:rPr>
        <w:t> </w:t>
      </w:r>
      <w:r>
        <w:rPr>
          <w:u w:val="single"/>
        </w:rPr>
        <w:tab/>
      </w:r>
      <w:r>
        <w:rPr/>
        <w:t> </w:t>
      </w:r>
      <w:r>
        <w:rPr>
          <w:spacing w:val="2"/>
        </w:rPr>
        <w:t> </w:t>
      </w:r>
      <w:r>
        <w:rPr/>
        <w:t>Site Acquisition -  Section 6848 (an agenda package has been</w:t>
      </w:r>
      <w:r>
        <w:rPr>
          <w:spacing w:val="-32"/>
        </w:rPr>
        <w:t> </w:t>
      </w:r>
      <w:r>
        <w:rPr/>
        <w:t>submitted</w:t>
      </w:r>
      <w:r>
        <w:rPr>
          <w:spacing w:val="-2"/>
        </w:rPr>
        <w:t> </w:t>
      </w:r>
      <w:r>
        <w:rPr/>
        <w:t>to (DGS)</w:t>
      </w:r>
    </w:p>
    <w:p>
      <w:pPr>
        <w:pStyle w:val="BodyText"/>
        <w:tabs>
          <w:tab w:pos="1580" w:val="left" w:leader="none"/>
        </w:tabs>
        <w:ind w:left="1046"/>
      </w:pPr>
      <w:r>
        <w:rPr>
          <w:w w:val="100"/>
          <w:u w:val="single"/>
        </w:rPr>
        <w:t> </w:t>
      </w:r>
      <w:r>
        <w:rPr>
          <w:u w:val="single"/>
        </w:rPr>
        <w:tab/>
      </w:r>
      <w:r>
        <w:rPr/>
        <w:t> </w:t>
      </w:r>
      <w:r>
        <w:rPr>
          <w:spacing w:val="2"/>
        </w:rPr>
        <w:t> </w:t>
      </w:r>
      <w:r>
        <w:rPr/>
        <w:t>Approve Preliminary Plans - Section</w:t>
      </w:r>
      <w:r>
        <w:rPr>
          <w:spacing w:val="-23"/>
        </w:rPr>
        <w:t> </w:t>
      </w:r>
      <w:r>
        <w:rPr/>
        <w:t>6851</w:t>
      </w:r>
    </w:p>
    <w:p>
      <w:pPr>
        <w:pStyle w:val="BodyText"/>
        <w:tabs>
          <w:tab w:pos="1580" w:val="left" w:leader="none"/>
        </w:tabs>
        <w:ind w:left="1046"/>
      </w:pPr>
      <w:r>
        <w:rPr>
          <w:w w:val="100"/>
          <w:u w:val="single"/>
        </w:rPr>
        <w:t> </w:t>
      </w:r>
      <w:r>
        <w:rPr>
          <w:u w:val="single"/>
        </w:rPr>
        <w:tab/>
      </w:r>
      <w:r>
        <w:rPr/>
        <w:t> </w:t>
      </w:r>
      <w:r>
        <w:rPr>
          <w:spacing w:val="2"/>
        </w:rPr>
        <w:t> </w:t>
      </w:r>
      <w:r>
        <w:rPr/>
        <w:t>Approve Working Drawings - Section</w:t>
      </w:r>
      <w:r>
        <w:rPr>
          <w:spacing w:val="-20"/>
        </w:rPr>
        <w:t> </w:t>
      </w:r>
      <w:r>
        <w:rPr/>
        <w:t>6852</w:t>
      </w:r>
    </w:p>
    <w:p>
      <w:pPr>
        <w:pStyle w:val="BodyText"/>
        <w:tabs>
          <w:tab w:pos="1580" w:val="left" w:leader="none"/>
        </w:tabs>
        <w:ind w:left="1046"/>
      </w:pPr>
      <w:r>
        <w:rPr>
          <w:w w:val="100"/>
          <w:u w:val="single"/>
        </w:rPr>
        <w:t> </w:t>
      </w:r>
      <w:r>
        <w:rPr>
          <w:u w:val="single"/>
        </w:rPr>
        <w:tab/>
      </w:r>
      <w:r>
        <w:rPr/>
        <w:t> </w:t>
      </w:r>
      <w:r>
        <w:rPr>
          <w:spacing w:val="2"/>
        </w:rPr>
        <w:t> </w:t>
      </w:r>
      <w:r>
        <w:rPr/>
        <w:t>Approve Proceed to Bid - Section</w:t>
      </w:r>
      <w:r>
        <w:rPr>
          <w:spacing w:val="-18"/>
        </w:rPr>
        <w:t> </w:t>
      </w:r>
      <w:r>
        <w:rPr/>
        <w:t>6852</w:t>
      </w:r>
    </w:p>
    <w:p>
      <w:pPr>
        <w:pStyle w:val="BodyText"/>
        <w:tabs>
          <w:tab w:pos="1580" w:val="left" w:leader="none"/>
        </w:tabs>
        <w:ind w:left="1046"/>
      </w:pPr>
      <w:r>
        <w:rPr>
          <w:w w:val="100"/>
          <w:u w:val="single"/>
        </w:rPr>
        <w:t> </w:t>
      </w:r>
      <w:r>
        <w:rPr>
          <w:u w:val="single"/>
        </w:rPr>
        <w:tab/>
      </w:r>
      <w:r>
        <w:rPr/>
        <w:t> </w:t>
      </w:r>
      <w:r>
        <w:rPr>
          <w:spacing w:val="2"/>
        </w:rPr>
        <w:t> </w:t>
      </w:r>
      <w:r>
        <w:rPr/>
        <w:t>Approve Construction Contract Award - Section</w:t>
      </w:r>
      <w:r>
        <w:rPr>
          <w:spacing w:val="-25"/>
        </w:rPr>
        <w:t> </w:t>
      </w:r>
      <w:r>
        <w:rPr/>
        <w:t>6853</w:t>
      </w:r>
    </w:p>
    <w:p>
      <w:pPr>
        <w:pStyle w:val="BodyText"/>
        <w:tabs>
          <w:tab w:pos="1580" w:val="left" w:leader="none"/>
        </w:tabs>
        <w:ind w:left="1046"/>
      </w:pPr>
      <w:r>
        <w:rPr>
          <w:w w:val="100"/>
          <w:u w:val="single"/>
        </w:rPr>
        <w:t> </w:t>
      </w:r>
      <w:r>
        <w:rPr>
          <w:u w:val="single"/>
        </w:rPr>
        <w:tab/>
      </w:r>
      <w:r>
        <w:rPr/>
        <w:t> </w:t>
      </w:r>
      <w:r>
        <w:rPr>
          <w:spacing w:val="2"/>
        </w:rPr>
        <w:t> </w:t>
      </w:r>
      <w:r>
        <w:rPr/>
        <w:t>Request for Augmentation / Reversion - Section 6861,</w:t>
      </w:r>
      <w:r>
        <w:rPr>
          <w:spacing w:val="-30"/>
        </w:rPr>
        <w:t> </w:t>
      </w:r>
      <w:r>
        <w:rPr/>
        <w:t>6862</w:t>
      </w:r>
    </w:p>
    <w:p>
      <w:pPr>
        <w:pStyle w:val="BodyText"/>
        <w:tabs>
          <w:tab w:pos="1580" w:val="left" w:leader="none"/>
        </w:tabs>
        <w:ind w:left="1046"/>
      </w:pPr>
      <w:r>
        <w:rPr>
          <w:w w:val="100"/>
          <w:u w:val="single"/>
        </w:rPr>
        <w:t> </w:t>
      </w:r>
      <w:r>
        <w:rPr>
          <w:u w:val="single"/>
        </w:rPr>
        <w:tab/>
      </w:r>
      <w:r>
        <w:rPr/>
        <w:t> </w:t>
      </w:r>
      <w:r>
        <w:rPr>
          <w:spacing w:val="2"/>
        </w:rPr>
        <w:t> </w:t>
      </w:r>
      <w:r>
        <w:rPr/>
        <w:t>Approve Scope Change - Section</w:t>
      </w:r>
      <w:r>
        <w:rPr>
          <w:spacing w:val="-19"/>
        </w:rPr>
        <w:t> </w:t>
      </w:r>
      <w:r>
        <w:rPr/>
        <w:t>6863</w:t>
      </w:r>
    </w:p>
    <w:p>
      <w:pPr>
        <w:pStyle w:val="BodyText"/>
        <w:tabs>
          <w:tab w:pos="1580" w:val="left" w:leader="none"/>
        </w:tabs>
        <w:ind w:left="1046"/>
      </w:pPr>
      <w:r>
        <w:rPr>
          <w:w w:val="100"/>
          <w:u w:val="single"/>
        </w:rPr>
        <w:t> </w:t>
      </w:r>
      <w:r>
        <w:rPr>
          <w:u w:val="single"/>
        </w:rPr>
        <w:tab/>
      </w:r>
      <w:r>
        <w:rPr/>
        <w:t> </w:t>
      </w:r>
      <w:r>
        <w:rPr>
          <w:spacing w:val="2"/>
        </w:rPr>
        <w:t> </w:t>
      </w:r>
      <w:r>
        <w:rPr/>
        <w:t>Other,</w:t>
      </w:r>
    </w:p>
    <w:p>
      <w:pPr>
        <w:pStyle w:val="BodyText"/>
        <w:tabs>
          <w:tab w:pos="10309" w:val="left" w:leader="none"/>
        </w:tabs>
        <w:ind w:left="1046"/>
      </w:pPr>
      <w:r>
        <w:rPr/>
        <w:t>Specify:</w:t>
      </w:r>
      <w:r>
        <w:rPr>
          <w:u w:val="single"/>
        </w:rPr>
        <w:t> </w:t>
        <w:tab/>
      </w:r>
    </w:p>
    <w:p>
      <w:pPr>
        <w:pStyle w:val="BodyText"/>
      </w:pPr>
    </w:p>
    <w:p>
      <w:pPr>
        <w:pStyle w:val="BodyText"/>
        <w:spacing w:before="1"/>
        <w:ind w:left="1046" w:hanging="360"/>
      </w:pPr>
      <w:r>
        <w:rPr>
          <w:strike/>
          <w:color w:val="2E97D3"/>
        </w:rPr>
        <w:t>4.</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Project Completion Reporting: (reporting requirements as defined in Section 6856 are attached)</w:t>
      </w:r>
    </w:p>
    <w:p>
      <w:pPr>
        <w:pStyle w:val="BodyText"/>
        <w:tabs>
          <w:tab w:pos="1580" w:val="left" w:leader="none"/>
        </w:tabs>
        <w:ind w:left="1046"/>
      </w:pPr>
      <w:r>
        <w:rPr>
          <w:w w:val="100"/>
          <w:u w:val="single"/>
        </w:rPr>
        <w:t> </w:t>
      </w:r>
      <w:r>
        <w:rPr>
          <w:u w:val="single"/>
        </w:rPr>
        <w:tab/>
      </w:r>
      <w:r>
        <w:rPr/>
        <w:t> </w:t>
      </w:r>
      <w:r>
        <w:rPr>
          <w:spacing w:val="2"/>
        </w:rPr>
        <w:t> </w:t>
      </w:r>
      <w:r>
        <w:rPr/>
        <w:t>Project</w:t>
      </w:r>
      <w:r>
        <w:rPr>
          <w:spacing w:val="-11"/>
        </w:rPr>
        <w:t> </w:t>
      </w:r>
      <w:r>
        <w:rPr/>
        <w:t>Occupancy</w:t>
      </w:r>
    </w:p>
    <w:p>
      <w:pPr>
        <w:pStyle w:val="BodyText"/>
        <w:tabs>
          <w:tab w:pos="1580" w:val="left" w:leader="none"/>
        </w:tabs>
        <w:ind w:left="1046"/>
      </w:pPr>
      <w:r>
        <w:rPr>
          <w:w w:val="100"/>
          <w:u w:val="single"/>
        </w:rPr>
        <w:t> </w:t>
      </w:r>
      <w:r>
        <w:rPr>
          <w:u w:val="single"/>
        </w:rPr>
        <w:tab/>
      </w:r>
      <w:r>
        <w:rPr/>
        <w:t> </w:t>
      </w:r>
      <w:r>
        <w:rPr>
          <w:spacing w:val="2"/>
        </w:rPr>
        <w:t> </w:t>
      </w:r>
      <w:r>
        <w:rPr/>
        <w:t>Project</w:t>
      </w:r>
      <w:r>
        <w:rPr>
          <w:spacing w:val="-11"/>
        </w:rPr>
        <w:t> </w:t>
      </w:r>
      <w:r>
        <w:rPr/>
        <w:t>Completion</w:t>
      </w:r>
    </w:p>
    <w:p>
      <w:pPr>
        <w:pStyle w:val="BodyText"/>
        <w:tabs>
          <w:tab w:pos="1580" w:val="left" w:leader="none"/>
        </w:tabs>
        <w:ind w:left="1046"/>
      </w:pPr>
      <w:r>
        <w:rPr>
          <w:w w:val="100"/>
          <w:u w:val="single"/>
        </w:rPr>
        <w:t> </w:t>
      </w:r>
      <w:r>
        <w:rPr>
          <w:u w:val="single"/>
        </w:rPr>
        <w:tab/>
      </w:r>
      <w:r>
        <w:rPr/>
        <w:t> </w:t>
      </w:r>
      <w:r>
        <w:rPr>
          <w:spacing w:val="2"/>
        </w:rPr>
        <w:t> </w:t>
      </w:r>
      <w:r>
        <w:rPr/>
        <w:t>Project</w:t>
      </w:r>
      <w:r>
        <w:rPr>
          <w:spacing w:val="-14"/>
        </w:rPr>
        <w:t> </w:t>
      </w:r>
      <w:r>
        <w:rPr/>
        <w:t>Close-out</w:t>
      </w:r>
    </w:p>
    <w:p>
      <w:pPr>
        <w:pStyle w:val="BodyText"/>
      </w:pPr>
    </w:p>
    <w:p>
      <w:pPr>
        <w:pStyle w:val="BodyText"/>
        <w:spacing w:line="292" w:lineRule="exact"/>
        <w:ind w:left="686"/>
      </w:pPr>
      <w:r>
        <w:rPr>
          <w:strike/>
          <w:color w:val="2E97D3"/>
        </w:rPr>
        <w:t>5.</w:t>
      </w:r>
      <w:r>
        <w:rPr>
          <w:rFonts w:ascii="Symbol" w:hAnsi="Symbol"/>
          <w:strike w:val="0"/>
          <w:color w:val="2E97D3"/>
          <w:u w:val="single" w:color="2E97D3"/>
        </w:rPr>
        <w:t></w:t>
      </w:r>
      <w:r>
        <w:rPr>
          <w:rFonts w:ascii="Times New Roman" w:hAnsi="Times New Roman"/>
          <w:strike w:val="0"/>
          <w:color w:val="2E97D3"/>
          <w:u w:val="single" w:color="2E97D3"/>
        </w:rPr>
        <w:t> </w:t>
      </w:r>
      <w:r>
        <w:rPr>
          <w:strike w:val="0"/>
        </w:rPr>
        <w:t>Project Certifications:</w:t>
      </w:r>
    </w:p>
    <w:p>
      <w:pPr>
        <w:pStyle w:val="BodyText"/>
        <w:spacing w:line="274" w:lineRule="exact"/>
        <w:ind w:left="1046"/>
      </w:pPr>
      <w:r>
        <w:rPr/>
        <w:t>CEQA Compliance:   (reporting requirements as defined in Section 6850 are attached)</w:t>
      </w:r>
    </w:p>
    <w:p>
      <w:pPr>
        <w:pStyle w:val="BodyText"/>
        <w:tabs>
          <w:tab w:pos="1580" w:val="left" w:leader="none"/>
        </w:tabs>
        <w:ind w:left="1046"/>
      </w:pPr>
      <w:r>
        <w:rPr>
          <w:w w:val="100"/>
          <w:u w:val="single"/>
        </w:rPr>
        <w:t> </w:t>
      </w:r>
      <w:r>
        <w:rPr>
          <w:u w:val="single"/>
        </w:rPr>
        <w:tab/>
      </w:r>
      <w:r>
        <w:rPr/>
        <w:t> </w:t>
      </w:r>
      <w:r>
        <w:rPr>
          <w:spacing w:val="-1"/>
        </w:rPr>
        <w:t> </w:t>
      </w:r>
      <w:r>
        <w:rPr/>
        <w:t>This project meets CEQA compliance</w:t>
      </w:r>
      <w:r>
        <w:rPr>
          <w:spacing w:val="-22"/>
        </w:rPr>
        <w:t> </w:t>
      </w:r>
      <w:r>
        <w:rPr/>
        <w:t>requirements.</w:t>
      </w:r>
    </w:p>
    <w:p>
      <w:pPr>
        <w:pStyle w:val="BodyText"/>
        <w:tabs>
          <w:tab w:pos="1580" w:val="left" w:leader="none"/>
        </w:tabs>
        <w:ind w:left="1046"/>
      </w:pPr>
      <w:r>
        <w:rPr>
          <w:w w:val="100"/>
          <w:u w:val="single"/>
        </w:rPr>
        <w:t> </w:t>
      </w:r>
      <w:r>
        <w:rPr>
          <w:u w:val="single"/>
        </w:rPr>
        <w:tab/>
      </w:r>
      <w:r>
        <w:rPr/>
        <w:t> </w:t>
      </w:r>
      <w:r>
        <w:rPr>
          <w:spacing w:val="-1"/>
        </w:rPr>
        <w:t> </w:t>
      </w:r>
      <w:r>
        <w:rPr/>
        <w:t>The action requested does not invalidate the CEQA</w:t>
      </w:r>
      <w:r>
        <w:rPr>
          <w:spacing w:val="-28"/>
        </w:rPr>
        <w:t> </w:t>
      </w:r>
      <w:r>
        <w:rPr/>
        <w:t>compliance.</w:t>
      </w:r>
    </w:p>
    <w:p>
      <w:pPr>
        <w:pStyle w:val="BodyText"/>
        <w:tabs>
          <w:tab w:pos="1580" w:val="left" w:leader="none"/>
        </w:tabs>
        <w:ind w:left="1046"/>
      </w:pPr>
      <w:r>
        <w:rPr>
          <w:w w:val="100"/>
          <w:u w:val="single"/>
        </w:rPr>
        <w:t> </w:t>
      </w:r>
      <w:r>
        <w:rPr>
          <w:u w:val="single"/>
        </w:rPr>
        <w:tab/>
      </w:r>
      <w:r>
        <w:rPr/>
        <w:t> </w:t>
      </w:r>
      <w:r>
        <w:rPr>
          <w:spacing w:val="-1"/>
        </w:rPr>
        <w:t> </w:t>
      </w:r>
      <w:r>
        <w:rPr/>
        <w:t>The action requested mandated a review of the CEQA</w:t>
      </w:r>
      <w:r>
        <w:rPr>
          <w:spacing w:val="-25"/>
        </w:rPr>
        <w:t> </w:t>
      </w:r>
      <w:r>
        <w:rPr/>
        <w:t>compliance.</w:t>
      </w:r>
    </w:p>
    <w:p>
      <w:pPr>
        <w:pStyle w:val="BodyText"/>
        <w:spacing w:before="10"/>
        <w:rPr>
          <w:sz w:val="23"/>
        </w:rPr>
      </w:pPr>
    </w:p>
    <w:p>
      <w:pPr>
        <w:pStyle w:val="BodyText"/>
        <w:spacing w:before="1"/>
        <w:ind w:left="1046"/>
      </w:pPr>
      <w:r>
        <w:rPr/>
        <w:t>Scope Changes:  (reporting requirements as defined in Section 6863 are attached)</w:t>
      </w:r>
    </w:p>
    <w:p>
      <w:pPr>
        <w:pStyle w:val="BodyText"/>
        <w:tabs>
          <w:tab w:pos="1580" w:val="left" w:leader="none"/>
        </w:tabs>
        <w:ind w:left="1046"/>
      </w:pPr>
      <w:r>
        <w:rPr>
          <w:w w:val="100"/>
          <w:u w:val="single"/>
        </w:rPr>
        <w:t> </w:t>
      </w:r>
      <w:r>
        <w:rPr>
          <w:u w:val="single"/>
        </w:rPr>
        <w:tab/>
      </w:r>
      <w:r>
        <w:rPr/>
        <w:t> </w:t>
      </w:r>
      <w:r>
        <w:rPr>
          <w:spacing w:val="2"/>
        </w:rPr>
        <w:t> </w:t>
      </w:r>
      <w:r>
        <w:rPr/>
        <w:t>Project scope has not changed from that as defined in the previous</w:t>
      </w:r>
      <w:r>
        <w:rPr>
          <w:spacing w:val="-40"/>
        </w:rPr>
        <w:t> </w:t>
      </w:r>
      <w:r>
        <w:rPr/>
        <w:t>reporting.</w:t>
      </w:r>
    </w:p>
    <w:p>
      <w:pPr>
        <w:pStyle w:val="BodyText"/>
        <w:tabs>
          <w:tab w:pos="1580" w:val="left" w:leader="none"/>
        </w:tabs>
        <w:ind w:left="1718" w:right="710" w:hanging="672"/>
      </w:pPr>
      <w:r>
        <w:rPr>
          <w:w w:val="100"/>
          <w:u w:val="single"/>
        </w:rPr>
        <w:t> </w:t>
      </w:r>
      <w:r>
        <w:rPr>
          <w:u w:val="single"/>
        </w:rPr>
        <w:tab/>
      </w:r>
      <w:r>
        <w:rPr/>
        <w:t> </w:t>
      </w:r>
      <w:r>
        <w:rPr>
          <w:spacing w:val="2"/>
        </w:rPr>
        <w:t> </w:t>
      </w:r>
      <w:r>
        <w:rPr/>
        <w:t>A change in project scope is necessary in order to proceed with</w:t>
      </w:r>
      <w:r>
        <w:rPr>
          <w:spacing w:val="-33"/>
        </w:rPr>
        <w:t> </w:t>
      </w:r>
      <w:r>
        <w:rPr/>
        <w:t>the</w:t>
      </w:r>
      <w:r>
        <w:rPr>
          <w:spacing w:val="-2"/>
        </w:rPr>
        <w:t> </w:t>
      </w:r>
      <w:r>
        <w:rPr/>
        <w:t>project.</w:t>
      </w:r>
      <w:r>
        <w:rPr>
          <w:w w:val="100"/>
        </w:rPr>
        <w:t> </w:t>
      </w:r>
      <w:r>
        <w:rPr/>
        <w:t>Costs/Funding/Schedule Changes: (reporting requirements as defined in Section 6861 are</w:t>
      </w:r>
      <w:r>
        <w:rPr>
          <w:spacing w:val="-12"/>
        </w:rPr>
        <w:t> </w:t>
      </w:r>
      <w:r>
        <w:rPr/>
        <w:t>attached)</w:t>
      </w:r>
    </w:p>
    <w:p>
      <w:pPr>
        <w:pStyle w:val="BodyText"/>
        <w:tabs>
          <w:tab w:pos="1580" w:val="left" w:leader="none"/>
        </w:tabs>
        <w:ind w:left="1785" w:right="670" w:hanging="740"/>
      </w:pPr>
      <w:r>
        <w:rPr>
          <w:w w:val="100"/>
          <w:u w:val="single"/>
        </w:rPr>
        <w:t> </w:t>
      </w:r>
      <w:r>
        <w:rPr>
          <w:u w:val="single"/>
        </w:rPr>
        <w:tab/>
      </w:r>
      <w:r>
        <w:rPr/>
        <w:t> </w:t>
      </w:r>
      <w:r>
        <w:rPr>
          <w:spacing w:val="2"/>
        </w:rPr>
        <w:t> </w:t>
      </w:r>
      <w:r>
        <w:rPr/>
        <w:t>Costs, funding, and schedules have not changed from that as defined</w:t>
      </w:r>
      <w:r>
        <w:rPr>
          <w:spacing w:val="-36"/>
        </w:rPr>
        <w:t> </w:t>
      </w:r>
      <w:r>
        <w:rPr/>
        <w:t>in</w:t>
      </w:r>
      <w:r>
        <w:rPr>
          <w:spacing w:val="-4"/>
        </w:rPr>
        <w:t> </w:t>
      </w:r>
      <w:r>
        <w:rPr/>
        <w:t>the</w:t>
      </w:r>
      <w:r>
        <w:rPr>
          <w:w w:val="99"/>
        </w:rPr>
        <w:t> </w:t>
      </w:r>
      <w:r>
        <w:rPr/>
        <w:t>previous</w:t>
      </w:r>
      <w:r>
        <w:rPr>
          <w:spacing w:val="-13"/>
        </w:rPr>
        <w:t> </w:t>
      </w:r>
      <w:r>
        <w:rPr/>
        <w:t>reporting.</w:t>
      </w:r>
    </w:p>
    <w:p>
      <w:pPr>
        <w:pStyle w:val="BodyText"/>
        <w:tabs>
          <w:tab w:pos="1580" w:val="left" w:leader="none"/>
        </w:tabs>
        <w:ind w:left="1785" w:right="509" w:hanging="740"/>
      </w:pPr>
      <w:r>
        <w:rPr>
          <w:w w:val="100"/>
          <w:u w:val="single"/>
        </w:rPr>
        <w:t> </w:t>
      </w:r>
      <w:r>
        <w:rPr>
          <w:u w:val="single"/>
        </w:rPr>
        <w:tab/>
      </w:r>
      <w:r>
        <w:rPr/>
        <w:t> </w:t>
      </w:r>
      <w:r>
        <w:rPr>
          <w:spacing w:val="2"/>
        </w:rPr>
        <w:t> </w:t>
      </w:r>
      <w:r>
        <w:rPr/>
        <w:t>Changes in cost, funding and/or schedules are necessary in order</w:t>
      </w:r>
      <w:r>
        <w:rPr>
          <w:spacing w:val="-34"/>
        </w:rPr>
        <w:t> </w:t>
      </w:r>
      <w:r>
        <w:rPr/>
        <w:t>to</w:t>
      </w:r>
      <w:r>
        <w:rPr>
          <w:spacing w:val="-4"/>
        </w:rPr>
        <w:t> </w:t>
      </w:r>
      <w:r>
        <w:rPr/>
        <w:t>proceed</w:t>
      </w:r>
      <w:r>
        <w:rPr>
          <w:w w:val="99"/>
        </w:rPr>
        <w:t> </w:t>
      </w:r>
      <w:r>
        <w:rPr/>
        <w:t>with the</w:t>
      </w:r>
      <w:r>
        <w:rPr>
          <w:spacing w:val="-8"/>
        </w:rPr>
        <w:t> </w:t>
      </w:r>
      <w:r>
        <w:rPr/>
        <w:t>project.</w:t>
      </w:r>
    </w:p>
    <w:p>
      <w:pPr>
        <w:pStyle w:val="BodyText"/>
      </w:pPr>
    </w:p>
    <w:p>
      <w:pPr>
        <w:pStyle w:val="BodyText"/>
        <w:ind w:left="686"/>
      </w:pPr>
      <w:r>
        <w:rPr/>
        <w:t>(Continued)</w:t>
      </w:r>
    </w:p>
    <w:p>
      <w:pPr>
        <w:spacing w:after="0"/>
        <w:sectPr>
          <w:type w:val="continuous"/>
          <w:pgSz w:w="12240" w:h="15840"/>
          <w:pgMar w:top="560" w:bottom="280" w:left="480" w:right="1340"/>
        </w:sectPr>
      </w:pPr>
    </w:p>
    <w:p>
      <w:pPr>
        <w:pStyle w:val="BodyText"/>
        <w:rPr>
          <w:sz w:val="20"/>
        </w:rPr>
      </w:pPr>
      <w:r>
        <w:rPr/>
        <w:pict>
          <v:line style="position:absolute;mso-position-horizontal-relative:page;mso-position-vertical-relative:page;z-index:27376" from="29.4pt,728.400024pt" to="29.4pt,756.000024pt" stroked="true" strokeweight=".72pt" strokecolor="#000000">
            <v:stroke dashstyle="solid"/>
            <w10:wrap type="none"/>
          </v:line>
        </w:pict>
      </w:r>
    </w:p>
    <w:p>
      <w:pPr>
        <w:spacing w:before="214"/>
        <w:ind w:left="1720" w:right="0" w:firstLine="0"/>
        <w:jc w:val="left"/>
        <w:rPr>
          <w:b/>
          <w:sz w:val="24"/>
        </w:rPr>
      </w:pPr>
      <w:r>
        <w:rPr>
          <w:b/>
          <w:sz w:val="24"/>
        </w:rPr>
        <w:t>REQUEST FOR APPROVAL TO PROCEED OR ENCUMBER FUNDS</w:t>
      </w:r>
    </w:p>
    <w:p>
      <w:pPr>
        <w:pStyle w:val="BodyText"/>
        <w:rPr>
          <w:b/>
        </w:rPr>
      </w:pPr>
    </w:p>
    <w:p>
      <w:pPr>
        <w:pStyle w:val="BodyText"/>
        <w:ind w:left="686" w:right="962"/>
      </w:pPr>
      <w:r>
        <w:rPr/>
        <w:t>I hereby certify that the preceding text is accurate and that the necessary reporting requirements as defined in SAM are included with this request.</w:t>
      </w:r>
    </w:p>
    <w:p>
      <w:pPr>
        <w:pStyle w:val="BodyText"/>
      </w:pPr>
    </w:p>
    <w:p>
      <w:pPr>
        <w:pStyle w:val="BodyText"/>
        <w:tabs>
          <w:tab w:pos="6129" w:val="left" w:leader="none"/>
        </w:tabs>
        <w:ind w:left="686"/>
      </w:pPr>
      <w:r>
        <w:rPr/>
        <w:t>Project</w:t>
      </w:r>
      <w:r>
        <w:rPr>
          <w:spacing w:val="-2"/>
        </w:rPr>
        <w:t> </w:t>
      </w:r>
      <w:r>
        <w:rPr/>
        <w:t>Manager</w:t>
        <w:tab/>
        <w:t>Department</w:t>
      </w:r>
      <w:r>
        <w:rPr>
          <w:spacing w:val="-17"/>
        </w:rPr>
        <w:t> </w:t>
      </w:r>
      <w:r>
        <w:rPr/>
        <w:t>Director/Designee</w:t>
      </w:r>
    </w:p>
    <w:p>
      <w:pPr>
        <w:pStyle w:val="BodyText"/>
        <w:tabs>
          <w:tab w:pos="3398" w:val="left" w:leader="none"/>
          <w:tab w:pos="6609" w:val="left" w:leader="none"/>
          <w:tab w:pos="9518" w:val="left" w:leader="none"/>
        </w:tabs>
        <w:ind w:left="686"/>
      </w:pPr>
      <w:r>
        <w:rPr/>
        <w:t>Date:</w:t>
      </w:r>
      <w:r>
        <w:rPr>
          <w:u w:val="single"/>
        </w:rPr>
        <w:t> </w:t>
        <w:tab/>
      </w:r>
      <w:r>
        <w:rPr/>
        <w:tab/>
        <w:t>Date:  </w:t>
      </w:r>
      <w:r>
        <w:rPr>
          <w:spacing w:val="-3"/>
        </w:rPr>
        <w:t> </w:t>
      </w:r>
      <w:r>
        <w:rPr>
          <w:w w:val="100"/>
          <w:u w:val="single"/>
        </w:rPr>
        <w:t> </w:t>
      </w:r>
      <w:r>
        <w:rPr>
          <w:u w:val="single"/>
        </w:rPr>
        <w:tab/>
      </w:r>
    </w:p>
    <w:p>
      <w:pPr>
        <w:pStyle w:val="BodyText"/>
        <w:spacing w:before="11"/>
        <w:rPr>
          <w:sz w:val="15"/>
        </w:rPr>
      </w:pPr>
    </w:p>
    <w:p>
      <w:pPr>
        <w:pStyle w:val="BodyText"/>
        <w:spacing w:line="480" w:lineRule="auto" w:before="92"/>
        <w:ind w:left="686"/>
      </w:pPr>
      <w:r>
        <w:rPr/>
        <w:t>------------------------------------------------------------------------------------------------------------------------ </w:t>
      </w:r>
      <w:bookmarkStart w:name="RESULTING ACTION" w:id="94"/>
      <w:bookmarkEnd w:id="94"/>
      <w:r>
        <w:rPr/>
      </w:r>
      <w:r>
        <w:rPr/>
        <w:t>RESULTING ACTION</w:t>
      </w:r>
    </w:p>
    <w:p>
      <w:pPr>
        <w:pStyle w:val="BodyText"/>
        <w:tabs>
          <w:tab w:pos="1220" w:val="left" w:leader="none"/>
        </w:tabs>
        <w:spacing w:before="7"/>
        <w:ind w:left="1406" w:right="281" w:hanging="720"/>
      </w:pPr>
      <w:r>
        <w:rPr>
          <w:w w:val="100"/>
          <w:u w:val="single"/>
        </w:rPr>
        <w:t> </w:t>
      </w:r>
      <w:r>
        <w:rPr>
          <w:u w:val="single"/>
        </w:rPr>
        <w:tab/>
      </w:r>
      <w:r>
        <w:rPr>
          <w:spacing w:val="-1"/>
        </w:rPr>
        <w:t> </w:t>
      </w:r>
      <w:r>
        <w:rPr/>
        <w:t>The following action(s) are approved.  Authority is granted to proceed</w:t>
      </w:r>
      <w:r>
        <w:rPr>
          <w:spacing w:val="-35"/>
        </w:rPr>
        <w:t> </w:t>
      </w:r>
      <w:r>
        <w:rPr/>
        <w:t>when</w:t>
      </w:r>
      <w:r>
        <w:rPr>
          <w:spacing w:val="-4"/>
        </w:rPr>
        <w:t> </w:t>
      </w:r>
      <w:r>
        <w:rPr/>
        <w:t>funding</w:t>
      </w:r>
      <w:r>
        <w:rPr>
          <w:w w:val="99"/>
        </w:rPr>
        <w:t> </w:t>
      </w:r>
      <w:r>
        <w:rPr/>
        <w:t>authority</w:t>
      </w:r>
      <w:r>
        <w:rPr>
          <w:spacing w:val="-8"/>
        </w:rPr>
        <w:t> </w:t>
      </w:r>
      <w:r>
        <w:rPr/>
        <w:t>permits.</w:t>
      </w:r>
    </w:p>
    <w:p>
      <w:pPr>
        <w:pStyle w:val="BodyText"/>
        <w:tabs>
          <w:tab w:pos="1220" w:val="left" w:leader="none"/>
        </w:tabs>
        <w:ind w:left="686"/>
      </w:pPr>
      <w:r>
        <w:rPr>
          <w:w w:val="100"/>
          <w:u w:val="single"/>
        </w:rPr>
        <w:t> </w:t>
      </w:r>
      <w:r>
        <w:rPr>
          <w:u w:val="single"/>
        </w:rPr>
        <w:tab/>
      </w:r>
      <w:r>
        <w:rPr>
          <w:spacing w:val="-1"/>
        </w:rPr>
        <w:t> </w:t>
      </w:r>
      <w:r>
        <w:rPr/>
        <w:t>The following must be addressed prior to granting approval of all</w:t>
      </w:r>
      <w:r>
        <w:rPr>
          <w:spacing w:val="-36"/>
        </w:rPr>
        <w:t> </w:t>
      </w:r>
      <w:r>
        <w:rPr/>
        <w:t>actions:</w:t>
      </w:r>
    </w:p>
    <w:p>
      <w:pPr>
        <w:pStyle w:val="BodyText"/>
        <w:rPr>
          <w:sz w:val="20"/>
        </w:rPr>
      </w:pPr>
    </w:p>
    <w:p>
      <w:pPr>
        <w:pStyle w:val="BodyText"/>
        <w:rPr>
          <w:sz w:val="23"/>
        </w:rPr>
      </w:pPr>
      <w:r>
        <w:rPr/>
        <w:pict>
          <v:line style="position:absolute;mso-position-horizontal-relative:page;mso-position-vertical-relative:paragraph;z-index:27352;mso-wrap-distance-left:0;mso-wrap-distance-right:0" from="58.32pt,15.584088pt" to="538.874423pt,15.584088pt" stroked="true" strokeweight=".756pt" strokecolor="#000000">
            <v:stroke dashstyle="solid"/>
            <w10:wrap type="topAndBottom"/>
          </v:line>
        </w:pict>
      </w:r>
    </w:p>
    <w:p>
      <w:pPr>
        <w:pStyle w:val="BodyText"/>
        <w:rPr>
          <w:sz w:val="20"/>
        </w:rPr>
      </w:pPr>
    </w:p>
    <w:p>
      <w:pPr>
        <w:pStyle w:val="BodyText"/>
        <w:spacing w:before="8"/>
        <w:rPr>
          <w:sz w:val="17"/>
        </w:rPr>
      </w:pPr>
    </w:p>
    <w:p>
      <w:pPr>
        <w:pStyle w:val="BodyText"/>
        <w:tabs>
          <w:tab w:pos="6295" w:val="left" w:leader="none"/>
          <w:tab w:pos="6693" w:val="left" w:leader="none"/>
          <w:tab w:pos="9536" w:val="left" w:leader="none"/>
        </w:tabs>
        <w:spacing w:before="92"/>
        <w:ind w:left="686" w:right="881"/>
      </w:pPr>
      <w:r>
        <w:rPr>
          <w:w w:val="100"/>
          <w:u w:val="single"/>
        </w:rPr>
        <w:t> </w:t>
      </w:r>
      <w:r>
        <w:rPr>
          <w:u w:val="single"/>
        </w:rPr>
        <w:tab/>
      </w:r>
      <w:r>
        <w:rPr/>
        <w:tab/>
        <w:t>Date:</w:t>
      </w:r>
      <w:r>
        <w:rPr>
          <w:u w:val="single"/>
        </w:rPr>
        <w:tab/>
      </w:r>
      <w:r>
        <w:rPr/>
        <w:t> Department of</w:t>
      </w:r>
      <w:r>
        <w:rPr>
          <w:spacing w:val="-12"/>
        </w:rPr>
        <w:t> </w:t>
      </w:r>
      <w:r>
        <w:rPr/>
        <w:t>Finance</w:t>
      </w:r>
    </w:p>
    <w:p>
      <w:pPr>
        <w:pStyle w:val="BodyText"/>
        <w:ind w:left="686"/>
      </w:pPr>
      <w:r>
        <w:rPr/>
        <w:t>DF 14D (rev 12/97)</w:t>
      </w:r>
    </w:p>
    <w:p>
      <w:pPr>
        <w:spacing w:after="0"/>
        <w:sectPr>
          <w:footerReference w:type="default" r:id="rId299"/>
          <w:pgSz w:w="12240" w:h="15840"/>
          <w:pgMar w:footer="1068" w:header="724" w:top="980" w:bottom="1260" w:left="480" w:right="1340"/>
        </w:sectPr>
      </w:pPr>
    </w:p>
    <w:p>
      <w:pPr>
        <w:pStyle w:val="BodyText"/>
        <w:rPr>
          <w:rFonts w:ascii="Times New Roman"/>
          <w:sz w:val="20"/>
        </w:rPr>
      </w:pPr>
      <w:r>
        <w:rPr/>
        <w:pict>
          <v:line style="position:absolute;mso-position-horizontal-relative:page;mso-position-vertical-relative:page;z-index:27616" from="29.4pt,742.200012pt" to="29.4pt,756.000012pt" stroked="true" strokeweight=".72pt" strokecolor="#000000">
            <v:stroke dashstyle="solid"/>
            <w10:wrap type="none"/>
          </v:line>
        </w:pict>
      </w:r>
    </w:p>
    <w:p>
      <w:pPr>
        <w:pStyle w:val="BodyText"/>
        <w:spacing w:before="1"/>
        <w:rPr>
          <w:rFonts w:ascii="Times New Roman"/>
          <w:sz w:val="19"/>
        </w:rPr>
      </w:pPr>
    </w:p>
    <w:tbl>
      <w:tblPr>
        <w:tblW w:w="0" w:type="auto"/>
        <w:jc w:val="left"/>
        <w:tblInd w:w="687"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210"/>
        <w:gridCol w:w="2380"/>
        <w:gridCol w:w="1074"/>
        <w:gridCol w:w="1074"/>
        <w:gridCol w:w="1074"/>
        <w:gridCol w:w="1074"/>
        <w:gridCol w:w="1074"/>
        <w:gridCol w:w="1070"/>
      </w:tblGrid>
      <w:tr>
        <w:trPr>
          <w:trHeight w:val="3188" w:hRule="exact"/>
        </w:trPr>
        <w:tc>
          <w:tcPr>
            <w:tcW w:w="9030" w:type="dxa"/>
            <w:gridSpan w:val="8"/>
            <w:tcBorders>
              <w:left w:val="single" w:sz="11" w:space="0" w:color="000000"/>
              <w:bottom w:val="single" w:sz="15" w:space="0" w:color="000000"/>
              <w:right w:val="single" w:sz="11" w:space="0" w:color="000000"/>
            </w:tcBorders>
          </w:tcPr>
          <w:p>
            <w:pPr>
              <w:pStyle w:val="TableParagraph"/>
              <w:spacing w:before="142"/>
              <w:ind w:left="1786"/>
              <w:rPr>
                <w:b/>
                <w:sz w:val="21"/>
              </w:rPr>
            </w:pPr>
            <w:r>
              <w:rPr>
                <w:b/>
                <w:sz w:val="21"/>
              </w:rPr>
              <w:t>Capital Outlay Cost, Funding and Schedule </w:t>
            </w:r>
            <w:r>
              <w:rPr>
                <w:b/>
                <w:spacing w:val="50"/>
                <w:sz w:val="21"/>
              </w:rPr>
              <w:t> </w:t>
            </w:r>
            <w:r>
              <w:rPr>
                <w:b/>
                <w:sz w:val="21"/>
              </w:rPr>
              <w:t>Summary</w:t>
            </w:r>
          </w:p>
          <w:p>
            <w:pPr>
              <w:pStyle w:val="TableParagraph"/>
              <w:spacing w:before="8"/>
              <w:rPr>
                <w:rFonts w:ascii="Times New Roman"/>
                <w:sz w:val="22"/>
              </w:rPr>
            </w:pPr>
          </w:p>
          <w:p>
            <w:pPr>
              <w:pStyle w:val="TableParagraph"/>
              <w:tabs>
                <w:tab w:pos="2372" w:val="left" w:leader="none"/>
                <w:tab w:pos="3089" w:val="left" w:leader="none"/>
                <w:tab w:pos="3684" w:val="left" w:leader="none"/>
                <w:tab w:pos="7937" w:val="left" w:leader="none"/>
              </w:tabs>
              <w:spacing w:line="297" w:lineRule="auto"/>
              <w:ind w:left="65" w:right="869"/>
              <w:rPr>
                <w:b/>
                <w:sz w:val="17"/>
              </w:rPr>
            </w:pPr>
            <w:r>
              <w:rPr>
                <w:b/>
                <w:w w:val="105"/>
                <w:sz w:val="17"/>
              </w:rPr>
              <w:t>Organization</w:t>
            </w:r>
            <w:r>
              <w:rPr>
                <w:b/>
                <w:spacing w:val="-12"/>
                <w:w w:val="105"/>
                <w:sz w:val="17"/>
              </w:rPr>
              <w:t> </w:t>
            </w:r>
            <w:r>
              <w:rPr>
                <w:b/>
                <w:w w:val="105"/>
                <w:sz w:val="17"/>
              </w:rPr>
              <w:t>Code:</w:t>
            </w:r>
            <w:r>
              <w:rPr>
                <w:b/>
                <w:w w:val="105"/>
                <w:sz w:val="17"/>
                <w:u w:val="single"/>
              </w:rPr>
              <w:t> </w:t>
              <w:tab/>
            </w:r>
            <w:r>
              <w:rPr>
                <w:b/>
                <w:w w:val="105"/>
                <w:sz w:val="17"/>
              </w:rPr>
              <w:tab/>
              <w:tab/>
              <w:t>Department:</w:t>
            </w:r>
            <w:r>
              <w:rPr>
                <w:b/>
                <w:w w:val="105"/>
                <w:sz w:val="17"/>
                <w:u w:val="single"/>
              </w:rPr>
              <w:tab/>
            </w:r>
            <w:r>
              <w:rPr>
                <w:b/>
                <w:w w:val="105"/>
                <w:sz w:val="17"/>
              </w:rPr>
              <w:t> Project</w:t>
            </w:r>
            <w:r>
              <w:rPr>
                <w:b/>
                <w:spacing w:val="-8"/>
                <w:w w:val="105"/>
                <w:sz w:val="17"/>
              </w:rPr>
              <w:t> </w:t>
            </w:r>
            <w:r>
              <w:rPr>
                <w:b/>
                <w:w w:val="105"/>
                <w:sz w:val="17"/>
              </w:rPr>
              <w:t>ID</w:t>
            </w:r>
            <w:r>
              <w:rPr>
                <w:b/>
                <w:spacing w:val="-8"/>
                <w:w w:val="105"/>
                <w:sz w:val="17"/>
              </w:rPr>
              <w:t> </w:t>
            </w:r>
            <w:r>
              <w:rPr>
                <w:b/>
                <w:w w:val="105"/>
                <w:sz w:val="17"/>
              </w:rPr>
              <w:t>Code</w:t>
            </w:r>
            <w:r>
              <w:rPr>
                <w:w w:val="105"/>
                <w:position w:val="1"/>
                <w:sz w:val="17"/>
              </w:rPr>
              <w:t>:</w:t>
            </w:r>
            <w:r>
              <w:rPr>
                <w:w w:val="105"/>
                <w:position w:val="1"/>
                <w:sz w:val="17"/>
                <w:u w:val="single"/>
              </w:rPr>
              <w:t> </w:t>
              <w:tab/>
              <w:tab/>
            </w:r>
            <w:r>
              <w:rPr>
                <w:w w:val="105"/>
                <w:position w:val="1"/>
                <w:sz w:val="17"/>
              </w:rPr>
              <w:tab/>
            </w:r>
            <w:r>
              <w:rPr>
                <w:b/>
                <w:w w:val="105"/>
                <w:sz w:val="17"/>
              </w:rPr>
              <w:t>Project</w:t>
            </w:r>
            <w:r>
              <w:rPr>
                <w:b/>
                <w:spacing w:val="-22"/>
                <w:w w:val="105"/>
                <w:sz w:val="17"/>
              </w:rPr>
              <w:t> </w:t>
            </w:r>
            <w:r>
              <w:rPr>
                <w:b/>
                <w:w w:val="105"/>
                <w:sz w:val="17"/>
              </w:rPr>
              <w:t>Title:</w:t>
            </w:r>
            <w:r>
              <w:rPr>
                <w:b/>
                <w:spacing w:val="1"/>
                <w:sz w:val="17"/>
              </w:rPr>
              <w:t> </w:t>
            </w:r>
            <w:r>
              <w:rPr>
                <w:b/>
                <w:w w:val="103"/>
                <w:sz w:val="17"/>
                <w:u w:val="single"/>
              </w:rPr>
              <w:t> </w:t>
            </w:r>
            <w:r>
              <w:rPr>
                <w:b/>
                <w:sz w:val="17"/>
                <w:u w:val="single"/>
              </w:rPr>
              <w:tab/>
            </w:r>
          </w:p>
          <w:p>
            <w:pPr>
              <w:pStyle w:val="TableParagraph"/>
              <w:spacing w:line="309" w:lineRule="auto" w:before="148"/>
              <w:ind w:left="65" w:right="155"/>
              <w:rPr>
                <w:i/>
                <w:sz w:val="17"/>
              </w:rPr>
            </w:pPr>
            <w:r>
              <w:rPr>
                <w:i/>
                <w:w w:val="105"/>
                <w:sz w:val="17"/>
              </w:rPr>
              <w:t>This form provides a chronological history of the project. The initial column reflects the detail related to </w:t>
            </w:r>
            <w:r>
              <w:rPr>
                <w:i/>
                <w:w w:val="105"/>
                <w:sz w:val="17"/>
              </w:rPr>
              <w:t>implementing the Budget Act or authorizing legislation. Subsequent columns reflect all reportable project phases</w:t>
            </w:r>
            <w:r>
              <w:rPr>
                <w:i/>
                <w:spacing w:val="-12"/>
                <w:w w:val="105"/>
                <w:sz w:val="17"/>
              </w:rPr>
              <w:t> </w:t>
            </w:r>
            <w:r>
              <w:rPr>
                <w:i/>
                <w:w w:val="105"/>
                <w:sz w:val="17"/>
              </w:rPr>
              <w:t>listed</w:t>
            </w:r>
            <w:r>
              <w:rPr>
                <w:i/>
                <w:spacing w:val="-12"/>
                <w:w w:val="105"/>
                <w:sz w:val="17"/>
              </w:rPr>
              <w:t> </w:t>
            </w:r>
            <w:r>
              <w:rPr>
                <w:i/>
                <w:w w:val="105"/>
                <w:sz w:val="17"/>
              </w:rPr>
              <w:t>in</w:t>
            </w:r>
            <w:r>
              <w:rPr>
                <w:i/>
                <w:spacing w:val="-12"/>
                <w:w w:val="105"/>
                <w:sz w:val="17"/>
              </w:rPr>
              <w:t> </w:t>
            </w:r>
            <w:r>
              <w:rPr>
                <w:i/>
                <w:w w:val="105"/>
                <w:sz w:val="17"/>
              </w:rPr>
              <w:t>the</w:t>
            </w:r>
            <w:r>
              <w:rPr>
                <w:i/>
                <w:spacing w:val="-12"/>
                <w:w w:val="105"/>
                <w:sz w:val="17"/>
              </w:rPr>
              <w:t> </w:t>
            </w:r>
            <w:r>
              <w:rPr>
                <w:i/>
                <w:w w:val="105"/>
                <w:sz w:val="17"/>
              </w:rPr>
              <w:t>schedule</w:t>
            </w:r>
            <w:r>
              <w:rPr>
                <w:i/>
                <w:spacing w:val="-12"/>
                <w:w w:val="105"/>
                <w:sz w:val="17"/>
              </w:rPr>
              <w:t> </w:t>
            </w:r>
            <w:r>
              <w:rPr>
                <w:i/>
                <w:w w:val="105"/>
                <w:sz w:val="17"/>
              </w:rPr>
              <w:t>section</w:t>
            </w:r>
            <w:r>
              <w:rPr>
                <w:i/>
                <w:spacing w:val="-12"/>
                <w:w w:val="105"/>
                <w:sz w:val="17"/>
              </w:rPr>
              <w:t> </w:t>
            </w:r>
            <w:r>
              <w:rPr>
                <w:i/>
                <w:w w:val="105"/>
                <w:sz w:val="17"/>
              </w:rPr>
              <w:t>below</w:t>
            </w:r>
            <w:r>
              <w:rPr>
                <w:i/>
                <w:spacing w:val="-12"/>
                <w:w w:val="105"/>
                <w:sz w:val="17"/>
              </w:rPr>
              <w:t> </w:t>
            </w:r>
            <w:r>
              <w:rPr>
                <w:i/>
                <w:w w:val="105"/>
                <w:sz w:val="17"/>
              </w:rPr>
              <w:t>plus</w:t>
            </w:r>
            <w:r>
              <w:rPr>
                <w:i/>
                <w:spacing w:val="-11"/>
                <w:w w:val="105"/>
                <w:sz w:val="17"/>
              </w:rPr>
              <w:t> </w:t>
            </w:r>
            <w:r>
              <w:rPr>
                <w:i/>
                <w:w w:val="105"/>
                <w:sz w:val="17"/>
              </w:rPr>
              <w:t>additional</w:t>
            </w:r>
            <w:r>
              <w:rPr>
                <w:i/>
                <w:spacing w:val="-12"/>
                <w:w w:val="105"/>
                <w:sz w:val="17"/>
              </w:rPr>
              <w:t> </w:t>
            </w:r>
            <w:r>
              <w:rPr>
                <w:i/>
                <w:w w:val="105"/>
                <w:sz w:val="17"/>
              </w:rPr>
              <w:t>reporting</w:t>
            </w:r>
            <w:r>
              <w:rPr>
                <w:i/>
                <w:spacing w:val="-12"/>
                <w:w w:val="105"/>
                <w:sz w:val="17"/>
              </w:rPr>
              <w:t> </w:t>
            </w:r>
            <w:r>
              <w:rPr>
                <w:i/>
                <w:w w:val="105"/>
                <w:sz w:val="17"/>
              </w:rPr>
              <w:t>for</w:t>
            </w:r>
            <w:r>
              <w:rPr>
                <w:i/>
                <w:spacing w:val="-12"/>
                <w:w w:val="105"/>
                <w:sz w:val="17"/>
              </w:rPr>
              <w:t> </w:t>
            </w:r>
            <w:r>
              <w:rPr>
                <w:i/>
                <w:w w:val="105"/>
                <w:sz w:val="17"/>
              </w:rPr>
              <w:t>mid-phase</w:t>
            </w:r>
            <w:r>
              <w:rPr>
                <w:i/>
                <w:spacing w:val="-12"/>
                <w:w w:val="105"/>
                <w:sz w:val="17"/>
              </w:rPr>
              <w:t> </w:t>
            </w:r>
            <w:r>
              <w:rPr>
                <w:i/>
                <w:w w:val="105"/>
                <w:sz w:val="17"/>
              </w:rPr>
              <w:t>scope/funding</w:t>
            </w:r>
            <w:r>
              <w:rPr>
                <w:i/>
                <w:spacing w:val="-12"/>
                <w:w w:val="105"/>
                <w:sz w:val="17"/>
              </w:rPr>
              <w:t> </w:t>
            </w:r>
            <w:r>
              <w:rPr>
                <w:i/>
                <w:w w:val="105"/>
                <w:sz w:val="17"/>
              </w:rPr>
              <w:t>changes.</w:t>
            </w:r>
          </w:p>
          <w:p>
            <w:pPr>
              <w:pStyle w:val="TableParagraph"/>
              <w:rPr>
                <w:rFonts w:ascii="Times New Roman"/>
                <w:sz w:val="16"/>
              </w:rPr>
            </w:pPr>
          </w:p>
          <w:p>
            <w:pPr>
              <w:pStyle w:val="TableParagraph"/>
              <w:ind w:left="65"/>
              <w:rPr>
                <w:b/>
                <w:sz w:val="17"/>
              </w:rPr>
            </w:pPr>
            <w:r>
              <w:rPr>
                <w:b/>
                <w:w w:val="105"/>
                <w:sz w:val="17"/>
              </w:rPr>
              <w:t>Requested Action:</w:t>
            </w:r>
          </w:p>
          <w:p>
            <w:pPr>
              <w:pStyle w:val="TableParagraph"/>
              <w:spacing w:before="2"/>
              <w:rPr>
                <w:rFonts w:ascii="Times New Roman"/>
                <w:sz w:val="20"/>
              </w:rPr>
            </w:pPr>
          </w:p>
          <w:p>
            <w:pPr>
              <w:pStyle w:val="TableParagraph"/>
              <w:spacing w:line="20" w:lineRule="exact"/>
              <w:ind w:left="2674"/>
              <w:rPr>
                <w:rFonts w:ascii="Times New Roman"/>
                <w:sz w:val="2"/>
              </w:rPr>
            </w:pPr>
            <w:r>
              <w:rPr>
                <w:rFonts w:ascii="Times New Roman"/>
                <w:sz w:val="2"/>
              </w:rPr>
              <w:pict>
                <v:group style="width:44.75pt;height:.6pt;mso-position-horizontal-relative:char;mso-position-vertical-relative:line" coordorigin="0,0" coordsize="895,12">
                  <v:line style="position:absolute" from="6,6" to="889,6" stroked="true" strokeweight=".551678pt" strokecolor="#000000">
                    <v:stroke dashstyle="solid"/>
                  </v:line>
                </v:group>
              </w:pict>
            </w:r>
            <w:r>
              <w:rPr>
                <w:rFonts w:ascii="Times New Roman"/>
                <w:sz w:val="2"/>
              </w:rPr>
            </w:r>
            <w:r>
              <w:rPr>
                <w:rFonts w:ascii="Times New Roman"/>
                <w:spacing w:val="162"/>
                <w:sz w:val="2"/>
              </w:rPr>
              <w:t> </w:t>
            </w:r>
            <w:r>
              <w:rPr>
                <w:rFonts w:ascii="Times New Roman"/>
                <w:spacing w:val="162"/>
                <w:sz w:val="2"/>
              </w:rPr>
              <w:pict>
                <v:group style="width:44.75pt;height:.6pt;mso-position-horizontal-relative:char;mso-position-vertical-relative:line" coordorigin="0,0" coordsize="895,12">
                  <v:line style="position:absolute" from="6,6" to="889,6" stroked="true" strokeweight=".551678pt" strokecolor="#000000">
                    <v:stroke dashstyle="solid"/>
                  </v:line>
                </v:group>
              </w:pict>
            </w:r>
            <w:r>
              <w:rPr>
                <w:rFonts w:ascii="Times New Roman"/>
                <w:spacing w:val="162"/>
                <w:sz w:val="2"/>
              </w:rPr>
            </w:r>
            <w:r>
              <w:rPr>
                <w:rFonts w:ascii="Times New Roman"/>
                <w:spacing w:val="162"/>
                <w:sz w:val="2"/>
              </w:rPr>
              <w:t> </w:t>
            </w:r>
            <w:r>
              <w:rPr>
                <w:rFonts w:ascii="Times New Roman"/>
                <w:spacing w:val="162"/>
                <w:sz w:val="2"/>
              </w:rPr>
              <w:pict>
                <v:group style="width:44.75pt;height:.6pt;mso-position-horizontal-relative:char;mso-position-vertical-relative:line" coordorigin="0,0" coordsize="895,12">
                  <v:line style="position:absolute" from="6,6" to="889,6" stroked="true" strokeweight=".551678pt" strokecolor="#000000">
                    <v:stroke dashstyle="solid"/>
                  </v:line>
                </v:group>
              </w:pict>
            </w:r>
            <w:r>
              <w:rPr>
                <w:rFonts w:ascii="Times New Roman"/>
                <w:spacing w:val="162"/>
                <w:sz w:val="2"/>
              </w:rPr>
            </w:r>
            <w:r>
              <w:rPr>
                <w:rFonts w:ascii="Times New Roman"/>
                <w:spacing w:val="162"/>
                <w:sz w:val="2"/>
              </w:rPr>
              <w:t> </w:t>
            </w:r>
            <w:r>
              <w:rPr>
                <w:rFonts w:ascii="Times New Roman"/>
                <w:spacing w:val="162"/>
                <w:sz w:val="2"/>
              </w:rPr>
              <w:pict>
                <v:group style="width:44.75pt;height:.6pt;mso-position-horizontal-relative:char;mso-position-vertical-relative:line" coordorigin="0,0" coordsize="895,12">
                  <v:line style="position:absolute" from="6,6" to="889,6" stroked="true" strokeweight=".551678pt" strokecolor="#000000">
                    <v:stroke dashstyle="solid"/>
                  </v:line>
                </v:group>
              </w:pict>
            </w:r>
            <w:r>
              <w:rPr>
                <w:rFonts w:ascii="Times New Roman"/>
                <w:spacing w:val="162"/>
                <w:sz w:val="2"/>
              </w:rPr>
            </w:r>
            <w:r>
              <w:rPr>
                <w:rFonts w:ascii="Times New Roman"/>
                <w:spacing w:val="162"/>
                <w:sz w:val="2"/>
              </w:rPr>
              <w:t> </w:t>
            </w:r>
            <w:r>
              <w:rPr>
                <w:rFonts w:ascii="Times New Roman"/>
                <w:spacing w:val="162"/>
                <w:sz w:val="2"/>
              </w:rPr>
              <w:pict>
                <v:group style="width:44.75pt;height:.6pt;mso-position-horizontal-relative:char;mso-position-vertical-relative:line" coordorigin="0,0" coordsize="895,12">
                  <v:line style="position:absolute" from="6,6" to="889,6" stroked="true" strokeweight=".551678pt" strokecolor="#000000">
                    <v:stroke dashstyle="solid"/>
                  </v:line>
                </v:group>
              </w:pict>
            </w:r>
            <w:r>
              <w:rPr>
                <w:rFonts w:ascii="Times New Roman"/>
                <w:spacing w:val="162"/>
                <w:sz w:val="2"/>
              </w:rPr>
            </w:r>
            <w:r>
              <w:rPr>
                <w:rFonts w:ascii="Times New Roman"/>
                <w:spacing w:val="162"/>
                <w:sz w:val="2"/>
              </w:rPr>
              <w:t> </w:t>
            </w:r>
            <w:r>
              <w:rPr>
                <w:rFonts w:ascii="Times New Roman"/>
                <w:spacing w:val="162"/>
                <w:sz w:val="2"/>
              </w:rPr>
              <w:pict>
                <v:group style="width:44.75pt;height:.6pt;mso-position-horizontal-relative:char;mso-position-vertical-relative:line" coordorigin="0,0" coordsize="895,12">
                  <v:line style="position:absolute" from="6,6" to="889,6" stroked="true" strokeweight=".551678pt" strokecolor="#000000">
                    <v:stroke dashstyle="solid"/>
                  </v:line>
                </v:group>
              </w:pict>
            </w:r>
            <w:r>
              <w:rPr>
                <w:rFonts w:ascii="Times New Roman"/>
                <w:spacing w:val="162"/>
                <w:sz w:val="2"/>
              </w:rPr>
            </w:r>
          </w:p>
          <w:p>
            <w:pPr>
              <w:pStyle w:val="TableParagraph"/>
              <w:tabs>
                <w:tab w:pos="2680" w:val="left" w:leader="none"/>
                <w:tab w:pos="3563" w:val="left" w:leader="none"/>
                <w:tab w:pos="4637" w:val="left" w:leader="none"/>
                <w:tab w:pos="5711" w:val="left" w:leader="none"/>
                <w:tab w:pos="6785" w:val="left" w:leader="none"/>
                <w:tab w:pos="7859" w:val="left" w:leader="none"/>
                <w:tab w:pos="8933" w:val="left" w:leader="none"/>
              </w:tabs>
              <w:spacing w:before="56"/>
              <w:ind w:left="65"/>
              <w:rPr>
                <w:b/>
                <w:sz w:val="17"/>
              </w:rPr>
            </w:pPr>
            <w:r>
              <w:rPr>
                <w:b/>
                <w:w w:val="105"/>
                <w:sz w:val="17"/>
              </w:rPr>
              <w:t>PWB/DOF</w:t>
            </w:r>
            <w:r>
              <w:rPr>
                <w:b/>
                <w:spacing w:val="-21"/>
                <w:w w:val="105"/>
                <w:sz w:val="17"/>
              </w:rPr>
              <w:t> </w:t>
            </w:r>
            <w:r>
              <w:rPr>
                <w:b/>
                <w:w w:val="105"/>
                <w:sz w:val="17"/>
              </w:rPr>
              <w:t>Action</w:t>
            </w:r>
            <w:r>
              <w:rPr>
                <w:b/>
                <w:spacing w:val="-21"/>
                <w:w w:val="105"/>
                <w:sz w:val="17"/>
              </w:rPr>
              <w:t> </w:t>
            </w:r>
            <w:r>
              <w:rPr>
                <w:b/>
                <w:w w:val="105"/>
                <w:sz w:val="17"/>
              </w:rPr>
              <w:t>Date:</w:t>
            </w:r>
            <w:r>
              <w:rPr>
                <w:b/>
                <w:sz w:val="17"/>
              </w:rPr>
              <w:tab/>
            </w:r>
            <w:r>
              <w:rPr>
                <w:b/>
                <w:w w:val="103"/>
                <w:sz w:val="17"/>
                <w:u w:val="single"/>
              </w:rPr>
              <w:t> </w:t>
            </w:r>
            <w:r>
              <w:rPr>
                <w:b/>
                <w:sz w:val="17"/>
                <w:u w:val="single"/>
              </w:rPr>
              <w:tab/>
            </w:r>
            <w:r>
              <w:rPr>
                <w:b/>
                <w:sz w:val="17"/>
              </w:rPr>
              <w:t>   </w:t>
            </w:r>
            <w:r>
              <w:rPr>
                <w:b/>
                <w:spacing w:val="2"/>
                <w:sz w:val="17"/>
              </w:rPr>
              <w:t> </w:t>
            </w:r>
            <w:r>
              <w:rPr>
                <w:b/>
                <w:w w:val="103"/>
                <w:sz w:val="17"/>
                <w:u w:val="single"/>
              </w:rPr>
              <w:t> </w:t>
            </w:r>
            <w:r>
              <w:rPr>
                <w:b/>
                <w:sz w:val="17"/>
                <w:u w:val="single"/>
              </w:rPr>
              <w:tab/>
            </w:r>
            <w:r>
              <w:rPr>
                <w:b/>
                <w:sz w:val="17"/>
              </w:rPr>
              <w:t>   </w:t>
            </w:r>
            <w:r>
              <w:rPr>
                <w:b/>
                <w:spacing w:val="2"/>
                <w:sz w:val="17"/>
              </w:rPr>
              <w:t> </w:t>
            </w:r>
            <w:r>
              <w:rPr>
                <w:b/>
                <w:w w:val="103"/>
                <w:sz w:val="17"/>
                <w:u w:val="single"/>
              </w:rPr>
              <w:t> </w:t>
            </w:r>
            <w:r>
              <w:rPr>
                <w:b/>
                <w:sz w:val="17"/>
                <w:u w:val="single"/>
              </w:rPr>
              <w:tab/>
            </w:r>
            <w:r>
              <w:rPr>
                <w:b/>
                <w:sz w:val="17"/>
              </w:rPr>
              <w:t>   </w:t>
            </w:r>
            <w:r>
              <w:rPr>
                <w:b/>
                <w:spacing w:val="2"/>
                <w:sz w:val="17"/>
              </w:rPr>
              <w:t> </w:t>
            </w:r>
            <w:r>
              <w:rPr>
                <w:b/>
                <w:w w:val="103"/>
                <w:sz w:val="17"/>
                <w:u w:val="single"/>
              </w:rPr>
              <w:t> </w:t>
            </w:r>
            <w:r>
              <w:rPr>
                <w:b/>
                <w:sz w:val="17"/>
                <w:u w:val="single"/>
              </w:rPr>
              <w:tab/>
            </w:r>
            <w:r>
              <w:rPr>
                <w:b/>
                <w:sz w:val="17"/>
              </w:rPr>
              <w:t>   </w:t>
            </w:r>
            <w:r>
              <w:rPr>
                <w:b/>
                <w:spacing w:val="2"/>
                <w:sz w:val="17"/>
              </w:rPr>
              <w:t> </w:t>
            </w:r>
            <w:r>
              <w:rPr>
                <w:b/>
                <w:w w:val="103"/>
                <w:sz w:val="17"/>
                <w:u w:val="single"/>
              </w:rPr>
              <w:t> </w:t>
            </w:r>
            <w:r>
              <w:rPr>
                <w:b/>
                <w:sz w:val="17"/>
                <w:u w:val="single"/>
              </w:rPr>
              <w:tab/>
            </w:r>
            <w:r>
              <w:rPr>
                <w:b/>
                <w:sz w:val="17"/>
              </w:rPr>
              <w:t>   </w:t>
            </w:r>
            <w:r>
              <w:rPr>
                <w:b/>
                <w:spacing w:val="2"/>
                <w:sz w:val="17"/>
              </w:rPr>
              <w:t> </w:t>
            </w:r>
            <w:r>
              <w:rPr>
                <w:b/>
                <w:w w:val="103"/>
                <w:sz w:val="17"/>
                <w:u w:val="single"/>
              </w:rPr>
              <w:t> </w:t>
            </w:r>
            <w:r>
              <w:rPr>
                <w:b/>
                <w:sz w:val="17"/>
                <w:u w:val="single"/>
              </w:rPr>
              <w:tab/>
            </w:r>
          </w:p>
        </w:tc>
      </w:tr>
      <w:tr>
        <w:trPr>
          <w:trHeight w:val="257" w:hRule="exact"/>
        </w:trPr>
        <w:tc>
          <w:tcPr>
            <w:tcW w:w="9030" w:type="dxa"/>
            <w:gridSpan w:val="8"/>
            <w:tcBorders>
              <w:top w:val="single" w:sz="15" w:space="0" w:color="000000"/>
              <w:left w:val="single" w:sz="11" w:space="0" w:color="000000"/>
              <w:bottom w:val="nil"/>
              <w:right w:val="single" w:sz="11" w:space="0" w:color="000000"/>
            </w:tcBorders>
          </w:tcPr>
          <w:p>
            <w:pPr>
              <w:pStyle w:val="TableParagraph"/>
              <w:spacing w:before="39"/>
              <w:ind w:left="65"/>
              <w:rPr>
                <w:sz w:val="17"/>
              </w:rPr>
            </w:pPr>
            <w:r>
              <w:rPr>
                <w:b/>
                <w:w w:val="105"/>
                <w:sz w:val="17"/>
              </w:rPr>
              <w:t>COSTS </w:t>
            </w:r>
            <w:r>
              <w:rPr>
                <w:w w:val="105"/>
                <w:position w:val="1"/>
                <w:sz w:val="17"/>
              </w:rPr>
              <w:t>- Display new totals for each category.</w:t>
            </w:r>
          </w:p>
        </w:tc>
      </w:tr>
      <w:tr>
        <w:trPr>
          <w:trHeight w:val="1797" w:hRule="exact"/>
        </w:trPr>
        <w:tc>
          <w:tcPr>
            <w:tcW w:w="2590" w:type="dxa"/>
            <w:gridSpan w:val="2"/>
            <w:tcBorders>
              <w:top w:val="nil"/>
              <w:left w:val="single" w:sz="11" w:space="0" w:color="000000"/>
              <w:bottom w:val="nil"/>
              <w:right w:val="single" w:sz="7" w:space="0" w:color="000000"/>
            </w:tcBorders>
          </w:tcPr>
          <w:p>
            <w:pPr>
              <w:pStyle w:val="TableParagraph"/>
              <w:spacing w:line="314" w:lineRule="auto" w:before="60"/>
              <w:ind w:left="231" w:right="1076"/>
              <w:rPr>
                <w:sz w:val="17"/>
              </w:rPr>
            </w:pPr>
            <w:r>
              <w:rPr>
                <w:w w:val="105"/>
                <w:sz w:val="17"/>
              </w:rPr>
              <w:t>Study </w:t>
            </w:r>
            <w:r>
              <w:rPr>
                <w:sz w:val="17"/>
              </w:rPr>
              <w:t>Acquisition</w:t>
            </w:r>
          </w:p>
          <w:p>
            <w:pPr>
              <w:pStyle w:val="TableParagraph"/>
              <w:spacing w:line="314" w:lineRule="auto" w:before="1"/>
              <w:ind w:left="231" w:right="510"/>
              <w:rPr>
                <w:sz w:val="17"/>
              </w:rPr>
            </w:pPr>
            <w:r>
              <w:rPr>
                <w:w w:val="105"/>
                <w:sz w:val="17"/>
              </w:rPr>
              <w:t>Preliminary Plans Working Drawings Total Construction</w:t>
            </w:r>
          </w:p>
          <w:p>
            <w:pPr>
              <w:pStyle w:val="TableParagraph"/>
              <w:spacing w:line="314" w:lineRule="auto" w:before="1"/>
              <w:ind w:left="231"/>
              <w:rPr>
                <w:sz w:val="17"/>
              </w:rPr>
            </w:pPr>
            <w:r>
              <w:rPr>
                <w:w w:val="105"/>
                <w:sz w:val="17"/>
              </w:rPr>
              <w:t>Equipment Phase (Group 2) Other</w:t>
            </w:r>
          </w:p>
        </w:tc>
        <w:tc>
          <w:tcPr>
            <w:tcW w:w="1074" w:type="dxa"/>
            <w:tcBorders>
              <w:top w:val="single" w:sz="7" w:space="0" w:color="000000"/>
              <w:left w:val="single" w:sz="7" w:space="0" w:color="000000"/>
              <w:bottom w:val="single" w:sz="7" w:space="0" w:color="000000"/>
              <w:right w:val="single" w:sz="7" w:space="0" w:color="000000"/>
            </w:tcBorders>
          </w:tcPr>
          <w:p>
            <w:pPr/>
          </w:p>
        </w:tc>
        <w:tc>
          <w:tcPr>
            <w:tcW w:w="1074" w:type="dxa"/>
            <w:tcBorders>
              <w:top w:val="single" w:sz="7" w:space="0" w:color="000000"/>
              <w:left w:val="single" w:sz="7" w:space="0" w:color="000000"/>
              <w:bottom w:val="single" w:sz="7" w:space="0" w:color="000000"/>
              <w:right w:val="single" w:sz="7" w:space="0" w:color="000000"/>
            </w:tcBorders>
          </w:tcPr>
          <w:p>
            <w:pPr/>
          </w:p>
        </w:tc>
        <w:tc>
          <w:tcPr>
            <w:tcW w:w="1074" w:type="dxa"/>
            <w:tcBorders>
              <w:top w:val="single" w:sz="7" w:space="0" w:color="000000"/>
              <w:left w:val="single" w:sz="7" w:space="0" w:color="000000"/>
              <w:bottom w:val="single" w:sz="7" w:space="0" w:color="000000"/>
              <w:right w:val="single" w:sz="7" w:space="0" w:color="000000"/>
            </w:tcBorders>
          </w:tcPr>
          <w:p>
            <w:pPr/>
          </w:p>
        </w:tc>
        <w:tc>
          <w:tcPr>
            <w:tcW w:w="1074" w:type="dxa"/>
            <w:tcBorders>
              <w:top w:val="single" w:sz="7" w:space="0" w:color="000000"/>
              <w:left w:val="single" w:sz="7" w:space="0" w:color="000000"/>
              <w:bottom w:val="single" w:sz="7" w:space="0" w:color="000000"/>
              <w:right w:val="single" w:sz="7" w:space="0" w:color="000000"/>
            </w:tcBorders>
          </w:tcPr>
          <w:p>
            <w:pPr/>
          </w:p>
        </w:tc>
        <w:tc>
          <w:tcPr>
            <w:tcW w:w="1074" w:type="dxa"/>
            <w:tcBorders>
              <w:top w:val="single" w:sz="7" w:space="0" w:color="000000"/>
              <w:left w:val="single" w:sz="7" w:space="0" w:color="000000"/>
              <w:bottom w:val="single" w:sz="7" w:space="0" w:color="000000"/>
              <w:right w:val="single" w:sz="7" w:space="0" w:color="000000"/>
            </w:tcBorders>
          </w:tcPr>
          <w:p>
            <w:pPr/>
          </w:p>
        </w:tc>
        <w:tc>
          <w:tcPr>
            <w:tcW w:w="1070" w:type="dxa"/>
            <w:tcBorders>
              <w:top w:val="single" w:sz="7" w:space="0" w:color="000000"/>
              <w:left w:val="single" w:sz="7" w:space="0" w:color="000000"/>
              <w:bottom w:val="single" w:sz="7" w:space="0" w:color="000000"/>
              <w:right w:val="single" w:sz="11" w:space="0" w:color="000000"/>
            </w:tcBorders>
          </w:tcPr>
          <w:p>
            <w:pPr/>
          </w:p>
        </w:tc>
      </w:tr>
      <w:tr>
        <w:trPr>
          <w:trHeight w:val="257" w:hRule="exact"/>
        </w:trPr>
        <w:tc>
          <w:tcPr>
            <w:tcW w:w="2590" w:type="dxa"/>
            <w:gridSpan w:val="2"/>
            <w:tcBorders>
              <w:top w:val="nil"/>
              <w:left w:val="single" w:sz="11" w:space="0" w:color="000000"/>
              <w:bottom w:val="nil"/>
              <w:right w:val="single" w:sz="7" w:space="0" w:color="000000"/>
            </w:tcBorders>
          </w:tcPr>
          <w:p>
            <w:pPr>
              <w:pStyle w:val="TableParagraph"/>
              <w:spacing w:before="67"/>
              <w:ind w:left="964"/>
              <w:rPr>
                <w:b/>
                <w:sz w:val="17"/>
              </w:rPr>
            </w:pPr>
            <w:r>
              <w:rPr>
                <w:b/>
                <w:w w:val="105"/>
                <w:sz w:val="17"/>
              </w:rPr>
              <w:t>Total Costs</w:t>
            </w:r>
          </w:p>
        </w:tc>
        <w:tc>
          <w:tcPr>
            <w:tcW w:w="1074" w:type="dxa"/>
            <w:tcBorders>
              <w:top w:val="single" w:sz="7" w:space="0" w:color="000000"/>
              <w:left w:val="single" w:sz="7" w:space="0" w:color="000000"/>
              <w:bottom w:val="single" w:sz="7" w:space="0" w:color="000000"/>
              <w:right w:val="single" w:sz="7" w:space="0" w:color="000000"/>
            </w:tcBorders>
          </w:tcPr>
          <w:p>
            <w:pPr/>
          </w:p>
        </w:tc>
        <w:tc>
          <w:tcPr>
            <w:tcW w:w="1074" w:type="dxa"/>
            <w:tcBorders>
              <w:top w:val="single" w:sz="7" w:space="0" w:color="000000"/>
              <w:left w:val="single" w:sz="7" w:space="0" w:color="000000"/>
              <w:bottom w:val="single" w:sz="7" w:space="0" w:color="000000"/>
              <w:right w:val="single" w:sz="7" w:space="0" w:color="000000"/>
            </w:tcBorders>
          </w:tcPr>
          <w:p>
            <w:pPr>
              <w:pStyle w:val="TableParagraph"/>
              <w:spacing w:before="51"/>
              <w:ind w:right="278"/>
              <w:jc w:val="right"/>
              <w:rPr>
                <w:sz w:val="17"/>
              </w:rPr>
            </w:pPr>
            <w:r>
              <w:rPr>
                <w:w w:val="103"/>
                <w:sz w:val="17"/>
              </w:rPr>
              <w:t>-</w:t>
            </w:r>
          </w:p>
        </w:tc>
        <w:tc>
          <w:tcPr>
            <w:tcW w:w="1074" w:type="dxa"/>
            <w:tcBorders>
              <w:top w:val="single" w:sz="7" w:space="0" w:color="000000"/>
              <w:left w:val="single" w:sz="7" w:space="0" w:color="000000"/>
              <w:bottom w:val="single" w:sz="7" w:space="0" w:color="000000"/>
              <w:right w:val="single" w:sz="7" w:space="0" w:color="000000"/>
            </w:tcBorders>
          </w:tcPr>
          <w:p>
            <w:pPr>
              <w:pStyle w:val="TableParagraph"/>
              <w:spacing w:before="51"/>
              <w:ind w:right="278"/>
              <w:jc w:val="right"/>
              <w:rPr>
                <w:sz w:val="17"/>
              </w:rPr>
            </w:pPr>
            <w:r>
              <w:rPr>
                <w:w w:val="103"/>
                <w:sz w:val="17"/>
              </w:rPr>
              <w:t>-</w:t>
            </w:r>
          </w:p>
        </w:tc>
        <w:tc>
          <w:tcPr>
            <w:tcW w:w="1074" w:type="dxa"/>
            <w:tcBorders>
              <w:top w:val="single" w:sz="7" w:space="0" w:color="000000"/>
              <w:left w:val="single" w:sz="7" w:space="0" w:color="000000"/>
              <w:bottom w:val="single" w:sz="7" w:space="0" w:color="000000"/>
              <w:right w:val="single" w:sz="7" w:space="0" w:color="000000"/>
            </w:tcBorders>
          </w:tcPr>
          <w:p>
            <w:pPr>
              <w:pStyle w:val="TableParagraph"/>
              <w:spacing w:before="51"/>
              <w:ind w:right="278"/>
              <w:jc w:val="right"/>
              <w:rPr>
                <w:sz w:val="17"/>
              </w:rPr>
            </w:pPr>
            <w:r>
              <w:rPr>
                <w:w w:val="103"/>
                <w:sz w:val="17"/>
              </w:rPr>
              <w:t>-</w:t>
            </w:r>
          </w:p>
        </w:tc>
        <w:tc>
          <w:tcPr>
            <w:tcW w:w="1074" w:type="dxa"/>
            <w:tcBorders>
              <w:top w:val="single" w:sz="7" w:space="0" w:color="000000"/>
              <w:left w:val="single" w:sz="7" w:space="0" w:color="000000"/>
              <w:bottom w:val="single" w:sz="7" w:space="0" w:color="000000"/>
              <w:right w:val="single" w:sz="7" w:space="0" w:color="000000"/>
            </w:tcBorders>
          </w:tcPr>
          <w:p>
            <w:pPr>
              <w:pStyle w:val="TableParagraph"/>
              <w:spacing w:before="51"/>
              <w:ind w:right="277"/>
              <w:jc w:val="right"/>
              <w:rPr>
                <w:sz w:val="17"/>
              </w:rPr>
            </w:pPr>
            <w:r>
              <w:rPr>
                <w:w w:val="103"/>
                <w:sz w:val="17"/>
              </w:rPr>
              <w:t>-</w:t>
            </w:r>
          </w:p>
        </w:tc>
        <w:tc>
          <w:tcPr>
            <w:tcW w:w="1070" w:type="dxa"/>
            <w:tcBorders>
              <w:top w:val="single" w:sz="7" w:space="0" w:color="000000"/>
              <w:left w:val="single" w:sz="7" w:space="0" w:color="000000"/>
              <w:bottom w:val="single" w:sz="7" w:space="0" w:color="000000"/>
              <w:right w:val="single" w:sz="11" w:space="0" w:color="000000"/>
            </w:tcBorders>
          </w:tcPr>
          <w:p>
            <w:pPr>
              <w:pStyle w:val="TableParagraph"/>
              <w:spacing w:before="51"/>
              <w:ind w:right="268"/>
              <w:jc w:val="right"/>
              <w:rPr>
                <w:sz w:val="17"/>
              </w:rPr>
            </w:pPr>
            <w:r>
              <w:rPr>
                <w:w w:val="103"/>
                <w:sz w:val="17"/>
              </w:rPr>
              <w:t>-</w:t>
            </w:r>
          </w:p>
        </w:tc>
      </w:tr>
      <w:tr>
        <w:trPr>
          <w:trHeight w:val="257" w:hRule="exact"/>
        </w:trPr>
        <w:tc>
          <w:tcPr>
            <w:tcW w:w="9030" w:type="dxa"/>
            <w:gridSpan w:val="8"/>
            <w:tcBorders>
              <w:top w:val="nil"/>
              <w:left w:val="single" w:sz="11" w:space="0" w:color="000000"/>
              <w:bottom w:val="nil"/>
              <w:right w:val="single" w:sz="11" w:space="0" w:color="000000"/>
            </w:tcBorders>
          </w:tcPr>
          <w:p>
            <w:pPr>
              <w:pStyle w:val="TableParagraph"/>
              <w:spacing w:before="57"/>
              <w:ind w:left="163"/>
              <w:rPr>
                <w:sz w:val="17"/>
              </w:rPr>
            </w:pPr>
            <w:r>
              <w:rPr>
                <w:b/>
                <w:w w:val="105"/>
                <w:sz w:val="17"/>
              </w:rPr>
              <w:t>Construction Detail - </w:t>
            </w:r>
            <w:r>
              <w:rPr>
                <w:w w:val="105"/>
                <w:position w:val="1"/>
                <w:sz w:val="17"/>
              </w:rPr>
              <w:t>Must tie to total construction costs above.</w:t>
            </w:r>
          </w:p>
        </w:tc>
      </w:tr>
      <w:tr>
        <w:trPr>
          <w:trHeight w:val="1283" w:hRule="exact"/>
        </w:trPr>
        <w:tc>
          <w:tcPr>
            <w:tcW w:w="2590" w:type="dxa"/>
            <w:gridSpan w:val="2"/>
            <w:tcBorders>
              <w:top w:val="nil"/>
              <w:left w:val="single" w:sz="11" w:space="0" w:color="000000"/>
              <w:bottom w:val="nil"/>
              <w:right w:val="single" w:sz="7" w:space="0" w:color="000000"/>
            </w:tcBorders>
          </w:tcPr>
          <w:p>
            <w:pPr>
              <w:pStyle w:val="TableParagraph"/>
              <w:spacing w:line="314" w:lineRule="auto" w:before="60"/>
              <w:ind w:left="231" w:right="1076"/>
              <w:rPr>
                <w:sz w:val="17"/>
              </w:rPr>
            </w:pPr>
            <w:r>
              <w:rPr>
                <w:w w:val="105"/>
                <w:sz w:val="17"/>
              </w:rPr>
              <w:t>Contract </w:t>
            </w:r>
            <w:r>
              <w:rPr>
                <w:sz w:val="17"/>
              </w:rPr>
              <w:t>Contingency </w:t>
            </w:r>
            <w:r>
              <w:rPr>
                <w:w w:val="105"/>
                <w:sz w:val="17"/>
              </w:rPr>
              <w:t>A&amp;E Costs</w:t>
            </w:r>
          </w:p>
          <w:p>
            <w:pPr>
              <w:pStyle w:val="TableParagraph"/>
              <w:spacing w:line="314" w:lineRule="auto" w:before="1"/>
              <w:ind w:left="231" w:right="510"/>
              <w:rPr>
                <w:sz w:val="17"/>
              </w:rPr>
            </w:pPr>
            <w:r>
              <w:rPr>
                <w:w w:val="105"/>
                <w:sz w:val="17"/>
              </w:rPr>
              <w:t>Group 2 Equipment Agency Retained</w:t>
            </w:r>
          </w:p>
        </w:tc>
        <w:tc>
          <w:tcPr>
            <w:tcW w:w="1074" w:type="dxa"/>
            <w:tcBorders>
              <w:top w:val="single" w:sz="7" w:space="0" w:color="000000"/>
              <w:left w:val="single" w:sz="7" w:space="0" w:color="000000"/>
              <w:bottom w:val="single" w:sz="7" w:space="0" w:color="000000"/>
              <w:right w:val="single" w:sz="7" w:space="0" w:color="000000"/>
            </w:tcBorders>
          </w:tcPr>
          <w:p>
            <w:pPr/>
          </w:p>
        </w:tc>
        <w:tc>
          <w:tcPr>
            <w:tcW w:w="1074" w:type="dxa"/>
            <w:tcBorders>
              <w:top w:val="single" w:sz="7" w:space="0" w:color="000000"/>
              <w:left w:val="single" w:sz="7" w:space="0" w:color="000000"/>
              <w:bottom w:val="single" w:sz="7" w:space="0" w:color="000000"/>
              <w:right w:val="single" w:sz="7" w:space="0" w:color="000000"/>
            </w:tcBorders>
          </w:tcPr>
          <w:p>
            <w:pPr/>
          </w:p>
        </w:tc>
        <w:tc>
          <w:tcPr>
            <w:tcW w:w="1074" w:type="dxa"/>
            <w:tcBorders>
              <w:top w:val="single" w:sz="7" w:space="0" w:color="000000"/>
              <w:left w:val="single" w:sz="7" w:space="0" w:color="000000"/>
              <w:bottom w:val="single" w:sz="7" w:space="0" w:color="000000"/>
              <w:right w:val="single" w:sz="7" w:space="0" w:color="000000"/>
            </w:tcBorders>
          </w:tcPr>
          <w:p>
            <w:pPr/>
          </w:p>
        </w:tc>
        <w:tc>
          <w:tcPr>
            <w:tcW w:w="1074" w:type="dxa"/>
            <w:tcBorders>
              <w:top w:val="single" w:sz="7" w:space="0" w:color="000000"/>
              <w:left w:val="single" w:sz="7" w:space="0" w:color="000000"/>
              <w:bottom w:val="single" w:sz="7" w:space="0" w:color="000000"/>
              <w:right w:val="single" w:sz="7" w:space="0" w:color="000000"/>
            </w:tcBorders>
          </w:tcPr>
          <w:p>
            <w:pPr/>
          </w:p>
        </w:tc>
        <w:tc>
          <w:tcPr>
            <w:tcW w:w="1074" w:type="dxa"/>
            <w:tcBorders>
              <w:top w:val="single" w:sz="7" w:space="0" w:color="000000"/>
              <w:left w:val="single" w:sz="7" w:space="0" w:color="000000"/>
              <w:bottom w:val="single" w:sz="7" w:space="0" w:color="000000"/>
              <w:right w:val="single" w:sz="7" w:space="0" w:color="000000"/>
            </w:tcBorders>
          </w:tcPr>
          <w:p>
            <w:pPr/>
          </w:p>
        </w:tc>
        <w:tc>
          <w:tcPr>
            <w:tcW w:w="1070" w:type="dxa"/>
            <w:tcBorders>
              <w:top w:val="single" w:sz="7" w:space="0" w:color="000000"/>
              <w:left w:val="single" w:sz="7" w:space="0" w:color="000000"/>
              <w:bottom w:val="single" w:sz="7" w:space="0" w:color="000000"/>
              <w:right w:val="single" w:sz="11" w:space="0" w:color="000000"/>
            </w:tcBorders>
          </w:tcPr>
          <w:p>
            <w:pPr/>
          </w:p>
        </w:tc>
      </w:tr>
      <w:tr>
        <w:trPr>
          <w:trHeight w:val="257" w:hRule="exact"/>
        </w:trPr>
        <w:tc>
          <w:tcPr>
            <w:tcW w:w="210" w:type="dxa"/>
            <w:tcBorders>
              <w:top w:val="nil"/>
              <w:left w:val="single" w:sz="11" w:space="0" w:color="000000"/>
              <w:bottom w:val="single" w:sz="15" w:space="0" w:color="000000"/>
              <w:right w:val="nil"/>
            </w:tcBorders>
          </w:tcPr>
          <w:p>
            <w:pPr/>
          </w:p>
        </w:tc>
        <w:tc>
          <w:tcPr>
            <w:tcW w:w="2380" w:type="dxa"/>
            <w:tcBorders>
              <w:top w:val="single" w:sz="7" w:space="0" w:color="000000"/>
              <w:left w:val="nil"/>
              <w:bottom w:val="single" w:sz="15" w:space="0" w:color="000000"/>
              <w:right w:val="single" w:sz="7" w:space="0" w:color="000000"/>
            </w:tcBorders>
          </w:tcPr>
          <w:p>
            <w:pPr>
              <w:pStyle w:val="TableParagraph"/>
              <w:spacing w:before="40"/>
              <w:ind w:left="490"/>
              <w:rPr>
                <w:b/>
                <w:sz w:val="17"/>
              </w:rPr>
            </w:pPr>
            <w:r>
              <w:rPr>
                <w:b/>
                <w:w w:val="105"/>
                <w:sz w:val="17"/>
              </w:rPr>
              <w:t>Total Construction</w:t>
            </w:r>
          </w:p>
        </w:tc>
        <w:tc>
          <w:tcPr>
            <w:tcW w:w="1074" w:type="dxa"/>
            <w:tcBorders>
              <w:top w:val="single" w:sz="7" w:space="0" w:color="000000"/>
              <w:left w:val="single" w:sz="7" w:space="0" w:color="000000"/>
              <w:bottom w:val="single" w:sz="15" w:space="0" w:color="000000"/>
              <w:right w:val="single" w:sz="7" w:space="0" w:color="000000"/>
            </w:tcBorders>
          </w:tcPr>
          <w:p>
            <w:pPr/>
          </w:p>
        </w:tc>
        <w:tc>
          <w:tcPr>
            <w:tcW w:w="1074" w:type="dxa"/>
            <w:tcBorders>
              <w:top w:val="single" w:sz="7" w:space="0" w:color="000000"/>
              <w:left w:val="single" w:sz="7" w:space="0" w:color="000000"/>
              <w:bottom w:val="single" w:sz="15" w:space="0" w:color="000000"/>
              <w:right w:val="single" w:sz="7" w:space="0" w:color="000000"/>
            </w:tcBorders>
          </w:tcPr>
          <w:p>
            <w:pPr>
              <w:pStyle w:val="TableParagraph"/>
              <w:spacing w:before="33"/>
              <w:ind w:right="278"/>
              <w:jc w:val="right"/>
              <w:rPr>
                <w:sz w:val="17"/>
              </w:rPr>
            </w:pPr>
            <w:r>
              <w:rPr>
                <w:w w:val="103"/>
                <w:sz w:val="17"/>
              </w:rPr>
              <w:t>-</w:t>
            </w:r>
          </w:p>
        </w:tc>
        <w:tc>
          <w:tcPr>
            <w:tcW w:w="1074" w:type="dxa"/>
            <w:tcBorders>
              <w:top w:val="single" w:sz="7" w:space="0" w:color="000000"/>
              <w:left w:val="single" w:sz="7" w:space="0" w:color="000000"/>
              <w:bottom w:val="single" w:sz="15" w:space="0" w:color="000000"/>
              <w:right w:val="single" w:sz="7" w:space="0" w:color="000000"/>
            </w:tcBorders>
          </w:tcPr>
          <w:p>
            <w:pPr>
              <w:pStyle w:val="TableParagraph"/>
              <w:spacing w:before="33"/>
              <w:ind w:right="278"/>
              <w:jc w:val="right"/>
              <w:rPr>
                <w:sz w:val="17"/>
              </w:rPr>
            </w:pPr>
            <w:r>
              <w:rPr>
                <w:w w:val="103"/>
                <w:sz w:val="17"/>
              </w:rPr>
              <w:t>-</w:t>
            </w:r>
          </w:p>
        </w:tc>
        <w:tc>
          <w:tcPr>
            <w:tcW w:w="1074" w:type="dxa"/>
            <w:tcBorders>
              <w:top w:val="single" w:sz="7" w:space="0" w:color="000000"/>
              <w:left w:val="single" w:sz="7" w:space="0" w:color="000000"/>
              <w:bottom w:val="single" w:sz="15" w:space="0" w:color="000000"/>
              <w:right w:val="single" w:sz="7" w:space="0" w:color="000000"/>
            </w:tcBorders>
          </w:tcPr>
          <w:p>
            <w:pPr>
              <w:pStyle w:val="TableParagraph"/>
              <w:spacing w:before="33"/>
              <w:ind w:right="278"/>
              <w:jc w:val="right"/>
              <w:rPr>
                <w:sz w:val="17"/>
              </w:rPr>
            </w:pPr>
            <w:r>
              <w:rPr>
                <w:w w:val="103"/>
                <w:sz w:val="17"/>
              </w:rPr>
              <w:t>-</w:t>
            </w:r>
          </w:p>
        </w:tc>
        <w:tc>
          <w:tcPr>
            <w:tcW w:w="1074" w:type="dxa"/>
            <w:tcBorders>
              <w:top w:val="single" w:sz="7" w:space="0" w:color="000000"/>
              <w:left w:val="single" w:sz="7" w:space="0" w:color="000000"/>
              <w:bottom w:val="single" w:sz="15" w:space="0" w:color="000000"/>
              <w:right w:val="single" w:sz="7" w:space="0" w:color="000000"/>
            </w:tcBorders>
          </w:tcPr>
          <w:p>
            <w:pPr>
              <w:pStyle w:val="TableParagraph"/>
              <w:spacing w:before="33"/>
              <w:ind w:right="277"/>
              <w:jc w:val="right"/>
              <w:rPr>
                <w:sz w:val="17"/>
              </w:rPr>
            </w:pPr>
            <w:r>
              <w:rPr>
                <w:w w:val="103"/>
                <w:sz w:val="17"/>
              </w:rPr>
              <w:t>-</w:t>
            </w:r>
          </w:p>
        </w:tc>
        <w:tc>
          <w:tcPr>
            <w:tcW w:w="1070" w:type="dxa"/>
            <w:tcBorders>
              <w:top w:val="single" w:sz="7" w:space="0" w:color="000000"/>
              <w:left w:val="single" w:sz="7" w:space="0" w:color="000000"/>
              <w:bottom w:val="single" w:sz="15" w:space="0" w:color="000000"/>
              <w:right w:val="single" w:sz="11" w:space="0" w:color="000000"/>
            </w:tcBorders>
          </w:tcPr>
          <w:p>
            <w:pPr>
              <w:pStyle w:val="TableParagraph"/>
              <w:spacing w:before="33"/>
              <w:ind w:right="268"/>
              <w:jc w:val="right"/>
              <w:rPr>
                <w:sz w:val="17"/>
              </w:rPr>
            </w:pPr>
            <w:r>
              <w:rPr>
                <w:w w:val="103"/>
                <w:sz w:val="17"/>
              </w:rPr>
              <w:t>-</w:t>
            </w:r>
          </w:p>
        </w:tc>
      </w:tr>
      <w:tr>
        <w:trPr>
          <w:trHeight w:val="513" w:hRule="exact"/>
        </w:trPr>
        <w:tc>
          <w:tcPr>
            <w:tcW w:w="9030" w:type="dxa"/>
            <w:gridSpan w:val="8"/>
            <w:tcBorders>
              <w:top w:val="single" w:sz="15" w:space="0" w:color="000000"/>
              <w:left w:val="single" w:sz="11" w:space="0" w:color="000000"/>
              <w:bottom w:val="nil"/>
              <w:right w:val="single" w:sz="11" w:space="0" w:color="000000"/>
            </w:tcBorders>
          </w:tcPr>
          <w:p>
            <w:pPr>
              <w:pStyle w:val="TableParagraph"/>
              <w:tabs>
                <w:tab w:pos="4826" w:val="left" w:leader="none"/>
              </w:tabs>
              <w:spacing w:line="307" w:lineRule="auto" w:before="39"/>
              <w:ind w:left="231" w:right="820" w:hanging="166"/>
              <w:rPr>
                <w:sz w:val="17"/>
              </w:rPr>
            </w:pPr>
            <w:r>
              <w:rPr>
                <w:b/>
                <w:w w:val="105"/>
                <w:sz w:val="17"/>
              </w:rPr>
              <w:t>FUNDING</w:t>
            </w:r>
            <w:r>
              <w:rPr>
                <w:b/>
                <w:spacing w:val="-12"/>
                <w:w w:val="105"/>
                <w:sz w:val="17"/>
              </w:rPr>
              <w:t> </w:t>
            </w:r>
            <w:r>
              <w:rPr>
                <w:b/>
                <w:w w:val="105"/>
                <w:sz w:val="17"/>
              </w:rPr>
              <w:t>DATA</w:t>
            </w:r>
            <w:r>
              <w:rPr>
                <w:b/>
                <w:spacing w:val="-12"/>
                <w:w w:val="105"/>
                <w:sz w:val="17"/>
              </w:rPr>
              <w:t> </w:t>
            </w:r>
            <w:r>
              <w:rPr>
                <w:w w:val="105"/>
                <w:position w:val="1"/>
                <w:sz w:val="17"/>
              </w:rPr>
              <w:t>-</w:t>
            </w:r>
            <w:r>
              <w:rPr>
                <w:spacing w:val="-12"/>
                <w:w w:val="105"/>
                <w:position w:val="1"/>
                <w:sz w:val="17"/>
              </w:rPr>
              <w:t> </w:t>
            </w:r>
            <w:r>
              <w:rPr>
                <w:w w:val="105"/>
                <w:position w:val="1"/>
                <w:sz w:val="17"/>
              </w:rPr>
              <w:t>Include</w:t>
            </w:r>
            <w:r>
              <w:rPr>
                <w:spacing w:val="-11"/>
                <w:w w:val="105"/>
                <w:position w:val="1"/>
                <w:sz w:val="17"/>
              </w:rPr>
              <w:t> </w:t>
            </w:r>
            <w:r>
              <w:rPr>
                <w:w w:val="105"/>
                <w:position w:val="1"/>
                <w:sz w:val="17"/>
              </w:rPr>
              <w:t>all</w:t>
            </w:r>
            <w:r>
              <w:rPr>
                <w:spacing w:val="-11"/>
                <w:w w:val="105"/>
                <w:position w:val="1"/>
                <w:sz w:val="17"/>
              </w:rPr>
              <w:t> </w:t>
            </w:r>
            <w:r>
              <w:rPr>
                <w:w w:val="105"/>
                <w:position w:val="1"/>
                <w:sz w:val="17"/>
              </w:rPr>
              <w:t>funding</w:t>
            </w:r>
            <w:r>
              <w:rPr>
                <w:spacing w:val="-11"/>
                <w:w w:val="105"/>
                <w:position w:val="1"/>
                <w:sz w:val="17"/>
              </w:rPr>
              <w:t> </w:t>
            </w:r>
            <w:r>
              <w:rPr>
                <w:w w:val="105"/>
                <w:position w:val="1"/>
                <w:sz w:val="17"/>
              </w:rPr>
              <w:t>provided.</w:t>
            </w:r>
            <w:r>
              <w:rPr>
                <w:spacing w:val="28"/>
                <w:w w:val="105"/>
                <w:position w:val="1"/>
                <w:sz w:val="17"/>
              </w:rPr>
              <w:t> </w:t>
            </w:r>
            <w:r>
              <w:rPr>
                <w:w w:val="105"/>
                <w:position w:val="1"/>
                <w:sz w:val="17"/>
              </w:rPr>
              <w:t>For</w:t>
            </w:r>
            <w:r>
              <w:rPr>
                <w:spacing w:val="-12"/>
                <w:w w:val="105"/>
                <w:position w:val="1"/>
                <w:sz w:val="17"/>
              </w:rPr>
              <w:t> </w:t>
            </w:r>
            <w:r>
              <w:rPr>
                <w:w w:val="105"/>
                <w:position w:val="1"/>
                <w:sz w:val="17"/>
              </w:rPr>
              <w:t>reversions</w:t>
            </w:r>
            <w:r>
              <w:rPr>
                <w:spacing w:val="-11"/>
                <w:w w:val="105"/>
                <w:position w:val="1"/>
                <w:sz w:val="17"/>
              </w:rPr>
              <w:t> </w:t>
            </w:r>
            <w:r>
              <w:rPr>
                <w:w w:val="105"/>
                <w:position w:val="1"/>
                <w:sz w:val="17"/>
              </w:rPr>
              <w:t>and</w:t>
            </w:r>
            <w:r>
              <w:rPr>
                <w:spacing w:val="-11"/>
                <w:w w:val="105"/>
                <w:position w:val="1"/>
                <w:sz w:val="17"/>
              </w:rPr>
              <w:t> </w:t>
            </w:r>
            <w:r>
              <w:rPr>
                <w:w w:val="105"/>
                <w:position w:val="1"/>
                <w:sz w:val="17"/>
              </w:rPr>
              <w:t>augmentations</w:t>
            </w:r>
            <w:r>
              <w:rPr>
                <w:spacing w:val="-10"/>
                <w:w w:val="105"/>
                <w:position w:val="1"/>
                <w:sz w:val="17"/>
              </w:rPr>
              <w:t> </w:t>
            </w:r>
            <w:r>
              <w:rPr>
                <w:w w:val="105"/>
                <w:position w:val="1"/>
                <w:sz w:val="17"/>
              </w:rPr>
              <w:t>indicate</w:t>
            </w:r>
            <w:r>
              <w:rPr>
                <w:spacing w:val="-11"/>
                <w:w w:val="105"/>
                <w:position w:val="1"/>
                <w:sz w:val="17"/>
              </w:rPr>
              <w:t> </w:t>
            </w:r>
            <w:r>
              <w:rPr>
                <w:w w:val="105"/>
                <w:position w:val="1"/>
                <w:sz w:val="17"/>
              </w:rPr>
              <w:t>EO</w:t>
            </w:r>
            <w:r>
              <w:rPr>
                <w:spacing w:val="-12"/>
                <w:w w:val="105"/>
                <w:position w:val="1"/>
                <w:sz w:val="17"/>
              </w:rPr>
              <w:t> </w:t>
            </w:r>
            <w:r>
              <w:rPr>
                <w:w w:val="105"/>
                <w:position w:val="1"/>
                <w:sz w:val="17"/>
              </w:rPr>
              <w:t>number. </w:t>
            </w:r>
            <w:r>
              <w:rPr>
                <w:w w:val="105"/>
                <w:sz w:val="17"/>
              </w:rPr>
              <w:t>Chapter</w:t>
            </w:r>
            <w:r>
              <w:rPr>
                <w:spacing w:val="-7"/>
                <w:w w:val="105"/>
                <w:sz w:val="17"/>
              </w:rPr>
              <w:t> </w:t>
            </w:r>
            <w:r>
              <w:rPr>
                <w:w w:val="105"/>
                <w:sz w:val="17"/>
              </w:rPr>
              <w:t>/</w:t>
            </w:r>
            <w:r>
              <w:rPr>
                <w:spacing w:val="-6"/>
                <w:w w:val="105"/>
                <w:sz w:val="17"/>
              </w:rPr>
              <w:t> </w:t>
            </w:r>
            <w:r>
              <w:rPr>
                <w:w w:val="105"/>
                <w:sz w:val="17"/>
              </w:rPr>
              <w:t>Item</w:t>
              <w:tab/>
              <w:t>Must</w:t>
            </w:r>
            <w:r>
              <w:rPr>
                <w:spacing w:val="-9"/>
                <w:w w:val="105"/>
                <w:sz w:val="17"/>
              </w:rPr>
              <w:t> </w:t>
            </w:r>
            <w:r>
              <w:rPr>
                <w:w w:val="105"/>
                <w:sz w:val="17"/>
              </w:rPr>
              <w:t>tie</w:t>
            </w:r>
            <w:r>
              <w:rPr>
                <w:spacing w:val="-9"/>
                <w:w w:val="105"/>
                <w:sz w:val="17"/>
              </w:rPr>
              <w:t> </w:t>
            </w:r>
            <w:r>
              <w:rPr>
                <w:w w:val="105"/>
                <w:sz w:val="17"/>
              </w:rPr>
              <w:t>to</w:t>
            </w:r>
            <w:r>
              <w:rPr>
                <w:spacing w:val="-9"/>
                <w:w w:val="105"/>
                <w:sz w:val="17"/>
              </w:rPr>
              <w:t> </w:t>
            </w:r>
            <w:r>
              <w:rPr>
                <w:w w:val="105"/>
                <w:sz w:val="17"/>
              </w:rPr>
              <w:t>Total</w:t>
            </w:r>
            <w:r>
              <w:rPr>
                <w:spacing w:val="-9"/>
                <w:w w:val="105"/>
                <w:sz w:val="17"/>
              </w:rPr>
              <w:t> </w:t>
            </w:r>
            <w:r>
              <w:rPr>
                <w:w w:val="105"/>
                <w:sz w:val="17"/>
              </w:rPr>
              <w:t>Costs,</w:t>
            </w:r>
            <w:r>
              <w:rPr>
                <w:spacing w:val="-9"/>
                <w:w w:val="105"/>
                <w:sz w:val="17"/>
              </w:rPr>
              <w:t> </w:t>
            </w:r>
            <w:r>
              <w:rPr>
                <w:w w:val="105"/>
                <w:sz w:val="17"/>
              </w:rPr>
              <w:t>above</w:t>
            </w:r>
          </w:p>
        </w:tc>
      </w:tr>
      <w:tr>
        <w:trPr>
          <w:trHeight w:val="1540" w:hRule="exact"/>
        </w:trPr>
        <w:tc>
          <w:tcPr>
            <w:tcW w:w="2590" w:type="dxa"/>
            <w:gridSpan w:val="2"/>
            <w:tcBorders>
              <w:top w:val="nil"/>
              <w:left w:val="single" w:sz="11" w:space="0" w:color="000000"/>
              <w:bottom w:val="nil"/>
              <w:right w:val="single" w:sz="7" w:space="0" w:color="000000"/>
            </w:tcBorders>
          </w:tcPr>
          <w:p>
            <w:pPr>
              <w:pStyle w:val="TableParagraph"/>
              <w:spacing w:before="60"/>
              <w:ind w:left="231"/>
              <w:rPr>
                <w:sz w:val="17"/>
              </w:rPr>
            </w:pPr>
            <w:r>
              <w:rPr>
                <w:w w:val="105"/>
                <w:sz w:val="17"/>
              </w:rPr>
              <w:t>97-3680-301-0516</w:t>
            </w:r>
          </w:p>
          <w:p>
            <w:pPr>
              <w:pStyle w:val="TableParagraph"/>
              <w:spacing w:before="1" w:after="1"/>
              <w:rPr>
                <w:rFonts w:ascii="Times New Roman"/>
                <w:sz w:val="21"/>
              </w:rPr>
            </w:pPr>
          </w:p>
          <w:p>
            <w:pPr>
              <w:pStyle w:val="TableParagraph"/>
              <w:spacing w:line="20" w:lineRule="exact"/>
              <w:ind w:left="225"/>
              <w:rPr>
                <w:rFonts w:ascii="Times New Roman"/>
                <w:sz w:val="2"/>
              </w:rPr>
            </w:pPr>
            <w:r>
              <w:rPr>
                <w:rFonts w:ascii="Times New Roman"/>
                <w:sz w:val="2"/>
              </w:rPr>
              <w:pict>
                <v:group style="width:93.8pt;height:.6pt;mso-position-horizontal-relative:char;mso-position-vertical-relative:line" coordorigin="0,0" coordsize="1876,12">
                  <v:line style="position:absolute" from="6,6" to="1869,6" stroked="true" strokeweight=".551678pt" strokecolor="#000000">
                    <v:stroke dashstyle="solid"/>
                  </v:line>
                </v:group>
              </w:pict>
            </w:r>
            <w:r>
              <w:rPr>
                <w:rFonts w:ascii="Times New Roman"/>
                <w:sz w:val="2"/>
              </w:rPr>
            </w:r>
          </w:p>
          <w:p>
            <w:pPr>
              <w:pStyle w:val="TableParagraph"/>
              <w:spacing w:before="6"/>
              <w:rPr>
                <w:rFonts w:ascii="Times New Roman"/>
                <w:sz w:val="20"/>
              </w:rPr>
            </w:pPr>
          </w:p>
          <w:p>
            <w:pPr>
              <w:pStyle w:val="TableParagraph"/>
              <w:spacing w:line="20" w:lineRule="exact"/>
              <w:ind w:left="225"/>
              <w:rPr>
                <w:rFonts w:ascii="Times New Roman"/>
                <w:sz w:val="2"/>
              </w:rPr>
            </w:pPr>
            <w:r>
              <w:rPr>
                <w:rFonts w:ascii="Times New Roman"/>
                <w:sz w:val="2"/>
              </w:rPr>
              <w:pict>
                <v:group style="width:93.8pt;height:.6pt;mso-position-horizontal-relative:char;mso-position-vertical-relative:line" coordorigin="0,0" coordsize="1876,12">
                  <v:line style="position:absolute" from="6,6" to="1869,6" stroked="true" strokeweight=".551678pt" strokecolor="#000000">
                    <v:stroke dashstyle="solid"/>
                  </v:line>
                </v:group>
              </w:pict>
            </w:r>
            <w:r>
              <w:rPr>
                <w:rFonts w:ascii="Times New Roman"/>
                <w:sz w:val="2"/>
              </w:rPr>
            </w:r>
          </w:p>
          <w:p>
            <w:pPr>
              <w:pStyle w:val="TableParagraph"/>
              <w:spacing w:before="6"/>
              <w:rPr>
                <w:rFonts w:ascii="Times New Roman"/>
                <w:sz w:val="20"/>
              </w:rPr>
            </w:pPr>
          </w:p>
          <w:p>
            <w:pPr>
              <w:pStyle w:val="TableParagraph"/>
              <w:spacing w:line="20" w:lineRule="exact"/>
              <w:ind w:left="225"/>
              <w:rPr>
                <w:rFonts w:ascii="Times New Roman"/>
                <w:sz w:val="2"/>
              </w:rPr>
            </w:pPr>
            <w:r>
              <w:rPr>
                <w:rFonts w:ascii="Times New Roman"/>
                <w:sz w:val="2"/>
              </w:rPr>
              <w:pict>
                <v:group style="width:93.8pt;height:.6pt;mso-position-horizontal-relative:char;mso-position-vertical-relative:line" coordorigin="0,0" coordsize="1876,12">
                  <v:line style="position:absolute" from="6,6" to="1869,6" stroked="true" strokeweight=".551678pt" strokecolor="#000000">
                    <v:stroke dashstyle="solid"/>
                  </v:line>
                </v:group>
              </w:pict>
            </w:r>
            <w:r>
              <w:rPr>
                <w:rFonts w:ascii="Times New Roman"/>
                <w:sz w:val="2"/>
              </w:rPr>
            </w:r>
          </w:p>
          <w:p>
            <w:pPr>
              <w:pStyle w:val="TableParagraph"/>
              <w:spacing w:line="314" w:lineRule="auto" w:before="54"/>
              <w:ind w:left="231" w:right="510"/>
              <w:rPr>
                <w:sz w:val="17"/>
              </w:rPr>
            </w:pPr>
            <w:r>
              <w:rPr>
                <w:w w:val="105"/>
                <w:sz w:val="17"/>
              </w:rPr>
              <w:t>Change Requested Future Funding</w:t>
            </w:r>
          </w:p>
        </w:tc>
        <w:tc>
          <w:tcPr>
            <w:tcW w:w="1074" w:type="dxa"/>
            <w:tcBorders>
              <w:top w:val="single" w:sz="7" w:space="0" w:color="000000"/>
              <w:left w:val="single" w:sz="7" w:space="0" w:color="000000"/>
              <w:bottom w:val="single" w:sz="7" w:space="0" w:color="000000"/>
              <w:right w:val="single" w:sz="7" w:space="0" w:color="000000"/>
            </w:tcBorders>
          </w:tcPr>
          <w:p>
            <w:pPr/>
          </w:p>
        </w:tc>
        <w:tc>
          <w:tcPr>
            <w:tcW w:w="1074" w:type="dxa"/>
            <w:tcBorders>
              <w:top w:val="single" w:sz="7" w:space="0" w:color="000000"/>
              <w:left w:val="single" w:sz="7" w:space="0" w:color="000000"/>
              <w:bottom w:val="single" w:sz="7" w:space="0" w:color="000000"/>
              <w:right w:val="single" w:sz="7" w:space="0" w:color="000000"/>
            </w:tcBorders>
          </w:tcPr>
          <w:p>
            <w:pPr/>
          </w:p>
        </w:tc>
        <w:tc>
          <w:tcPr>
            <w:tcW w:w="1074" w:type="dxa"/>
            <w:tcBorders>
              <w:top w:val="single" w:sz="7" w:space="0" w:color="000000"/>
              <w:left w:val="single" w:sz="7" w:space="0" w:color="000000"/>
              <w:bottom w:val="single" w:sz="7" w:space="0" w:color="000000"/>
              <w:right w:val="single" w:sz="7" w:space="0" w:color="000000"/>
            </w:tcBorders>
          </w:tcPr>
          <w:p>
            <w:pPr/>
          </w:p>
        </w:tc>
        <w:tc>
          <w:tcPr>
            <w:tcW w:w="1074" w:type="dxa"/>
            <w:tcBorders>
              <w:top w:val="single" w:sz="7" w:space="0" w:color="000000"/>
              <w:left w:val="single" w:sz="7" w:space="0" w:color="000000"/>
              <w:bottom w:val="single" w:sz="7" w:space="0" w:color="000000"/>
              <w:right w:val="single" w:sz="7" w:space="0" w:color="000000"/>
            </w:tcBorders>
          </w:tcPr>
          <w:p>
            <w:pPr/>
          </w:p>
        </w:tc>
        <w:tc>
          <w:tcPr>
            <w:tcW w:w="1074" w:type="dxa"/>
            <w:tcBorders>
              <w:top w:val="single" w:sz="7" w:space="0" w:color="000000"/>
              <w:left w:val="single" w:sz="7" w:space="0" w:color="000000"/>
              <w:bottom w:val="single" w:sz="7" w:space="0" w:color="000000"/>
              <w:right w:val="single" w:sz="7" w:space="0" w:color="000000"/>
            </w:tcBorders>
          </w:tcPr>
          <w:p>
            <w:pPr/>
          </w:p>
        </w:tc>
        <w:tc>
          <w:tcPr>
            <w:tcW w:w="1070" w:type="dxa"/>
            <w:tcBorders>
              <w:top w:val="single" w:sz="7" w:space="0" w:color="000000"/>
              <w:left w:val="single" w:sz="7" w:space="0" w:color="000000"/>
              <w:bottom w:val="single" w:sz="7" w:space="0" w:color="000000"/>
              <w:right w:val="single" w:sz="11" w:space="0" w:color="000000"/>
            </w:tcBorders>
          </w:tcPr>
          <w:p>
            <w:pPr/>
          </w:p>
        </w:tc>
      </w:tr>
      <w:tr>
        <w:trPr>
          <w:trHeight w:val="257" w:hRule="exact"/>
        </w:trPr>
        <w:tc>
          <w:tcPr>
            <w:tcW w:w="210" w:type="dxa"/>
            <w:tcBorders>
              <w:top w:val="nil"/>
              <w:left w:val="single" w:sz="11" w:space="0" w:color="000000"/>
              <w:bottom w:val="single" w:sz="15" w:space="0" w:color="000000"/>
              <w:right w:val="nil"/>
            </w:tcBorders>
          </w:tcPr>
          <w:p>
            <w:pPr/>
          </w:p>
        </w:tc>
        <w:tc>
          <w:tcPr>
            <w:tcW w:w="2380" w:type="dxa"/>
            <w:tcBorders>
              <w:top w:val="single" w:sz="7" w:space="0" w:color="000000"/>
              <w:left w:val="nil"/>
              <w:bottom w:val="single" w:sz="15" w:space="0" w:color="000000"/>
              <w:right w:val="single" w:sz="7" w:space="0" w:color="000000"/>
            </w:tcBorders>
          </w:tcPr>
          <w:p>
            <w:pPr>
              <w:pStyle w:val="TableParagraph"/>
              <w:spacing w:before="40"/>
              <w:ind w:left="616"/>
              <w:rPr>
                <w:b/>
                <w:sz w:val="17"/>
              </w:rPr>
            </w:pPr>
            <w:r>
              <w:rPr>
                <w:b/>
                <w:w w:val="105"/>
                <w:sz w:val="17"/>
              </w:rPr>
              <w:t>Total Funding</w:t>
            </w:r>
          </w:p>
        </w:tc>
        <w:tc>
          <w:tcPr>
            <w:tcW w:w="1074" w:type="dxa"/>
            <w:tcBorders>
              <w:top w:val="single" w:sz="7" w:space="0" w:color="000000"/>
              <w:left w:val="single" w:sz="7" w:space="0" w:color="000000"/>
              <w:bottom w:val="single" w:sz="15" w:space="0" w:color="000000"/>
              <w:right w:val="single" w:sz="7" w:space="0" w:color="000000"/>
            </w:tcBorders>
          </w:tcPr>
          <w:p>
            <w:pPr/>
          </w:p>
        </w:tc>
        <w:tc>
          <w:tcPr>
            <w:tcW w:w="1074" w:type="dxa"/>
            <w:tcBorders>
              <w:top w:val="single" w:sz="7" w:space="0" w:color="000000"/>
              <w:left w:val="single" w:sz="7" w:space="0" w:color="000000"/>
              <w:bottom w:val="single" w:sz="15" w:space="0" w:color="000000"/>
              <w:right w:val="single" w:sz="7" w:space="0" w:color="000000"/>
            </w:tcBorders>
          </w:tcPr>
          <w:p>
            <w:pPr>
              <w:pStyle w:val="TableParagraph"/>
              <w:spacing w:before="33"/>
              <w:ind w:right="278"/>
              <w:jc w:val="right"/>
              <w:rPr>
                <w:sz w:val="17"/>
              </w:rPr>
            </w:pPr>
            <w:r>
              <w:rPr>
                <w:w w:val="103"/>
                <w:sz w:val="17"/>
              </w:rPr>
              <w:t>-</w:t>
            </w:r>
          </w:p>
        </w:tc>
        <w:tc>
          <w:tcPr>
            <w:tcW w:w="1074" w:type="dxa"/>
            <w:tcBorders>
              <w:top w:val="single" w:sz="7" w:space="0" w:color="000000"/>
              <w:left w:val="single" w:sz="7" w:space="0" w:color="000000"/>
              <w:bottom w:val="single" w:sz="15" w:space="0" w:color="000000"/>
              <w:right w:val="single" w:sz="7" w:space="0" w:color="000000"/>
            </w:tcBorders>
          </w:tcPr>
          <w:p>
            <w:pPr>
              <w:pStyle w:val="TableParagraph"/>
              <w:spacing w:before="33"/>
              <w:ind w:right="278"/>
              <w:jc w:val="right"/>
              <w:rPr>
                <w:sz w:val="17"/>
              </w:rPr>
            </w:pPr>
            <w:r>
              <w:rPr>
                <w:w w:val="103"/>
                <w:sz w:val="17"/>
              </w:rPr>
              <w:t>-</w:t>
            </w:r>
          </w:p>
        </w:tc>
        <w:tc>
          <w:tcPr>
            <w:tcW w:w="1074" w:type="dxa"/>
            <w:tcBorders>
              <w:top w:val="single" w:sz="7" w:space="0" w:color="000000"/>
              <w:left w:val="single" w:sz="7" w:space="0" w:color="000000"/>
              <w:bottom w:val="single" w:sz="15" w:space="0" w:color="000000"/>
              <w:right w:val="single" w:sz="7" w:space="0" w:color="000000"/>
            </w:tcBorders>
          </w:tcPr>
          <w:p>
            <w:pPr>
              <w:pStyle w:val="TableParagraph"/>
              <w:spacing w:before="33"/>
              <w:ind w:right="278"/>
              <w:jc w:val="right"/>
              <w:rPr>
                <w:sz w:val="17"/>
              </w:rPr>
            </w:pPr>
            <w:r>
              <w:rPr>
                <w:w w:val="103"/>
                <w:sz w:val="17"/>
              </w:rPr>
              <w:t>-</w:t>
            </w:r>
          </w:p>
        </w:tc>
        <w:tc>
          <w:tcPr>
            <w:tcW w:w="1074" w:type="dxa"/>
            <w:tcBorders>
              <w:top w:val="single" w:sz="7" w:space="0" w:color="000000"/>
              <w:left w:val="single" w:sz="7" w:space="0" w:color="000000"/>
              <w:bottom w:val="single" w:sz="15" w:space="0" w:color="000000"/>
              <w:right w:val="single" w:sz="7" w:space="0" w:color="000000"/>
            </w:tcBorders>
          </w:tcPr>
          <w:p>
            <w:pPr>
              <w:pStyle w:val="TableParagraph"/>
              <w:spacing w:before="33"/>
              <w:ind w:right="277"/>
              <w:jc w:val="right"/>
              <w:rPr>
                <w:sz w:val="17"/>
              </w:rPr>
            </w:pPr>
            <w:r>
              <w:rPr>
                <w:w w:val="103"/>
                <w:sz w:val="17"/>
              </w:rPr>
              <w:t>-</w:t>
            </w:r>
          </w:p>
        </w:tc>
        <w:tc>
          <w:tcPr>
            <w:tcW w:w="1070" w:type="dxa"/>
            <w:tcBorders>
              <w:top w:val="single" w:sz="7" w:space="0" w:color="000000"/>
              <w:left w:val="single" w:sz="7" w:space="0" w:color="000000"/>
              <w:bottom w:val="single" w:sz="15" w:space="0" w:color="000000"/>
              <w:right w:val="single" w:sz="11" w:space="0" w:color="000000"/>
            </w:tcBorders>
          </w:tcPr>
          <w:p>
            <w:pPr>
              <w:pStyle w:val="TableParagraph"/>
              <w:spacing w:before="33"/>
              <w:ind w:right="268"/>
              <w:jc w:val="right"/>
              <w:rPr>
                <w:sz w:val="17"/>
              </w:rPr>
            </w:pPr>
            <w:r>
              <w:rPr>
                <w:w w:val="103"/>
                <w:sz w:val="17"/>
              </w:rPr>
              <w:t>-</w:t>
            </w:r>
          </w:p>
        </w:tc>
      </w:tr>
      <w:tr>
        <w:trPr>
          <w:trHeight w:val="257" w:hRule="exact"/>
        </w:trPr>
        <w:tc>
          <w:tcPr>
            <w:tcW w:w="9030" w:type="dxa"/>
            <w:gridSpan w:val="8"/>
            <w:tcBorders>
              <w:top w:val="single" w:sz="15" w:space="0" w:color="000000"/>
              <w:left w:val="single" w:sz="11" w:space="0" w:color="000000"/>
              <w:bottom w:val="nil"/>
              <w:right w:val="single" w:sz="11" w:space="0" w:color="000000"/>
            </w:tcBorders>
          </w:tcPr>
          <w:p>
            <w:pPr>
              <w:pStyle w:val="TableParagraph"/>
              <w:spacing w:before="39"/>
              <w:ind w:left="65"/>
              <w:rPr>
                <w:sz w:val="17"/>
              </w:rPr>
            </w:pPr>
            <w:r>
              <w:rPr>
                <w:b/>
                <w:w w:val="105"/>
                <w:sz w:val="17"/>
              </w:rPr>
              <w:t>SCHEDULE - </w:t>
            </w:r>
            <w:r>
              <w:rPr>
                <w:w w:val="105"/>
                <w:position w:val="1"/>
                <w:sz w:val="17"/>
              </w:rPr>
              <w:t>Include all project dates (MM/DD/YYYY).</w:t>
            </w:r>
          </w:p>
        </w:tc>
      </w:tr>
      <w:tr>
        <w:trPr>
          <w:trHeight w:val="1797" w:hRule="exact"/>
        </w:trPr>
        <w:tc>
          <w:tcPr>
            <w:tcW w:w="2590" w:type="dxa"/>
            <w:gridSpan w:val="2"/>
            <w:vMerge w:val="restart"/>
            <w:tcBorders>
              <w:top w:val="nil"/>
              <w:left w:val="single" w:sz="11" w:space="0" w:color="000000"/>
              <w:right w:val="single" w:sz="7" w:space="0" w:color="000000"/>
            </w:tcBorders>
          </w:tcPr>
          <w:p>
            <w:pPr>
              <w:pStyle w:val="TableParagraph"/>
              <w:spacing w:line="314" w:lineRule="auto" w:before="60"/>
              <w:ind w:left="231" w:right="162"/>
              <w:rPr>
                <w:sz w:val="17"/>
              </w:rPr>
            </w:pPr>
            <w:r>
              <w:rPr>
                <w:w w:val="105"/>
                <w:sz w:val="17"/>
              </w:rPr>
              <w:t>Study Completion Acquisition Completion Start Preliminary Plans Preliminary Plan Approval Approval to Proceed to Bid Contract Award Approval Project Completion</w:t>
            </w:r>
          </w:p>
        </w:tc>
        <w:tc>
          <w:tcPr>
            <w:tcW w:w="1074" w:type="dxa"/>
            <w:tcBorders>
              <w:top w:val="nil"/>
              <w:left w:val="single" w:sz="7" w:space="0" w:color="000000"/>
              <w:bottom w:val="single" w:sz="7" w:space="0" w:color="000000"/>
              <w:right w:val="single" w:sz="7" w:space="0" w:color="000000"/>
            </w:tcBorders>
          </w:tcPr>
          <w:p>
            <w:pPr/>
          </w:p>
        </w:tc>
        <w:tc>
          <w:tcPr>
            <w:tcW w:w="1074" w:type="dxa"/>
            <w:tcBorders>
              <w:top w:val="nil"/>
              <w:left w:val="single" w:sz="7" w:space="0" w:color="000000"/>
              <w:bottom w:val="single" w:sz="7" w:space="0" w:color="000000"/>
              <w:right w:val="single" w:sz="7" w:space="0" w:color="000000"/>
            </w:tcBorders>
          </w:tcPr>
          <w:p>
            <w:pPr/>
          </w:p>
        </w:tc>
        <w:tc>
          <w:tcPr>
            <w:tcW w:w="1074" w:type="dxa"/>
            <w:tcBorders>
              <w:top w:val="nil"/>
              <w:left w:val="single" w:sz="7" w:space="0" w:color="000000"/>
              <w:bottom w:val="single" w:sz="7" w:space="0" w:color="000000"/>
              <w:right w:val="single" w:sz="7" w:space="0" w:color="000000"/>
            </w:tcBorders>
          </w:tcPr>
          <w:p>
            <w:pPr/>
          </w:p>
        </w:tc>
        <w:tc>
          <w:tcPr>
            <w:tcW w:w="1074" w:type="dxa"/>
            <w:tcBorders>
              <w:top w:val="nil"/>
              <w:left w:val="single" w:sz="7" w:space="0" w:color="000000"/>
              <w:bottom w:val="single" w:sz="7" w:space="0" w:color="000000"/>
              <w:right w:val="single" w:sz="7" w:space="0" w:color="000000"/>
            </w:tcBorders>
          </w:tcPr>
          <w:p>
            <w:pPr/>
          </w:p>
        </w:tc>
        <w:tc>
          <w:tcPr>
            <w:tcW w:w="1074" w:type="dxa"/>
            <w:tcBorders>
              <w:top w:val="nil"/>
              <w:left w:val="single" w:sz="7" w:space="0" w:color="000000"/>
              <w:bottom w:val="single" w:sz="7" w:space="0" w:color="000000"/>
              <w:right w:val="single" w:sz="7" w:space="0" w:color="000000"/>
            </w:tcBorders>
          </w:tcPr>
          <w:p>
            <w:pPr/>
          </w:p>
        </w:tc>
        <w:tc>
          <w:tcPr>
            <w:tcW w:w="1070" w:type="dxa"/>
            <w:tcBorders>
              <w:top w:val="nil"/>
              <w:left w:val="single" w:sz="7" w:space="0" w:color="000000"/>
              <w:bottom w:val="single" w:sz="7" w:space="0" w:color="000000"/>
              <w:right w:val="single" w:sz="11" w:space="0" w:color="000000"/>
            </w:tcBorders>
          </w:tcPr>
          <w:p>
            <w:pPr/>
          </w:p>
        </w:tc>
      </w:tr>
      <w:tr>
        <w:trPr>
          <w:trHeight w:val="117" w:hRule="exact"/>
        </w:trPr>
        <w:tc>
          <w:tcPr>
            <w:tcW w:w="2590" w:type="dxa"/>
            <w:gridSpan w:val="2"/>
            <w:vMerge/>
            <w:tcBorders>
              <w:left w:val="single" w:sz="11" w:space="0" w:color="000000"/>
              <w:bottom w:val="single" w:sz="15" w:space="0" w:color="000000"/>
              <w:right w:val="single" w:sz="7" w:space="0" w:color="000000"/>
            </w:tcBorders>
          </w:tcPr>
          <w:p>
            <w:pPr/>
          </w:p>
        </w:tc>
        <w:tc>
          <w:tcPr>
            <w:tcW w:w="1074" w:type="dxa"/>
            <w:tcBorders>
              <w:top w:val="single" w:sz="7" w:space="0" w:color="000000"/>
              <w:left w:val="nil"/>
              <w:bottom w:val="single" w:sz="15" w:space="0" w:color="000000"/>
              <w:right w:val="nil"/>
            </w:tcBorders>
          </w:tcPr>
          <w:p>
            <w:pPr/>
          </w:p>
        </w:tc>
        <w:tc>
          <w:tcPr>
            <w:tcW w:w="1074" w:type="dxa"/>
            <w:tcBorders>
              <w:top w:val="single" w:sz="7" w:space="0" w:color="000000"/>
              <w:left w:val="nil"/>
              <w:bottom w:val="single" w:sz="15" w:space="0" w:color="000000"/>
              <w:right w:val="nil"/>
            </w:tcBorders>
          </w:tcPr>
          <w:p>
            <w:pPr/>
          </w:p>
        </w:tc>
        <w:tc>
          <w:tcPr>
            <w:tcW w:w="1074" w:type="dxa"/>
            <w:tcBorders>
              <w:top w:val="single" w:sz="7" w:space="0" w:color="000000"/>
              <w:left w:val="nil"/>
              <w:bottom w:val="single" w:sz="15" w:space="0" w:color="000000"/>
              <w:right w:val="nil"/>
            </w:tcBorders>
          </w:tcPr>
          <w:p>
            <w:pPr/>
          </w:p>
        </w:tc>
        <w:tc>
          <w:tcPr>
            <w:tcW w:w="1074" w:type="dxa"/>
            <w:tcBorders>
              <w:top w:val="single" w:sz="7" w:space="0" w:color="000000"/>
              <w:left w:val="nil"/>
              <w:bottom w:val="single" w:sz="15" w:space="0" w:color="000000"/>
              <w:right w:val="nil"/>
            </w:tcBorders>
          </w:tcPr>
          <w:p>
            <w:pPr/>
          </w:p>
        </w:tc>
        <w:tc>
          <w:tcPr>
            <w:tcW w:w="1074" w:type="dxa"/>
            <w:tcBorders>
              <w:top w:val="single" w:sz="7" w:space="0" w:color="000000"/>
              <w:left w:val="nil"/>
              <w:bottom w:val="single" w:sz="15" w:space="0" w:color="000000"/>
              <w:right w:val="nil"/>
            </w:tcBorders>
          </w:tcPr>
          <w:p>
            <w:pPr/>
          </w:p>
        </w:tc>
        <w:tc>
          <w:tcPr>
            <w:tcW w:w="1070" w:type="dxa"/>
            <w:tcBorders>
              <w:top w:val="single" w:sz="7" w:space="0" w:color="000000"/>
              <w:left w:val="nil"/>
              <w:bottom w:val="single" w:sz="15" w:space="0" w:color="000000"/>
              <w:right w:val="single" w:sz="11" w:space="0" w:color="000000"/>
            </w:tcBorders>
          </w:tcPr>
          <w:p>
            <w:pPr/>
          </w:p>
        </w:tc>
      </w:tr>
    </w:tbl>
    <w:p>
      <w:pPr>
        <w:spacing w:after="0"/>
        <w:sectPr>
          <w:footerReference w:type="default" r:id="rId300"/>
          <w:pgSz w:w="12240" w:h="15840"/>
          <w:pgMar w:footer="1068" w:header="724" w:top="980" w:bottom="1260" w:left="480" w:right="1720"/>
        </w:sectPr>
      </w:pPr>
    </w:p>
    <w:p>
      <w:pPr>
        <w:pStyle w:val="BodyText"/>
        <w:rPr>
          <w:rFonts w:ascii="Times New Roman"/>
          <w:sz w:val="20"/>
        </w:rPr>
      </w:pPr>
    </w:p>
    <w:p>
      <w:pPr>
        <w:tabs>
          <w:tab w:pos="9784" w:val="left" w:leader="none"/>
        </w:tabs>
        <w:spacing w:before="214"/>
        <w:ind w:left="686" w:right="0" w:firstLine="0"/>
        <w:jc w:val="left"/>
        <w:rPr>
          <w:b/>
          <w:sz w:val="24"/>
        </w:rPr>
      </w:pPr>
      <w:r>
        <w:rPr>
          <w:b/>
          <w:sz w:val="24"/>
        </w:rPr>
        <w:t>TYPICAL PROJECT PHASES, RELATED FORMS </w:t>
      </w:r>
      <w:r>
        <w:rPr>
          <w:b/>
          <w:spacing w:val="-3"/>
          <w:sz w:val="24"/>
        </w:rPr>
        <w:t>AND</w:t>
      </w:r>
      <w:r>
        <w:rPr>
          <w:b/>
          <w:spacing w:val="-9"/>
          <w:sz w:val="24"/>
        </w:rPr>
        <w:t> </w:t>
      </w:r>
      <w:r>
        <w:rPr>
          <w:b/>
          <w:sz w:val="24"/>
        </w:rPr>
        <w:t>BOARD</w:t>
      </w:r>
      <w:r>
        <w:rPr>
          <w:b/>
          <w:spacing w:val="-3"/>
          <w:sz w:val="24"/>
        </w:rPr>
        <w:t> </w:t>
      </w:r>
      <w:r>
        <w:rPr>
          <w:b/>
          <w:sz w:val="24"/>
        </w:rPr>
        <w:t>ITEMS</w:t>
        <w:tab/>
        <w:t>6846</w:t>
      </w:r>
    </w:p>
    <w:p>
      <w:pPr>
        <w:pStyle w:val="BodyText"/>
        <w:ind w:left="686"/>
      </w:pPr>
      <w:r>
        <w:rPr/>
        <w:t>(New 5/1998)</w:t>
      </w:r>
    </w:p>
    <w:p>
      <w:pPr>
        <w:pStyle w:val="BodyText"/>
        <w:spacing w:before="117"/>
        <w:ind w:left="686" w:right="216"/>
      </w:pPr>
      <w:r>
        <w:rPr/>
        <w:t>Sections 6848–6856 describe project phases and processes for a </w:t>
      </w:r>
      <w:r>
        <w:rPr>
          <w:i/>
        </w:rPr>
        <w:t>design-bid-build project </w:t>
      </w:r>
      <w:r>
        <w:rPr>
          <w:i/>
        </w:rPr>
        <w:t>approach</w:t>
      </w:r>
      <w:r>
        <w:rPr/>
        <w:t>. This discussion relates primarily to securing DOF/PWB budget approval to initiate new phases and for project changes; it is not intended to address other project administrative requirements, such as state procedures related to contract law or project accounting. For assistance with capital outlay administrative requirements other than budget authorizations, contact DGS. Section 6841 provides further information on the design-bid-build process.</w:t>
      </w:r>
    </w:p>
    <w:p>
      <w:pPr>
        <w:pStyle w:val="BodyText"/>
        <w:rPr>
          <w:sz w:val="26"/>
        </w:rPr>
      </w:pPr>
    </w:p>
    <w:p>
      <w:pPr>
        <w:pStyle w:val="BodyText"/>
        <w:spacing w:before="2"/>
        <w:rPr>
          <w:sz w:val="29"/>
        </w:rPr>
      </w:pPr>
    </w:p>
    <w:p>
      <w:pPr>
        <w:pStyle w:val="Heading2"/>
        <w:tabs>
          <w:tab w:pos="9784" w:val="left" w:leader="none"/>
        </w:tabs>
        <w:spacing w:before="1"/>
        <w:ind w:left="686"/>
      </w:pPr>
      <w:r>
        <w:rPr/>
        <w:pict>
          <v:line style="position:absolute;mso-position-horizontal-relative:page;mso-position-vertical-relative:paragraph;z-index:27832" from="29.4pt,14.065882pt" to="29.4pt,61.465882pt" stroked="true" strokeweight=".72pt" strokecolor="#000000">
            <v:stroke dashstyle="solid"/>
            <w10:wrap type="none"/>
          </v:line>
        </w:pict>
      </w:r>
      <w:r>
        <w:rPr/>
        <w:t>STARTING</w:t>
      </w:r>
      <w:r>
        <w:rPr>
          <w:spacing w:val="-3"/>
        </w:rPr>
        <w:t> </w:t>
      </w:r>
      <w:r>
        <w:rPr/>
        <w:t>PROJECTS</w:t>
        <w:tab/>
        <w:t>6847</w:t>
      </w:r>
    </w:p>
    <w:p>
      <w:pPr>
        <w:pStyle w:val="BodyText"/>
        <w:ind w:left="686"/>
      </w:pPr>
      <w:r>
        <w:rPr/>
        <w:t>(</w:t>
      </w:r>
      <w:r>
        <w:rPr>
          <w:strike/>
          <w:color w:val="2E97D3"/>
        </w:rPr>
        <w:t>New 5/1998</w:t>
      </w:r>
      <w:r>
        <w:rPr>
          <w:strike w:val="0"/>
          <w:color w:val="2E97D3"/>
          <w:u w:val="single" w:color="2E97D3"/>
        </w:rPr>
        <w:t>Revised 10/2017</w:t>
      </w:r>
      <w:r>
        <w:rPr>
          <w:strike w:val="0"/>
        </w:rPr>
        <w:t>)</w:t>
      </w:r>
    </w:p>
    <w:p>
      <w:pPr>
        <w:pStyle w:val="BodyText"/>
        <w:spacing w:before="120"/>
        <w:ind w:left="686" w:right="167"/>
      </w:pPr>
      <w:r>
        <w:rPr/>
        <w:pict>
          <v:line style="position:absolute;mso-position-horizontal-relative:page;mso-position-vertical-relative:paragraph;z-index:-445024" from="217.199997pt,18.995844pt" to="221.159997pt,18.995844pt" stroked="true" strokeweight=".84pt" strokecolor="#2e97d3">
            <v:stroke dashstyle="solid"/>
            <w10:wrap type="none"/>
          </v:line>
        </w:pict>
      </w:r>
      <w:r>
        <w:rPr/>
        <w:pict>
          <v:line style="position:absolute;mso-position-horizontal-relative:page;mso-position-vertical-relative:paragraph;z-index:-445000" from="407.880005pt,14.435844pt" to="411.240005pt,14.435844pt" stroked="true" strokeweight=".6pt" strokecolor="#2e97d3">
            <v:stroke dashstyle="solid"/>
            <w10:wrap type="none"/>
          </v:line>
        </w:pict>
      </w:r>
      <w:r>
        <w:rPr/>
        <w:pict>
          <v:line style="position:absolute;mso-position-horizontal-relative:page;mso-position-vertical-relative:paragraph;z-index:-444976" from="297.119995pt,32.795845pt" to="301.079995pt,32.795845pt" stroked="true" strokeweight=".84pt" strokecolor="#2e97d3">
            <v:stroke dashstyle="solid"/>
            <w10:wrap type="none"/>
          </v:line>
        </w:pict>
      </w:r>
      <w:r>
        <w:rPr/>
        <w:pict>
          <v:line style="position:absolute;mso-position-horizontal-relative:page;mso-position-vertical-relative:paragraph;z-index:27856" from="29.4pt,47.614845pt" to="29.4pt,61.415845pt" stroked="true" strokeweight=".72pt" strokecolor="#000000">
            <v:stroke dashstyle="solid"/>
            <w10:wrap type="none"/>
          </v:line>
        </w:pict>
      </w:r>
      <w:r>
        <w:rPr/>
        <w:t>No </w:t>
      </w:r>
      <w:r>
        <w:rPr>
          <w:color w:val="2E97D3"/>
          <w:u w:val="single" w:color="2E97D3"/>
        </w:rPr>
        <w:t>Public Works Board (</w:t>
      </w:r>
      <w:r>
        <w:rPr/>
        <w:t>PWB</w:t>
      </w:r>
      <w:r>
        <w:rPr>
          <w:color w:val="2E97D3"/>
        </w:rPr>
        <w:t>) </w:t>
      </w:r>
      <w:r>
        <w:rPr/>
        <w:t>action is required to start projects. However, </w:t>
      </w:r>
      <w:r>
        <w:rPr>
          <w:strike/>
          <w:color w:val="2E97D3"/>
        </w:rPr>
        <w:t>DOF</w:t>
      </w:r>
      <w:r>
        <w:rPr>
          <w:strike w:val="0"/>
          <w:color w:val="2E97D3"/>
          <w:u w:val="single" w:color="2E97D3"/>
        </w:rPr>
        <w:t>Finance </w:t>
      </w:r>
      <w:r>
        <w:rPr>
          <w:strike w:val="0"/>
        </w:rPr>
        <w:t>or </w:t>
      </w:r>
      <w:r>
        <w:rPr>
          <w:strike w:val="0"/>
          <w:color w:val="2E97D3"/>
          <w:u w:val="single" w:color="2E97D3"/>
        </w:rPr>
        <w:t>the Department of General Services (</w:t>
      </w:r>
      <w:r>
        <w:rPr>
          <w:strike w:val="0"/>
        </w:rPr>
        <w:t>DGS</w:t>
      </w:r>
      <w:r>
        <w:rPr>
          <w:strike w:val="0"/>
          <w:color w:val="2E97D3"/>
        </w:rPr>
        <w:t>) </w:t>
      </w:r>
      <w:r>
        <w:rPr>
          <w:strike w:val="0"/>
        </w:rPr>
        <w:t>must authorize release of funds and give approval to proceed, depending upon the phase of the project and the task. Unless the project involves an acquisition, the first (and frequently only) </w:t>
      </w:r>
      <w:r>
        <w:rPr>
          <w:strike/>
          <w:color w:val="2E97D3"/>
        </w:rPr>
        <w:t>formal </w:t>
      </w:r>
      <w:r>
        <w:rPr>
          <w:strike w:val="0"/>
        </w:rPr>
        <w:t>PWB approval normally occurs at the preliminary planning stage.</w:t>
      </w:r>
    </w:p>
    <w:p>
      <w:pPr>
        <w:pStyle w:val="BodyText"/>
        <w:spacing w:before="120"/>
        <w:ind w:left="686" w:right="129"/>
      </w:pPr>
      <w:r>
        <w:rPr/>
        <w:pict>
          <v:line style="position:absolute;mso-position-horizontal-relative:page;mso-position-vertical-relative:paragraph;z-index:-444952" from="111.120003pt,83.435844pt" to="114.480003pt,83.435844pt" stroked="true" strokeweight=".6pt" strokecolor="#2e97d3">
            <v:stroke dashstyle="solid"/>
            <w10:wrap type="none"/>
          </v:line>
        </w:pict>
      </w:r>
      <w:r>
        <w:rPr/>
        <w:pict>
          <v:line style="position:absolute;mso-position-horizontal-relative:page;mso-position-vertical-relative:paragraph;z-index:-444928" from="199.199997pt,97.236343pt" to="202.439997pt,97.236343pt" stroked="true" strokeweight=".599pt" strokecolor="#2e97d3">
            <v:stroke dashstyle="solid"/>
            <w10:wrap type="none"/>
          </v:line>
        </w:pict>
      </w:r>
      <w:r>
        <w:rPr/>
        <w:pict>
          <v:line style="position:absolute;mso-position-horizontal-relative:page;mso-position-vertical-relative:paragraph;z-index:27880" from="29.4pt,6.215845pt" to="29.4pt,170.015845pt" stroked="true" strokeweight=".72pt" strokecolor="#000000">
            <v:stroke dashstyle="solid"/>
            <w10:wrap type="none"/>
          </v:line>
        </w:pict>
      </w:r>
      <w:r>
        <w:rPr>
          <w:b/>
          <w:strike/>
          <w:color w:val="2E97D3"/>
        </w:rPr>
        <w:t>Major projects</w:t>
      </w:r>
      <w:r>
        <w:rPr>
          <w:strike/>
          <w:color w:val="2E97D3"/>
        </w:rPr>
        <w:t>:  </w:t>
      </w:r>
      <w:r>
        <w:rPr>
          <w:strike w:val="0"/>
        </w:rPr>
        <w:t>Once the Legislature authorizes funding for </w:t>
      </w:r>
      <w:r>
        <w:rPr>
          <w:strike w:val="0"/>
          <w:color w:val="2E97D3"/>
          <w:u w:val="single" w:color="2E97D3"/>
        </w:rPr>
        <w:t>DGS-managed minor projects, </w:t>
      </w:r>
      <w:r>
        <w:rPr>
          <w:strike w:val="0"/>
        </w:rPr>
        <w:t>studies, site acquisition, or preliminary plans in the Budget Act or separate statute, DGS initiates a Form 22 (or for bond funds a </w:t>
      </w:r>
      <w:r>
        <w:rPr>
          <w:strike/>
          <w:color w:val="2E97D3"/>
        </w:rPr>
        <w:t>GS-OSA</w:t>
      </w:r>
      <w:r>
        <w:rPr>
          <w:strike w:val="0"/>
          <w:color w:val="2E97D3"/>
          <w:u w:val="single" w:color="2E97D3"/>
        </w:rPr>
        <w:t>Form </w:t>
      </w:r>
      <w:r>
        <w:rPr>
          <w:strike w:val="0"/>
        </w:rPr>
        <w:t>220) requesting that funding for this phase be transferred to the Architectural Revolving Fund. </w:t>
      </w:r>
      <w:r>
        <w:rPr>
          <w:strike w:val="0"/>
          <w:color w:val="2E97D3"/>
          <w:u w:val="single" w:color="2E97D3"/>
        </w:rPr>
        <w:t>The </w:t>
      </w:r>
      <w:r>
        <w:rPr>
          <w:strike w:val="0"/>
        </w:rPr>
        <w:t>DGS forwards the form to the department for approval, which then submits it to </w:t>
      </w:r>
      <w:r>
        <w:rPr>
          <w:strike/>
          <w:color w:val="2E97D3"/>
        </w:rPr>
        <w:t>DOF</w:t>
      </w:r>
      <w:r>
        <w:rPr>
          <w:strike w:val="0"/>
          <w:color w:val="2E97D3"/>
          <w:u w:val="single" w:color="2E97D3"/>
        </w:rPr>
        <w:t>Finance </w:t>
      </w:r>
      <w:r>
        <w:rPr>
          <w:strike w:val="0"/>
        </w:rPr>
        <w:t>for approval.  See </w:t>
      </w:r>
      <w:r>
        <w:rPr>
          <w:strike/>
          <w:color w:val="2E97D3"/>
        </w:rPr>
        <w:t>Section 6868 Illustrations 1 and 2</w:t>
      </w:r>
      <w:r>
        <w:rPr>
          <w:strike w:val="0"/>
          <w:color w:val="2E97D3"/>
          <w:u w:val="single" w:color="2E97D3"/>
        </w:rPr>
        <w:t>DGS </w:t>
      </w:r>
      <w:hyperlink r:id="rId302">
        <w:r>
          <w:rPr>
            <w:strike w:val="0"/>
            <w:color w:val="2E97D3"/>
            <w:u w:val="single" w:color="2E97D3"/>
          </w:rPr>
          <w:t>State Forms Directory </w:t>
        </w:r>
      </w:hyperlink>
      <w:r>
        <w:rPr>
          <w:strike w:val="0"/>
        </w:rPr>
        <w:t>for samples of the fund transfer forms.  The form is then forwarded to </w:t>
      </w:r>
      <w:r>
        <w:rPr>
          <w:strike/>
          <w:color w:val="2E97D3"/>
        </w:rPr>
        <w:t>SCO</w:t>
      </w:r>
      <w:r>
        <w:rPr>
          <w:strike w:val="0"/>
          <w:color w:val="2E97D3"/>
          <w:u w:val="single" w:color="2E97D3"/>
        </w:rPr>
        <w:t>the State Controller’s</w:t>
      </w:r>
      <w:r>
        <w:rPr>
          <w:strike w:val="0"/>
          <w:color w:val="2E97D3"/>
          <w:spacing w:val="-40"/>
          <w:u w:val="single" w:color="2E97D3"/>
        </w:rPr>
        <w:t> </w:t>
      </w:r>
      <w:r>
        <w:rPr>
          <w:strike w:val="0"/>
          <w:color w:val="2E97D3"/>
          <w:u w:val="single" w:color="2E97D3"/>
        </w:rPr>
        <w:t>Office</w:t>
      </w:r>
      <w:r>
        <w:rPr>
          <w:strike w:val="0"/>
        </w:rPr>
        <w:t>.</w:t>
      </w:r>
    </w:p>
    <w:p>
      <w:pPr>
        <w:pStyle w:val="BodyText"/>
        <w:spacing w:before="120"/>
        <w:ind w:left="686" w:right="259"/>
        <w:jc w:val="both"/>
      </w:pPr>
      <w:r>
        <w:rPr>
          <w:b/>
          <w:strike/>
          <w:color w:val="2E97D3"/>
        </w:rPr>
        <w:t>Minor projects</w:t>
      </w:r>
      <w:r>
        <w:rPr>
          <w:strike/>
          <w:color w:val="2E97D3"/>
        </w:rPr>
        <w:t>: A STD. 23 is used to request approval for departmental supervision of a minor capital outlay project. The client department initiates the form and sends it to DGS for final approval.  Examples of the form are available from DGS.</w:t>
      </w:r>
    </w:p>
    <w:p>
      <w:pPr>
        <w:pStyle w:val="BodyText"/>
        <w:spacing w:before="120"/>
        <w:ind w:left="686" w:right="375"/>
      </w:pPr>
      <w:r>
        <w:rPr/>
        <w:pict>
          <v:line style="position:absolute;mso-position-horizontal-relative:page;mso-position-vertical-relative:paragraph;z-index:-444904" from="410.279999pt,14.435844pt" to="413.639999pt,14.435844pt" stroked="true" strokeweight=".6pt" strokecolor="#2e97d3">
            <v:stroke dashstyle="solid"/>
            <w10:wrap type="none"/>
          </v:line>
        </w:pict>
      </w:r>
      <w:r>
        <w:rPr/>
        <w:pict>
          <v:line style="position:absolute;mso-position-horizontal-relative:page;mso-position-vertical-relative:paragraph;z-index:-444880" from="131.160004pt,42.035843pt" to="134.400004pt,42.035843pt" stroked="true" strokeweight=".6pt" strokecolor="#2e97d3">
            <v:stroke dashstyle="solid"/>
            <w10:wrap type="none"/>
          </v:line>
        </w:pict>
      </w:r>
      <w:r>
        <w:rPr/>
        <w:pict>
          <v:line style="position:absolute;mso-position-horizontal-relative:page;mso-position-vertical-relative:paragraph;z-index:-444856" from="332.519989pt,55.835846pt" to="335.759989pt,55.835846pt" stroked="true" strokeweight=".6pt" strokecolor="#2e97d3">
            <v:stroke dashstyle="solid"/>
            <w10:wrap type="none"/>
          </v:line>
        </w:pict>
      </w:r>
      <w:r>
        <w:rPr/>
        <w:pict>
          <v:line style="position:absolute;mso-position-horizontal-relative:page;mso-position-vertical-relative:paragraph;z-index:27904" from="29.4pt,33.815845pt" to="29.4pt,101.135845pt" stroked="true" strokeweight=".72pt" strokecolor="#000000">
            <v:stroke dashstyle="solid"/>
            <w10:wrap type="none"/>
          </v:line>
        </w:pict>
      </w:r>
      <w:r>
        <w:rPr>
          <w:b/>
        </w:rPr>
        <w:t>Reminder to departments on “project” per State Contract Act</w:t>
      </w:r>
      <w:r>
        <w:rPr/>
        <w:t>: Before beginning a project, departments are reminded to verify whether the project is governed by the State Contract Act. Section </w:t>
      </w:r>
      <w:hyperlink r:id="rId221">
        <w:r>
          <w:rPr/>
          <w:t>10105</w:t>
        </w:r>
      </w:hyperlink>
      <w:r>
        <w:rPr/>
        <w:t> of the Public Contract Code sets a specific dollar threshold for projects, beyond which the act has governance. That dollar threshold is updated </w:t>
      </w:r>
      <w:r>
        <w:rPr>
          <w:strike/>
          <w:color w:val="2E97D3"/>
        </w:rPr>
        <w:t>periodically</w:t>
      </w:r>
      <w:r>
        <w:rPr>
          <w:strike w:val="0"/>
          <w:color w:val="2E97D3"/>
          <w:u w:val="single" w:color="2E97D3"/>
        </w:rPr>
        <w:t>every two years </w:t>
      </w:r>
      <w:r>
        <w:rPr>
          <w:strike w:val="0"/>
        </w:rPr>
        <w:t>by </w:t>
      </w:r>
      <w:r>
        <w:rPr>
          <w:strike/>
          <w:color w:val="2E97D3"/>
        </w:rPr>
        <w:t>DOF</w:t>
      </w:r>
      <w:r>
        <w:rPr>
          <w:strike w:val="0"/>
          <w:color w:val="2E97D3"/>
          <w:u w:val="single" w:color="2E97D3"/>
        </w:rPr>
        <w:t>Finance </w:t>
      </w:r>
      <w:r>
        <w:rPr>
          <w:strike w:val="0"/>
        </w:rPr>
        <w:t>in a </w:t>
      </w:r>
      <w:r>
        <w:rPr>
          <w:strike/>
          <w:color w:val="2E97D3"/>
        </w:rPr>
        <w:t>Management Memo</w:t>
      </w:r>
      <w:r>
        <w:rPr>
          <w:strike w:val="0"/>
          <w:color w:val="2E97D3"/>
          <w:u w:val="single" w:color="2E97D3"/>
        </w:rPr>
        <w:t>Budget Letter</w:t>
      </w:r>
      <w:r>
        <w:rPr>
          <w:strike w:val="0"/>
        </w:rPr>
        <w:t>.</w:t>
      </w:r>
    </w:p>
    <w:p>
      <w:pPr>
        <w:spacing w:after="0"/>
        <w:sectPr>
          <w:footerReference w:type="default" r:id="rId301"/>
          <w:pgSz w:w="12240" w:h="15840"/>
          <w:pgMar w:footer="792" w:header="724" w:top="980" w:bottom="980" w:left="480" w:right="1340"/>
        </w:sectPr>
      </w:pPr>
    </w:p>
    <w:p>
      <w:pPr>
        <w:pStyle w:val="BodyText"/>
        <w:rPr>
          <w:sz w:val="20"/>
        </w:rPr>
      </w:pPr>
    </w:p>
    <w:p>
      <w:pPr>
        <w:pStyle w:val="Heading2"/>
        <w:tabs>
          <w:tab w:pos="9784" w:val="left" w:leader="none"/>
        </w:tabs>
        <w:spacing w:before="214"/>
        <w:ind w:left="686"/>
      </w:pPr>
      <w:r>
        <w:rPr/>
        <w:pict>
          <v:line style="position:absolute;mso-position-horizontal-relative:page;mso-position-vertical-relative:paragraph;z-index:27952" from="29.4pt,24.715881pt" to="29.4pt,262.195881pt" stroked="true" strokeweight=".72pt" strokecolor="#000000">
            <v:stroke dashstyle="solid"/>
            <w10:wrap type="none"/>
          </v:line>
        </w:pict>
      </w:r>
      <w:r>
        <w:rPr/>
        <w:t>STUDIES</w:t>
        <w:tab/>
        <w:t>6848</w:t>
      </w:r>
    </w:p>
    <w:p>
      <w:pPr>
        <w:pStyle w:val="BodyText"/>
        <w:ind w:left="686"/>
      </w:pPr>
      <w:r>
        <w:rPr>
          <w:strike/>
          <w:color w:val="2E97D3"/>
        </w:rPr>
        <w:t>(New 5/1998)</w:t>
      </w:r>
      <w:r>
        <w:rPr>
          <w:strike w:val="0"/>
          <w:color w:val="2E97D3"/>
          <w:u w:val="single" w:color="2E97D3"/>
        </w:rPr>
        <w:t>(Deleted 10/2017)</w:t>
      </w:r>
    </w:p>
    <w:p>
      <w:pPr>
        <w:pStyle w:val="BodyText"/>
        <w:spacing w:before="1"/>
      </w:pPr>
    </w:p>
    <w:p>
      <w:pPr>
        <w:pStyle w:val="BodyText"/>
        <w:spacing w:before="92"/>
        <w:ind w:left="686" w:right="167"/>
      </w:pPr>
      <w:r>
        <w:rPr/>
        <w:pict>
          <v:group style="position:absolute;margin-left:58.02pt;margin-top:12.375864pt;width:464.9pt;height:1.8pt;mso-position-horizontal-relative:page;mso-position-vertical-relative:paragraph;z-index:-444736" coordorigin="1160,248" coordsize="9298,36">
            <v:shape style="position:absolute;left:1166;top:254;width:320;height:24" coordorigin="1166,254" coordsize="320,24" path="m1166,278l1486,278m1166,254l1486,254e" filled="false" stroked="true" strokeweight=".6pt" strokecolor="#2c6234">
              <v:path arrowok="t"/>
              <v:stroke dashstyle="solid"/>
            </v:shape>
            <v:line style="position:absolute" from="1486,261" to="10452,261" stroked="true" strokeweight=".6pt" strokecolor="#2e97d3">
              <v:stroke dashstyle="solid"/>
            </v:line>
            <w10:wrap type="none"/>
          </v:group>
        </w:pict>
      </w:r>
      <w:r>
        <w:rPr>
          <w:color w:val="2C6234"/>
          <w:sz w:val="22"/>
        </w:rPr>
        <w:t>As </w:t>
      </w:r>
      <w:r>
        <w:rPr>
          <w:color w:val="2E97D3"/>
        </w:rPr>
        <w:t>a separately-funded phase, project studies are most frequently used for an extended </w:t>
      </w:r>
      <w:r>
        <w:rPr>
          <w:strike/>
          <w:color w:val="2E97D3"/>
        </w:rPr>
        <w:t>site selection process, to help establish program infrastructure needs or scope for a specific project, or to clarify project feasibility. (Environmental studies are normally funded as part of the preliminary plans phase.)</w:t>
      </w:r>
    </w:p>
    <w:p>
      <w:pPr>
        <w:pStyle w:val="BodyText"/>
        <w:spacing w:before="119"/>
        <w:ind w:left="686" w:right="482"/>
      </w:pPr>
      <w:r>
        <w:rPr>
          <w:strike/>
          <w:color w:val="2E97D3"/>
          <w:w w:val="100"/>
        </w:rPr>
        <w:t> </w:t>
      </w:r>
      <w:r>
        <w:rPr>
          <w:strike/>
          <w:color w:val="2E97D3"/>
        </w:rPr>
        <w:t>Upon budget enactment, the study phase is initiated with a request to DOF to release funds, as described in Section 6847. For studies addressing program needs, project scope, or feasibility, no PWB action is required at the conclusion of the phase since the results of the study are typically used to prepare budgetary requests for subsequent phases. For site selection studies, PWB action is required to authorize actual site selection and acquisition (Section 6849).</w:t>
      </w:r>
    </w:p>
    <w:p>
      <w:pPr>
        <w:pStyle w:val="BodyText"/>
        <w:spacing w:before="119"/>
        <w:ind w:left="686" w:right="283"/>
        <w:jc w:val="both"/>
      </w:pPr>
      <w:r>
        <w:rPr>
          <w:strike/>
          <w:color w:val="2E97D3"/>
        </w:rPr>
        <w:t>As discussed in Section 6823, feasibility studies and needs assessments may be funded from either the support or capital outlay budget, </w:t>
      </w:r>
      <w:r>
        <w:rPr>
          <w:i/>
          <w:strike/>
          <w:color w:val="2E97D3"/>
        </w:rPr>
        <w:t>depending upon the timing and scope of </w:t>
      </w:r>
      <w:r>
        <w:rPr>
          <w:i/>
          <w:strike/>
          <w:color w:val="2E97D3"/>
        </w:rPr>
        <w:t>the services. </w:t>
      </w:r>
      <w:r>
        <w:rPr>
          <w:strike/>
          <w:color w:val="2E97D3"/>
        </w:rPr>
        <w:t>Site selection and scope studies are project-specific and therefore a capital outlay expense.</w:t>
      </w:r>
    </w:p>
    <w:p>
      <w:pPr>
        <w:spacing w:after="0"/>
        <w:jc w:val="both"/>
        <w:sectPr>
          <w:pgSz w:w="12240" w:h="15840"/>
          <w:pgMar w:header="724" w:footer="792" w:top="980" w:bottom="980" w:left="480" w:right="1340"/>
        </w:sectPr>
      </w:pPr>
    </w:p>
    <w:p>
      <w:pPr>
        <w:pStyle w:val="BodyText"/>
        <w:rPr>
          <w:sz w:val="20"/>
        </w:rPr>
      </w:pPr>
    </w:p>
    <w:p>
      <w:pPr>
        <w:tabs>
          <w:tab w:pos="9204" w:val="left" w:leader="none"/>
        </w:tabs>
        <w:spacing w:before="214"/>
        <w:ind w:left="106" w:right="0" w:firstLine="0"/>
        <w:jc w:val="left"/>
        <w:rPr>
          <w:b/>
          <w:sz w:val="24"/>
        </w:rPr>
      </w:pPr>
      <w:r>
        <w:rPr>
          <w:b/>
          <w:sz w:val="24"/>
        </w:rPr>
        <w:t>SITE SELECTION</w:t>
      </w:r>
      <w:r>
        <w:rPr>
          <w:b/>
          <w:spacing w:val="-5"/>
          <w:sz w:val="24"/>
        </w:rPr>
        <w:t> </w:t>
      </w:r>
      <w:r>
        <w:rPr>
          <w:b/>
          <w:sz w:val="24"/>
        </w:rPr>
        <w:t>AND</w:t>
      </w:r>
      <w:r>
        <w:rPr>
          <w:b/>
          <w:spacing w:val="-2"/>
          <w:sz w:val="24"/>
        </w:rPr>
        <w:t> </w:t>
      </w:r>
      <w:r>
        <w:rPr>
          <w:b/>
          <w:sz w:val="24"/>
        </w:rPr>
        <w:t>ACQUISITION</w:t>
        <w:tab/>
        <w:t>6849</w:t>
      </w:r>
    </w:p>
    <w:p>
      <w:pPr>
        <w:pStyle w:val="BodyText"/>
        <w:ind w:left="106"/>
      </w:pPr>
      <w:r>
        <w:rPr/>
        <w:t>(Revised 5/1998)</w:t>
      </w:r>
    </w:p>
    <w:p>
      <w:pPr>
        <w:pStyle w:val="BodyText"/>
        <w:spacing w:before="10"/>
        <w:rPr>
          <w:sz w:val="20"/>
        </w:rPr>
      </w:pPr>
    </w:p>
    <w:p>
      <w:pPr>
        <w:pStyle w:val="BodyText"/>
        <w:ind w:left="106" w:right="200"/>
      </w:pPr>
      <w:r>
        <w:rPr>
          <w:b/>
        </w:rPr>
        <w:t>PWB’s role</w:t>
      </w:r>
      <w:r>
        <w:rPr/>
        <w:t>: Using DGS as its agent, PWB selects and acquires real property for most departments when the appropriation is subject to the Property Acquisition Law (Government Code Sections </w:t>
      </w:r>
      <w:hyperlink r:id="rId283">
        <w:r>
          <w:rPr>
            <w:color w:val="0000FF"/>
            <w:u w:val="single" w:color="0000FF"/>
          </w:rPr>
          <w:t>15850–15866</w:t>
        </w:r>
      </w:hyperlink>
      <w:r>
        <w:rPr/>
        <w:t>). Exceptions are listed in Section 6842.  Even if a specific site is designated for acquisition by the Legislature, PWB must approve the site before any purchasing activities can begin, including negotiating with the prospective seller. DGS prepares all land acquisition and related agenda items for consideration and approval by the PWB.</w:t>
      </w:r>
    </w:p>
    <w:p>
      <w:pPr>
        <w:spacing w:before="120"/>
        <w:ind w:left="106" w:right="0" w:firstLine="0"/>
        <w:jc w:val="left"/>
        <w:rPr>
          <w:sz w:val="24"/>
        </w:rPr>
      </w:pPr>
      <w:r>
        <w:rPr>
          <w:b/>
          <w:sz w:val="24"/>
        </w:rPr>
        <w:t>Overview of site selection and acquisition</w:t>
      </w:r>
      <w:r>
        <w:rPr>
          <w:sz w:val="24"/>
        </w:rPr>
        <w:t>:   The phase has two major steps:</w:t>
      </w:r>
    </w:p>
    <w:p>
      <w:pPr>
        <w:pStyle w:val="ListParagraph"/>
        <w:numPr>
          <w:ilvl w:val="0"/>
          <w:numId w:val="94"/>
        </w:numPr>
        <w:tabs>
          <w:tab w:pos="467" w:val="left" w:leader="none"/>
        </w:tabs>
        <w:spacing w:line="240" w:lineRule="auto" w:before="120" w:after="0"/>
        <w:ind w:left="466" w:right="1294" w:hanging="360"/>
        <w:jc w:val="left"/>
        <w:rPr>
          <w:sz w:val="24"/>
        </w:rPr>
      </w:pPr>
      <w:r>
        <w:rPr>
          <w:sz w:val="24"/>
        </w:rPr>
        <w:t>Site selection, CEQA compliance, and PWB approval of the chosen site with authorization to proceed to purchase;</w:t>
      </w:r>
      <w:r>
        <w:rPr>
          <w:spacing w:val="-21"/>
          <w:sz w:val="24"/>
        </w:rPr>
        <w:t> </w:t>
      </w:r>
      <w:r>
        <w:rPr>
          <w:sz w:val="24"/>
        </w:rPr>
        <w:t>and</w:t>
      </w:r>
    </w:p>
    <w:p>
      <w:pPr>
        <w:pStyle w:val="ListParagraph"/>
        <w:numPr>
          <w:ilvl w:val="0"/>
          <w:numId w:val="94"/>
        </w:numPr>
        <w:tabs>
          <w:tab w:pos="467" w:val="left" w:leader="none"/>
        </w:tabs>
        <w:spacing w:line="240" w:lineRule="auto" w:before="120" w:after="0"/>
        <w:ind w:left="466" w:right="248" w:hanging="360"/>
        <w:jc w:val="left"/>
        <w:rPr>
          <w:sz w:val="24"/>
        </w:rPr>
      </w:pPr>
      <w:r>
        <w:rPr>
          <w:sz w:val="24"/>
        </w:rPr>
        <w:t>Site purchase with subsequent PWB approval of the settlement price only if it exceeds the previously reported appraisal</w:t>
      </w:r>
      <w:r>
        <w:rPr>
          <w:spacing w:val="-20"/>
          <w:sz w:val="24"/>
        </w:rPr>
        <w:t> </w:t>
      </w:r>
      <w:r>
        <w:rPr>
          <w:sz w:val="24"/>
        </w:rPr>
        <w:t>price.</w:t>
      </w:r>
    </w:p>
    <w:p>
      <w:pPr>
        <w:pStyle w:val="BodyText"/>
        <w:spacing w:before="120"/>
        <w:ind w:left="106" w:right="129"/>
      </w:pPr>
      <w:r>
        <w:rPr/>
        <w:t>This phase starts when the client department makes a written request to DGS to prepare a formal appraisal for the approved project. The request must be made by a department manager authorized to commit project funds and must give the Budget Act appropriation citation or statutory authority.</w:t>
      </w:r>
    </w:p>
    <w:p>
      <w:pPr>
        <w:pStyle w:val="BodyText"/>
        <w:spacing w:before="120"/>
        <w:ind w:left="106" w:right="200"/>
      </w:pPr>
      <w:r>
        <w:rPr/>
        <w:t>After the appraisal, but before beginning any formal acquisition activities, DGS obtains PWB approval for a specific site consistent with the requirements of the Budget Act or enabling statute. (Where a specific site is not designated in the appropriation, DGS first assists the department in selecting a site).</w:t>
      </w:r>
    </w:p>
    <w:p>
      <w:pPr>
        <w:pStyle w:val="BodyText"/>
        <w:spacing w:before="120"/>
        <w:ind w:left="106" w:right="102"/>
      </w:pPr>
      <w:r>
        <w:rPr/>
        <w:t>After PWB approves the site, DGS negotiates a settlement with the owner.  If the settlement price exceeds the appraised value DGS reported to PWB at the time acquisition was authorized, DGS returns to the board for approval of the higher settlement price (and may, as necessary, request augmentation). Typically, the property acquisition phase must be completed before DOF releases design and construction funds to improve the site. Site selection and acquisition costs include:</w:t>
      </w:r>
    </w:p>
    <w:p>
      <w:pPr>
        <w:pStyle w:val="ListParagraph"/>
        <w:numPr>
          <w:ilvl w:val="0"/>
          <w:numId w:val="95"/>
        </w:numPr>
        <w:tabs>
          <w:tab w:pos="467" w:val="left" w:leader="none"/>
        </w:tabs>
        <w:spacing w:line="240" w:lineRule="auto" w:before="120" w:after="0"/>
        <w:ind w:left="466" w:right="0" w:hanging="360"/>
        <w:jc w:val="left"/>
        <w:rPr>
          <w:sz w:val="24"/>
        </w:rPr>
      </w:pPr>
      <w:r>
        <w:rPr>
          <w:sz w:val="24"/>
        </w:rPr>
        <w:t>Investigations,</w:t>
      </w:r>
    </w:p>
    <w:p>
      <w:pPr>
        <w:pStyle w:val="ListParagraph"/>
        <w:numPr>
          <w:ilvl w:val="0"/>
          <w:numId w:val="95"/>
        </w:numPr>
        <w:tabs>
          <w:tab w:pos="467" w:val="left" w:leader="none"/>
        </w:tabs>
        <w:spacing w:line="240" w:lineRule="auto" w:before="120" w:after="0"/>
        <w:ind w:left="466" w:right="0" w:hanging="360"/>
        <w:jc w:val="left"/>
        <w:rPr>
          <w:sz w:val="24"/>
        </w:rPr>
      </w:pPr>
      <w:r>
        <w:rPr>
          <w:sz w:val="24"/>
        </w:rPr>
        <w:t>Surveys,</w:t>
      </w:r>
    </w:p>
    <w:p>
      <w:pPr>
        <w:pStyle w:val="ListParagraph"/>
        <w:numPr>
          <w:ilvl w:val="0"/>
          <w:numId w:val="95"/>
        </w:numPr>
        <w:tabs>
          <w:tab w:pos="467" w:val="left" w:leader="none"/>
        </w:tabs>
        <w:spacing w:line="240" w:lineRule="auto" w:before="120" w:after="0"/>
        <w:ind w:left="466" w:right="0" w:hanging="360"/>
        <w:jc w:val="left"/>
        <w:rPr>
          <w:sz w:val="24"/>
        </w:rPr>
      </w:pPr>
      <w:r>
        <w:rPr>
          <w:sz w:val="24"/>
        </w:rPr>
        <w:t>Title</w:t>
      </w:r>
      <w:r>
        <w:rPr>
          <w:spacing w:val="-2"/>
          <w:sz w:val="24"/>
        </w:rPr>
        <w:t> </w:t>
      </w:r>
      <w:r>
        <w:rPr>
          <w:sz w:val="24"/>
        </w:rPr>
        <w:t>costs,</w:t>
      </w:r>
    </w:p>
    <w:p>
      <w:pPr>
        <w:pStyle w:val="ListParagraph"/>
        <w:numPr>
          <w:ilvl w:val="0"/>
          <w:numId w:val="95"/>
        </w:numPr>
        <w:tabs>
          <w:tab w:pos="467" w:val="left" w:leader="none"/>
        </w:tabs>
        <w:spacing w:line="240" w:lineRule="auto" w:before="120" w:after="0"/>
        <w:ind w:left="466" w:right="0" w:hanging="360"/>
        <w:jc w:val="left"/>
        <w:rPr>
          <w:sz w:val="24"/>
        </w:rPr>
      </w:pPr>
      <w:r>
        <w:rPr>
          <w:sz w:val="24"/>
        </w:rPr>
        <w:t>Appraisal</w:t>
      </w:r>
      <w:r>
        <w:rPr>
          <w:spacing w:val="-6"/>
          <w:sz w:val="24"/>
        </w:rPr>
        <w:t> </w:t>
      </w:r>
      <w:r>
        <w:rPr>
          <w:sz w:val="24"/>
        </w:rPr>
        <w:t>fees,</w:t>
      </w:r>
    </w:p>
    <w:p>
      <w:pPr>
        <w:pStyle w:val="ListParagraph"/>
        <w:numPr>
          <w:ilvl w:val="0"/>
          <w:numId w:val="95"/>
        </w:numPr>
        <w:tabs>
          <w:tab w:pos="467" w:val="left" w:leader="none"/>
        </w:tabs>
        <w:spacing w:line="240" w:lineRule="auto" w:before="120" w:after="0"/>
        <w:ind w:left="466" w:right="0" w:hanging="360"/>
        <w:jc w:val="left"/>
        <w:rPr>
          <w:sz w:val="24"/>
        </w:rPr>
      </w:pPr>
      <w:r>
        <w:rPr>
          <w:sz w:val="24"/>
        </w:rPr>
        <w:t>Staff time,</w:t>
      </w:r>
      <w:r>
        <w:rPr>
          <w:spacing w:val="-4"/>
          <w:sz w:val="24"/>
        </w:rPr>
        <w:t> </w:t>
      </w:r>
      <w:r>
        <w:rPr>
          <w:sz w:val="24"/>
        </w:rPr>
        <w:t>and</w:t>
      </w:r>
    </w:p>
    <w:p>
      <w:pPr>
        <w:pStyle w:val="ListParagraph"/>
        <w:numPr>
          <w:ilvl w:val="0"/>
          <w:numId w:val="95"/>
        </w:numPr>
        <w:tabs>
          <w:tab w:pos="467" w:val="left" w:leader="none"/>
        </w:tabs>
        <w:spacing w:line="240" w:lineRule="auto" w:before="120" w:after="0"/>
        <w:ind w:left="466" w:right="355" w:hanging="360"/>
        <w:jc w:val="left"/>
        <w:rPr>
          <w:sz w:val="24"/>
        </w:rPr>
      </w:pPr>
      <w:r>
        <w:rPr>
          <w:sz w:val="24"/>
        </w:rPr>
        <w:t>Relocation assistance (depending upon DOF’s assessment of need; requires specific justification).</w:t>
      </w:r>
    </w:p>
    <w:p>
      <w:pPr>
        <w:pStyle w:val="BodyText"/>
        <w:spacing w:before="5"/>
        <w:rPr>
          <w:sz w:val="34"/>
        </w:rPr>
      </w:pPr>
    </w:p>
    <w:p>
      <w:pPr>
        <w:pStyle w:val="BodyText"/>
        <w:ind w:left="106"/>
      </w:pPr>
      <w:r>
        <w:rPr/>
        <w:t>(Continued)</w:t>
      </w:r>
    </w:p>
    <w:p>
      <w:pPr>
        <w:spacing w:after="0"/>
        <w:sectPr>
          <w:footerReference w:type="default" r:id="rId303"/>
          <w:pgSz w:w="12240" w:h="15840"/>
          <w:pgMar w:footer="792" w:header="724" w:top="980" w:bottom="980" w:left="1060" w:right="1320"/>
        </w:sectPr>
      </w:pPr>
    </w:p>
    <w:p>
      <w:pPr>
        <w:pStyle w:val="BodyText"/>
        <w:rPr>
          <w:sz w:val="20"/>
        </w:rPr>
      </w:pPr>
    </w:p>
    <w:p>
      <w:pPr>
        <w:pStyle w:val="BodyText"/>
        <w:spacing w:before="214"/>
        <w:ind w:left="106"/>
      </w:pPr>
      <w:r>
        <w:rPr/>
        <w:t>(Continued)</w:t>
      </w:r>
    </w:p>
    <w:p>
      <w:pPr>
        <w:pStyle w:val="Heading2"/>
        <w:tabs>
          <w:tab w:pos="8203" w:val="left" w:leader="none"/>
        </w:tabs>
        <w:ind w:left="106"/>
        <w:rPr>
          <w:b w:val="0"/>
        </w:rPr>
      </w:pPr>
      <w:r>
        <w:rPr/>
        <w:t>SITE SELECTION</w:t>
      </w:r>
      <w:r>
        <w:rPr>
          <w:spacing w:val="-5"/>
        </w:rPr>
        <w:t> </w:t>
      </w:r>
      <w:r>
        <w:rPr/>
        <w:t>AND</w:t>
      </w:r>
      <w:r>
        <w:rPr>
          <w:spacing w:val="-2"/>
        </w:rPr>
        <w:t> </w:t>
      </w:r>
      <w:r>
        <w:rPr/>
        <w:t>ACQUISITION</w:t>
        <w:tab/>
        <w:t>6849 </w:t>
      </w:r>
      <w:r>
        <w:rPr>
          <w:b w:val="0"/>
        </w:rPr>
        <w:t>(Cont.</w:t>
      </w:r>
      <w:r>
        <w:rPr>
          <w:b w:val="0"/>
          <w:spacing w:val="-6"/>
        </w:rPr>
        <w:t> </w:t>
      </w:r>
      <w:r>
        <w:rPr>
          <w:b w:val="0"/>
        </w:rPr>
        <w:t>1)</w:t>
      </w:r>
    </w:p>
    <w:p>
      <w:pPr>
        <w:pStyle w:val="BodyText"/>
        <w:ind w:left="106"/>
      </w:pPr>
      <w:r>
        <w:rPr/>
        <w:t>(Revised 5/1998)</w:t>
      </w:r>
    </w:p>
    <w:p>
      <w:pPr>
        <w:pStyle w:val="BodyText"/>
        <w:spacing w:before="10"/>
        <w:rPr>
          <w:sz w:val="20"/>
        </w:rPr>
      </w:pPr>
    </w:p>
    <w:p>
      <w:pPr>
        <w:pStyle w:val="BodyText"/>
        <w:ind w:left="106" w:right="200"/>
      </w:pPr>
      <w:r>
        <w:rPr>
          <w:b/>
        </w:rPr>
        <w:t>Evidence required by PWB: </w:t>
      </w:r>
      <w:r>
        <w:rPr/>
        <w:t>Current law requires that before a project is submitted to PWB for concurrence on site selection, there must be evidence that:</w:t>
      </w:r>
    </w:p>
    <w:p>
      <w:pPr>
        <w:pStyle w:val="ListParagraph"/>
        <w:numPr>
          <w:ilvl w:val="0"/>
          <w:numId w:val="96"/>
        </w:numPr>
        <w:tabs>
          <w:tab w:pos="467" w:val="left" w:leader="none"/>
        </w:tabs>
        <w:spacing w:line="240" w:lineRule="auto" w:before="117" w:after="0"/>
        <w:ind w:left="466" w:right="373" w:hanging="360"/>
        <w:jc w:val="left"/>
        <w:rPr>
          <w:sz w:val="24"/>
        </w:rPr>
      </w:pPr>
      <w:r>
        <w:rPr>
          <w:sz w:val="24"/>
        </w:rPr>
        <w:t>Implied dedication has been considered in the appraised value. </w:t>
      </w:r>
      <w:r>
        <w:rPr>
          <w:i/>
          <w:sz w:val="24"/>
        </w:rPr>
        <w:t>Implied dedication </w:t>
      </w:r>
      <w:r>
        <w:rPr>
          <w:sz w:val="24"/>
        </w:rPr>
        <w:t>refers to a public easement which has been created through a history of use. (Determination of implied dedication is case-specific and based on facts involved in a given situation.)  Implied dedications may reduce the value of a</w:t>
      </w:r>
      <w:r>
        <w:rPr>
          <w:spacing w:val="-38"/>
          <w:sz w:val="24"/>
        </w:rPr>
        <w:t> </w:t>
      </w:r>
      <w:r>
        <w:rPr>
          <w:sz w:val="24"/>
        </w:rPr>
        <w:t>property.</w:t>
      </w:r>
    </w:p>
    <w:p>
      <w:pPr>
        <w:pStyle w:val="ListParagraph"/>
        <w:numPr>
          <w:ilvl w:val="0"/>
          <w:numId w:val="96"/>
        </w:numPr>
        <w:tabs>
          <w:tab w:pos="467" w:val="left" w:leader="none"/>
        </w:tabs>
        <w:spacing w:line="240" w:lineRule="auto" w:before="119" w:after="0"/>
        <w:ind w:left="466" w:right="0" w:hanging="360"/>
        <w:jc w:val="left"/>
        <w:rPr>
          <w:sz w:val="24"/>
        </w:rPr>
      </w:pPr>
      <w:r>
        <w:rPr>
          <w:sz w:val="24"/>
        </w:rPr>
        <w:t>The project has complied with CEQA, as described in Section</w:t>
      </w:r>
      <w:r>
        <w:rPr>
          <w:spacing w:val="-31"/>
          <w:sz w:val="24"/>
        </w:rPr>
        <w:t> </w:t>
      </w:r>
      <w:r>
        <w:rPr>
          <w:sz w:val="24"/>
        </w:rPr>
        <w:t>6850.</w:t>
      </w:r>
    </w:p>
    <w:p>
      <w:pPr>
        <w:pStyle w:val="ListParagraph"/>
        <w:numPr>
          <w:ilvl w:val="0"/>
          <w:numId w:val="96"/>
        </w:numPr>
        <w:tabs>
          <w:tab w:pos="467" w:val="left" w:leader="none"/>
        </w:tabs>
        <w:spacing w:line="240" w:lineRule="auto" w:before="119" w:after="0"/>
        <w:ind w:left="466" w:right="865" w:hanging="360"/>
        <w:jc w:val="left"/>
        <w:rPr>
          <w:sz w:val="24"/>
        </w:rPr>
      </w:pPr>
      <w:r>
        <w:rPr>
          <w:sz w:val="24"/>
        </w:rPr>
        <w:t>If improved property is to be acquired, a relocation study has been prepared and adequate funds are available for relocation</w:t>
      </w:r>
      <w:r>
        <w:rPr>
          <w:spacing w:val="-25"/>
          <w:sz w:val="24"/>
        </w:rPr>
        <w:t> </w:t>
      </w:r>
      <w:r>
        <w:rPr>
          <w:sz w:val="24"/>
        </w:rPr>
        <w:t>costs.</w:t>
      </w:r>
    </w:p>
    <w:p>
      <w:pPr>
        <w:pStyle w:val="ListParagraph"/>
        <w:numPr>
          <w:ilvl w:val="0"/>
          <w:numId w:val="96"/>
        </w:numPr>
        <w:tabs>
          <w:tab w:pos="467" w:val="left" w:leader="none"/>
        </w:tabs>
        <w:spacing w:line="240" w:lineRule="auto" w:before="119" w:after="0"/>
        <w:ind w:left="466" w:right="929" w:hanging="360"/>
        <w:jc w:val="left"/>
        <w:rPr>
          <w:sz w:val="24"/>
        </w:rPr>
      </w:pPr>
      <w:r>
        <w:rPr>
          <w:sz w:val="24"/>
        </w:rPr>
        <w:t>A legal description and title report covering each parcel to be selected has been completed.</w:t>
      </w:r>
    </w:p>
    <w:p>
      <w:pPr>
        <w:pStyle w:val="ListParagraph"/>
        <w:numPr>
          <w:ilvl w:val="0"/>
          <w:numId w:val="96"/>
        </w:numPr>
        <w:tabs>
          <w:tab w:pos="467" w:val="left" w:leader="none"/>
        </w:tabs>
        <w:spacing w:line="240" w:lineRule="auto" w:before="119" w:after="0"/>
        <w:ind w:left="466" w:right="395" w:hanging="360"/>
        <w:jc w:val="left"/>
        <w:rPr>
          <w:sz w:val="24"/>
        </w:rPr>
      </w:pPr>
      <w:r>
        <w:rPr>
          <w:sz w:val="24"/>
        </w:rPr>
        <w:t>Notice has been given of the time and place of the PWB meeting and an agenda has been mailed to interested</w:t>
      </w:r>
      <w:r>
        <w:rPr>
          <w:spacing w:val="-14"/>
          <w:sz w:val="24"/>
        </w:rPr>
        <w:t> </w:t>
      </w:r>
      <w:r>
        <w:rPr>
          <w:sz w:val="24"/>
        </w:rPr>
        <w:t>parties.</w:t>
      </w:r>
    </w:p>
    <w:p>
      <w:pPr>
        <w:spacing w:before="119"/>
        <w:ind w:left="106" w:right="288" w:firstLine="0"/>
        <w:jc w:val="left"/>
        <w:rPr>
          <w:sz w:val="24"/>
        </w:rPr>
      </w:pPr>
      <w:r>
        <w:rPr>
          <w:b/>
          <w:sz w:val="24"/>
        </w:rPr>
        <w:t>Types of board action to acquire property: </w:t>
      </w:r>
      <w:r>
        <w:rPr>
          <w:sz w:val="24"/>
        </w:rPr>
        <w:t>There are three types of board actions associated with this phase (not including any possible augmentations or scope changes):</w:t>
      </w:r>
    </w:p>
    <w:p>
      <w:pPr>
        <w:pStyle w:val="ListParagraph"/>
        <w:numPr>
          <w:ilvl w:val="0"/>
          <w:numId w:val="97"/>
        </w:numPr>
        <w:tabs>
          <w:tab w:pos="467" w:val="left" w:leader="none"/>
        </w:tabs>
        <w:spacing w:line="240" w:lineRule="auto" w:before="119" w:after="0"/>
        <w:ind w:left="466" w:right="0" w:hanging="360"/>
        <w:jc w:val="left"/>
        <w:rPr>
          <w:sz w:val="24"/>
        </w:rPr>
      </w:pPr>
      <w:r>
        <w:rPr>
          <w:sz w:val="24"/>
        </w:rPr>
        <w:t>Approval of site selection and authorization of</w:t>
      </w:r>
      <w:r>
        <w:rPr>
          <w:spacing w:val="-26"/>
          <w:sz w:val="24"/>
        </w:rPr>
        <w:t> </w:t>
      </w:r>
      <w:r>
        <w:rPr>
          <w:sz w:val="24"/>
        </w:rPr>
        <w:t>acquisition;</w:t>
      </w:r>
    </w:p>
    <w:p>
      <w:pPr>
        <w:pStyle w:val="ListParagraph"/>
        <w:numPr>
          <w:ilvl w:val="0"/>
          <w:numId w:val="97"/>
        </w:numPr>
        <w:tabs>
          <w:tab w:pos="467" w:val="left" w:leader="none"/>
        </w:tabs>
        <w:spacing w:line="240" w:lineRule="auto" w:before="117" w:after="0"/>
        <w:ind w:left="466" w:right="0" w:hanging="360"/>
        <w:jc w:val="left"/>
        <w:rPr>
          <w:sz w:val="24"/>
        </w:rPr>
      </w:pPr>
      <w:r>
        <w:rPr>
          <w:i/>
          <w:sz w:val="24"/>
        </w:rPr>
        <w:t>Possibly </w:t>
      </w:r>
      <w:r>
        <w:rPr>
          <w:sz w:val="24"/>
        </w:rPr>
        <w:t>approval for acquiring less property than originally</w:t>
      </w:r>
      <w:r>
        <w:rPr>
          <w:spacing w:val="-39"/>
          <w:sz w:val="24"/>
        </w:rPr>
        <w:t> </w:t>
      </w:r>
      <w:r>
        <w:rPr>
          <w:sz w:val="24"/>
        </w:rPr>
        <w:t>contemplated;</w:t>
      </w:r>
    </w:p>
    <w:p>
      <w:pPr>
        <w:pStyle w:val="ListParagraph"/>
        <w:numPr>
          <w:ilvl w:val="1"/>
          <w:numId w:val="97"/>
        </w:numPr>
        <w:tabs>
          <w:tab w:pos="827" w:val="left" w:leader="none"/>
        </w:tabs>
        <w:spacing w:line="240" w:lineRule="auto" w:before="122" w:after="0"/>
        <w:ind w:left="826" w:right="426" w:hanging="360"/>
        <w:jc w:val="left"/>
        <w:rPr>
          <w:sz w:val="24"/>
        </w:rPr>
      </w:pPr>
      <w:r>
        <w:rPr>
          <w:sz w:val="24"/>
        </w:rPr>
        <w:t>Submit this item only if the project is solely an acquisition project, the reduction in property exceeds 20 percent of the legislatively-approved acquisition value, </w:t>
      </w:r>
      <w:r>
        <w:rPr>
          <w:i/>
          <w:sz w:val="24"/>
        </w:rPr>
        <w:t>and </w:t>
      </w:r>
      <w:r>
        <w:rPr>
          <w:sz w:val="24"/>
        </w:rPr>
        <w:t>the client department believes that a lesser portion of the property is sufficient to meet the objectives of the project approved by the Legislature (see Section </w:t>
      </w:r>
      <w:hyperlink r:id="rId171">
        <w:r>
          <w:rPr>
            <w:color w:val="0000FF"/>
            <w:sz w:val="24"/>
            <w:u w:val="single" w:color="0000FF"/>
          </w:rPr>
          <w:t>13332.11 </w:t>
        </w:r>
      </w:hyperlink>
      <w:r>
        <w:rPr>
          <w:sz w:val="24"/>
        </w:rPr>
        <w:t>[g] of the Government</w:t>
      </w:r>
      <w:r>
        <w:rPr>
          <w:spacing w:val="-17"/>
          <w:sz w:val="24"/>
        </w:rPr>
        <w:t> </w:t>
      </w:r>
      <w:r>
        <w:rPr>
          <w:sz w:val="24"/>
        </w:rPr>
        <w:t>Code);</w:t>
      </w:r>
    </w:p>
    <w:p>
      <w:pPr>
        <w:pStyle w:val="ListParagraph"/>
        <w:numPr>
          <w:ilvl w:val="1"/>
          <w:numId w:val="97"/>
        </w:numPr>
        <w:tabs>
          <w:tab w:pos="827" w:val="left" w:leader="none"/>
        </w:tabs>
        <w:spacing w:line="240" w:lineRule="auto" w:before="119" w:after="0"/>
        <w:ind w:left="826" w:right="225" w:hanging="360"/>
        <w:jc w:val="left"/>
        <w:rPr>
          <w:sz w:val="24"/>
        </w:rPr>
      </w:pPr>
      <w:r>
        <w:rPr>
          <w:sz w:val="24"/>
        </w:rPr>
        <w:t>Legislative notification is required; therefore the item must be submitted 30 working days in advance of the proposed PWB meeting</w:t>
      </w:r>
      <w:r>
        <w:rPr>
          <w:spacing w:val="-23"/>
          <w:sz w:val="24"/>
        </w:rPr>
        <w:t> </w:t>
      </w:r>
      <w:r>
        <w:rPr>
          <w:sz w:val="24"/>
        </w:rPr>
        <w:t>date.</w:t>
      </w:r>
    </w:p>
    <w:p>
      <w:pPr>
        <w:pStyle w:val="ListParagraph"/>
        <w:numPr>
          <w:ilvl w:val="0"/>
          <w:numId w:val="97"/>
        </w:numPr>
        <w:tabs>
          <w:tab w:pos="467" w:val="left" w:leader="none"/>
        </w:tabs>
        <w:spacing w:line="242" w:lineRule="auto" w:before="117" w:after="0"/>
        <w:ind w:left="466" w:right="742" w:hanging="360"/>
        <w:jc w:val="left"/>
        <w:rPr>
          <w:sz w:val="24"/>
        </w:rPr>
      </w:pPr>
      <w:r>
        <w:rPr>
          <w:i/>
          <w:sz w:val="24"/>
        </w:rPr>
        <w:t>Possibly </w:t>
      </w:r>
      <w:r>
        <w:rPr>
          <w:sz w:val="24"/>
        </w:rPr>
        <w:t>approval of the settlement price, but only if it exceeds the appraisal price previously reported at the time PWB authorized the</w:t>
      </w:r>
      <w:r>
        <w:rPr>
          <w:spacing w:val="-29"/>
          <w:sz w:val="24"/>
        </w:rPr>
        <w:t> </w:t>
      </w:r>
      <w:r>
        <w:rPr>
          <w:sz w:val="24"/>
        </w:rPr>
        <w:t>acquisition.</w:t>
      </w:r>
    </w:p>
    <w:p>
      <w:pPr>
        <w:pStyle w:val="BodyText"/>
        <w:spacing w:before="117"/>
        <w:ind w:left="106"/>
      </w:pPr>
      <w:r>
        <w:rPr/>
        <w:t>In all cases, DGS is responsible for submitting the agenda package to DOF for those departments which must acquire property through PWB (for exempt departments, see Section 6842). However, client departments are responsible for meeting DGS’ information needs to prepare the agenda packages.</w:t>
      </w:r>
    </w:p>
    <w:p>
      <w:pPr>
        <w:pStyle w:val="BodyText"/>
        <w:rPr>
          <w:sz w:val="26"/>
        </w:rPr>
      </w:pPr>
    </w:p>
    <w:p>
      <w:pPr>
        <w:pStyle w:val="BodyText"/>
        <w:spacing w:before="216"/>
        <w:ind w:left="106"/>
      </w:pPr>
      <w:r>
        <w:rPr/>
        <w:t>(Continued)</w:t>
      </w:r>
    </w:p>
    <w:p>
      <w:pPr>
        <w:spacing w:after="0"/>
        <w:sectPr>
          <w:pgSz w:w="12240" w:h="15840"/>
          <w:pgMar w:header="724" w:footer="792" w:top="980" w:bottom="980" w:left="1060" w:right="1320"/>
        </w:sectPr>
      </w:pPr>
    </w:p>
    <w:p>
      <w:pPr>
        <w:pStyle w:val="BodyText"/>
        <w:rPr>
          <w:sz w:val="20"/>
        </w:rPr>
      </w:pPr>
    </w:p>
    <w:p>
      <w:pPr>
        <w:pStyle w:val="BodyText"/>
        <w:spacing w:before="214"/>
        <w:ind w:left="106"/>
      </w:pPr>
      <w:r>
        <w:rPr/>
        <w:t>(Continued)</w:t>
      </w:r>
    </w:p>
    <w:p>
      <w:pPr>
        <w:pStyle w:val="Heading2"/>
        <w:tabs>
          <w:tab w:pos="8203" w:val="left" w:leader="none"/>
        </w:tabs>
        <w:ind w:left="106"/>
        <w:rPr>
          <w:b w:val="0"/>
        </w:rPr>
      </w:pPr>
      <w:r>
        <w:rPr/>
        <w:t>SITE SELECTION</w:t>
      </w:r>
      <w:r>
        <w:rPr>
          <w:spacing w:val="-5"/>
        </w:rPr>
        <w:t> </w:t>
      </w:r>
      <w:r>
        <w:rPr/>
        <w:t>AND</w:t>
      </w:r>
      <w:r>
        <w:rPr>
          <w:spacing w:val="-2"/>
        </w:rPr>
        <w:t> </w:t>
      </w:r>
      <w:r>
        <w:rPr/>
        <w:t>ACQUISITION</w:t>
        <w:tab/>
        <w:t>6849 </w:t>
      </w:r>
      <w:r>
        <w:rPr>
          <w:b w:val="0"/>
        </w:rPr>
        <w:t>(Cont.</w:t>
      </w:r>
      <w:r>
        <w:rPr>
          <w:b w:val="0"/>
          <w:spacing w:val="-6"/>
        </w:rPr>
        <w:t> </w:t>
      </w:r>
      <w:r>
        <w:rPr>
          <w:b w:val="0"/>
        </w:rPr>
        <w:t>2)</w:t>
      </w:r>
    </w:p>
    <w:p>
      <w:pPr>
        <w:pStyle w:val="BodyText"/>
        <w:ind w:left="106"/>
      </w:pPr>
      <w:r>
        <w:rPr/>
        <w:t>(Revised 5/1998)</w:t>
      </w:r>
    </w:p>
    <w:p>
      <w:pPr>
        <w:pStyle w:val="BodyText"/>
        <w:spacing w:before="10"/>
        <w:rPr>
          <w:sz w:val="20"/>
        </w:rPr>
      </w:pPr>
    </w:p>
    <w:p>
      <w:pPr>
        <w:pStyle w:val="Heading2"/>
        <w:ind w:left="106"/>
        <w:rPr>
          <w:b w:val="0"/>
        </w:rPr>
      </w:pPr>
      <w:r>
        <w:rPr/>
        <w:t>Agenda information</w:t>
      </w:r>
      <w:r>
        <w:rPr>
          <w:b w:val="0"/>
        </w:rPr>
        <w:t>:</w:t>
      </w:r>
    </w:p>
    <w:p>
      <w:pPr>
        <w:pStyle w:val="ListParagraph"/>
        <w:numPr>
          <w:ilvl w:val="1"/>
          <w:numId w:val="98"/>
        </w:numPr>
        <w:tabs>
          <w:tab w:pos="826" w:val="left" w:leader="none"/>
          <w:tab w:pos="827" w:val="left" w:leader="none"/>
        </w:tabs>
        <w:spacing w:line="240" w:lineRule="auto" w:before="120" w:after="0"/>
        <w:ind w:left="826" w:right="0" w:hanging="720"/>
        <w:jc w:val="left"/>
        <w:rPr>
          <w:sz w:val="24"/>
        </w:rPr>
      </w:pPr>
      <w:r>
        <w:rPr>
          <w:b/>
          <w:strike w:val="0"/>
          <w:sz w:val="24"/>
        </w:rPr>
        <w:t>Site selection and acquisition.  </w:t>
      </w:r>
      <w:r>
        <w:rPr>
          <w:strike w:val="0"/>
          <w:sz w:val="24"/>
        </w:rPr>
        <w:t>The following information is</w:t>
      </w:r>
      <w:r>
        <w:rPr>
          <w:strike w:val="0"/>
          <w:spacing w:val="-35"/>
          <w:sz w:val="24"/>
        </w:rPr>
        <w:t> </w:t>
      </w:r>
      <w:r>
        <w:rPr>
          <w:strike w:val="0"/>
          <w:sz w:val="24"/>
        </w:rPr>
        <w:t>required:</w:t>
      </w:r>
    </w:p>
    <w:p>
      <w:pPr>
        <w:pStyle w:val="ListParagraph"/>
        <w:numPr>
          <w:ilvl w:val="2"/>
          <w:numId w:val="98"/>
        </w:numPr>
        <w:tabs>
          <w:tab w:pos="827" w:val="left" w:leader="none"/>
        </w:tabs>
        <w:spacing w:line="240" w:lineRule="auto" w:before="120" w:after="0"/>
        <w:ind w:left="826" w:right="396" w:hanging="360"/>
        <w:jc w:val="left"/>
        <w:rPr>
          <w:sz w:val="24"/>
        </w:rPr>
      </w:pPr>
      <w:r>
        <w:rPr>
          <w:sz w:val="24"/>
        </w:rPr>
        <w:t>All elements specified in Section 6845 for both the agenda package and standard fiscal reporting</w:t>
      </w:r>
      <w:r>
        <w:rPr>
          <w:spacing w:val="-14"/>
          <w:sz w:val="24"/>
        </w:rPr>
        <w:t> </w:t>
      </w:r>
      <w:r>
        <w:rPr>
          <w:sz w:val="24"/>
        </w:rPr>
        <w:t>requirements;</w:t>
      </w:r>
    </w:p>
    <w:p>
      <w:pPr>
        <w:pStyle w:val="ListParagraph"/>
        <w:numPr>
          <w:ilvl w:val="2"/>
          <w:numId w:val="98"/>
        </w:numPr>
        <w:tabs>
          <w:tab w:pos="827" w:val="left" w:leader="none"/>
        </w:tabs>
        <w:spacing w:line="240" w:lineRule="auto" w:before="120" w:after="0"/>
        <w:ind w:left="826" w:right="0" w:hanging="360"/>
        <w:jc w:val="left"/>
        <w:rPr>
          <w:sz w:val="24"/>
        </w:rPr>
      </w:pPr>
      <w:r>
        <w:rPr>
          <w:sz w:val="24"/>
        </w:rPr>
        <w:t>CEQA documents per Section</w:t>
      </w:r>
      <w:r>
        <w:rPr>
          <w:spacing w:val="-13"/>
          <w:sz w:val="24"/>
        </w:rPr>
        <w:t> </w:t>
      </w:r>
      <w:r>
        <w:rPr>
          <w:sz w:val="24"/>
        </w:rPr>
        <w:t>6850.</w:t>
      </w:r>
    </w:p>
    <w:p>
      <w:pPr>
        <w:pStyle w:val="Heading2"/>
        <w:numPr>
          <w:ilvl w:val="1"/>
          <w:numId w:val="99"/>
        </w:numPr>
        <w:tabs>
          <w:tab w:pos="826" w:val="left" w:leader="none"/>
          <w:tab w:pos="827" w:val="left" w:leader="none"/>
        </w:tabs>
        <w:spacing w:line="240" w:lineRule="auto" w:before="120" w:after="0"/>
        <w:ind w:left="826" w:right="0" w:hanging="720"/>
        <w:jc w:val="left"/>
      </w:pPr>
      <w:r>
        <w:rPr>
          <w:strike w:val="0"/>
        </w:rPr>
        <w:t>Acquiring less property pursuant to Government Code Section </w:t>
      </w:r>
      <w:hyperlink r:id="rId171">
        <w:r>
          <w:rPr>
            <w:strike w:val="0"/>
            <w:color w:val="0000FF"/>
            <w:u w:val="thick" w:color="0000FF"/>
          </w:rPr>
          <w:t>13332.11</w:t>
        </w:r>
        <w:r>
          <w:rPr>
            <w:strike w:val="0"/>
            <w:color w:val="0000FF"/>
            <w:spacing w:val="-37"/>
            <w:u w:val="thick" w:color="0000FF"/>
          </w:rPr>
          <w:t> </w:t>
        </w:r>
      </w:hyperlink>
      <w:r>
        <w:rPr>
          <w:strike w:val="0"/>
        </w:rPr>
        <w:t>(g).</w:t>
      </w:r>
    </w:p>
    <w:p>
      <w:pPr>
        <w:pStyle w:val="BodyText"/>
        <w:ind w:left="466"/>
      </w:pPr>
      <w:r>
        <w:rPr/>
        <w:t>The agenda package includes:</w:t>
      </w:r>
    </w:p>
    <w:p>
      <w:pPr>
        <w:pStyle w:val="ListParagraph"/>
        <w:numPr>
          <w:ilvl w:val="2"/>
          <w:numId w:val="99"/>
        </w:numPr>
        <w:tabs>
          <w:tab w:pos="827" w:val="left" w:leader="none"/>
        </w:tabs>
        <w:spacing w:line="240" w:lineRule="auto" w:before="120" w:after="0"/>
        <w:ind w:left="826" w:right="157" w:hanging="360"/>
        <w:jc w:val="left"/>
        <w:rPr>
          <w:sz w:val="24"/>
        </w:rPr>
      </w:pPr>
      <w:r>
        <w:rPr>
          <w:sz w:val="24"/>
        </w:rPr>
        <w:t>All the elements specified in Section 6845 for both the agenda package and standard reporting requirements. However, if this request is made at the same time as the board item for site selection and acquisition, it is handled as a sub-item and uses the agenda package and standard reporting requirements for the main</w:t>
      </w:r>
      <w:r>
        <w:rPr>
          <w:spacing w:val="-39"/>
          <w:sz w:val="24"/>
        </w:rPr>
        <w:t> </w:t>
      </w:r>
      <w:r>
        <w:rPr>
          <w:sz w:val="24"/>
        </w:rPr>
        <w:t>item;</w:t>
      </w:r>
    </w:p>
    <w:p>
      <w:pPr>
        <w:pStyle w:val="ListParagraph"/>
        <w:numPr>
          <w:ilvl w:val="2"/>
          <w:numId w:val="99"/>
        </w:numPr>
        <w:tabs>
          <w:tab w:pos="827" w:val="left" w:leader="none"/>
        </w:tabs>
        <w:spacing w:line="240" w:lineRule="auto" w:before="120" w:after="0"/>
        <w:ind w:left="826" w:right="893" w:hanging="360"/>
        <w:jc w:val="left"/>
        <w:rPr>
          <w:sz w:val="24"/>
        </w:rPr>
      </w:pPr>
      <w:r>
        <w:rPr>
          <w:sz w:val="24"/>
        </w:rPr>
        <w:t>A written statement explaining why the purchase of lesser property fulfills the Legislature’s intent;</w:t>
      </w:r>
      <w:r>
        <w:rPr>
          <w:spacing w:val="-14"/>
          <w:sz w:val="24"/>
        </w:rPr>
        <w:t> </w:t>
      </w:r>
      <w:r>
        <w:rPr>
          <w:sz w:val="24"/>
        </w:rPr>
        <w:t>and</w:t>
      </w:r>
    </w:p>
    <w:p>
      <w:pPr>
        <w:pStyle w:val="ListParagraph"/>
        <w:numPr>
          <w:ilvl w:val="2"/>
          <w:numId w:val="99"/>
        </w:numPr>
        <w:tabs>
          <w:tab w:pos="827" w:val="left" w:leader="none"/>
        </w:tabs>
        <w:spacing w:line="240" w:lineRule="auto" w:before="120" w:after="0"/>
        <w:ind w:left="826" w:right="0" w:hanging="360"/>
        <w:jc w:val="left"/>
        <w:rPr>
          <w:sz w:val="24"/>
        </w:rPr>
      </w:pPr>
      <w:r>
        <w:rPr>
          <w:sz w:val="24"/>
        </w:rPr>
        <w:t>A draft notification letter to the</w:t>
      </w:r>
      <w:r>
        <w:rPr>
          <w:spacing w:val="-22"/>
          <w:sz w:val="24"/>
        </w:rPr>
        <w:t> </w:t>
      </w:r>
      <w:r>
        <w:rPr>
          <w:sz w:val="24"/>
        </w:rPr>
        <w:t>Legislature.</w:t>
      </w:r>
    </w:p>
    <w:p>
      <w:pPr>
        <w:pStyle w:val="ListParagraph"/>
        <w:numPr>
          <w:ilvl w:val="1"/>
          <w:numId w:val="100"/>
        </w:numPr>
        <w:tabs>
          <w:tab w:pos="1546" w:val="left" w:leader="none"/>
          <w:tab w:pos="1547" w:val="left" w:leader="none"/>
        </w:tabs>
        <w:spacing w:line="240" w:lineRule="auto" w:before="120" w:after="0"/>
        <w:ind w:left="466" w:right="464" w:hanging="360"/>
        <w:jc w:val="left"/>
        <w:rPr>
          <w:sz w:val="24"/>
        </w:rPr>
      </w:pPr>
      <w:r>
        <w:rPr>
          <w:b/>
          <w:strike w:val="0"/>
          <w:sz w:val="24"/>
        </w:rPr>
        <w:t>A settlement price which exceeds the appraisal. </w:t>
      </w:r>
      <w:r>
        <w:rPr>
          <w:strike w:val="0"/>
          <w:sz w:val="24"/>
        </w:rPr>
        <w:t>The agenda package includes:</w:t>
      </w:r>
    </w:p>
    <w:p>
      <w:pPr>
        <w:pStyle w:val="ListParagraph"/>
        <w:numPr>
          <w:ilvl w:val="2"/>
          <w:numId w:val="100"/>
        </w:numPr>
        <w:tabs>
          <w:tab w:pos="827" w:val="left" w:leader="none"/>
        </w:tabs>
        <w:spacing w:line="240" w:lineRule="auto" w:before="120" w:after="0"/>
        <w:ind w:left="826" w:right="396" w:hanging="360"/>
        <w:jc w:val="both"/>
        <w:rPr>
          <w:sz w:val="24"/>
        </w:rPr>
      </w:pPr>
      <w:r>
        <w:rPr>
          <w:sz w:val="24"/>
        </w:rPr>
        <w:t>All elements specified in Section 6845 for both the agenda package and standard reporting requirements. However, if this request is made at the same time as the board item for site selection and acquisition, it is handled as a sub-item and uses the agenda package and standard reporting requirements for the main</w:t>
      </w:r>
      <w:r>
        <w:rPr>
          <w:spacing w:val="-34"/>
          <w:sz w:val="24"/>
        </w:rPr>
        <w:t> </w:t>
      </w:r>
      <w:r>
        <w:rPr>
          <w:sz w:val="24"/>
        </w:rPr>
        <w:t>item;</w:t>
      </w:r>
    </w:p>
    <w:p>
      <w:pPr>
        <w:pStyle w:val="ListParagraph"/>
        <w:numPr>
          <w:ilvl w:val="2"/>
          <w:numId w:val="100"/>
        </w:numPr>
        <w:tabs>
          <w:tab w:pos="827" w:val="left" w:leader="none"/>
        </w:tabs>
        <w:spacing w:line="240" w:lineRule="auto" w:before="120" w:after="0"/>
        <w:ind w:left="826" w:right="0" w:hanging="360"/>
        <w:jc w:val="left"/>
        <w:rPr>
          <w:sz w:val="24"/>
        </w:rPr>
      </w:pPr>
      <w:r>
        <w:rPr>
          <w:sz w:val="24"/>
        </w:rPr>
        <w:t>An explanation for the increase in the settlement</w:t>
      </w:r>
      <w:r>
        <w:rPr>
          <w:spacing w:val="-27"/>
          <w:sz w:val="24"/>
        </w:rPr>
        <w:t> </w:t>
      </w:r>
      <w:r>
        <w:rPr>
          <w:sz w:val="24"/>
        </w:rPr>
        <w:t>price;</w:t>
      </w:r>
    </w:p>
    <w:p>
      <w:pPr>
        <w:pStyle w:val="ListParagraph"/>
        <w:numPr>
          <w:ilvl w:val="2"/>
          <w:numId w:val="100"/>
        </w:numPr>
        <w:tabs>
          <w:tab w:pos="827" w:val="left" w:leader="none"/>
        </w:tabs>
        <w:spacing w:line="240" w:lineRule="auto" w:before="120" w:after="0"/>
        <w:ind w:left="826" w:right="432" w:hanging="360"/>
        <w:jc w:val="left"/>
        <w:rPr>
          <w:sz w:val="24"/>
        </w:rPr>
      </w:pPr>
      <w:r>
        <w:rPr>
          <w:sz w:val="24"/>
        </w:rPr>
        <w:t>If an augmentation is required, a separate agenda package is not needed but the submittal must include the additional information outlined in Section</w:t>
      </w:r>
      <w:r>
        <w:rPr>
          <w:spacing w:val="-38"/>
          <w:sz w:val="24"/>
        </w:rPr>
        <w:t> </w:t>
      </w:r>
      <w:r>
        <w:rPr>
          <w:sz w:val="24"/>
        </w:rPr>
        <w:t>6861.</w:t>
      </w:r>
    </w:p>
    <w:p>
      <w:pPr>
        <w:spacing w:before="120"/>
        <w:ind w:left="106" w:right="0" w:firstLine="0"/>
        <w:jc w:val="left"/>
        <w:rPr>
          <w:sz w:val="24"/>
        </w:rPr>
      </w:pPr>
      <w:r>
        <w:rPr>
          <w:b/>
          <w:sz w:val="24"/>
        </w:rPr>
        <w:t>Interim property management by DGS after acquisition: </w:t>
      </w:r>
      <w:r>
        <w:rPr>
          <w:sz w:val="24"/>
        </w:rPr>
        <w:t>Until property acquired under the Property Acquisition Law is needed, jurisdiction lies with DGS:</w:t>
      </w:r>
    </w:p>
    <w:p>
      <w:pPr>
        <w:pStyle w:val="ListParagraph"/>
        <w:numPr>
          <w:ilvl w:val="0"/>
          <w:numId w:val="101"/>
        </w:numPr>
        <w:tabs>
          <w:tab w:pos="467" w:val="left" w:leader="none"/>
        </w:tabs>
        <w:spacing w:line="240" w:lineRule="auto" w:before="120" w:after="0"/>
        <w:ind w:left="466" w:right="277" w:hanging="360"/>
        <w:jc w:val="left"/>
        <w:rPr>
          <w:sz w:val="24"/>
        </w:rPr>
      </w:pPr>
      <w:r>
        <w:rPr>
          <w:sz w:val="24"/>
        </w:rPr>
        <w:t>The Director of General Services may transfer jurisdiction to the client department if in his opinion early transfer is in the best interest of the state (e.g., the department requires interim use for</w:t>
      </w:r>
      <w:r>
        <w:rPr>
          <w:spacing w:val="-17"/>
          <w:sz w:val="24"/>
        </w:rPr>
        <w:t> </w:t>
      </w:r>
      <w:r>
        <w:rPr>
          <w:sz w:val="24"/>
        </w:rPr>
        <w:t>parking);</w:t>
      </w:r>
    </w:p>
    <w:p>
      <w:pPr>
        <w:pStyle w:val="ListParagraph"/>
        <w:numPr>
          <w:ilvl w:val="0"/>
          <w:numId w:val="101"/>
        </w:numPr>
        <w:tabs>
          <w:tab w:pos="467" w:val="left" w:leader="none"/>
        </w:tabs>
        <w:spacing w:line="240" w:lineRule="auto" w:before="120" w:after="0"/>
        <w:ind w:left="466" w:right="0" w:hanging="360"/>
        <w:jc w:val="left"/>
        <w:rPr>
          <w:sz w:val="24"/>
        </w:rPr>
      </w:pPr>
      <w:r>
        <w:rPr>
          <w:sz w:val="24"/>
        </w:rPr>
        <w:t>DGS may lease all or any part of the</w:t>
      </w:r>
      <w:r>
        <w:rPr>
          <w:spacing w:val="-22"/>
          <w:sz w:val="24"/>
        </w:rPr>
        <w:t> </w:t>
      </w:r>
      <w:r>
        <w:rPr>
          <w:sz w:val="24"/>
        </w:rPr>
        <w:t>property;</w:t>
      </w:r>
    </w:p>
    <w:p>
      <w:pPr>
        <w:pStyle w:val="ListParagraph"/>
        <w:numPr>
          <w:ilvl w:val="0"/>
          <w:numId w:val="101"/>
        </w:numPr>
        <w:tabs>
          <w:tab w:pos="467" w:val="left" w:leader="none"/>
        </w:tabs>
        <w:spacing w:line="240" w:lineRule="auto" w:before="120" w:after="0"/>
        <w:ind w:left="466" w:right="0" w:hanging="360"/>
        <w:jc w:val="left"/>
        <w:rPr>
          <w:sz w:val="24"/>
        </w:rPr>
      </w:pPr>
      <w:r>
        <w:rPr>
          <w:sz w:val="24"/>
        </w:rPr>
        <w:t>DGS may remove or demolish</w:t>
      </w:r>
      <w:r>
        <w:rPr>
          <w:spacing w:val="-16"/>
          <w:sz w:val="24"/>
        </w:rPr>
        <w:t> </w:t>
      </w:r>
      <w:r>
        <w:rPr>
          <w:sz w:val="24"/>
        </w:rPr>
        <w:t>structures;</w:t>
      </w:r>
    </w:p>
    <w:p>
      <w:pPr>
        <w:pStyle w:val="ListParagraph"/>
        <w:numPr>
          <w:ilvl w:val="0"/>
          <w:numId w:val="101"/>
        </w:numPr>
        <w:tabs>
          <w:tab w:pos="467" w:val="left" w:leader="none"/>
        </w:tabs>
        <w:spacing w:line="240" w:lineRule="auto" w:before="120" w:after="0"/>
        <w:ind w:left="466" w:right="0" w:hanging="360"/>
        <w:jc w:val="left"/>
        <w:rPr>
          <w:sz w:val="24"/>
        </w:rPr>
      </w:pPr>
      <w:r>
        <w:rPr>
          <w:sz w:val="24"/>
        </w:rPr>
        <w:t>DGS may sell or dispose of the improvements;</w:t>
      </w:r>
      <w:r>
        <w:rPr>
          <w:spacing w:val="-21"/>
          <w:sz w:val="24"/>
        </w:rPr>
        <w:t> </w:t>
      </w:r>
      <w:r>
        <w:rPr>
          <w:sz w:val="24"/>
        </w:rPr>
        <w:t>and</w:t>
      </w:r>
    </w:p>
    <w:p>
      <w:pPr>
        <w:pStyle w:val="ListParagraph"/>
        <w:numPr>
          <w:ilvl w:val="0"/>
          <w:numId w:val="101"/>
        </w:numPr>
        <w:tabs>
          <w:tab w:pos="467" w:val="left" w:leader="none"/>
        </w:tabs>
        <w:spacing w:line="240" w:lineRule="auto" w:before="120" w:after="0"/>
        <w:ind w:left="466" w:right="117" w:hanging="360"/>
        <w:jc w:val="left"/>
        <w:rPr>
          <w:sz w:val="24"/>
        </w:rPr>
      </w:pPr>
      <w:r>
        <w:rPr>
          <w:sz w:val="24"/>
        </w:rPr>
        <w:t>Rentals received are deposited in a special account in the General Fund and, when appropriated by the Legislature, are available to DGS to maintain, improve or care for the property until needed for the purpose acquired (Government Code Section 15863), with the exception of lands acquired for the State Park System (Public Resources Code 5003.17). However, proceeds of sale of improvements are </w:t>
      </w:r>
      <w:r>
        <w:rPr>
          <w:i/>
          <w:sz w:val="24"/>
        </w:rPr>
        <w:t>not </w:t>
      </w:r>
      <w:r>
        <w:rPr>
          <w:sz w:val="24"/>
        </w:rPr>
        <w:t>deposited in the special account or available for</w:t>
      </w:r>
      <w:r>
        <w:rPr>
          <w:spacing w:val="-17"/>
          <w:sz w:val="24"/>
        </w:rPr>
        <w:t> </w:t>
      </w:r>
      <w:r>
        <w:rPr>
          <w:sz w:val="24"/>
        </w:rPr>
        <w:t>maintenance.</w:t>
      </w:r>
    </w:p>
    <w:p>
      <w:pPr>
        <w:spacing w:after="0" w:line="240" w:lineRule="auto"/>
        <w:jc w:val="left"/>
        <w:rPr>
          <w:sz w:val="24"/>
        </w:rPr>
        <w:sectPr>
          <w:pgSz w:w="12240" w:h="15840"/>
          <w:pgMar w:header="724" w:footer="792" w:top="980" w:bottom="980" w:left="1060" w:right="1320"/>
        </w:sectPr>
      </w:pPr>
    </w:p>
    <w:p>
      <w:pPr>
        <w:pStyle w:val="BodyText"/>
        <w:rPr>
          <w:sz w:val="20"/>
        </w:rPr>
      </w:pPr>
    </w:p>
    <w:p>
      <w:pPr>
        <w:pStyle w:val="Heading2"/>
        <w:tabs>
          <w:tab w:pos="9207" w:val="left" w:leader="none"/>
        </w:tabs>
        <w:spacing w:before="214"/>
        <w:ind w:left="466"/>
      </w:pPr>
      <w:r>
        <w:rPr/>
        <w:t>ENVIRONMENTAL IMPACT</w:t>
      </w:r>
      <w:r>
        <w:rPr>
          <w:spacing w:val="-7"/>
        </w:rPr>
        <w:t> </w:t>
      </w:r>
      <w:r>
        <w:rPr/>
        <w:t>REVIEW</w:t>
      </w:r>
      <w:r>
        <w:rPr>
          <w:spacing w:val="-3"/>
        </w:rPr>
        <w:t> </w:t>
      </w:r>
      <w:r>
        <w:rPr/>
        <w:t>PROCESS</w:t>
        <w:tab/>
        <w:t>6850</w:t>
      </w:r>
    </w:p>
    <w:p>
      <w:pPr>
        <w:pStyle w:val="BodyText"/>
        <w:ind w:left="466"/>
      </w:pPr>
      <w:r>
        <w:rPr/>
        <w:t>(New 5/1998)</w:t>
      </w:r>
    </w:p>
    <w:p>
      <w:pPr>
        <w:pStyle w:val="BodyText"/>
      </w:pPr>
    </w:p>
    <w:p>
      <w:pPr>
        <w:pStyle w:val="BodyText"/>
        <w:ind w:left="466" w:right="141"/>
      </w:pPr>
      <w:r>
        <w:rPr/>
        <w:t>PWB requires satisfaction of environmental concerns in accordance with the California Environmental Quality Act (CEQA) before it will approve preliminary plans for a project and generally prior to approval of site selection as well. Legal statutes and related regulations covering CEQA can be found in Public Resource Code Section </w:t>
      </w:r>
      <w:hyperlink r:id="rId304">
        <w:r>
          <w:rPr>
            <w:color w:val="0000FF"/>
            <w:u w:val="single" w:color="0000FF"/>
          </w:rPr>
          <w:t>21000 </w:t>
        </w:r>
      </w:hyperlink>
      <w:r>
        <w:rPr/>
        <w:t>et seq. and its accompanying regulations, California Code of Regulations (CCR) 15000 et seq. Many actions brought before PWB for consideration and approval are “projects” within the definition of CEQA. These statutes and regulations set out the environmental review requirements for such projects.</w:t>
      </w:r>
    </w:p>
    <w:p>
      <w:pPr>
        <w:pStyle w:val="BodyText"/>
        <w:spacing w:before="11"/>
        <w:rPr>
          <w:sz w:val="23"/>
        </w:rPr>
      </w:pPr>
    </w:p>
    <w:p>
      <w:pPr>
        <w:pStyle w:val="BodyText"/>
        <w:ind w:left="466" w:right="130"/>
      </w:pPr>
      <w:r>
        <w:rPr>
          <w:b/>
        </w:rPr>
        <w:t>Key definitions:  </w:t>
      </w:r>
      <w:r>
        <w:rPr/>
        <w:t>For assistance on understanding the documents and notices required by CEQA, see the </w:t>
      </w:r>
      <w:hyperlink r:id="rId305">
        <w:r>
          <w:rPr>
            <w:i/>
            <w:color w:val="0000FF"/>
            <w:u w:val="single" w:color="0000FF"/>
          </w:rPr>
          <w:t>Guidelines for California Environmental Quality Act</w:t>
        </w:r>
      </w:hyperlink>
      <w:r>
        <w:rPr/>
        <w:t>, Section 15000–15387, CCR, Title 14, Chapter 3. The guidelines provide an explanation of the environmental process and the definition of many common terms. The following summarizes a few frequently used terms and describes what CEQA documents include:</w:t>
      </w:r>
    </w:p>
    <w:p>
      <w:pPr>
        <w:pStyle w:val="BodyText"/>
        <w:spacing w:before="8"/>
        <w:rPr>
          <w:sz w:val="23"/>
        </w:rPr>
      </w:pPr>
    </w:p>
    <w:p>
      <w:pPr>
        <w:pStyle w:val="ListParagraph"/>
        <w:numPr>
          <w:ilvl w:val="0"/>
          <w:numId w:val="102"/>
        </w:numPr>
        <w:tabs>
          <w:tab w:pos="467" w:val="left" w:leader="none"/>
        </w:tabs>
        <w:spacing w:line="240" w:lineRule="auto" w:before="0" w:after="0"/>
        <w:ind w:left="466" w:right="0" w:hanging="360"/>
        <w:jc w:val="left"/>
        <w:rPr>
          <w:sz w:val="24"/>
        </w:rPr>
      </w:pPr>
      <w:r>
        <w:rPr>
          <w:b/>
          <w:sz w:val="24"/>
        </w:rPr>
        <w:t>Project per CEQA:  </w:t>
      </w:r>
      <w:r>
        <w:rPr>
          <w:sz w:val="24"/>
        </w:rPr>
        <w:t>The term </w:t>
      </w:r>
      <w:r>
        <w:rPr>
          <w:i/>
          <w:sz w:val="24"/>
        </w:rPr>
        <w:t>project </w:t>
      </w:r>
      <w:r>
        <w:rPr>
          <w:sz w:val="24"/>
        </w:rPr>
        <w:t>per CEQA is defined in CCR Section</w:t>
      </w:r>
      <w:r>
        <w:rPr>
          <w:spacing w:val="-39"/>
          <w:sz w:val="24"/>
        </w:rPr>
        <w:t> </w:t>
      </w:r>
      <w:hyperlink r:id="rId306">
        <w:r>
          <w:rPr>
            <w:color w:val="0000FF"/>
            <w:sz w:val="24"/>
            <w:u w:val="single" w:color="0000FF"/>
          </w:rPr>
          <w:t>15378</w:t>
        </w:r>
      </w:hyperlink>
      <w:r>
        <w:rPr>
          <w:sz w:val="24"/>
        </w:rPr>
        <w:t>(a)</w:t>
      </w:r>
    </w:p>
    <w:p>
      <w:pPr>
        <w:pStyle w:val="ListParagraph"/>
        <w:numPr>
          <w:ilvl w:val="0"/>
          <w:numId w:val="44"/>
        </w:numPr>
        <w:tabs>
          <w:tab w:pos="827" w:val="left" w:leader="none"/>
        </w:tabs>
        <w:spacing w:line="240" w:lineRule="auto" w:before="1" w:after="0"/>
        <w:ind w:left="826" w:right="0" w:hanging="360"/>
        <w:jc w:val="left"/>
        <w:rPr>
          <w:sz w:val="24"/>
        </w:rPr>
      </w:pPr>
      <w:r>
        <w:rPr>
          <w:sz w:val="24"/>
        </w:rPr>
        <w:t>as an activity involving a lease, permit, or license issued to a person or</w:t>
      </w:r>
      <w:r>
        <w:rPr>
          <w:spacing w:val="-36"/>
          <w:sz w:val="24"/>
        </w:rPr>
        <w:t> </w:t>
      </w:r>
      <w:r>
        <w:rPr>
          <w:sz w:val="24"/>
        </w:rPr>
        <w:t>entity.</w:t>
      </w:r>
    </w:p>
    <w:p>
      <w:pPr>
        <w:pStyle w:val="BodyText"/>
        <w:spacing w:before="8"/>
        <w:rPr>
          <w:sz w:val="23"/>
        </w:rPr>
      </w:pPr>
    </w:p>
    <w:p>
      <w:pPr>
        <w:pStyle w:val="ListParagraph"/>
        <w:numPr>
          <w:ilvl w:val="0"/>
          <w:numId w:val="102"/>
        </w:numPr>
        <w:tabs>
          <w:tab w:pos="467" w:val="left" w:leader="none"/>
        </w:tabs>
        <w:spacing w:line="240" w:lineRule="auto" w:before="0" w:after="0"/>
        <w:ind w:left="466" w:right="129" w:hanging="360"/>
        <w:jc w:val="left"/>
        <w:rPr>
          <w:sz w:val="24"/>
        </w:rPr>
      </w:pPr>
      <w:r>
        <w:rPr>
          <w:b/>
          <w:sz w:val="24"/>
        </w:rPr>
        <w:t>Environmental impact report: </w:t>
      </w:r>
      <w:r>
        <w:rPr>
          <w:sz w:val="24"/>
        </w:rPr>
        <w:t>An </w:t>
      </w:r>
      <w:r>
        <w:rPr>
          <w:i/>
          <w:sz w:val="24"/>
        </w:rPr>
        <w:t>environmental impact report (EIR) </w:t>
      </w:r>
      <w:r>
        <w:rPr>
          <w:sz w:val="24"/>
        </w:rPr>
        <w:t>is one of the three basic types of environmental documents that may be prepared by a lead agency to disclose the potential environmental consequences of an action. An EIR consists of draft and final documents. There are several types of EIR (focused, supplemental, program, etc.). An EIR “…is an informational document which will inform public agency decision-makers and the public generally of the significant environmental effect of a project, identify possible ways to minimize significant effects, and describe reasonable alternatives to the project” (Section 15121, Title 13, Chapter 3 of the CCR). An EIR is required when a project will have one or more significant environmental effects that cannot be either avoided or reduced to a level of insignificance through the use of mitigation measures or changes to the</w:t>
      </w:r>
      <w:r>
        <w:rPr>
          <w:spacing w:val="-21"/>
          <w:sz w:val="24"/>
        </w:rPr>
        <w:t> </w:t>
      </w:r>
      <w:r>
        <w:rPr>
          <w:sz w:val="24"/>
        </w:rPr>
        <w:t>project.</w:t>
      </w:r>
    </w:p>
    <w:p>
      <w:pPr>
        <w:pStyle w:val="BodyText"/>
        <w:spacing w:before="11"/>
        <w:rPr>
          <w:sz w:val="23"/>
        </w:rPr>
      </w:pPr>
    </w:p>
    <w:p>
      <w:pPr>
        <w:pStyle w:val="ListParagraph"/>
        <w:numPr>
          <w:ilvl w:val="0"/>
          <w:numId w:val="102"/>
        </w:numPr>
        <w:tabs>
          <w:tab w:pos="467" w:val="left" w:leader="none"/>
        </w:tabs>
        <w:spacing w:line="240" w:lineRule="auto" w:before="0" w:after="0"/>
        <w:ind w:left="466" w:right="170" w:hanging="360"/>
        <w:jc w:val="left"/>
        <w:rPr>
          <w:sz w:val="24"/>
        </w:rPr>
      </w:pPr>
      <w:r>
        <w:rPr>
          <w:b/>
          <w:sz w:val="24"/>
        </w:rPr>
        <w:t>Negative declaration/initial study: </w:t>
      </w:r>
      <w:r>
        <w:rPr>
          <w:sz w:val="24"/>
        </w:rPr>
        <w:t>A second type of environmental document is a </w:t>
      </w:r>
      <w:r>
        <w:rPr>
          <w:i/>
          <w:sz w:val="24"/>
        </w:rPr>
        <w:t>negative declaration. </w:t>
      </w:r>
      <w:r>
        <w:rPr>
          <w:sz w:val="24"/>
        </w:rPr>
        <w:t>A negative declaration may be used if the project is not expected to have one or more significant effects on the environment. A negative declaration typically is supported by an initial study or initial study</w:t>
      </w:r>
      <w:r>
        <w:rPr>
          <w:spacing w:val="-28"/>
          <w:sz w:val="24"/>
        </w:rPr>
        <w:t> </w:t>
      </w:r>
      <w:r>
        <w:rPr>
          <w:sz w:val="24"/>
        </w:rPr>
        <w:t>checklist.</w:t>
      </w:r>
    </w:p>
    <w:p>
      <w:pPr>
        <w:pStyle w:val="BodyText"/>
        <w:spacing w:before="9"/>
        <w:rPr>
          <w:sz w:val="23"/>
        </w:rPr>
      </w:pPr>
    </w:p>
    <w:p>
      <w:pPr>
        <w:pStyle w:val="ListParagraph"/>
        <w:numPr>
          <w:ilvl w:val="0"/>
          <w:numId w:val="102"/>
        </w:numPr>
        <w:tabs>
          <w:tab w:pos="467" w:val="left" w:leader="none"/>
        </w:tabs>
        <w:spacing w:line="240" w:lineRule="auto" w:before="0" w:after="0"/>
        <w:ind w:left="466" w:right="288" w:hanging="360"/>
        <w:jc w:val="left"/>
        <w:rPr>
          <w:sz w:val="24"/>
        </w:rPr>
      </w:pPr>
      <w:r>
        <w:rPr>
          <w:b/>
          <w:sz w:val="24"/>
        </w:rPr>
        <w:t>Categorical exemption</w:t>
      </w:r>
      <w:r>
        <w:rPr>
          <w:sz w:val="24"/>
        </w:rPr>
        <w:t>: A </w:t>
      </w:r>
      <w:r>
        <w:rPr>
          <w:i/>
          <w:sz w:val="24"/>
        </w:rPr>
        <w:t>categorical exemption </w:t>
      </w:r>
      <w:r>
        <w:rPr>
          <w:sz w:val="24"/>
        </w:rPr>
        <w:t>is an exemption from CEQA based on one or more classes of actions/projects established in regulation. Each class of projects has been determined to not have a significant effect on the</w:t>
      </w:r>
      <w:r>
        <w:rPr>
          <w:spacing w:val="-39"/>
          <w:sz w:val="24"/>
        </w:rPr>
        <w:t> </w:t>
      </w:r>
      <w:r>
        <w:rPr>
          <w:sz w:val="24"/>
        </w:rPr>
        <w:t>environment.</w:t>
      </w:r>
    </w:p>
    <w:p>
      <w:pPr>
        <w:pStyle w:val="BodyText"/>
        <w:spacing w:before="101"/>
        <w:ind w:left="106"/>
      </w:pPr>
      <w:r>
        <w:rPr/>
        <w:t>(Continued)</w:t>
      </w:r>
    </w:p>
    <w:p>
      <w:pPr>
        <w:spacing w:after="0"/>
        <w:sectPr>
          <w:pgSz w:w="12240" w:h="15840"/>
          <w:pgMar w:header="724" w:footer="792" w:top="980" w:bottom="980" w:left="1060" w:right="1320"/>
        </w:sectPr>
      </w:pPr>
    </w:p>
    <w:p>
      <w:pPr>
        <w:pStyle w:val="BodyText"/>
        <w:rPr>
          <w:sz w:val="20"/>
        </w:rPr>
      </w:pPr>
    </w:p>
    <w:p>
      <w:pPr>
        <w:pStyle w:val="BodyText"/>
        <w:spacing w:before="214"/>
        <w:ind w:left="106"/>
      </w:pPr>
      <w:r>
        <w:rPr/>
        <w:t>(Continued)</w:t>
      </w:r>
    </w:p>
    <w:p>
      <w:pPr>
        <w:tabs>
          <w:tab w:pos="8203" w:val="left" w:leader="none"/>
        </w:tabs>
        <w:spacing w:line="242" w:lineRule="auto" w:before="0"/>
        <w:ind w:left="106" w:right="116" w:firstLine="0"/>
        <w:jc w:val="left"/>
        <w:rPr>
          <w:sz w:val="24"/>
        </w:rPr>
      </w:pPr>
      <w:r>
        <w:rPr>
          <w:b/>
          <w:sz w:val="24"/>
        </w:rPr>
        <w:t>ENVIRONMENTAL IMPACT</w:t>
      </w:r>
      <w:r>
        <w:rPr>
          <w:b/>
          <w:spacing w:val="-7"/>
          <w:sz w:val="24"/>
        </w:rPr>
        <w:t> </w:t>
      </w:r>
      <w:r>
        <w:rPr>
          <w:b/>
          <w:sz w:val="24"/>
        </w:rPr>
        <w:t>REVIEW</w:t>
      </w:r>
      <w:r>
        <w:rPr>
          <w:b/>
          <w:spacing w:val="-3"/>
          <w:sz w:val="24"/>
        </w:rPr>
        <w:t> </w:t>
      </w:r>
      <w:r>
        <w:rPr>
          <w:b/>
          <w:sz w:val="24"/>
        </w:rPr>
        <w:t>PROCESS</w:t>
        <w:tab/>
        <w:t>6850</w:t>
      </w:r>
      <w:r>
        <w:rPr>
          <w:b/>
          <w:spacing w:val="-2"/>
          <w:sz w:val="24"/>
        </w:rPr>
        <w:t> </w:t>
      </w:r>
      <w:r>
        <w:rPr>
          <w:sz w:val="24"/>
        </w:rPr>
        <w:t>(Cont.</w:t>
      </w:r>
      <w:r>
        <w:rPr>
          <w:spacing w:val="-5"/>
          <w:sz w:val="24"/>
        </w:rPr>
        <w:t> </w:t>
      </w:r>
      <w:r>
        <w:rPr>
          <w:sz w:val="24"/>
        </w:rPr>
        <w:t>1)</w:t>
      </w:r>
      <w:r>
        <w:rPr>
          <w:w w:val="99"/>
          <w:sz w:val="24"/>
        </w:rPr>
        <w:t> </w:t>
      </w:r>
      <w:r>
        <w:rPr>
          <w:sz w:val="24"/>
        </w:rPr>
        <w:t>(New</w:t>
      </w:r>
      <w:r>
        <w:rPr>
          <w:spacing w:val="-6"/>
          <w:sz w:val="24"/>
        </w:rPr>
        <w:t> </w:t>
      </w:r>
      <w:r>
        <w:rPr>
          <w:sz w:val="24"/>
        </w:rPr>
        <w:t>5/1998)</w:t>
      </w:r>
    </w:p>
    <w:p>
      <w:pPr>
        <w:pStyle w:val="BodyText"/>
        <w:spacing w:before="4"/>
        <w:rPr>
          <w:sz w:val="20"/>
        </w:rPr>
      </w:pPr>
    </w:p>
    <w:p>
      <w:pPr>
        <w:pStyle w:val="BodyText"/>
        <w:spacing w:before="1"/>
        <w:ind w:left="106"/>
      </w:pPr>
      <w:r>
        <w:rPr/>
        <w:t>Related notices include:</w:t>
      </w:r>
    </w:p>
    <w:p>
      <w:pPr>
        <w:pStyle w:val="ListParagraph"/>
        <w:numPr>
          <w:ilvl w:val="1"/>
          <w:numId w:val="102"/>
        </w:numPr>
        <w:tabs>
          <w:tab w:pos="827" w:val="left" w:leader="none"/>
        </w:tabs>
        <w:spacing w:line="240" w:lineRule="auto" w:before="77" w:after="0"/>
        <w:ind w:left="466" w:right="291" w:firstLine="0"/>
        <w:jc w:val="left"/>
        <w:rPr>
          <w:sz w:val="24"/>
        </w:rPr>
      </w:pPr>
      <w:r>
        <w:rPr>
          <w:b/>
          <w:sz w:val="24"/>
        </w:rPr>
        <w:t>Notice of determination: </w:t>
      </w:r>
      <w:r>
        <w:rPr>
          <w:sz w:val="24"/>
        </w:rPr>
        <w:t>A </w:t>
      </w:r>
      <w:r>
        <w:rPr>
          <w:i/>
          <w:sz w:val="24"/>
        </w:rPr>
        <w:t>notice of determination </w:t>
      </w:r>
      <w:r>
        <w:rPr>
          <w:sz w:val="24"/>
        </w:rPr>
        <w:t>is a brief notice filed by the lead or responsible agency after it approves or determines to carry out a project or action that was subject to CEQA. For state projects, the notice is filed with the State Clearinghouse, Office of Planning and Research. Filing of this notice starts a 30-day litigation period. See Sections </w:t>
      </w:r>
      <w:hyperlink r:id="rId307">
        <w:r>
          <w:rPr>
            <w:color w:val="0000FF"/>
            <w:sz w:val="24"/>
            <w:u w:val="single" w:color="0000FF"/>
          </w:rPr>
          <w:t>15075 </w:t>
        </w:r>
      </w:hyperlink>
      <w:r>
        <w:rPr>
          <w:sz w:val="24"/>
        </w:rPr>
        <w:t>and </w:t>
      </w:r>
      <w:hyperlink r:id="rId308">
        <w:r>
          <w:rPr>
            <w:color w:val="0000FF"/>
            <w:sz w:val="24"/>
            <w:u w:val="single" w:color="0000FF"/>
          </w:rPr>
          <w:t>15094 </w:t>
        </w:r>
      </w:hyperlink>
      <w:r>
        <w:rPr>
          <w:sz w:val="24"/>
        </w:rPr>
        <w:t>of CCR, Title 14, for the contents of this notice.  A notice of determination is used for both EIRs and negative</w:t>
      </w:r>
      <w:r>
        <w:rPr>
          <w:spacing w:val="-40"/>
          <w:sz w:val="24"/>
        </w:rPr>
        <w:t> </w:t>
      </w:r>
      <w:r>
        <w:rPr>
          <w:sz w:val="24"/>
        </w:rPr>
        <w:t>declarations.</w:t>
      </w:r>
    </w:p>
    <w:p>
      <w:pPr>
        <w:pStyle w:val="BodyText"/>
        <w:spacing w:before="9"/>
        <w:rPr>
          <w:sz w:val="23"/>
        </w:rPr>
      </w:pPr>
    </w:p>
    <w:p>
      <w:pPr>
        <w:pStyle w:val="ListParagraph"/>
        <w:numPr>
          <w:ilvl w:val="1"/>
          <w:numId w:val="102"/>
        </w:numPr>
        <w:tabs>
          <w:tab w:pos="467" w:val="left" w:leader="none"/>
        </w:tabs>
        <w:spacing w:line="240" w:lineRule="auto" w:before="0" w:after="0"/>
        <w:ind w:left="466" w:right="170" w:hanging="360"/>
        <w:jc w:val="left"/>
        <w:rPr>
          <w:sz w:val="24"/>
        </w:rPr>
      </w:pPr>
      <w:r>
        <w:rPr>
          <w:b/>
          <w:sz w:val="24"/>
        </w:rPr>
        <w:t>Notice of exemption</w:t>
      </w:r>
      <w:r>
        <w:rPr>
          <w:sz w:val="24"/>
        </w:rPr>
        <w:t>: A </w:t>
      </w:r>
      <w:r>
        <w:rPr>
          <w:i/>
          <w:sz w:val="24"/>
        </w:rPr>
        <w:t>notice of exemption </w:t>
      </w:r>
      <w:r>
        <w:rPr>
          <w:sz w:val="24"/>
        </w:rPr>
        <w:t>is a brief notice that may be filed by the lead agency after it approves or determines to carry out a project or action that was exempt from CEQA because the project was </w:t>
      </w:r>
      <w:r>
        <w:rPr>
          <w:i/>
          <w:sz w:val="24"/>
        </w:rPr>
        <w:t>ministerial, categorically exempt</w:t>
      </w:r>
      <w:r>
        <w:rPr>
          <w:sz w:val="24"/>
        </w:rPr>
        <w:t>, etc. For state projects, the notice is filed with the State Clearinghouse.  Filing of this notice starts a 35-day litigation</w:t>
      </w:r>
      <w:r>
        <w:rPr>
          <w:spacing w:val="-14"/>
          <w:sz w:val="24"/>
        </w:rPr>
        <w:t> </w:t>
      </w:r>
      <w:r>
        <w:rPr>
          <w:sz w:val="24"/>
        </w:rPr>
        <w:t>period.</w:t>
      </w:r>
    </w:p>
    <w:p>
      <w:pPr>
        <w:pStyle w:val="BodyText"/>
        <w:spacing w:before="79"/>
        <w:ind w:left="106"/>
      </w:pPr>
      <w:r>
        <w:rPr>
          <w:b/>
        </w:rPr>
        <w:t>Client department’s role</w:t>
      </w:r>
      <w:r>
        <w:rPr/>
        <w:t>: Environmental review is typically required for construction projects, projects funded through multi-year capital programs, land acquisitions, and land transfers. Other PWB actions may also be subject to the CEQA environmental review process. The lead agency in each case has the responsibility for determining whether the project is subject to CEQA.</w:t>
      </w:r>
    </w:p>
    <w:p>
      <w:pPr>
        <w:pStyle w:val="BodyText"/>
        <w:spacing w:before="101"/>
        <w:ind w:left="106" w:right="200"/>
      </w:pPr>
      <w:r>
        <w:rPr/>
        <w:t>The client department is responsible for meeting the requirements of CEQA. Departments must certify to the PWB that CEQA requirements have been met, including successful completion of the litigation period on each respective project approval, and must provide corroborating evidence (such as a date-stamped notice of determination or categorical exemption).  In addition, departments must notify DOF of any developments, subsequent to completion of CEQA, that may indicate environmental contamination or other environmental issues that may require additional activities and/or costs.</w:t>
      </w:r>
    </w:p>
    <w:p>
      <w:pPr>
        <w:pStyle w:val="BodyText"/>
        <w:spacing w:before="8"/>
        <w:rPr>
          <w:sz w:val="32"/>
        </w:rPr>
      </w:pPr>
    </w:p>
    <w:p>
      <w:pPr>
        <w:pStyle w:val="BodyText"/>
        <w:spacing w:before="1"/>
        <w:ind w:left="106" w:right="169"/>
      </w:pPr>
      <w:r>
        <w:rPr>
          <w:b/>
        </w:rPr>
        <w:t>Changes in the project: </w:t>
      </w:r>
      <w:r>
        <w:rPr/>
        <w:t>The client department as lead agency ensures that there have been no changes in the project, site conditions, or other factors that may make it necessary to prepare additional environmental documentation. The need for additional documentation could arise for a variety of reasons, especially if there has been a substantial period between completion of the environmental review process and project submittal to the board. For example, if information becomes available that there is an unexpected problem of soil contamination within the project site, the lead agency may need to revise the previously approved environmental document. Other examples include the adoption of new regulatory standards that impose constraints on the project, changes in the setting of the project site such as the reduced availability of on-site utilities (water supplies, sewer service, etc.), increased traffic congestion, or the development of adjacent land uses that conflict with the project.</w:t>
      </w:r>
    </w:p>
    <w:p>
      <w:pPr>
        <w:pStyle w:val="BodyText"/>
        <w:spacing w:before="120"/>
        <w:ind w:left="106"/>
      </w:pPr>
      <w:r>
        <w:rPr/>
        <w:t>(Continued)</w:t>
      </w:r>
    </w:p>
    <w:p>
      <w:pPr>
        <w:spacing w:after="0"/>
        <w:sectPr>
          <w:pgSz w:w="12240" w:h="15840"/>
          <w:pgMar w:header="724" w:footer="792" w:top="980" w:bottom="980" w:left="1060" w:right="1320"/>
        </w:sectPr>
      </w:pPr>
    </w:p>
    <w:p>
      <w:pPr>
        <w:pStyle w:val="BodyText"/>
        <w:rPr>
          <w:sz w:val="20"/>
        </w:rPr>
      </w:pPr>
    </w:p>
    <w:p>
      <w:pPr>
        <w:pStyle w:val="BodyText"/>
        <w:spacing w:before="214"/>
        <w:ind w:left="106"/>
      </w:pPr>
      <w:r>
        <w:rPr/>
        <w:t>(Continued)</w:t>
      </w:r>
    </w:p>
    <w:p>
      <w:pPr>
        <w:tabs>
          <w:tab w:pos="8203" w:val="left" w:leader="none"/>
        </w:tabs>
        <w:spacing w:line="242" w:lineRule="auto" w:before="0"/>
        <w:ind w:left="106" w:right="117" w:firstLine="0"/>
        <w:jc w:val="left"/>
        <w:rPr>
          <w:sz w:val="24"/>
        </w:rPr>
      </w:pPr>
      <w:r>
        <w:rPr>
          <w:b/>
          <w:sz w:val="24"/>
        </w:rPr>
        <w:t>ENVIRONMENTAL IMPACT</w:t>
      </w:r>
      <w:r>
        <w:rPr>
          <w:b/>
          <w:spacing w:val="-7"/>
          <w:sz w:val="24"/>
        </w:rPr>
        <w:t> </w:t>
      </w:r>
      <w:r>
        <w:rPr>
          <w:b/>
          <w:sz w:val="24"/>
        </w:rPr>
        <w:t>REVIEW</w:t>
      </w:r>
      <w:r>
        <w:rPr>
          <w:b/>
          <w:spacing w:val="-3"/>
          <w:sz w:val="24"/>
        </w:rPr>
        <w:t> </w:t>
      </w:r>
      <w:r>
        <w:rPr>
          <w:b/>
          <w:sz w:val="24"/>
        </w:rPr>
        <w:t>PROCESS</w:t>
        <w:tab/>
        <w:t>6850</w:t>
      </w:r>
      <w:r>
        <w:rPr>
          <w:b/>
          <w:spacing w:val="-2"/>
          <w:sz w:val="24"/>
        </w:rPr>
        <w:t> </w:t>
      </w:r>
      <w:r>
        <w:rPr>
          <w:sz w:val="24"/>
        </w:rPr>
        <w:t>(Cont.</w:t>
      </w:r>
      <w:r>
        <w:rPr>
          <w:spacing w:val="-5"/>
          <w:sz w:val="24"/>
        </w:rPr>
        <w:t> </w:t>
      </w:r>
      <w:r>
        <w:rPr>
          <w:sz w:val="24"/>
        </w:rPr>
        <w:t>2)</w:t>
      </w:r>
      <w:r>
        <w:rPr>
          <w:w w:val="99"/>
          <w:sz w:val="24"/>
        </w:rPr>
        <w:t> </w:t>
      </w:r>
      <w:r>
        <w:rPr>
          <w:sz w:val="24"/>
        </w:rPr>
        <w:t>(New</w:t>
      </w:r>
      <w:r>
        <w:rPr>
          <w:spacing w:val="-6"/>
          <w:sz w:val="24"/>
        </w:rPr>
        <w:t> </w:t>
      </w:r>
      <w:r>
        <w:rPr>
          <w:sz w:val="24"/>
        </w:rPr>
        <w:t>5/1998)</w:t>
      </w:r>
    </w:p>
    <w:p>
      <w:pPr>
        <w:pStyle w:val="BodyText"/>
        <w:spacing w:before="4"/>
        <w:rPr>
          <w:sz w:val="20"/>
        </w:rPr>
      </w:pPr>
    </w:p>
    <w:p>
      <w:pPr>
        <w:pStyle w:val="BodyText"/>
        <w:spacing w:before="1"/>
        <w:ind w:left="106" w:right="208"/>
      </w:pPr>
      <w:r>
        <w:rPr/>
        <w:t>The client department must also ensure that all projects remain in compliance with the environmental document prepared and adopted for each respective action.  In some cases, it may be necessary to provide additional documentation to support the finding that the original environmental process remains valid. Both state and federal environmental review processes provide guidance on when supplemental or revised environmental documentation may be needed subsequent to the approval of a project.</w:t>
      </w:r>
    </w:p>
    <w:p>
      <w:pPr>
        <w:pStyle w:val="BodyText"/>
        <w:spacing w:before="120"/>
        <w:ind w:left="106"/>
      </w:pPr>
      <w:r>
        <w:rPr>
          <w:b/>
        </w:rPr>
        <w:t>PWB practices</w:t>
      </w:r>
      <w:r>
        <w:rPr/>
        <w:t>: Because resolution of CEQA concerns should generally precede PWB’s approval of state funds for a project, PWB follows these practices:</w:t>
      </w:r>
    </w:p>
    <w:p>
      <w:pPr>
        <w:pStyle w:val="ListParagraph"/>
        <w:numPr>
          <w:ilvl w:val="0"/>
          <w:numId w:val="103"/>
        </w:numPr>
        <w:tabs>
          <w:tab w:pos="467" w:val="left" w:leader="none"/>
        </w:tabs>
        <w:spacing w:line="240" w:lineRule="auto" w:before="120" w:after="0"/>
        <w:ind w:left="466" w:right="328" w:hanging="360"/>
        <w:jc w:val="left"/>
        <w:rPr>
          <w:sz w:val="24"/>
        </w:rPr>
      </w:pPr>
      <w:r>
        <w:rPr>
          <w:b/>
          <w:sz w:val="24"/>
        </w:rPr>
        <w:t>When processes should be completed</w:t>
      </w:r>
      <w:r>
        <w:rPr>
          <w:sz w:val="24"/>
        </w:rPr>
        <w:t>: Departments must provide PWB with evidence that the state’s environmental review process has been completed by the lead agency (the public agency with primary authority for carrying out the action) </w:t>
      </w:r>
      <w:r>
        <w:rPr>
          <w:i/>
          <w:sz w:val="24"/>
        </w:rPr>
        <w:t>prior </w:t>
      </w:r>
      <w:r>
        <w:rPr>
          <w:sz w:val="24"/>
        </w:rPr>
        <w:t>to the required PWB</w:t>
      </w:r>
      <w:r>
        <w:rPr>
          <w:spacing w:val="-11"/>
          <w:sz w:val="24"/>
        </w:rPr>
        <w:t> </w:t>
      </w:r>
      <w:r>
        <w:rPr>
          <w:sz w:val="24"/>
        </w:rPr>
        <w:t>action.</w:t>
      </w:r>
    </w:p>
    <w:p>
      <w:pPr>
        <w:pStyle w:val="ListParagraph"/>
        <w:numPr>
          <w:ilvl w:val="1"/>
          <w:numId w:val="103"/>
        </w:numPr>
        <w:tabs>
          <w:tab w:pos="827" w:val="left" w:leader="none"/>
        </w:tabs>
        <w:spacing w:line="240" w:lineRule="auto" w:before="120" w:after="0"/>
        <w:ind w:left="826" w:right="0" w:hanging="360"/>
        <w:jc w:val="left"/>
        <w:rPr>
          <w:sz w:val="24"/>
        </w:rPr>
      </w:pPr>
      <w:r>
        <w:rPr>
          <w:sz w:val="24"/>
        </w:rPr>
        <w:t>For construction projects, this means prior to approval of preliminary plans;</w:t>
      </w:r>
      <w:r>
        <w:rPr>
          <w:spacing w:val="-39"/>
          <w:sz w:val="24"/>
        </w:rPr>
        <w:t> </w:t>
      </w:r>
      <w:r>
        <w:rPr>
          <w:sz w:val="24"/>
        </w:rPr>
        <w:t>and</w:t>
      </w:r>
    </w:p>
    <w:p>
      <w:pPr>
        <w:pStyle w:val="ListParagraph"/>
        <w:numPr>
          <w:ilvl w:val="1"/>
          <w:numId w:val="103"/>
        </w:numPr>
        <w:tabs>
          <w:tab w:pos="827" w:val="left" w:leader="none"/>
        </w:tabs>
        <w:spacing w:line="240" w:lineRule="auto" w:before="120" w:after="0"/>
        <w:ind w:left="826" w:right="1280" w:hanging="360"/>
        <w:jc w:val="left"/>
        <w:rPr>
          <w:sz w:val="24"/>
        </w:rPr>
      </w:pPr>
      <w:r>
        <w:rPr>
          <w:sz w:val="24"/>
        </w:rPr>
        <w:t>For acquisition projects, this means prior to approval of site selection and acquisition.</w:t>
      </w:r>
    </w:p>
    <w:p>
      <w:pPr>
        <w:pStyle w:val="ListParagraph"/>
        <w:numPr>
          <w:ilvl w:val="0"/>
          <w:numId w:val="103"/>
        </w:numPr>
        <w:tabs>
          <w:tab w:pos="467" w:val="left" w:leader="none"/>
        </w:tabs>
        <w:spacing w:line="240" w:lineRule="auto" w:before="120" w:after="0"/>
        <w:ind w:left="466" w:right="121" w:hanging="360"/>
        <w:jc w:val="left"/>
        <w:rPr>
          <w:sz w:val="24"/>
        </w:rPr>
      </w:pPr>
      <w:r>
        <w:rPr>
          <w:b/>
          <w:sz w:val="24"/>
        </w:rPr>
        <w:t>Notice of determination, categorical exemption: </w:t>
      </w:r>
      <w:r>
        <w:rPr>
          <w:sz w:val="24"/>
        </w:rPr>
        <w:t>In most cases, completion involves filing of the applicable project approval notice by the lead agency—either a </w:t>
      </w:r>
      <w:r>
        <w:rPr>
          <w:i/>
          <w:sz w:val="24"/>
        </w:rPr>
        <w:t>notice of </w:t>
      </w:r>
      <w:r>
        <w:rPr>
          <w:i/>
          <w:sz w:val="24"/>
        </w:rPr>
        <w:t>determination </w:t>
      </w:r>
      <w:r>
        <w:rPr>
          <w:sz w:val="24"/>
        </w:rPr>
        <w:t>or a </w:t>
      </w:r>
      <w:r>
        <w:rPr>
          <w:i/>
          <w:sz w:val="24"/>
        </w:rPr>
        <w:t>categorical exemption</w:t>
      </w:r>
      <w:r>
        <w:rPr>
          <w:sz w:val="24"/>
        </w:rPr>
        <w:t>, as required by state</w:t>
      </w:r>
      <w:r>
        <w:rPr>
          <w:spacing w:val="-41"/>
          <w:sz w:val="24"/>
        </w:rPr>
        <w:t> </w:t>
      </w:r>
      <w:r>
        <w:rPr>
          <w:sz w:val="24"/>
        </w:rPr>
        <w:t>regulation.</w:t>
      </w:r>
    </w:p>
    <w:p>
      <w:pPr>
        <w:pStyle w:val="ListParagraph"/>
        <w:numPr>
          <w:ilvl w:val="0"/>
          <w:numId w:val="103"/>
        </w:numPr>
        <w:tabs>
          <w:tab w:pos="467" w:val="left" w:leader="none"/>
        </w:tabs>
        <w:spacing w:line="240" w:lineRule="auto" w:before="122" w:after="0"/>
        <w:ind w:left="466" w:right="279" w:hanging="360"/>
        <w:jc w:val="left"/>
        <w:rPr>
          <w:sz w:val="24"/>
        </w:rPr>
      </w:pPr>
      <w:r>
        <w:rPr>
          <w:b/>
          <w:sz w:val="24"/>
        </w:rPr>
        <w:t>Litigation period</w:t>
      </w:r>
      <w:r>
        <w:rPr>
          <w:sz w:val="24"/>
        </w:rPr>
        <w:t>: The litigation period (described in the preceding text) on the notice must have expired without a valid challenge </w:t>
      </w:r>
      <w:r>
        <w:rPr>
          <w:i/>
          <w:sz w:val="24"/>
        </w:rPr>
        <w:t>before </w:t>
      </w:r>
      <w:r>
        <w:rPr>
          <w:sz w:val="24"/>
        </w:rPr>
        <w:t>PWB will consider the item. The litigation period for a notice of determination is 30 calendar days; the litigation period for a categorical exemption is 35 calendar days. Consult the regulations for litigation periods for other types of</w:t>
      </w:r>
      <w:r>
        <w:rPr>
          <w:spacing w:val="-16"/>
          <w:sz w:val="24"/>
        </w:rPr>
        <w:t> </w:t>
      </w:r>
      <w:r>
        <w:rPr>
          <w:sz w:val="24"/>
        </w:rPr>
        <w:t>notices.</w:t>
      </w:r>
    </w:p>
    <w:p>
      <w:pPr>
        <w:pStyle w:val="BodyText"/>
        <w:spacing w:before="119"/>
        <w:ind w:left="106" w:right="302"/>
      </w:pPr>
      <w:r>
        <w:rPr/>
        <w:t>Evidence of the completion of this process assures the board that it has minimized risk in committing state funds to a particular project or undertaking.</w:t>
      </w:r>
    </w:p>
    <w:p>
      <w:pPr>
        <w:pStyle w:val="BodyText"/>
        <w:spacing w:before="97"/>
        <w:ind w:left="106" w:right="200"/>
      </w:pPr>
      <w:r>
        <w:rPr>
          <w:b/>
        </w:rPr>
        <w:t>CEQA compliance outside the PWB process: </w:t>
      </w:r>
      <w:r>
        <w:rPr/>
        <w:t>CEQA requirements are not limited to projects reviewed by PWB. Actions not reviewed by PWB, such as minor capital outlay projects, may nonetheless constitute “projects” within the definition of CEQA and its accompanying regulations. Again, in each case the lead agency is responsible for determining the application of CEQA to each project and fulfilling the relevant requirements.</w:t>
      </w:r>
    </w:p>
    <w:p>
      <w:pPr>
        <w:pStyle w:val="BodyText"/>
        <w:spacing w:before="119"/>
        <w:ind w:left="106" w:right="128"/>
      </w:pPr>
      <w:r>
        <w:rPr/>
        <w:t>Sections 6849 and 6851 describe how CEQA compliance should be presented in the PWB agenda package.</w:t>
      </w:r>
    </w:p>
    <w:p>
      <w:pPr>
        <w:spacing w:after="0"/>
        <w:sectPr>
          <w:pgSz w:w="12240" w:h="15840"/>
          <w:pgMar w:header="724" w:footer="792" w:top="980" w:bottom="980" w:left="1060" w:right="1320"/>
        </w:sectPr>
      </w:pPr>
    </w:p>
    <w:p>
      <w:pPr>
        <w:pStyle w:val="BodyText"/>
        <w:rPr>
          <w:sz w:val="20"/>
        </w:rPr>
      </w:pPr>
    </w:p>
    <w:p>
      <w:pPr>
        <w:pStyle w:val="Heading2"/>
        <w:tabs>
          <w:tab w:pos="9204" w:val="left" w:leader="none"/>
        </w:tabs>
        <w:spacing w:before="214"/>
        <w:ind w:left="106"/>
      </w:pPr>
      <w:r>
        <w:rPr/>
        <w:t>PRELIMINARY</w:t>
      </w:r>
      <w:r>
        <w:rPr>
          <w:spacing w:val="-5"/>
        </w:rPr>
        <w:t> </w:t>
      </w:r>
      <w:r>
        <w:rPr/>
        <w:t>PLANS</w:t>
      </w:r>
      <w:r>
        <w:rPr>
          <w:spacing w:val="-2"/>
        </w:rPr>
        <w:t> </w:t>
      </w:r>
      <w:r>
        <w:rPr/>
        <w:t>REVIEW</w:t>
        <w:tab/>
        <w:t>6851</w:t>
      </w:r>
    </w:p>
    <w:p>
      <w:pPr>
        <w:pStyle w:val="BodyText"/>
        <w:ind w:left="106"/>
      </w:pPr>
      <w:r>
        <w:rPr/>
        <w:t>(Revised 5/1998)</w:t>
      </w:r>
    </w:p>
    <w:p>
      <w:pPr>
        <w:pStyle w:val="BodyText"/>
        <w:spacing w:before="120"/>
        <w:ind w:left="106" w:right="282"/>
        <w:jc w:val="both"/>
      </w:pPr>
      <w:r>
        <w:rPr>
          <w:b/>
        </w:rPr>
        <w:t>What are preliminary plans? </w:t>
      </w:r>
      <w:r>
        <w:rPr/>
        <w:t>Preliminary plans are the initial design phase in preparing the construction bidding documents. The discussion in this section applies to the design- bid-build process used for most state projects (Section 6841).</w:t>
      </w:r>
    </w:p>
    <w:p>
      <w:pPr>
        <w:pStyle w:val="BodyText"/>
        <w:spacing w:before="100"/>
        <w:ind w:left="106" w:right="388"/>
      </w:pPr>
      <w:r>
        <w:rPr/>
        <w:t>These documents are developed from the information contained in the budget package. Typically the preliminary plans are developed in two distinct steps referred to as schematics and design development. The two-step process allows the department and architect/engineer to interact before the design is developed, helping to ensure a mutual understanding of the design objectives, limitations and budget.</w:t>
      </w:r>
    </w:p>
    <w:p>
      <w:pPr>
        <w:pStyle w:val="ListParagraph"/>
        <w:numPr>
          <w:ilvl w:val="0"/>
          <w:numId w:val="104"/>
        </w:numPr>
        <w:tabs>
          <w:tab w:pos="467" w:val="left" w:leader="none"/>
        </w:tabs>
        <w:spacing w:line="240" w:lineRule="auto" w:before="119" w:after="0"/>
        <w:ind w:left="466" w:right="177" w:hanging="360"/>
        <w:jc w:val="left"/>
        <w:rPr>
          <w:sz w:val="24"/>
        </w:rPr>
      </w:pPr>
      <w:r>
        <w:rPr>
          <w:b/>
          <w:sz w:val="24"/>
        </w:rPr>
        <w:t>Schematic documents</w:t>
      </w:r>
      <w:r>
        <w:rPr>
          <w:sz w:val="24"/>
        </w:rPr>
        <w:t>: Schematic documents are the initial architectural and engineering plans prepared during the preliminary plan phase, depicting the designer’s conceptual solution to project needs. The major difference compared with design documents is the amount of</w:t>
      </w:r>
      <w:r>
        <w:rPr>
          <w:spacing w:val="-16"/>
          <w:sz w:val="24"/>
        </w:rPr>
        <w:t> </w:t>
      </w:r>
      <w:r>
        <w:rPr>
          <w:sz w:val="24"/>
        </w:rPr>
        <w:t>detail.</w:t>
      </w:r>
    </w:p>
    <w:p>
      <w:pPr>
        <w:pStyle w:val="ListParagraph"/>
        <w:numPr>
          <w:ilvl w:val="0"/>
          <w:numId w:val="104"/>
        </w:numPr>
        <w:tabs>
          <w:tab w:pos="467" w:val="left" w:leader="none"/>
        </w:tabs>
        <w:spacing w:line="240" w:lineRule="auto" w:before="119" w:after="0"/>
        <w:ind w:left="466" w:right="187" w:hanging="360"/>
        <w:jc w:val="left"/>
        <w:rPr>
          <w:sz w:val="24"/>
        </w:rPr>
      </w:pPr>
      <w:r>
        <w:rPr>
          <w:b/>
          <w:sz w:val="24"/>
        </w:rPr>
        <w:t>Design documents</w:t>
      </w:r>
      <w:r>
        <w:rPr>
          <w:sz w:val="24"/>
        </w:rPr>
        <w:t>: These are the final documents which result from the preliminary plan phase, defined by Section 3.00 of the Budget Act as a site plan, architectural floor plans, elevations and a cost estimate. For each utility, site development, conversion, and remodeling project, the drawings must be sufficiently descriptive to convey accurately the location, scope, cost, and the nature of the improvement being proposed.</w:t>
      </w:r>
    </w:p>
    <w:p>
      <w:pPr>
        <w:pStyle w:val="BodyText"/>
        <w:spacing w:before="119"/>
        <w:ind w:left="106" w:right="136"/>
      </w:pPr>
      <w:r>
        <w:rPr>
          <w:b/>
        </w:rPr>
        <w:t>Beginning and end of phase</w:t>
      </w:r>
      <w:r>
        <w:rPr/>
        <w:t>: If a department contracts with DGS for project management, the preliminary plans phase starts with the request to DOF to release funds for preliminary plans funds using a Form 22 or a GS-OSA 220 for bond items (6868 Illustrations 1 and 2). Upon approval of the release of funds, the design/construction administrator has the design prepared either by state personnel or through contracts with private sector architects/engineers. This phase ends when PWB approves the preliminary plans.  An overview of all capital outlay phases is provided in Section 6808.</w:t>
      </w:r>
    </w:p>
    <w:p>
      <w:pPr>
        <w:pStyle w:val="BodyText"/>
        <w:spacing w:before="119"/>
        <w:ind w:left="106" w:right="149"/>
      </w:pPr>
      <w:r>
        <w:rPr>
          <w:b/>
        </w:rPr>
        <w:t>Client department’s role: </w:t>
      </w:r>
      <w:r>
        <w:rPr/>
        <w:t>The client department is responsible for obtaining PWB review and approval of preliminary plans </w:t>
      </w:r>
      <w:r>
        <w:rPr>
          <w:i/>
        </w:rPr>
        <w:t>prior to </w:t>
      </w:r>
      <w:r>
        <w:rPr/>
        <w:t>expenditure of appropriated funds for subsequent phases. When requesting approval of preliminary plans, the client department must</w:t>
      </w:r>
      <w:r>
        <w:rPr>
          <w:spacing w:val="-6"/>
        </w:rPr>
        <w:t> </w:t>
      </w:r>
      <w:r>
        <w:rPr/>
        <w:t>either:</w:t>
      </w:r>
    </w:p>
    <w:p>
      <w:pPr>
        <w:pStyle w:val="ListParagraph"/>
        <w:numPr>
          <w:ilvl w:val="0"/>
          <w:numId w:val="105"/>
        </w:numPr>
        <w:tabs>
          <w:tab w:pos="467" w:val="left" w:leader="none"/>
        </w:tabs>
        <w:spacing w:line="240" w:lineRule="auto" w:before="119" w:after="0"/>
        <w:ind w:left="466" w:right="312" w:hanging="360"/>
        <w:jc w:val="left"/>
        <w:rPr>
          <w:sz w:val="24"/>
        </w:rPr>
      </w:pPr>
      <w:r>
        <w:rPr>
          <w:sz w:val="24"/>
        </w:rPr>
        <w:t>Certify on the DF-14D that all present and future phases will be within scope and cost per supplemental budget language and legislatively-approved COBCPs;</w:t>
      </w:r>
      <w:r>
        <w:rPr>
          <w:spacing w:val="-38"/>
          <w:sz w:val="24"/>
        </w:rPr>
        <w:t> </w:t>
      </w:r>
      <w:r>
        <w:rPr>
          <w:sz w:val="24"/>
        </w:rPr>
        <w:t>or</w:t>
      </w:r>
    </w:p>
    <w:p>
      <w:pPr>
        <w:pStyle w:val="ListParagraph"/>
        <w:numPr>
          <w:ilvl w:val="0"/>
          <w:numId w:val="105"/>
        </w:numPr>
        <w:tabs>
          <w:tab w:pos="467" w:val="left" w:leader="none"/>
        </w:tabs>
        <w:spacing w:line="240" w:lineRule="auto" w:before="119" w:after="0"/>
        <w:ind w:left="466" w:right="243" w:hanging="360"/>
        <w:jc w:val="left"/>
        <w:rPr>
          <w:sz w:val="24"/>
        </w:rPr>
      </w:pPr>
      <w:r>
        <w:rPr>
          <w:sz w:val="24"/>
        </w:rPr>
        <w:t>Request adjustment through the appropriate change process (Section 6861 discusses cost increases; Section 6863 discusses scope</w:t>
      </w:r>
      <w:r>
        <w:rPr>
          <w:spacing w:val="-22"/>
          <w:sz w:val="24"/>
        </w:rPr>
        <w:t> </w:t>
      </w:r>
      <w:r>
        <w:rPr>
          <w:sz w:val="24"/>
        </w:rPr>
        <w:t>changes).</w:t>
      </w:r>
    </w:p>
    <w:p>
      <w:pPr>
        <w:pStyle w:val="BodyText"/>
        <w:spacing w:before="119"/>
        <w:ind w:left="106" w:right="509"/>
      </w:pPr>
      <w:r>
        <w:rPr/>
        <w:t>In addition, the client department must demonstrate that it has met environmental requirements for the project before PWB will approve preliminary plans (Section 6850).</w:t>
      </w:r>
    </w:p>
    <w:p>
      <w:pPr>
        <w:spacing w:before="117"/>
        <w:ind w:left="106" w:right="267" w:firstLine="0"/>
        <w:jc w:val="left"/>
        <w:rPr>
          <w:i/>
          <w:sz w:val="24"/>
        </w:rPr>
      </w:pPr>
      <w:r>
        <w:rPr>
          <w:i/>
          <w:sz w:val="24"/>
        </w:rPr>
        <w:t>Departments are reminded not to start preliminary plans (or any other phase) with any </w:t>
      </w:r>
      <w:r>
        <w:rPr>
          <w:i/>
          <w:sz w:val="24"/>
        </w:rPr>
        <w:t>funds other than the approved phase appropriation or in advance of DOF authorization of a DF-14D.</w:t>
      </w:r>
    </w:p>
    <w:p>
      <w:pPr>
        <w:pStyle w:val="BodyText"/>
        <w:rPr>
          <w:i/>
          <w:sz w:val="26"/>
        </w:rPr>
      </w:pPr>
    </w:p>
    <w:p>
      <w:pPr>
        <w:pStyle w:val="BodyText"/>
        <w:spacing w:before="219"/>
        <w:ind w:left="106"/>
      </w:pPr>
      <w:r>
        <w:rPr/>
        <w:t>(Continued)</w:t>
      </w:r>
    </w:p>
    <w:p>
      <w:pPr>
        <w:spacing w:after="0"/>
        <w:sectPr>
          <w:pgSz w:w="12240" w:h="15840"/>
          <w:pgMar w:header="724" w:footer="792" w:top="980" w:bottom="980" w:left="1060" w:right="1340"/>
        </w:sectPr>
      </w:pPr>
    </w:p>
    <w:p>
      <w:pPr>
        <w:pStyle w:val="BodyText"/>
        <w:rPr>
          <w:sz w:val="20"/>
        </w:rPr>
      </w:pPr>
    </w:p>
    <w:p>
      <w:pPr>
        <w:pStyle w:val="BodyText"/>
        <w:spacing w:before="214"/>
        <w:ind w:left="106"/>
      </w:pPr>
      <w:r>
        <w:rPr/>
        <w:t>(Continued)</w:t>
      </w:r>
    </w:p>
    <w:p>
      <w:pPr>
        <w:tabs>
          <w:tab w:pos="8206" w:val="left" w:leader="none"/>
        </w:tabs>
        <w:spacing w:before="0"/>
        <w:ind w:left="106" w:right="0" w:firstLine="0"/>
        <w:jc w:val="left"/>
        <w:rPr>
          <w:sz w:val="24"/>
        </w:rPr>
      </w:pPr>
      <w:r>
        <w:rPr>
          <w:b/>
          <w:sz w:val="24"/>
        </w:rPr>
        <w:t>PRELIMINARY</w:t>
      </w:r>
      <w:r>
        <w:rPr>
          <w:b/>
          <w:spacing w:val="-5"/>
          <w:sz w:val="24"/>
        </w:rPr>
        <w:t> </w:t>
      </w:r>
      <w:r>
        <w:rPr>
          <w:b/>
          <w:sz w:val="24"/>
        </w:rPr>
        <w:t>PLANS</w:t>
      </w:r>
      <w:r>
        <w:rPr>
          <w:b/>
          <w:spacing w:val="-2"/>
          <w:sz w:val="24"/>
        </w:rPr>
        <w:t> </w:t>
      </w:r>
      <w:r>
        <w:rPr>
          <w:b/>
          <w:sz w:val="24"/>
        </w:rPr>
        <w:t>REVIEW</w:t>
        <w:tab/>
        <w:t>6851 </w:t>
      </w:r>
      <w:r>
        <w:rPr>
          <w:sz w:val="24"/>
        </w:rPr>
        <w:t>(Cont.</w:t>
      </w:r>
      <w:r>
        <w:rPr>
          <w:spacing w:val="-6"/>
          <w:sz w:val="24"/>
        </w:rPr>
        <w:t> </w:t>
      </w:r>
      <w:r>
        <w:rPr>
          <w:sz w:val="24"/>
        </w:rPr>
        <w:t>1)</w:t>
      </w:r>
    </w:p>
    <w:p>
      <w:pPr>
        <w:pStyle w:val="BodyText"/>
        <w:ind w:left="106"/>
      </w:pPr>
      <w:r>
        <w:rPr/>
        <w:t>(Revised 5/1998)</w:t>
      </w:r>
    </w:p>
    <w:p>
      <w:pPr>
        <w:pStyle w:val="BodyText"/>
        <w:spacing w:before="120"/>
        <w:ind w:left="106" w:right="200"/>
      </w:pPr>
      <w:r>
        <w:rPr>
          <w:b/>
        </w:rPr>
        <w:t>PWB’s role/restrictions related to preliminary plan approval: </w:t>
      </w:r>
      <w:r>
        <w:rPr/>
        <w:t>Section </w:t>
      </w:r>
      <w:hyperlink r:id="rId171">
        <w:r>
          <w:rPr>
            <w:color w:val="0000FF"/>
            <w:u w:val="single" w:color="0000FF"/>
          </w:rPr>
          <w:t>13332.11 </w:t>
        </w:r>
      </w:hyperlink>
      <w:r>
        <w:rPr/>
        <w:t>(a) of the Government Code requires both DOF and PWB to approve all preliminary plans to ensure that projects proceeding to working drawings and construction are consistent with legislatively approved cost and scope. Section </w:t>
      </w:r>
      <w:hyperlink r:id="rId171">
        <w:r>
          <w:rPr>
            <w:color w:val="0000FF"/>
            <w:u w:val="single" w:color="0000FF"/>
          </w:rPr>
          <w:t>13332.11 </w:t>
        </w:r>
      </w:hyperlink>
      <w:r>
        <w:rPr/>
        <w:t>(g) requires the board to defer action with respect to approval of preliminary plans if the estimated cost of the project exceeds 20 percent of the amount appropriated.</w:t>
      </w:r>
    </w:p>
    <w:p>
      <w:pPr>
        <w:pStyle w:val="BodyText"/>
        <w:spacing w:before="120"/>
        <w:ind w:left="106" w:right="168"/>
      </w:pPr>
      <w:r>
        <w:rPr/>
        <w:t>If construction has not yet been appropriated, there is no requirement under statute for the board to defer action on the preliminary plans. However, PWB will calculate the project’s estimated percentage increase based on the last legislatively recognized project cost.</w:t>
      </w:r>
    </w:p>
    <w:p>
      <w:pPr>
        <w:pStyle w:val="BodyText"/>
        <w:ind w:left="106" w:right="155"/>
      </w:pPr>
      <w:r>
        <w:rPr/>
        <w:t>Depending upon the circumstances, it is generally board practice to defer action and notify the Legislature when such increases are estimated to exceed 20 percent.</w:t>
      </w:r>
    </w:p>
    <w:p>
      <w:pPr>
        <w:pStyle w:val="BodyText"/>
        <w:spacing w:before="120"/>
        <w:ind w:left="106" w:right="222"/>
      </w:pPr>
      <w:r>
        <w:rPr>
          <w:b/>
        </w:rPr>
        <w:t>Value engineering may be required before PWB considers a request for a recognized deficit</w:t>
      </w:r>
      <w:r>
        <w:rPr/>
        <w:t>:  If a project is expected to exceed cost based on the preliminary plans, PWB may require value engineering to determine cost savings strategies </w:t>
      </w:r>
      <w:r>
        <w:rPr>
          <w:i/>
        </w:rPr>
        <w:t>before </w:t>
      </w:r>
      <w:r>
        <w:rPr/>
        <w:t>it will recognize a potential deficit. The principal concepts which underlie the value engineering methodology are function, cost, and worth. The approach is to analyze the functional requirements of a project’s materials, methods, components and subsystems in order to explore alternate solutions which improve project efficiency without reducing program value. During this process, all expenditures relating to design, construction, maintenance, operation, replacement, etc., are considered.</w:t>
      </w:r>
    </w:p>
    <w:p>
      <w:pPr>
        <w:pStyle w:val="BodyText"/>
        <w:spacing w:before="120"/>
        <w:ind w:left="106" w:right="129"/>
      </w:pPr>
      <w:r>
        <w:rPr>
          <w:b/>
        </w:rPr>
        <w:t>Mandatory review approvals</w:t>
      </w:r>
      <w:r>
        <w:rPr/>
        <w:t>:  Various statutes require that certain elements of preliminary plans and working drawings be reviewed by oversight agencies before proceeding to bid. Examples of possible mandatory reviews at the preliminary plans stage include the State Fire Marshal, the California Coastal Commission, and the State Historic Preservation Officer. (Note: mandatory review approvals must be identified in the COBCP per Section 6818.)</w:t>
      </w:r>
    </w:p>
    <w:p>
      <w:pPr>
        <w:pStyle w:val="BodyText"/>
        <w:spacing w:before="122"/>
        <w:ind w:left="106"/>
      </w:pPr>
      <w:r>
        <w:rPr/>
        <w:t>(Continued)</w:t>
      </w:r>
    </w:p>
    <w:p>
      <w:pPr>
        <w:spacing w:after="0"/>
        <w:sectPr>
          <w:pgSz w:w="12240" w:h="15840"/>
          <w:pgMar w:header="724" w:footer="792" w:top="980" w:bottom="980" w:left="1060" w:right="1320"/>
        </w:sectPr>
      </w:pPr>
    </w:p>
    <w:p>
      <w:pPr>
        <w:pStyle w:val="BodyText"/>
        <w:rPr>
          <w:sz w:val="20"/>
        </w:rPr>
      </w:pPr>
    </w:p>
    <w:p>
      <w:pPr>
        <w:pStyle w:val="BodyText"/>
        <w:spacing w:before="214"/>
        <w:ind w:left="106"/>
      </w:pPr>
      <w:r>
        <w:rPr/>
        <w:t>(Continued)</w:t>
      </w:r>
    </w:p>
    <w:p>
      <w:pPr>
        <w:tabs>
          <w:tab w:pos="8203" w:val="left" w:leader="none"/>
        </w:tabs>
        <w:spacing w:before="0"/>
        <w:ind w:left="106" w:right="0" w:firstLine="0"/>
        <w:jc w:val="left"/>
        <w:rPr>
          <w:sz w:val="24"/>
        </w:rPr>
      </w:pPr>
      <w:r>
        <w:rPr>
          <w:b/>
          <w:sz w:val="24"/>
        </w:rPr>
        <w:t>PRELIMINARY</w:t>
      </w:r>
      <w:r>
        <w:rPr>
          <w:b/>
          <w:spacing w:val="-5"/>
          <w:sz w:val="24"/>
        </w:rPr>
        <w:t> </w:t>
      </w:r>
      <w:r>
        <w:rPr>
          <w:b/>
          <w:sz w:val="24"/>
        </w:rPr>
        <w:t>PLANS</w:t>
      </w:r>
      <w:r>
        <w:rPr>
          <w:b/>
          <w:spacing w:val="-2"/>
          <w:sz w:val="24"/>
        </w:rPr>
        <w:t> </w:t>
      </w:r>
      <w:r>
        <w:rPr>
          <w:b/>
          <w:sz w:val="24"/>
        </w:rPr>
        <w:t>REVIEW</w:t>
        <w:tab/>
        <w:t>6851 </w:t>
      </w:r>
      <w:r>
        <w:rPr>
          <w:sz w:val="24"/>
        </w:rPr>
        <w:t>(Cont.</w:t>
      </w:r>
      <w:r>
        <w:rPr>
          <w:spacing w:val="-6"/>
          <w:sz w:val="24"/>
        </w:rPr>
        <w:t> </w:t>
      </w:r>
      <w:r>
        <w:rPr>
          <w:sz w:val="24"/>
        </w:rPr>
        <w:t>2)</w:t>
      </w:r>
    </w:p>
    <w:p>
      <w:pPr>
        <w:pStyle w:val="BodyText"/>
        <w:ind w:left="106"/>
      </w:pPr>
      <w:r>
        <w:rPr/>
        <w:t>(Revised 5/1998)</w:t>
      </w:r>
    </w:p>
    <w:p>
      <w:pPr>
        <w:spacing w:before="120"/>
        <w:ind w:left="106" w:right="0" w:firstLine="0"/>
        <w:jc w:val="left"/>
        <w:rPr>
          <w:sz w:val="24"/>
        </w:rPr>
      </w:pPr>
      <w:r>
        <w:rPr>
          <w:b/>
          <w:sz w:val="24"/>
        </w:rPr>
        <w:t>PWB agenda package for preliminary plans</w:t>
      </w:r>
      <w:r>
        <w:rPr>
          <w:sz w:val="24"/>
        </w:rPr>
        <w:t>: When submitting requests for approval of preliminary plans, provide the following:</w:t>
      </w:r>
    </w:p>
    <w:p>
      <w:pPr>
        <w:pStyle w:val="ListParagraph"/>
        <w:numPr>
          <w:ilvl w:val="0"/>
          <w:numId w:val="106"/>
        </w:numPr>
        <w:tabs>
          <w:tab w:pos="467" w:val="left" w:leader="none"/>
        </w:tabs>
        <w:spacing w:line="242" w:lineRule="auto" w:before="120" w:after="0"/>
        <w:ind w:left="466" w:right="367" w:hanging="360"/>
        <w:jc w:val="left"/>
        <w:rPr>
          <w:sz w:val="24"/>
        </w:rPr>
      </w:pPr>
      <w:r>
        <w:rPr>
          <w:sz w:val="24"/>
        </w:rPr>
        <w:t>All information requested in Section 6845, including both the standard fiscal reporting requirements and the agenda</w:t>
      </w:r>
      <w:r>
        <w:rPr>
          <w:spacing w:val="-19"/>
          <w:sz w:val="24"/>
        </w:rPr>
        <w:t> </w:t>
      </w:r>
      <w:r>
        <w:rPr>
          <w:sz w:val="24"/>
        </w:rPr>
        <w:t>package;</w:t>
      </w:r>
    </w:p>
    <w:p>
      <w:pPr>
        <w:pStyle w:val="ListParagraph"/>
        <w:numPr>
          <w:ilvl w:val="0"/>
          <w:numId w:val="106"/>
        </w:numPr>
        <w:tabs>
          <w:tab w:pos="467" w:val="left" w:leader="none"/>
        </w:tabs>
        <w:spacing w:line="240" w:lineRule="auto" w:before="194" w:after="0"/>
        <w:ind w:left="466" w:right="224" w:hanging="360"/>
        <w:jc w:val="left"/>
        <w:rPr>
          <w:sz w:val="24"/>
        </w:rPr>
      </w:pPr>
      <w:r>
        <w:rPr>
          <w:sz w:val="24"/>
        </w:rPr>
        <w:t>A completed, dated set of preliminary plans, outline specifications, and a cost estimate (note:  all department-retained funds and federal or other non-state funds contributing to the total project costs must be accounted</w:t>
      </w:r>
      <w:r>
        <w:rPr>
          <w:spacing w:val="-23"/>
          <w:sz w:val="24"/>
        </w:rPr>
        <w:t> </w:t>
      </w:r>
      <w:r>
        <w:rPr>
          <w:sz w:val="24"/>
        </w:rPr>
        <w:t>for);</w:t>
      </w:r>
    </w:p>
    <w:p>
      <w:pPr>
        <w:pStyle w:val="ListParagraph"/>
        <w:numPr>
          <w:ilvl w:val="0"/>
          <w:numId w:val="106"/>
        </w:numPr>
        <w:tabs>
          <w:tab w:pos="467" w:val="left" w:leader="none"/>
        </w:tabs>
        <w:spacing w:line="240" w:lineRule="auto" w:before="120" w:after="0"/>
        <w:ind w:left="466" w:right="0" w:hanging="360"/>
        <w:jc w:val="left"/>
        <w:rPr>
          <w:sz w:val="24"/>
        </w:rPr>
      </w:pPr>
      <w:r>
        <w:rPr>
          <w:sz w:val="24"/>
        </w:rPr>
        <w:t>For proposed cost increases, the information required in Section</w:t>
      </w:r>
      <w:r>
        <w:rPr>
          <w:spacing w:val="-34"/>
          <w:sz w:val="24"/>
        </w:rPr>
        <w:t> </w:t>
      </w:r>
      <w:r>
        <w:rPr>
          <w:sz w:val="24"/>
        </w:rPr>
        <w:t>6861;</w:t>
      </w:r>
    </w:p>
    <w:p>
      <w:pPr>
        <w:pStyle w:val="ListParagraph"/>
        <w:numPr>
          <w:ilvl w:val="0"/>
          <w:numId w:val="106"/>
        </w:numPr>
        <w:tabs>
          <w:tab w:pos="467" w:val="left" w:leader="none"/>
        </w:tabs>
        <w:spacing w:line="240" w:lineRule="auto" w:before="120" w:after="0"/>
        <w:ind w:left="466" w:right="0" w:hanging="360"/>
        <w:jc w:val="left"/>
        <w:rPr>
          <w:sz w:val="24"/>
        </w:rPr>
      </w:pPr>
      <w:r>
        <w:rPr>
          <w:sz w:val="24"/>
        </w:rPr>
        <w:t>For proposed scope changes, the information required in Section</w:t>
      </w:r>
      <w:r>
        <w:rPr>
          <w:spacing w:val="-36"/>
          <w:sz w:val="24"/>
        </w:rPr>
        <w:t> </w:t>
      </w:r>
      <w:r>
        <w:rPr>
          <w:sz w:val="24"/>
        </w:rPr>
        <w:t>6863;</w:t>
      </w:r>
    </w:p>
    <w:p>
      <w:pPr>
        <w:pStyle w:val="ListParagraph"/>
        <w:numPr>
          <w:ilvl w:val="0"/>
          <w:numId w:val="106"/>
        </w:numPr>
        <w:tabs>
          <w:tab w:pos="467" w:val="left" w:leader="none"/>
        </w:tabs>
        <w:spacing w:line="240" w:lineRule="auto" w:before="117" w:after="0"/>
        <w:ind w:left="466" w:right="130" w:hanging="360"/>
        <w:jc w:val="left"/>
        <w:rPr>
          <w:sz w:val="24"/>
        </w:rPr>
      </w:pPr>
      <w:r>
        <w:rPr>
          <w:sz w:val="24"/>
        </w:rPr>
        <w:t>A "</w:t>
      </w:r>
      <w:r>
        <w:rPr>
          <w:i/>
          <w:sz w:val="24"/>
        </w:rPr>
        <w:t>Public Works Project Authorization and Transfer Request"</w:t>
      </w:r>
      <w:r>
        <w:rPr>
          <w:sz w:val="24"/>
        </w:rPr>
        <w:t>—Form 22 (6868 Illustration 1) for the working drawings phase. Projects financed from bond funds use a different transfer form (GS-OSA 220, 6868 Illustration 2);</w:t>
      </w:r>
      <w:r>
        <w:rPr>
          <w:spacing w:val="-30"/>
          <w:sz w:val="24"/>
        </w:rPr>
        <w:t> </w:t>
      </w:r>
      <w:r>
        <w:rPr>
          <w:sz w:val="24"/>
        </w:rPr>
        <w:t>and</w:t>
      </w:r>
    </w:p>
    <w:p>
      <w:pPr>
        <w:pStyle w:val="ListParagraph"/>
        <w:numPr>
          <w:ilvl w:val="0"/>
          <w:numId w:val="106"/>
        </w:numPr>
        <w:tabs>
          <w:tab w:pos="467" w:val="left" w:leader="none"/>
        </w:tabs>
        <w:spacing w:line="242" w:lineRule="auto" w:before="117" w:after="0"/>
        <w:ind w:left="466" w:right="306" w:hanging="360"/>
        <w:jc w:val="left"/>
        <w:rPr>
          <w:sz w:val="24"/>
        </w:rPr>
      </w:pPr>
      <w:r>
        <w:rPr>
          <w:sz w:val="24"/>
        </w:rPr>
        <w:t>Evidence of CEQA compliance per Section 6850, such as a copy of the </w:t>
      </w:r>
      <w:r>
        <w:rPr>
          <w:i/>
          <w:sz w:val="24"/>
        </w:rPr>
        <w:t>filed </w:t>
      </w:r>
      <w:r>
        <w:rPr>
          <w:sz w:val="24"/>
        </w:rPr>
        <w:t>Negative Declaration.</w:t>
      </w:r>
    </w:p>
    <w:p>
      <w:pPr>
        <w:pStyle w:val="BodyText"/>
        <w:spacing w:before="117"/>
        <w:ind w:left="106" w:right="290"/>
      </w:pPr>
      <w:r>
        <w:rPr>
          <w:b/>
        </w:rPr>
        <w:t>Preliminary plans presentation meeting</w:t>
      </w:r>
      <w:r>
        <w:rPr/>
        <w:t>: Client departments must present their preliminary plans to PWB staff in a </w:t>
      </w:r>
      <w:r>
        <w:rPr>
          <w:i/>
        </w:rPr>
        <w:t>plans review meeting </w:t>
      </w:r>
      <w:r>
        <w:rPr/>
        <w:t>before PWB staff will consider a request for plans approval. This meeting must occur prior to the screening meeting for that month’s agenda. The purpose of the meeting is to verify that the project is within scope based on document review.</w:t>
      </w:r>
    </w:p>
    <w:p>
      <w:pPr>
        <w:pStyle w:val="BodyText"/>
        <w:spacing w:before="119"/>
        <w:ind w:left="106" w:right="399"/>
      </w:pPr>
      <w:r>
        <w:rPr>
          <w:b/>
        </w:rPr>
        <w:t>After the board has approved preliminary plans</w:t>
      </w:r>
      <w:r>
        <w:rPr/>
        <w:t>: DOF will sign copies of the DF-14D and Form 22 and return them to the client department for distribution to DGS and SCO. Time-frames for submitting requests for preliminary plans approval to board staff are presented in Section 6843.</w:t>
      </w:r>
    </w:p>
    <w:p>
      <w:pPr>
        <w:pStyle w:val="BodyText"/>
        <w:spacing w:before="119"/>
        <w:ind w:left="106" w:right="154"/>
      </w:pPr>
      <w:r>
        <w:rPr>
          <w:b/>
        </w:rPr>
        <w:t>Approved preliminary plans become the final definition of project scope</w:t>
      </w:r>
      <w:r>
        <w:rPr/>
        <w:t>: For most projects, scope is initially defined in the COBCP and published in supplemental language to the Budget Act.  The preliminary plans and specifications, as approved by the PWB, later become the final definition of the approved scope of the project. Scope changes to these documents must be specifically approved by DOF in writing </w:t>
      </w:r>
      <w:r>
        <w:rPr>
          <w:i/>
        </w:rPr>
        <w:t>before </w:t>
      </w:r>
      <w:r>
        <w:rPr/>
        <w:t>the department can make additional expenditures to revise the plans or to redesign the project, unless such changes are authorized in the Budget Act or other subsequent legislation (Government Code Section </w:t>
      </w:r>
      <w:hyperlink r:id="rId171">
        <w:r>
          <w:rPr>
            <w:color w:val="0000FF"/>
            <w:u w:val="single" w:color="0000FF"/>
          </w:rPr>
          <w:t>13332.11 </w:t>
        </w:r>
      </w:hyperlink>
      <w:r>
        <w:rPr/>
        <w:t>[b]).  Scope changes are discussed in Section 6863.</w:t>
      </w:r>
    </w:p>
    <w:p>
      <w:pPr>
        <w:spacing w:after="0"/>
        <w:sectPr>
          <w:pgSz w:w="12240" w:h="15840"/>
          <w:pgMar w:header="724" w:footer="792" w:top="980" w:bottom="980" w:left="1060" w:right="1320"/>
        </w:sectPr>
      </w:pPr>
    </w:p>
    <w:p>
      <w:pPr>
        <w:pStyle w:val="BodyText"/>
        <w:rPr>
          <w:sz w:val="20"/>
        </w:rPr>
      </w:pPr>
    </w:p>
    <w:p>
      <w:pPr>
        <w:pStyle w:val="Heading2"/>
        <w:tabs>
          <w:tab w:pos="9204" w:val="left" w:leader="none"/>
        </w:tabs>
        <w:spacing w:before="214"/>
        <w:ind w:left="106"/>
      </w:pPr>
      <w:r>
        <w:rPr/>
        <w:t>APPROVE WORKING DRAWINGS AND PROCEED</w:t>
      </w:r>
      <w:r>
        <w:rPr>
          <w:spacing w:val="-10"/>
        </w:rPr>
        <w:t> </w:t>
      </w:r>
      <w:r>
        <w:rPr/>
        <w:t>TO</w:t>
      </w:r>
      <w:r>
        <w:rPr>
          <w:spacing w:val="-2"/>
        </w:rPr>
        <w:t> </w:t>
      </w:r>
      <w:r>
        <w:rPr/>
        <w:t>BID</w:t>
        <w:tab/>
        <w:t>6852</w:t>
      </w:r>
    </w:p>
    <w:p>
      <w:pPr>
        <w:pStyle w:val="BodyText"/>
        <w:ind w:left="106"/>
      </w:pPr>
      <w:r>
        <w:rPr/>
        <w:t>(Revised 5/1998)</w:t>
      </w:r>
    </w:p>
    <w:p>
      <w:pPr>
        <w:pStyle w:val="BodyText"/>
        <w:spacing w:before="120"/>
        <w:ind w:left="106" w:right="161"/>
      </w:pPr>
      <w:r>
        <w:rPr>
          <w:b/>
        </w:rPr>
        <w:t>What are working drawings? </w:t>
      </w:r>
      <w:r>
        <w:rPr/>
        <w:t>Working drawings are the final design phase in preparing the construction bidding documents.  Section 3.00 of the Budget Act further defines working drawings as “a complete set of plans and specifications showing and describing all phases of a project, architectural, structural, mechanical, electrical, civil engineering, and landscaping systems to the degree necessary for the purposes of accurate bidding by contractors and for the use of artisans in constructing the project. All necessary professional fees and administrative service costs are included in the preparation of these drawings.” Documents also include a dated final cost estimate. The discussion in this section applies to the design-bid-build process used for most state projects.</w:t>
      </w:r>
    </w:p>
    <w:p>
      <w:pPr>
        <w:pStyle w:val="BodyText"/>
        <w:spacing w:before="120"/>
        <w:ind w:left="106" w:right="482"/>
      </w:pPr>
      <w:r>
        <w:rPr/>
        <w:t>This phase starts with the approval by DOF to release working drawing funds and ends with DOF approval to proceed to bid. Both approvals use a Form DF-14D as shown in 6845 Illustration 1.</w:t>
      </w:r>
    </w:p>
    <w:p>
      <w:pPr>
        <w:pStyle w:val="BodyText"/>
        <w:spacing w:before="120"/>
        <w:ind w:left="106" w:right="175"/>
      </w:pPr>
      <w:r>
        <w:rPr/>
        <w:t>Before the working drawing phase can begin, PWB must approve the project’s preliminary plans (see Section 6851). A Form 22 is used to authorize transfer of working drawings funds to the Architectural Revolving Fund (ARF) (Section 6868). Departments use a DF- 14D to request authority to spend working drawing funds. The architect/engineer then prepares the documents described in the preceding text along with any approved bid alternates as described in the following text.</w:t>
      </w:r>
    </w:p>
    <w:p>
      <w:pPr>
        <w:pStyle w:val="Heading2"/>
        <w:spacing w:before="120"/>
        <w:ind w:left="106" w:right="206"/>
      </w:pPr>
      <w:r>
        <w:rPr/>
        <w:t>NOTE: Requests for Approval of Working Drawings and Approval to Proceed to Bid are generally submitted concurrently if the construction funding has been appropriated. The requirements are separated in the following discussions for clarity.  If submitted simultaneously, duplicated requirements should be combined.</w:t>
      </w:r>
    </w:p>
    <w:p>
      <w:pPr>
        <w:pStyle w:val="BodyText"/>
        <w:rPr>
          <w:b/>
        </w:rPr>
      </w:pPr>
    </w:p>
    <w:p>
      <w:pPr>
        <w:pStyle w:val="BodyText"/>
        <w:ind w:left="106" w:right="242"/>
      </w:pPr>
      <w:r>
        <w:rPr>
          <w:b/>
        </w:rPr>
        <w:t>Approval of working drawings: </w:t>
      </w:r>
      <w:r>
        <w:rPr/>
        <w:t>Government Code Section </w:t>
      </w:r>
      <w:hyperlink r:id="rId171">
        <w:r>
          <w:rPr>
            <w:color w:val="0000FF"/>
            <w:u w:val="single" w:color="0000FF"/>
          </w:rPr>
          <w:t>13332.11 </w:t>
        </w:r>
      </w:hyperlink>
      <w:r>
        <w:rPr/>
        <w:t>(b) requires PWB to approve working drawings and also authorizes DOF to approve working drawings.</w:t>
      </w:r>
    </w:p>
    <w:p>
      <w:pPr>
        <w:pStyle w:val="BodyText"/>
        <w:ind w:left="106" w:right="362"/>
      </w:pPr>
      <w:r>
        <w:rPr/>
        <w:t>PWB delegates it’s approval to DOF and therefore an agenda package is not required. However, if the drawings result in cost or scope changes, those changes must be approved by DOF and then submitted as an agenda item the PWB (see Sections 6861 and 6863).  To obtain DOF’s approval of workings drawings, the client department must:</w:t>
      </w:r>
    </w:p>
    <w:p>
      <w:pPr>
        <w:pStyle w:val="BodyText"/>
        <w:spacing w:before="120"/>
        <w:ind w:left="106"/>
      </w:pPr>
      <w:r>
        <w:rPr/>
        <w:t>(Continued)</w:t>
      </w:r>
    </w:p>
    <w:p>
      <w:pPr>
        <w:spacing w:after="0"/>
        <w:sectPr>
          <w:pgSz w:w="12240" w:h="15840"/>
          <w:pgMar w:header="724" w:footer="792" w:top="980" w:bottom="980" w:left="1060" w:right="1340"/>
        </w:sectPr>
      </w:pPr>
    </w:p>
    <w:p>
      <w:pPr>
        <w:pStyle w:val="BodyText"/>
        <w:rPr>
          <w:sz w:val="20"/>
        </w:rPr>
      </w:pPr>
    </w:p>
    <w:p>
      <w:pPr>
        <w:pStyle w:val="BodyText"/>
        <w:spacing w:before="214"/>
        <w:ind w:left="106"/>
      </w:pPr>
      <w:r>
        <w:rPr/>
        <w:t>(Continued)</w:t>
      </w:r>
    </w:p>
    <w:p>
      <w:pPr>
        <w:pStyle w:val="Heading2"/>
        <w:tabs>
          <w:tab w:pos="8203" w:val="left" w:leader="none"/>
        </w:tabs>
        <w:ind w:left="106"/>
        <w:rPr>
          <w:b w:val="0"/>
        </w:rPr>
      </w:pPr>
      <w:r>
        <w:rPr/>
        <w:t>APPROVE WORKING DRAWINGS AND PROCEED</w:t>
      </w:r>
      <w:r>
        <w:rPr>
          <w:spacing w:val="-10"/>
        </w:rPr>
        <w:t> </w:t>
      </w:r>
      <w:r>
        <w:rPr/>
        <w:t>TO</w:t>
      </w:r>
      <w:r>
        <w:rPr>
          <w:spacing w:val="-2"/>
        </w:rPr>
        <w:t> </w:t>
      </w:r>
      <w:r>
        <w:rPr/>
        <w:t>BID</w:t>
        <w:tab/>
        <w:t>6852 </w:t>
      </w:r>
      <w:r>
        <w:rPr>
          <w:b w:val="0"/>
        </w:rPr>
        <w:t>(Cont.</w:t>
      </w:r>
      <w:r>
        <w:rPr>
          <w:b w:val="0"/>
          <w:spacing w:val="-6"/>
        </w:rPr>
        <w:t> </w:t>
      </w:r>
      <w:r>
        <w:rPr>
          <w:b w:val="0"/>
        </w:rPr>
        <w:t>1)</w:t>
      </w:r>
    </w:p>
    <w:p>
      <w:pPr>
        <w:pStyle w:val="BodyText"/>
        <w:ind w:left="106"/>
      </w:pPr>
      <w:r>
        <w:rPr/>
        <w:t>(Revised 5/1998)</w:t>
      </w:r>
    </w:p>
    <w:p>
      <w:pPr>
        <w:pStyle w:val="BodyText"/>
      </w:pPr>
    </w:p>
    <w:p>
      <w:pPr>
        <w:pStyle w:val="ListParagraph"/>
        <w:numPr>
          <w:ilvl w:val="0"/>
          <w:numId w:val="107"/>
        </w:numPr>
        <w:tabs>
          <w:tab w:pos="467" w:val="left" w:leader="none"/>
        </w:tabs>
        <w:spacing w:line="240" w:lineRule="auto" w:before="0" w:after="0"/>
        <w:ind w:left="466" w:right="454" w:hanging="360"/>
        <w:jc w:val="left"/>
        <w:rPr>
          <w:sz w:val="24"/>
        </w:rPr>
      </w:pPr>
      <w:r>
        <w:rPr>
          <w:b/>
          <w:sz w:val="24"/>
        </w:rPr>
        <w:t>Develop adequate working drawings</w:t>
      </w:r>
      <w:r>
        <w:rPr>
          <w:sz w:val="24"/>
        </w:rPr>
        <w:t>: Demonstrate that the working drawings are adequate for bidding and construction of the proposed</w:t>
      </w:r>
      <w:r>
        <w:rPr>
          <w:spacing w:val="-30"/>
          <w:sz w:val="24"/>
        </w:rPr>
        <w:t> </w:t>
      </w:r>
      <w:r>
        <w:rPr>
          <w:sz w:val="24"/>
        </w:rPr>
        <w:t>project:</w:t>
      </w:r>
    </w:p>
    <w:p>
      <w:pPr>
        <w:pStyle w:val="BodyText"/>
      </w:pPr>
    </w:p>
    <w:p>
      <w:pPr>
        <w:pStyle w:val="ListParagraph"/>
        <w:numPr>
          <w:ilvl w:val="1"/>
          <w:numId w:val="107"/>
        </w:numPr>
        <w:tabs>
          <w:tab w:pos="827" w:val="left" w:leader="none"/>
        </w:tabs>
        <w:spacing w:line="240" w:lineRule="auto" w:before="0" w:after="0"/>
        <w:ind w:left="826" w:right="226" w:hanging="360"/>
        <w:jc w:val="left"/>
        <w:rPr>
          <w:sz w:val="24"/>
        </w:rPr>
      </w:pPr>
      <w:r>
        <w:rPr>
          <w:sz w:val="24"/>
        </w:rPr>
        <w:t>For most projects, DOF requires a letter attesting to the adequacy of the working drawing documents (as defined in Section 3.0 of the Budget Act), and summarizing the estimated construction, contingency, and project support</w:t>
      </w:r>
      <w:r>
        <w:rPr>
          <w:spacing w:val="-27"/>
          <w:sz w:val="24"/>
        </w:rPr>
        <w:t> </w:t>
      </w:r>
      <w:r>
        <w:rPr>
          <w:sz w:val="24"/>
        </w:rPr>
        <w:t>costs.</w:t>
      </w:r>
    </w:p>
    <w:p>
      <w:pPr>
        <w:pStyle w:val="ListParagraph"/>
        <w:numPr>
          <w:ilvl w:val="1"/>
          <w:numId w:val="107"/>
        </w:numPr>
        <w:tabs>
          <w:tab w:pos="827" w:val="left" w:leader="none"/>
        </w:tabs>
        <w:spacing w:line="240" w:lineRule="auto" w:before="120" w:after="0"/>
        <w:ind w:left="826" w:right="133" w:hanging="360"/>
        <w:jc w:val="left"/>
        <w:rPr>
          <w:sz w:val="24"/>
        </w:rPr>
      </w:pPr>
      <w:r>
        <w:rPr>
          <w:sz w:val="24"/>
        </w:rPr>
        <w:t>DOF may elect to review actual working drawings. If requested, departments must provide DOF with a complete, dated set of working drawings, bid specifications, and a final cost estimate with a statement from the department Director/designee that the documents are adequate for constructing the proposed</w:t>
      </w:r>
      <w:r>
        <w:rPr>
          <w:spacing w:val="-31"/>
          <w:sz w:val="24"/>
        </w:rPr>
        <w:t> </w:t>
      </w:r>
      <w:r>
        <w:rPr>
          <w:sz w:val="24"/>
        </w:rPr>
        <w:t>project.</w:t>
      </w:r>
    </w:p>
    <w:p>
      <w:pPr>
        <w:pStyle w:val="BodyText"/>
      </w:pPr>
    </w:p>
    <w:p>
      <w:pPr>
        <w:pStyle w:val="ListParagraph"/>
        <w:numPr>
          <w:ilvl w:val="0"/>
          <w:numId w:val="107"/>
        </w:numPr>
        <w:tabs>
          <w:tab w:pos="467" w:val="left" w:leader="none"/>
        </w:tabs>
        <w:spacing w:line="240" w:lineRule="auto" w:before="0" w:after="0"/>
        <w:ind w:left="466" w:right="627" w:hanging="360"/>
        <w:jc w:val="left"/>
        <w:rPr>
          <w:sz w:val="24"/>
        </w:rPr>
      </w:pPr>
      <w:r>
        <w:rPr>
          <w:b/>
          <w:sz w:val="24"/>
        </w:rPr>
        <w:t>Evaluate changes: </w:t>
      </w:r>
      <w:r>
        <w:rPr>
          <w:sz w:val="24"/>
        </w:rPr>
        <w:t>Attest that any changes from the preliminary plans have been evaluated for scope changes as defined in Section 6863 and funding changes as defined in Section</w:t>
      </w:r>
      <w:r>
        <w:rPr>
          <w:spacing w:val="-11"/>
          <w:sz w:val="24"/>
        </w:rPr>
        <w:t> </w:t>
      </w:r>
      <w:r>
        <w:rPr>
          <w:sz w:val="24"/>
        </w:rPr>
        <w:t>6861.</w:t>
      </w:r>
    </w:p>
    <w:p>
      <w:pPr>
        <w:pStyle w:val="BodyText"/>
        <w:spacing w:before="11"/>
        <w:rPr>
          <w:sz w:val="23"/>
        </w:rPr>
      </w:pPr>
    </w:p>
    <w:p>
      <w:pPr>
        <w:pStyle w:val="ListParagraph"/>
        <w:numPr>
          <w:ilvl w:val="0"/>
          <w:numId w:val="107"/>
        </w:numPr>
        <w:tabs>
          <w:tab w:pos="467" w:val="left" w:leader="none"/>
        </w:tabs>
        <w:spacing w:line="240" w:lineRule="auto" w:before="0" w:after="0"/>
        <w:ind w:left="466" w:right="249" w:hanging="360"/>
        <w:jc w:val="left"/>
        <w:rPr>
          <w:sz w:val="24"/>
        </w:rPr>
      </w:pPr>
      <w:r>
        <w:rPr>
          <w:b/>
          <w:sz w:val="24"/>
        </w:rPr>
        <w:t>Obtain mandatory review approvals: </w:t>
      </w:r>
      <w:r>
        <w:rPr>
          <w:sz w:val="24"/>
        </w:rPr>
        <w:t>Various statutes require that certain elements of preliminary plans and working drawings be reviewed by oversight agencies before proceeding to bid. Examples of mandatory reviews which may be required at the working drawing phase include the State Fire Marshall, the State Historic Preservation Officer, and the California Coastal</w:t>
      </w:r>
      <w:r>
        <w:rPr>
          <w:spacing w:val="-20"/>
          <w:sz w:val="24"/>
        </w:rPr>
        <w:t> </w:t>
      </w:r>
      <w:r>
        <w:rPr>
          <w:sz w:val="24"/>
        </w:rPr>
        <w:t>Commission.</w:t>
      </w:r>
    </w:p>
    <w:p>
      <w:pPr>
        <w:pStyle w:val="BodyText"/>
        <w:spacing w:before="11"/>
        <w:rPr>
          <w:sz w:val="23"/>
        </w:rPr>
      </w:pPr>
    </w:p>
    <w:p>
      <w:pPr>
        <w:pStyle w:val="Heading2"/>
        <w:numPr>
          <w:ilvl w:val="0"/>
          <w:numId w:val="107"/>
        </w:numPr>
        <w:tabs>
          <w:tab w:pos="467" w:val="left" w:leader="none"/>
        </w:tabs>
        <w:spacing w:line="240" w:lineRule="auto" w:before="0" w:after="0"/>
        <w:ind w:left="466" w:right="0" w:hanging="360"/>
        <w:jc w:val="left"/>
      </w:pPr>
      <w:r>
        <w:rPr/>
        <w:t>Information requirements for approval of working</w:t>
      </w:r>
      <w:r>
        <w:rPr>
          <w:spacing w:val="-31"/>
        </w:rPr>
        <w:t> </w:t>
      </w:r>
      <w:r>
        <w:rPr/>
        <w:t>drawings:</w:t>
      </w:r>
    </w:p>
    <w:p>
      <w:pPr>
        <w:pStyle w:val="BodyText"/>
        <w:spacing w:before="11"/>
        <w:rPr>
          <w:b/>
          <w:sz w:val="23"/>
        </w:rPr>
      </w:pPr>
    </w:p>
    <w:p>
      <w:pPr>
        <w:pStyle w:val="BodyText"/>
        <w:tabs>
          <w:tab w:pos="826" w:val="left" w:leader="none"/>
        </w:tabs>
        <w:ind w:left="106"/>
      </w:pPr>
      <w:r>
        <w:rPr>
          <w:strike/>
          <w:color w:val="2E97D3"/>
        </w:rPr>
        <w:t>a.</w:t>
      </w:r>
      <w:r>
        <w:rPr>
          <w:strike w:val="0"/>
          <w:color w:val="2E97D3"/>
          <w:u w:val="single" w:color="2E97D3"/>
        </w:rPr>
        <w:t>3.</w:t>
        <w:tab/>
      </w:r>
      <w:r>
        <w:rPr>
          <w:strike w:val="0"/>
        </w:rPr>
        <w:t>Standard fiscal reporting defined in Section</w:t>
      </w:r>
      <w:r>
        <w:rPr>
          <w:strike w:val="0"/>
          <w:spacing w:val="-21"/>
        </w:rPr>
        <w:t> </w:t>
      </w:r>
      <w:r>
        <w:rPr>
          <w:strike w:val="0"/>
        </w:rPr>
        <w:t>6845;</w:t>
      </w:r>
    </w:p>
    <w:p>
      <w:pPr>
        <w:pStyle w:val="BodyText"/>
        <w:spacing w:before="10"/>
        <w:rPr>
          <w:sz w:val="15"/>
        </w:rPr>
      </w:pPr>
    </w:p>
    <w:p>
      <w:pPr>
        <w:pStyle w:val="ListParagraph"/>
        <w:numPr>
          <w:ilvl w:val="0"/>
          <w:numId w:val="108"/>
        </w:numPr>
        <w:tabs>
          <w:tab w:pos="827" w:val="left" w:leader="none"/>
        </w:tabs>
        <w:spacing w:line="240" w:lineRule="auto" w:before="93" w:after="0"/>
        <w:ind w:left="826" w:right="677" w:hanging="360"/>
        <w:jc w:val="left"/>
        <w:rPr>
          <w:sz w:val="24"/>
        </w:rPr>
      </w:pPr>
      <w:r>
        <w:rPr>
          <w:sz w:val="24"/>
        </w:rPr>
        <w:t>Working drawing completion letter or set of working drawings as detailed in the preceding text;</w:t>
      </w:r>
      <w:r>
        <w:rPr>
          <w:spacing w:val="-8"/>
          <w:sz w:val="24"/>
        </w:rPr>
        <w:t> </w:t>
      </w:r>
      <w:r>
        <w:rPr>
          <w:sz w:val="24"/>
        </w:rPr>
        <w:t>and</w:t>
      </w:r>
    </w:p>
    <w:p>
      <w:pPr>
        <w:pStyle w:val="BodyText"/>
        <w:spacing w:before="11"/>
        <w:rPr>
          <w:sz w:val="23"/>
        </w:rPr>
      </w:pPr>
    </w:p>
    <w:p>
      <w:pPr>
        <w:pStyle w:val="ListParagraph"/>
        <w:numPr>
          <w:ilvl w:val="0"/>
          <w:numId w:val="108"/>
        </w:numPr>
        <w:tabs>
          <w:tab w:pos="827" w:val="left" w:leader="none"/>
        </w:tabs>
        <w:spacing w:line="240" w:lineRule="auto" w:before="0" w:after="0"/>
        <w:ind w:left="826" w:right="674" w:hanging="360"/>
        <w:jc w:val="left"/>
        <w:rPr>
          <w:sz w:val="24"/>
        </w:rPr>
      </w:pPr>
      <w:r>
        <w:rPr>
          <w:sz w:val="24"/>
        </w:rPr>
        <w:t>If the request includes changes in scope and/or costs, an agenda package as defined in Section 6845 and reporting requirements as defined in Section 6861 and/or</w:t>
      </w:r>
      <w:r>
        <w:rPr>
          <w:spacing w:val="-6"/>
          <w:sz w:val="24"/>
        </w:rPr>
        <w:t> </w:t>
      </w:r>
      <w:r>
        <w:rPr>
          <w:sz w:val="24"/>
        </w:rPr>
        <w:t>6863.</w:t>
      </w:r>
    </w:p>
    <w:p>
      <w:pPr>
        <w:pStyle w:val="BodyText"/>
        <w:spacing w:before="11"/>
        <w:rPr>
          <w:sz w:val="23"/>
        </w:rPr>
      </w:pPr>
    </w:p>
    <w:p>
      <w:pPr>
        <w:pStyle w:val="BodyText"/>
        <w:ind w:left="106"/>
      </w:pPr>
      <w:r>
        <w:rPr/>
        <w:t>(Continued)</w:t>
      </w:r>
    </w:p>
    <w:p>
      <w:pPr>
        <w:spacing w:after="0"/>
        <w:sectPr>
          <w:pgSz w:w="12240" w:h="15840"/>
          <w:pgMar w:header="724" w:footer="792" w:top="980" w:bottom="980" w:left="1060" w:right="1320"/>
        </w:sectPr>
      </w:pPr>
    </w:p>
    <w:p>
      <w:pPr>
        <w:pStyle w:val="BodyText"/>
        <w:rPr>
          <w:sz w:val="20"/>
        </w:rPr>
      </w:pPr>
    </w:p>
    <w:p>
      <w:pPr>
        <w:pStyle w:val="BodyText"/>
        <w:spacing w:before="214"/>
        <w:ind w:left="106"/>
      </w:pPr>
      <w:r>
        <w:rPr/>
        <w:t>(Continued)</w:t>
      </w:r>
    </w:p>
    <w:p>
      <w:pPr>
        <w:pStyle w:val="Heading2"/>
        <w:tabs>
          <w:tab w:pos="8206" w:val="left" w:leader="none"/>
        </w:tabs>
        <w:ind w:left="106"/>
        <w:rPr>
          <w:b w:val="0"/>
        </w:rPr>
      </w:pPr>
      <w:r>
        <w:rPr/>
        <w:t>APPROVE WORKING DRAWINGS AND PROCEED</w:t>
      </w:r>
      <w:r>
        <w:rPr>
          <w:spacing w:val="-10"/>
        </w:rPr>
        <w:t> </w:t>
      </w:r>
      <w:r>
        <w:rPr/>
        <w:t>TO</w:t>
      </w:r>
      <w:r>
        <w:rPr>
          <w:spacing w:val="-2"/>
        </w:rPr>
        <w:t> </w:t>
      </w:r>
      <w:r>
        <w:rPr/>
        <w:t>BID</w:t>
        <w:tab/>
        <w:t>6852 </w:t>
      </w:r>
      <w:r>
        <w:rPr>
          <w:b w:val="0"/>
        </w:rPr>
        <w:t>(Cont.</w:t>
      </w:r>
      <w:r>
        <w:rPr>
          <w:b w:val="0"/>
          <w:spacing w:val="-6"/>
        </w:rPr>
        <w:t> </w:t>
      </w:r>
      <w:r>
        <w:rPr>
          <w:b w:val="0"/>
        </w:rPr>
        <w:t>2)</w:t>
      </w:r>
    </w:p>
    <w:p>
      <w:pPr>
        <w:pStyle w:val="BodyText"/>
        <w:ind w:left="106"/>
      </w:pPr>
      <w:r>
        <w:rPr/>
        <w:t>(Revised 5/1998)</w:t>
      </w:r>
    </w:p>
    <w:p>
      <w:pPr>
        <w:pStyle w:val="BodyText"/>
      </w:pPr>
    </w:p>
    <w:p>
      <w:pPr>
        <w:pStyle w:val="BodyText"/>
        <w:ind w:left="106" w:right="328"/>
      </w:pPr>
      <w:r>
        <w:rPr>
          <w:b/>
        </w:rPr>
        <w:t>Obtaining approval to proceed to bid: </w:t>
      </w:r>
      <w:r>
        <w:rPr/>
        <w:t>Prior to initiating the bidding process, the client department must request approval to proceed to bid. To obtain DOF approval to proceed to bid after working drawings are completed, the client department must:</w:t>
      </w:r>
    </w:p>
    <w:p>
      <w:pPr>
        <w:pStyle w:val="BodyText"/>
      </w:pPr>
    </w:p>
    <w:p>
      <w:pPr>
        <w:pStyle w:val="ListParagraph"/>
        <w:numPr>
          <w:ilvl w:val="0"/>
          <w:numId w:val="109"/>
        </w:numPr>
        <w:tabs>
          <w:tab w:pos="467" w:val="left" w:leader="none"/>
        </w:tabs>
        <w:spacing w:line="240" w:lineRule="auto" w:before="0" w:after="0"/>
        <w:ind w:left="466" w:right="159" w:hanging="360"/>
        <w:jc w:val="left"/>
        <w:rPr>
          <w:sz w:val="24"/>
        </w:rPr>
      </w:pPr>
      <w:r>
        <w:rPr>
          <w:b/>
          <w:sz w:val="24"/>
        </w:rPr>
        <w:t>Have a construction appropriation: </w:t>
      </w:r>
      <w:r>
        <w:rPr>
          <w:sz w:val="24"/>
        </w:rPr>
        <w:t>A construction appropriation for the project must be authorized (chaptered budget act and/or legislation) prior to advertising the project or issuing the</w:t>
      </w:r>
      <w:r>
        <w:rPr>
          <w:spacing w:val="-7"/>
          <w:sz w:val="24"/>
        </w:rPr>
        <w:t> </w:t>
      </w:r>
      <w:r>
        <w:rPr>
          <w:sz w:val="24"/>
        </w:rPr>
        <w:t>bid.</w:t>
      </w:r>
    </w:p>
    <w:p>
      <w:pPr>
        <w:pStyle w:val="BodyText"/>
      </w:pPr>
    </w:p>
    <w:p>
      <w:pPr>
        <w:pStyle w:val="ListParagraph"/>
        <w:numPr>
          <w:ilvl w:val="0"/>
          <w:numId w:val="109"/>
        </w:numPr>
        <w:tabs>
          <w:tab w:pos="467" w:val="left" w:leader="none"/>
        </w:tabs>
        <w:spacing w:line="240" w:lineRule="auto" w:before="0" w:after="0"/>
        <w:ind w:left="466" w:right="333" w:hanging="360"/>
        <w:jc w:val="left"/>
        <w:rPr>
          <w:sz w:val="24"/>
        </w:rPr>
      </w:pPr>
      <w:r>
        <w:rPr>
          <w:b/>
          <w:sz w:val="24"/>
        </w:rPr>
        <w:t>Obtain approval of bid alternates</w:t>
      </w:r>
      <w:r>
        <w:rPr>
          <w:sz w:val="24"/>
        </w:rPr>
        <w:t>: Public Contract Code Section </w:t>
      </w:r>
      <w:hyperlink r:id="rId222">
        <w:r>
          <w:rPr>
            <w:color w:val="0000FF"/>
            <w:sz w:val="24"/>
            <w:u w:val="single" w:color="0000FF"/>
          </w:rPr>
          <w:t>10126 </w:t>
        </w:r>
      </w:hyperlink>
      <w:r>
        <w:rPr>
          <w:sz w:val="24"/>
        </w:rPr>
        <w:t>allows bids to be accepted on alternates, additions or deductions from a basic project bid, not to exceed 10 percent (10%) of the estimated cost of the base project. Government </w:t>
      </w:r>
      <w:hyperlink r:id="rId171">
        <w:r>
          <w:rPr>
            <w:color w:val="0000FF"/>
            <w:sz w:val="24"/>
            <w:u w:val="single" w:color="0000FF"/>
          </w:rPr>
          <w:t>13332.11</w:t>
        </w:r>
      </w:hyperlink>
      <w:r>
        <w:rPr>
          <w:sz w:val="24"/>
        </w:rPr>
        <w:t>(b) requires DOF approval of bid</w:t>
      </w:r>
      <w:r>
        <w:rPr>
          <w:spacing w:val="-26"/>
          <w:sz w:val="24"/>
        </w:rPr>
        <w:t> </w:t>
      </w:r>
      <w:r>
        <w:rPr>
          <w:sz w:val="24"/>
        </w:rPr>
        <w:t>alternates.</w:t>
      </w:r>
    </w:p>
    <w:p>
      <w:pPr>
        <w:pStyle w:val="BodyText"/>
        <w:spacing w:before="120"/>
        <w:ind w:left="466" w:right="200"/>
      </w:pPr>
      <w:r>
        <w:rPr/>
        <w:t>The purpose of bid alternates is two-fold. If a project comes in over budget, deductive alternates can help avoid the need to re-bid the project. Conversely, if bids come in under budget, additive alternates can allow project improvements. Bid alternates (which must be bid separately from the main contract) must include all proposed deductive items in priority order followed by all additive items in priority order. DOF encourages submittal of at least three deductive alternates to ensure a successful contract award in the event that all bids submitted exceed budget.</w:t>
      </w:r>
    </w:p>
    <w:p>
      <w:pPr>
        <w:pStyle w:val="ListParagraph"/>
        <w:numPr>
          <w:ilvl w:val="0"/>
          <w:numId w:val="109"/>
        </w:numPr>
        <w:tabs>
          <w:tab w:pos="467" w:val="left" w:leader="none"/>
        </w:tabs>
        <w:spacing w:line="240" w:lineRule="auto" w:before="120" w:after="0"/>
        <w:ind w:left="466" w:right="265" w:hanging="360"/>
        <w:jc w:val="left"/>
        <w:rPr>
          <w:sz w:val="24"/>
        </w:rPr>
      </w:pPr>
      <w:r>
        <w:rPr>
          <w:b/>
          <w:sz w:val="24"/>
        </w:rPr>
        <w:t>Obtain PWB/DOF approval for combined bids: </w:t>
      </w:r>
      <w:r>
        <w:rPr>
          <w:sz w:val="24"/>
        </w:rPr>
        <w:t>Public Contract Code </w:t>
      </w:r>
      <w:hyperlink r:id="rId201">
        <w:r>
          <w:rPr>
            <w:color w:val="0000FF"/>
            <w:sz w:val="24"/>
            <w:u w:val="single" w:color="0000FF"/>
          </w:rPr>
          <w:t>10127 </w:t>
        </w:r>
      </w:hyperlink>
      <w:r>
        <w:rPr>
          <w:sz w:val="24"/>
        </w:rPr>
        <w:t>authorizes DGS to receive bids for construction of several projects, treated as a single project for bidding purposes.  PWB must first approve combined bids.  Departments are required assign costs to the various projects and appropriations and to maintain separate cost accounting for each</w:t>
      </w:r>
      <w:r>
        <w:rPr>
          <w:spacing w:val="-20"/>
          <w:sz w:val="24"/>
        </w:rPr>
        <w:t> </w:t>
      </w:r>
      <w:r>
        <w:rPr>
          <w:sz w:val="24"/>
        </w:rPr>
        <w:t>project.</w:t>
      </w:r>
    </w:p>
    <w:p>
      <w:pPr>
        <w:pStyle w:val="BodyText"/>
      </w:pPr>
    </w:p>
    <w:p>
      <w:pPr>
        <w:pStyle w:val="Heading2"/>
        <w:numPr>
          <w:ilvl w:val="0"/>
          <w:numId w:val="109"/>
        </w:numPr>
        <w:tabs>
          <w:tab w:pos="467" w:val="left" w:leader="none"/>
        </w:tabs>
        <w:spacing w:line="240" w:lineRule="auto" w:before="0" w:after="0"/>
        <w:ind w:left="466" w:right="0" w:hanging="360"/>
        <w:jc w:val="left"/>
      </w:pPr>
      <w:r>
        <w:rPr/>
        <w:t>Reporting requirements for approval to proceed to</w:t>
      </w:r>
      <w:r>
        <w:rPr>
          <w:spacing w:val="-24"/>
        </w:rPr>
        <w:t> </w:t>
      </w:r>
      <w:r>
        <w:rPr/>
        <w:t>bid:</w:t>
      </w:r>
    </w:p>
    <w:p>
      <w:pPr>
        <w:pStyle w:val="ListParagraph"/>
        <w:numPr>
          <w:ilvl w:val="1"/>
          <w:numId w:val="109"/>
        </w:numPr>
        <w:tabs>
          <w:tab w:pos="827" w:val="left" w:leader="none"/>
        </w:tabs>
        <w:spacing w:line="240" w:lineRule="auto" w:before="120" w:after="0"/>
        <w:ind w:left="826" w:right="0" w:hanging="360"/>
        <w:jc w:val="left"/>
        <w:rPr>
          <w:sz w:val="24"/>
        </w:rPr>
      </w:pPr>
      <w:r>
        <w:rPr>
          <w:sz w:val="24"/>
        </w:rPr>
        <w:t>Standard fiscal reporting requirements as defined in Section</w:t>
      </w:r>
      <w:r>
        <w:rPr>
          <w:spacing w:val="-32"/>
          <w:sz w:val="24"/>
        </w:rPr>
        <w:t> </w:t>
      </w:r>
      <w:r>
        <w:rPr>
          <w:sz w:val="24"/>
        </w:rPr>
        <w:t>6845;</w:t>
      </w:r>
    </w:p>
    <w:p>
      <w:pPr>
        <w:pStyle w:val="BodyText"/>
      </w:pPr>
    </w:p>
    <w:p>
      <w:pPr>
        <w:pStyle w:val="ListParagraph"/>
        <w:numPr>
          <w:ilvl w:val="1"/>
          <w:numId w:val="109"/>
        </w:numPr>
        <w:tabs>
          <w:tab w:pos="827" w:val="left" w:leader="none"/>
        </w:tabs>
        <w:spacing w:line="240" w:lineRule="auto" w:before="0" w:after="0"/>
        <w:ind w:left="826" w:right="0" w:hanging="360"/>
        <w:jc w:val="left"/>
        <w:rPr>
          <w:sz w:val="24"/>
        </w:rPr>
      </w:pPr>
      <w:r>
        <w:rPr>
          <w:sz w:val="24"/>
        </w:rPr>
        <w:t>If proposed, a list of bid alternates, deductive and additive, in priority</w:t>
      </w:r>
      <w:r>
        <w:rPr>
          <w:spacing w:val="-40"/>
          <w:sz w:val="24"/>
        </w:rPr>
        <w:t> </w:t>
      </w:r>
      <w:r>
        <w:rPr>
          <w:sz w:val="24"/>
        </w:rPr>
        <w:t>order;</w:t>
      </w:r>
    </w:p>
    <w:p>
      <w:pPr>
        <w:pStyle w:val="ListParagraph"/>
        <w:numPr>
          <w:ilvl w:val="1"/>
          <w:numId w:val="109"/>
        </w:numPr>
        <w:tabs>
          <w:tab w:pos="827" w:val="left" w:leader="none"/>
        </w:tabs>
        <w:spacing w:line="240" w:lineRule="auto" w:before="120" w:after="0"/>
        <w:ind w:left="826" w:right="236" w:hanging="360"/>
        <w:jc w:val="left"/>
        <w:rPr>
          <w:sz w:val="24"/>
        </w:rPr>
      </w:pPr>
      <w:r>
        <w:rPr>
          <w:sz w:val="24"/>
        </w:rPr>
        <w:t>If the request includes a request for combined bids, an agenda package as defined in Section 6845 and an explanation of the benefits of combined bids in this situation;</w:t>
      </w:r>
      <w:r>
        <w:rPr>
          <w:spacing w:val="-6"/>
          <w:sz w:val="24"/>
        </w:rPr>
        <w:t> </w:t>
      </w:r>
      <w:r>
        <w:rPr>
          <w:sz w:val="24"/>
        </w:rPr>
        <w:t>and</w:t>
      </w:r>
    </w:p>
    <w:p>
      <w:pPr>
        <w:pStyle w:val="BodyText"/>
      </w:pPr>
    </w:p>
    <w:p>
      <w:pPr>
        <w:pStyle w:val="ListParagraph"/>
        <w:numPr>
          <w:ilvl w:val="1"/>
          <w:numId w:val="109"/>
        </w:numPr>
        <w:tabs>
          <w:tab w:pos="827" w:val="left" w:leader="none"/>
        </w:tabs>
        <w:spacing w:line="240" w:lineRule="auto" w:before="0" w:after="0"/>
        <w:ind w:left="826" w:right="674" w:hanging="360"/>
        <w:jc w:val="both"/>
        <w:rPr>
          <w:sz w:val="24"/>
        </w:rPr>
      </w:pPr>
      <w:r>
        <w:rPr>
          <w:sz w:val="24"/>
        </w:rPr>
        <w:t>If the request includes a change in scope and/or costs, an agenda package as defined in Section 6845 and reporting requirements as defined in Section 6861 and/or Section</w:t>
      </w:r>
      <w:r>
        <w:rPr>
          <w:spacing w:val="-11"/>
          <w:sz w:val="24"/>
        </w:rPr>
        <w:t> </w:t>
      </w:r>
      <w:r>
        <w:rPr>
          <w:sz w:val="24"/>
        </w:rPr>
        <w:t>6863.</w:t>
      </w:r>
    </w:p>
    <w:p>
      <w:pPr>
        <w:pStyle w:val="BodyText"/>
        <w:spacing w:before="11"/>
        <w:rPr>
          <w:sz w:val="23"/>
        </w:rPr>
      </w:pPr>
    </w:p>
    <w:p>
      <w:pPr>
        <w:pStyle w:val="BodyText"/>
        <w:ind w:left="106" w:right="248"/>
      </w:pPr>
      <w:r>
        <w:rPr/>
        <w:t>As soon as DOF signs the DF-14D, the client department notifies DGS to proceed to bid. Typical activities during the bidding process include advertising the project in construction trade papers, submission of bids by interested parties, analysis of those bids, and selection of the lowest responsible bidder.</w:t>
      </w:r>
    </w:p>
    <w:p>
      <w:pPr>
        <w:spacing w:after="0"/>
        <w:sectPr>
          <w:pgSz w:w="12240" w:h="15840"/>
          <w:pgMar w:header="724" w:footer="792" w:top="980" w:bottom="980" w:left="1060" w:right="1320"/>
        </w:sectPr>
      </w:pPr>
    </w:p>
    <w:p>
      <w:pPr>
        <w:pStyle w:val="BodyText"/>
        <w:rPr>
          <w:sz w:val="20"/>
        </w:rPr>
      </w:pPr>
    </w:p>
    <w:p>
      <w:pPr>
        <w:pStyle w:val="Heading2"/>
        <w:tabs>
          <w:tab w:pos="9204" w:val="left" w:leader="none"/>
        </w:tabs>
        <w:spacing w:before="214"/>
        <w:ind w:left="106"/>
      </w:pPr>
      <w:r>
        <w:rPr/>
        <w:t>AWARD</w:t>
      </w:r>
      <w:r>
        <w:rPr>
          <w:spacing w:val="-4"/>
        </w:rPr>
        <w:t> </w:t>
      </w:r>
      <w:r>
        <w:rPr/>
        <w:t>CONSTRUCTION</w:t>
      </w:r>
      <w:r>
        <w:rPr>
          <w:spacing w:val="-4"/>
        </w:rPr>
        <w:t> </w:t>
      </w:r>
      <w:r>
        <w:rPr/>
        <w:t>CONTRACT</w:t>
        <w:tab/>
        <w:t>6853</w:t>
      </w:r>
    </w:p>
    <w:p>
      <w:pPr>
        <w:pStyle w:val="BodyText"/>
        <w:ind w:left="106"/>
      </w:pPr>
      <w:r>
        <w:rPr/>
        <w:t>(Revised 5/1998)</w:t>
      </w:r>
    </w:p>
    <w:p>
      <w:pPr>
        <w:spacing w:line="240" w:lineRule="auto" w:before="120"/>
        <w:ind w:left="106" w:right="136" w:firstLine="0"/>
        <w:jc w:val="left"/>
        <w:rPr>
          <w:sz w:val="24"/>
        </w:rPr>
      </w:pPr>
      <w:r>
        <w:rPr>
          <w:b/>
          <w:sz w:val="24"/>
        </w:rPr>
        <w:t>Awarding the construction contract is the first step in the construction phase. </w:t>
      </w:r>
      <w:r>
        <w:rPr>
          <w:sz w:val="24"/>
        </w:rPr>
        <w:t>The construction phase consists of awarding the bid (this section) and the actual construction (Section 6854). </w:t>
      </w:r>
      <w:r>
        <w:rPr>
          <w:i/>
          <w:sz w:val="24"/>
        </w:rPr>
        <w:t>Please note that the discussion in this section applies to the design-bid- </w:t>
      </w:r>
      <w:r>
        <w:rPr>
          <w:i/>
          <w:sz w:val="24"/>
        </w:rPr>
        <w:t>build process used for most state projects. </w:t>
      </w:r>
      <w:r>
        <w:rPr>
          <w:sz w:val="24"/>
        </w:rPr>
        <w:t>Projects built under the design-build process use different phases.</w:t>
      </w:r>
    </w:p>
    <w:p>
      <w:pPr>
        <w:pStyle w:val="BodyText"/>
        <w:spacing w:before="120"/>
        <w:ind w:left="106" w:right="95"/>
      </w:pPr>
      <w:r>
        <w:rPr>
          <w:b/>
        </w:rPr>
        <w:t>What occurs during the bidding step of the construction phase? </w:t>
      </w:r>
      <w:r>
        <w:rPr/>
        <w:t>Typical activities during the bidding step are advertising the project in construction trade papers, submission of bids by interested parties, analysis of those bids, selection of the lowest responsible bidder, contract execution, and delivery of a formal notice to the contractor to begin the construction work.</w:t>
      </w:r>
    </w:p>
    <w:p>
      <w:pPr>
        <w:pStyle w:val="BodyText"/>
        <w:spacing w:before="120"/>
        <w:ind w:left="106" w:right="202"/>
      </w:pPr>
      <w:r>
        <w:rPr>
          <w:b/>
        </w:rPr>
        <w:t>Information requirements to release construction funds. </w:t>
      </w:r>
      <w:r>
        <w:rPr/>
        <w:t>After bids have been received and DGS certifies that a valid low bid exists, the client department requests DOF to authorize award of the contract and to transfer construction funds to the Architecture Revolving Fund (ARF). The client department provides the following information with this request:</w:t>
      </w:r>
    </w:p>
    <w:p>
      <w:pPr>
        <w:pStyle w:val="ListParagraph"/>
        <w:numPr>
          <w:ilvl w:val="0"/>
          <w:numId w:val="110"/>
        </w:numPr>
        <w:tabs>
          <w:tab w:pos="467" w:val="left" w:leader="none"/>
        </w:tabs>
        <w:spacing w:line="240" w:lineRule="auto" w:before="120" w:after="0"/>
        <w:ind w:left="466" w:right="0" w:hanging="360"/>
        <w:jc w:val="left"/>
        <w:rPr>
          <w:sz w:val="24"/>
        </w:rPr>
      </w:pPr>
      <w:r>
        <w:rPr>
          <w:sz w:val="24"/>
        </w:rPr>
        <w:t>The standard fiscal reporting requirements specified in Section</w:t>
      </w:r>
      <w:r>
        <w:rPr>
          <w:spacing w:val="-32"/>
          <w:sz w:val="24"/>
        </w:rPr>
        <w:t> </w:t>
      </w:r>
      <w:r>
        <w:rPr>
          <w:sz w:val="24"/>
        </w:rPr>
        <w:t>6845;</w:t>
      </w:r>
    </w:p>
    <w:p>
      <w:pPr>
        <w:pStyle w:val="ListParagraph"/>
        <w:numPr>
          <w:ilvl w:val="0"/>
          <w:numId w:val="110"/>
        </w:numPr>
        <w:tabs>
          <w:tab w:pos="467" w:val="left" w:leader="none"/>
        </w:tabs>
        <w:spacing w:line="242" w:lineRule="auto" w:before="117" w:after="0"/>
        <w:ind w:left="466" w:right="229" w:hanging="360"/>
        <w:jc w:val="left"/>
        <w:rPr>
          <w:sz w:val="24"/>
        </w:rPr>
      </w:pPr>
      <w:r>
        <w:rPr>
          <w:sz w:val="24"/>
        </w:rPr>
        <w:t>Form 22, </w:t>
      </w:r>
      <w:r>
        <w:rPr>
          <w:i/>
          <w:sz w:val="24"/>
        </w:rPr>
        <w:t>Request to Transfer Funds </w:t>
      </w:r>
      <w:r>
        <w:rPr>
          <w:sz w:val="24"/>
        </w:rPr>
        <w:t>(6868 Illustration 1). Projects financed with bond funds use a different transfer form—GS-OSA 220—also discussed in Section</w:t>
      </w:r>
      <w:r>
        <w:rPr>
          <w:spacing w:val="-35"/>
          <w:sz w:val="24"/>
        </w:rPr>
        <w:t> </w:t>
      </w:r>
      <w:r>
        <w:rPr>
          <w:sz w:val="24"/>
        </w:rPr>
        <w:t>6868;</w:t>
      </w:r>
    </w:p>
    <w:p>
      <w:pPr>
        <w:pStyle w:val="ListParagraph"/>
        <w:numPr>
          <w:ilvl w:val="0"/>
          <w:numId w:val="110"/>
        </w:numPr>
        <w:tabs>
          <w:tab w:pos="467" w:val="left" w:leader="none"/>
        </w:tabs>
        <w:spacing w:line="240" w:lineRule="auto" w:before="116" w:after="0"/>
        <w:ind w:left="466" w:right="0" w:hanging="360"/>
        <w:jc w:val="left"/>
        <w:rPr>
          <w:sz w:val="24"/>
        </w:rPr>
      </w:pPr>
      <w:r>
        <w:rPr>
          <w:sz w:val="24"/>
        </w:rPr>
        <w:t>A copy of the bid tabulation (see 6853 Illustration);</w:t>
      </w:r>
      <w:r>
        <w:rPr>
          <w:spacing w:val="-22"/>
          <w:sz w:val="24"/>
        </w:rPr>
        <w:t> </w:t>
      </w:r>
      <w:r>
        <w:rPr>
          <w:sz w:val="24"/>
        </w:rPr>
        <w:t>and</w:t>
      </w:r>
    </w:p>
    <w:p>
      <w:pPr>
        <w:pStyle w:val="ListParagraph"/>
        <w:numPr>
          <w:ilvl w:val="0"/>
          <w:numId w:val="110"/>
        </w:numPr>
        <w:tabs>
          <w:tab w:pos="467" w:val="left" w:leader="none"/>
        </w:tabs>
        <w:spacing w:line="240" w:lineRule="auto" w:before="119" w:after="0"/>
        <w:ind w:left="466" w:right="149" w:hanging="360"/>
        <w:jc w:val="left"/>
        <w:rPr>
          <w:sz w:val="24"/>
        </w:rPr>
      </w:pPr>
      <w:r>
        <w:rPr>
          <w:sz w:val="24"/>
        </w:rPr>
        <w:t>A PWB agenda item and briefing document for reversion. These are required only if there are savings in the appropriation because of a favorable bid. The item must request reversion of savings and a proportional reduction in contingency funds at the next regular PWB meeting.  Formats and examples for PWB agenda items are available from the DOF Capital Outlay unit. Include </w:t>
      </w:r>
      <w:r>
        <w:rPr>
          <w:i/>
          <w:sz w:val="24"/>
        </w:rPr>
        <w:t>all </w:t>
      </w:r>
      <w:r>
        <w:rPr>
          <w:sz w:val="24"/>
        </w:rPr>
        <w:t>information required in Sections 6845 and</w:t>
      </w:r>
      <w:r>
        <w:rPr>
          <w:spacing w:val="-7"/>
          <w:sz w:val="24"/>
        </w:rPr>
        <w:t> </w:t>
      </w:r>
      <w:r>
        <w:rPr>
          <w:sz w:val="24"/>
        </w:rPr>
        <w:t>6862.</w:t>
      </w:r>
    </w:p>
    <w:p>
      <w:pPr>
        <w:pStyle w:val="BodyText"/>
        <w:spacing w:before="119"/>
        <w:ind w:left="106" w:right="136"/>
      </w:pPr>
      <w:r>
        <w:rPr>
          <w:b/>
        </w:rPr>
        <w:t>Steps following release of construction funds</w:t>
      </w:r>
      <w:r>
        <w:rPr/>
        <w:t>: Upon approval of the DF-14D and related documents, DOF signs the Form 22 and returns all documents to the client department for transmittal to SCO and DGS. With this approval, an official award of the contract may be made to the low bidder. Following execution of the construction contract, DGS gives the contractor formal notice to proceed with construction.</w:t>
      </w:r>
    </w:p>
    <w:p>
      <w:pPr>
        <w:pStyle w:val="BodyText"/>
        <w:spacing w:before="119"/>
        <w:ind w:left="106" w:right="136"/>
      </w:pPr>
      <w:r>
        <w:rPr>
          <w:b/>
        </w:rPr>
        <w:t>Construction without bid/contract</w:t>
      </w:r>
      <w:r>
        <w:rPr/>
        <w:t>: If a department is authorized to construct a major project in-house, either by statute or provisional language in the Budget Act, the department may submit the standard fiscal reporting requirements specified in Section 6845 to request release of funds to proceed to construction. The option “other” should be selected on the DF-14D and write:  “in-house construction.”</w:t>
      </w:r>
    </w:p>
    <w:p>
      <w:pPr>
        <w:spacing w:after="0"/>
        <w:sectPr>
          <w:pgSz w:w="12240" w:h="15840"/>
          <w:pgMar w:header="724" w:footer="792" w:top="980" w:bottom="980" w:left="1060" w:right="1340"/>
        </w:sectPr>
      </w:pPr>
    </w:p>
    <w:p>
      <w:pPr>
        <w:pStyle w:val="BodyText"/>
        <w:rPr>
          <w:rFonts w:ascii="Times New Roman"/>
          <w:sz w:val="20"/>
        </w:rPr>
      </w:pPr>
      <w:r>
        <w:rPr/>
        <w:pict>
          <v:group style="position:absolute;margin-left:62.632832pt;margin-top:632.632324pt;width:259.45pt;height:.95pt;mso-position-horizontal-relative:page;mso-position-vertical-relative:page;z-index:-444688" coordorigin="1253,12653" coordsize="5189,19">
            <v:line style="position:absolute" from="1262,12653" to="6432,12653" stroked="true" strokeweight="0pt" strokecolor="#000000">
              <v:stroke dashstyle="solid"/>
            </v:line>
            <v:line style="position:absolute" from="1262,12662" to="6432,12662" stroked="true" strokeweight=".934078pt" strokecolor="#000000">
              <v:stroke dashstyle="solid"/>
            </v:line>
            <w10:wrap type="none"/>
          </v:group>
        </w:pict>
      </w:r>
      <w:r>
        <w:rPr/>
        <w:pict>
          <v:group style="position:absolute;margin-left:385.600433pt;margin-top:632.630554pt;width:130.25pt;height:.95pt;mso-position-horizontal-relative:page;mso-position-vertical-relative:page;z-index:-444664" coordorigin="7712,12653" coordsize="2605,19">
            <v:line style="position:absolute" from="7722,12653" to="10307,12653" stroked="true" strokeweight="0pt" strokecolor="#000000">
              <v:stroke dashstyle="solid"/>
            </v:line>
            <v:line style="position:absolute" from="7722,12662" to="10307,12662" stroked="true" strokeweight=".934078pt" strokecolor="#000000">
              <v:stroke dashstyle="solid"/>
            </v:line>
            <w10:wrap type="none"/>
          </v:group>
        </w:pict>
      </w:r>
      <w:r>
        <w:rPr/>
        <w:pict>
          <v:line style="position:absolute;mso-position-horizontal-relative:page;mso-position-vertical-relative:page;z-index:28024" from="29.4pt,72pt" to="29.4pt,657.24pt" stroked="true" strokeweight=".72pt" strokecolor="#000000">
            <v:stroke dashstyle="solid"/>
            <w10:wrap type="none"/>
          </v:line>
        </w:pict>
      </w:r>
      <w:r>
        <w:rPr/>
        <w:pict>
          <v:shape style="position:absolute;margin-left:191.853226pt;margin-top:275.355286pt;width:324.3pt;height:17.9pt;mso-position-horizontal-relative:page;mso-position-vertical-relative:page;z-index:28048" type="#_x0000_t202" filled="false" stroked="false">
            <v:textbox inset="0,0,0,0">
              <w:txbxContent>
                <w:tbl>
                  <w:tblPr>
                    <w:tblW w:w="0" w:type="auto"/>
                    <w:jc w:val="left"/>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292"/>
                    <w:gridCol w:w="1292"/>
                    <w:gridCol w:w="1292"/>
                    <w:gridCol w:w="1292"/>
                    <w:gridCol w:w="1292"/>
                  </w:tblGrid>
                  <w:tr>
                    <w:trPr>
                      <w:trHeight w:val="339" w:hRule="exact"/>
                    </w:trPr>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r>
                </w:tbl>
                <w:p>
                  <w:pPr>
                    <w:pStyle w:val="BodyText"/>
                  </w:pPr>
                </w:p>
              </w:txbxContent>
            </v:textbox>
            <w10:wrap type="none"/>
          </v:shape>
        </w:pict>
      </w:r>
      <w:r>
        <w:rPr/>
        <w:pict>
          <v:shape style="position:absolute;margin-left:191.853226pt;margin-top:389.662415pt;width:324.3pt;height:34.8pt;mso-position-horizontal-relative:page;mso-position-vertical-relative:page;z-index:28072" type="#_x0000_t202" filled="false" stroked="false">
            <v:textbox inset="0,0,0,0">
              <w:txbxContent>
                <w:tbl>
                  <w:tblPr>
                    <w:tblW w:w="0" w:type="auto"/>
                    <w:jc w:val="left"/>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292"/>
                    <w:gridCol w:w="1292"/>
                    <w:gridCol w:w="1292"/>
                    <w:gridCol w:w="1292"/>
                    <w:gridCol w:w="1292"/>
                  </w:tblGrid>
                  <w:tr>
                    <w:trPr>
                      <w:trHeight w:val="339" w:hRule="exact"/>
                    </w:trPr>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r>
                  <w:tr>
                    <w:trPr>
                      <w:trHeight w:val="339" w:hRule="exact"/>
                    </w:trPr>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r>
                </w:tbl>
                <w:p>
                  <w:pPr>
                    <w:pStyle w:val="BodyText"/>
                  </w:pPr>
                </w:p>
              </w:txbxContent>
            </v:textbox>
            <w10:wrap type="none"/>
          </v:shape>
        </w:pict>
      </w:r>
      <w:r>
        <w:rPr/>
        <w:pict>
          <v:shape style="position:absolute;margin-left:191.853226pt;margin-top:440.452423pt;width:324.3pt;height:17.9pt;mso-position-horizontal-relative:page;mso-position-vertical-relative:page;z-index:28096" type="#_x0000_t202" filled="false" stroked="false">
            <v:textbox inset="0,0,0,0">
              <w:txbxContent>
                <w:tbl>
                  <w:tblPr>
                    <w:tblW w:w="0" w:type="auto"/>
                    <w:jc w:val="left"/>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292"/>
                    <w:gridCol w:w="1292"/>
                    <w:gridCol w:w="1292"/>
                    <w:gridCol w:w="1292"/>
                    <w:gridCol w:w="1292"/>
                  </w:tblGrid>
                  <w:tr>
                    <w:trPr>
                      <w:trHeight w:val="339" w:hRule="exact"/>
                    </w:trPr>
                    <w:tc>
                      <w:tcPr>
                        <w:tcW w:w="1292" w:type="dxa"/>
                        <w:tcBorders>
                          <w:left w:val="single" w:sz="7" w:space="0" w:color="000000"/>
                          <w:right w:val="single" w:sz="7" w:space="0" w:color="000000"/>
                        </w:tcBorders>
                      </w:tcPr>
                      <w:p>
                        <w:pPr>
                          <w:pStyle w:val="TableParagraph"/>
                          <w:tabs>
                            <w:tab w:pos="920" w:val="left" w:leader="none"/>
                          </w:tabs>
                          <w:spacing w:before="118"/>
                          <w:ind w:left="88"/>
                          <w:rPr>
                            <w:sz w:val="19"/>
                          </w:rPr>
                        </w:pPr>
                        <w:r>
                          <w:rPr>
                            <w:sz w:val="19"/>
                          </w:rPr>
                          <w:t>$</w:t>
                          <w:tab/>
                          <w:t>-</w:t>
                        </w:r>
                      </w:p>
                    </w:tc>
                    <w:tc>
                      <w:tcPr>
                        <w:tcW w:w="1292" w:type="dxa"/>
                        <w:tcBorders>
                          <w:left w:val="single" w:sz="7" w:space="0" w:color="000000"/>
                          <w:right w:val="single" w:sz="7" w:space="0" w:color="000000"/>
                        </w:tcBorders>
                      </w:tcPr>
                      <w:p>
                        <w:pPr>
                          <w:pStyle w:val="TableParagraph"/>
                          <w:tabs>
                            <w:tab w:pos="920" w:val="left" w:leader="none"/>
                          </w:tabs>
                          <w:spacing w:before="118"/>
                          <w:ind w:left="88"/>
                          <w:rPr>
                            <w:sz w:val="19"/>
                          </w:rPr>
                        </w:pPr>
                        <w:r>
                          <w:rPr>
                            <w:sz w:val="19"/>
                          </w:rPr>
                          <w:t>$</w:t>
                          <w:tab/>
                          <w:t>-</w:t>
                        </w:r>
                      </w:p>
                    </w:tc>
                    <w:tc>
                      <w:tcPr>
                        <w:tcW w:w="1292" w:type="dxa"/>
                        <w:tcBorders>
                          <w:left w:val="single" w:sz="7" w:space="0" w:color="000000"/>
                          <w:right w:val="single" w:sz="7" w:space="0" w:color="000000"/>
                        </w:tcBorders>
                      </w:tcPr>
                      <w:p>
                        <w:pPr>
                          <w:pStyle w:val="TableParagraph"/>
                          <w:tabs>
                            <w:tab w:pos="920" w:val="left" w:leader="none"/>
                          </w:tabs>
                          <w:spacing w:before="118"/>
                          <w:ind w:left="88"/>
                          <w:rPr>
                            <w:sz w:val="19"/>
                          </w:rPr>
                        </w:pPr>
                        <w:r>
                          <w:rPr>
                            <w:sz w:val="19"/>
                          </w:rPr>
                          <w:t>$</w:t>
                          <w:tab/>
                          <w:t>-</w:t>
                        </w:r>
                      </w:p>
                    </w:tc>
                    <w:tc>
                      <w:tcPr>
                        <w:tcW w:w="1292" w:type="dxa"/>
                        <w:tcBorders>
                          <w:left w:val="single" w:sz="7" w:space="0" w:color="000000"/>
                          <w:right w:val="single" w:sz="7" w:space="0" w:color="000000"/>
                        </w:tcBorders>
                      </w:tcPr>
                      <w:p>
                        <w:pPr>
                          <w:pStyle w:val="TableParagraph"/>
                          <w:tabs>
                            <w:tab w:pos="920" w:val="left" w:leader="none"/>
                          </w:tabs>
                          <w:spacing w:before="118"/>
                          <w:ind w:left="88"/>
                          <w:rPr>
                            <w:sz w:val="19"/>
                          </w:rPr>
                        </w:pPr>
                        <w:r>
                          <w:rPr>
                            <w:sz w:val="19"/>
                          </w:rPr>
                          <w:t>$</w:t>
                          <w:tab/>
                          <w:t>-</w:t>
                        </w:r>
                      </w:p>
                    </w:tc>
                    <w:tc>
                      <w:tcPr>
                        <w:tcW w:w="1292" w:type="dxa"/>
                        <w:tcBorders>
                          <w:left w:val="single" w:sz="7" w:space="0" w:color="000000"/>
                          <w:right w:val="single" w:sz="7" w:space="0" w:color="000000"/>
                        </w:tcBorders>
                      </w:tcPr>
                      <w:p>
                        <w:pPr>
                          <w:pStyle w:val="TableParagraph"/>
                          <w:tabs>
                            <w:tab w:pos="920" w:val="left" w:leader="none"/>
                          </w:tabs>
                          <w:spacing w:before="118"/>
                          <w:ind w:left="88"/>
                          <w:rPr>
                            <w:sz w:val="19"/>
                          </w:rPr>
                        </w:pPr>
                        <w:r>
                          <w:rPr>
                            <w:sz w:val="19"/>
                          </w:rPr>
                          <w:t>$</w:t>
                          <w:tab/>
                          <w:t>-</w:t>
                        </w:r>
                      </w:p>
                    </w:tc>
                  </w:tr>
                </w:tbl>
                <w:p>
                  <w:pPr>
                    <w:pStyle w:val="BodyText"/>
                  </w:pPr>
                </w:p>
              </w:txbxContent>
            </v:textbox>
            <w10:wrap type="none"/>
          </v:shape>
        </w:pict>
      </w:r>
      <w:r>
        <w:rPr/>
        <w:pict>
          <v:shape style="position:absolute;margin-left:191.853226pt;margin-top:491.242767pt;width:324.3pt;height:18.8pt;mso-position-horizontal-relative:page;mso-position-vertical-relative:page;z-index:28120" type="#_x0000_t202" filled="false" stroked="false">
            <v:textbox inset="0,0,0,0">
              <w:txbxContent>
                <w:tbl>
                  <w:tblPr>
                    <w:tblW w:w="0" w:type="auto"/>
                    <w:jc w:val="left"/>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292"/>
                    <w:gridCol w:w="1292"/>
                    <w:gridCol w:w="1292"/>
                    <w:gridCol w:w="1292"/>
                    <w:gridCol w:w="1292"/>
                  </w:tblGrid>
                  <w:tr>
                    <w:trPr>
                      <w:trHeight w:val="339" w:hRule="exact"/>
                    </w:trPr>
                    <w:tc>
                      <w:tcPr>
                        <w:tcW w:w="1292" w:type="dxa"/>
                        <w:tcBorders>
                          <w:left w:val="single" w:sz="7" w:space="0" w:color="000000"/>
                          <w:bottom w:val="double" w:sz="7" w:space="0" w:color="000000"/>
                          <w:right w:val="single" w:sz="7" w:space="0" w:color="000000"/>
                        </w:tcBorders>
                      </w:tcPr>
                      <w:p>
                        <w:pPr>
                          <w:pStyle w:val="TableParagraph"/>
                          <w:tabs>
                            <w:tab w:pos="920" w:val="left" w:leader="none"/>
                          </w:tabs>
                          <w:spacing w:before="99"/>
                          <w:ind w:left="88"/>
                          <w:rPr>
                            <w:sz w:val="19"/>
                          </w:rPr>
                        </w:pPr>
                        <w:r>
                          <w:rPr>
                            <w:sz w:val="19"/>
                          </w:rPr>
                          <w:t>$</w:t>
                          <w:tab/>
                          <w:t>-</w:t>
                        </w:r>
                      </w:p>
                    </w:tc>
                    <w:tc>
                      <w:tcPr>
                        <w:tcW w:w="1292" w:type="dxa"/>
                        <w:tcBorders>
                          <w:left w:val="single" w:sz="7" w:space="0" w:color="000000"/>
                          <w:bottom w:val="double" w:sz="7" w:space="0" w:color="000000"/>
                          <w:right w:val="single" w:sz="7" w:space="0" w:color="000000"/>
                        </w:tcBorders>
                      </w:tcPr>
                      <w:p>
                        <w:pPr>
                          <w:pStyle w:val="TableParagraph"/>
                          <w:tabs>
                            <w:tab w:pos="920" w:val="left" w:leader="none"/>
                          </w:tabs>
                          <w:spacing w:before="99"/>
                          <w:ind w:left="88"/>
                          <w:rPr>
                            <w:sz w:val="19"/>
                          </w:rPr>
                        </w:pPr>
                        <w:r>
                          <w:rPr>
                            <w:sz w:val="19"/>
                          </w:rPr>
                          <w:t>$</w:t>
                          <w:tab/>
                          <w:t>-</w:t>
                        </w:r>
                      </w:p>
                    </w:tc>
                    <w:tc>
                      <w:tcPr>
                        <w:tcW w:w="1292" w:type="dxa"/>
                        <w:tcBorders>
                          <w:left w:val="single" w:sz="7" w:space="0" w:color="000000"/>
                          <w:bottom w:val="double" w:sz="7" w:space="0" w:color="000000"/>
                          <w:right w:val="single" w:sz="7" w:space="0" w:color="000000"/>
                        </w:tcBorders>
                      </w:tcPr>
                      <w:p>
                        <w:pPr>
                          <w:pStyle w:val="TableParagraph"/>
                          <w:tabs>
                            <w:tab w:pos="920" w:val="left" w:leader="none"/>
                          </w:tabs>
                          <w:spacing w:before="99"/>
                          <w:ind w:left="88"/>
                          <w:rPr>
                            <w:sz w:val="19"/>
                          </w:rPr>
                        </w:pPr>
                        <w:r>
                          <w:rPr>
                            <w:sz w:val="19"/>
                          </w:rPr>
                          <w:t>$</w:t>
                          <w:tab/>
                          <w:t>-</w:t>
                        </w:r>
                      </w:p>
                    </w:tc>
                    <w:tc>
                      <w:tcPr>
                        <w:tcW w:w="1292" w:type="dxa"/>
                        <w:tcBorders>
                          <w:left w:val="single" w:sz="7" w:space="0" w:color="000000"/>
                          <w:bottom w:val="double" w:sz="7" w:space="0" w:color="000000"/>
                          <w:right w:val="single" w:sz="7" w:space="0" w:color="000000"/>
                        </w:tcBorders>
                      </w:tcPr>
                      <w:p>
                        <w:pPr>
                          <w:pStyle w:val="TableParagraph"/>
                          <w:tabs>
                            <w:tab w:pos="920" w:val="left" w:leader="none"/>
                          </w:tabs>
                          <w:spacing w:before="99"/>
                          <w:ind w:left="88"/>
                          <w:rPr>
                            <w:sz w:val="19"/>
                          </w:rPr>
                        </w:pPr>
                        <w:r>
                          <w:rPr>
                            <w:sz w:val="19"/>
                          </w:rPr>
                          <w:t>$</w:t>
                          <w:tab/>
                          <w:t>-</w:t>
                        </w:r>
                      </w:p>
                    </w:tc>
                    <w:tc>
                      <w:tcPr>
                        <w:tcW w:w="1292" w:type="dxa"/>
                        <w:tcBorders>
                          <w:left w:val="single" w:sz="7" w:space="0" w:color="000000"/>
                          <w:bottom w:val="double" w:sz="7" w:space="0" w:color="000000"/>
                          <w:right w:val="single" w:sz="7" w:space="0" w:color="000000"/>
                        </w:tcBorders>
                      </w:tcPr>
                      <w:p>
                        <w:pPr>
                          <w:pStyle w:val="TableParagraph"/>
                          <w:tabs>
                            <w:tab w:pos="920" w:val="left" w:leader="none"/>
                          </w:tabs>
                          <w:spacing w:before="99"/>
                          <w:ind w:left="88"/>
                          <w:rPr>
                            <w:sz w:val="19"/>
                          </w:rPr>
                        </w:pPr>
                        <w:r>
                          <w:rPr>
                            <w:sz w:val="19"/>
                          </w:rPr>
                          <w:t>$</w:t>
                          <w:tab/>
                          <w:t>-</w:t>
                        </w:r>
                      </w:p>
                    </w:tc>
                  </w:tr>
                </w:tbl>
                <w:p>
                  <w:pPr>
                    <w:pStyle w:val="BodyText"/>
                  </w:pPr>
                </w:p>
              </w:txbxContent>
            </v:textbox>
            <w10:wrap type="none"/>
          </v:shape>
        </w:pict>
      </w:r>
    </w:p>
    <w:p>
      <w:pPr>
        <w:pStyle w:val="BodyText"/>
        <w:spacing w:before="5"/>
        <w:rPr>
          <w:rFonts w:ascii="Times New Roman"/>
          <w:sz w:val="28"/>
        </w:rPr>
      </w:pPr>
    </w:p>
    <w:tbl>
      <w:tblPr>
        <w:tblW w:w="0" w:type="auto"/>
        <w:jc w:val="left"/>
        <w:tblInd w:w="687"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2665"/>
        <w:gridCol w:w="1292"/>
        <w:gridCol w:w="1292"/>
        <w:gridCol w:w="1292"/>
        <w:gridCol w:w="1292"/>
        <w:gridCol w:w="1374"/>
      </w:tblGrid>
      <w:tr>
        <w:trPr>
          <w:trHeight w:val="4881" w:hRule="exact"/>
        </w:trPr>
        <w:tc>
          <w:tcPr>
            <w:tcW w:w="9207" w:type="dxa"/>
            <w:gridSpan w:val="6"/>
            <w:tcBorders>
              <w:left w:val="single" w:sz="11" w:space="0" w:color="000000"/>
              <w:bottom w:val="nil"/>
              <w:right w:val="single" w:sz="11" w:space="0" w:color="000000"/>
            </w:tcBorders>
          </w:tcPr>
          <w:p>
            <w:pPr>
              <w:pStyle w:val="TableParagraph"/>
              <w:spacing w:before="8"/>
              <w:rPr>
                <w:rFonts w:ascii="Times New Roman"/>
                <w:sz w:val="26"/>
              </w:rPr>
            </w:pPr>
          </w:p>
          <w:p>
            <w:pPr>
              <w:pStyle w:val="TableParagraph"/>
              <w:ind w:left="2562" w:right="2547"/>
              <w:jc w:val="center"/>
              <w:rPr>
                <w:b/>
                <w:sz w:val="21"/>
              </w:rPr>
            </w:pPr>
            <w:r>
              <w:rPr>
                <w:b/>
                <w:w w:val="95"/>
                <w:sz w:val="21"/>
              </w:rPr>
              <w:t>CAPITAL OUTLAY PROJECT</w:t>
            </w:r>
            <w:r>
              <w:rPr>
                <w:b/>
                <w:spacing w:val="51"/>
                <w:w w:val="95"/>
                <w:sz w:val="21"/>
              </w:rPr>
              <w:t> </w:t>
            </w:r>
            <w:r>
              <w:rPr>
                <w:b/>
                <w:w w:val="95"/>
                <w:sz w:val="21"/>
              </w:rPr>
              <w:t>REPORTING</w:t>
            </w:r>
          </w:p>
          <w:p>
            <w:pPr>
              <w:pStyle w:val="TableParagraph"/>
              <w:spacing w:before="129"/>
              <w:ind w:left="2562" w:right="2545"/>
              <w:jc w:val="center"/>
              <w:rPr>
                <w:b/>
                <w:sz w:val="19"/>
              </w:rPr>
            </w:pPr>
            <w:r>
              <w:rPr>
                <w:b/>
                <w:w w:val="95"/>
                <w:sz w:val="19"/>
              </w:rPr>
              <w:t>BID TABULATION</w:t>
            </w:r>
          </w:p>
          <w:p>
            <w:pPr>
              <w:pStyle w:val="TableParagraph"/>
              <w:rPr>
                <w:rFonts w:ascii="Times New Roman"/>
                <w:sz w:val="22"/>
              </w:rPr>
            </w:pPr>
          </w:p>
          <w:p>
            <w:pPr>
              <w:pStyle w:val="TableParagraph"/>
              <w:spacing w:before="9"/>
              <w:rPr>
                <w:rFonts w:ascii="Times New Roman"/>
                <w:sz w:val="17"/>
              </w:rPr>
            </w:pPr>
          </w:p>
          <w:p>
            <w:pPr>
              <w:pStyle w:val="TableParagraph"/>
              <w:tabs>
                <w:tab w:pos="2687" w:val="left" w:leader="none"/>
              </w:tabs>
              <w:spacing w:before="1"/>
              <w:ind w:left="103"/>
              <w:rPr>
                <w:b/>
                <w:sz w:val="19"/>
              </w:rPr>
            </w:pPr>
            <w:r>
              <w:rPr>
                <w:b/>
                <w:sz w:val="19"/>
              </w:rPr>
              <w:t>Org</w:t>
            </w:r>
            <w:r>
              <w:rPr>
                <w:b/>
                <w:spacing w:val="-13"/>
                <w:sz w:val="19"/>
              </w:rPr>
              <w:t> </w:t>
            </w:r>
            <w:r>
              <w:rPr>
                <w:b/>
                <w:sz w:val="19"/>
              </w:rPr>
              <w:t>Code:</w:t>
              <w:tab/>
              <w:t>Organization:</w:t>
            </w:r>
          </w:p>
          <w:p>
            <w:pPr>
              <w:pStyle w:val="TableParagraph"/>
              <w:tabs>
                <w:tab w:pos="2687" w:val="left" w:leader="none"/>
              </w:tabs>
              <w:spacing w:line="372" w:lineRule="auto" w:before="120"/>
              <w:ind w:left="103" w:right="5380"/>
              <w:rPr>
                <w:b/>
                <w:sz w:val="19"/>
              </w:rPr>
            </w:pPr>
            <w:r>
              <w:rPr>
                <w:b/>
                <w:sz w:val="19"/>
              </w:rPr>
              <w:t>Project</w:t>
            </w:r>
            <w:r>
              <w:rPr>
                <w:b/>
                <w:spacing w:val="-18"/>
                <w:sz w:val="19"/>
              </w:rPr>
              <w:t> </w:t>
            </w:r>
            <w:r>
              <w:rPr>
                <w:b/>
                <w:sz w:val="19"/>
              </w:rPr>
              <w:t>Code:</w:t>
              <w:tab/>
            </w:r>
            <w:r>
              <w:rPr>
                <w:b/>
                <w:w w:val="95"/>
                <w:sz w:val="19"/>
              </w:rPr>
              <w:t>Project</w:t>
            </w:r>
            <w:r>
              <w:rPr>
                <w:b/>
                <w:spacing w:val="8"/>
                <w:w w:val="95"/>
                <w:sz w:val="19"/>
              </w:rPr>
              <w:t> </w:t>
            </w:r>
            <w:r>
              <w:rPr>
                <w:b/>
                <w:w w:val="95"/>
                <w:sz w:val="19"/>
              </w:rPr>
              <w:t>Title:</w:t>
            </w:r>
            <w:r>
              <w:rPr>
                <w:b/>
                <w:w w:val="96"/>
                <w:sz w:val="19"/>
              </w:rPr>
              <w:t> </w:t>
            </w:r>
            <w:r>
              <w:rPr>
                <w:b/>
                <w:w w:val="95"/>
                <w:sz w:val="19"/>
              </w:rPr>
              <w:t>Award</w:t>
            </w:r>
            <w:r>
              <w:rPr>
                <w:b/>
                <w:spacing w:val="12"/>
                <w:w w:val="95"/>
                <w:sz w:val="19"/>
              </w:rPr>
              <w:t> </w:t>
            </w:r>
            <w:r>
              <w:rPr>
                <w:b/>
                <w:w w:val="95"/>
                <w:sz w:val="19"/>
              </w:rPr>
              <w:t>Period:</w:t>
            </w:r>
          </w:p>
          <w:p>
            <w:pPr>
              <w:pStyle w:val="TableParagraph"/>
              <w:spacing w:before="3"/>
              <w:ind w:left="103"/>
              <w:rPr>
                <w:b/>
                <w:sz w:val="19"/>
              </w:rPr>
            </w:pPr>
            <w:r>
              <w:rPr>
                <w:b/>
                <w:w w:val="95"/>
                <w:sz w:val="19"/>
              </w:rPr>
              <w:t>Latest PWB/DOF Approved Contract Estimate (excluding  Contingency):</w:t>
            </w:r>
          </w:p>
          <w:p>
            <w:pPr>
              <w:pStyle w:val="TableParagraph"/>
              <w:rPr>
                <w:rFonts w:ascii="Times New Roman"/>
                <w:sz w:val="22"/>
              </w:rPr>
            </w:pPr>
          </w:p>
          <w:p>
            <w:pPr>
              <w:pStyle w:val="TableParagraph"/>
              <w:spacing w:before="10"/>
              <w:rPr>
                <w:rFonts w:ascii="Times New Roman"/>
                <w:sz w:val="17"/>
              </w:rPr>
            </w:pPr>
          </w:p>
          <w:p>
            <w:pPr>
              <w:pStyle w:val="TableParagraph"/>
              <w:ind w:left="1793"/>
              <w:rPr>
                <w:b/>
                <w:sz w:val="19"/>
              </w:rPr>
            </w:pPr>
            <w:r>
              <w:rPr>
                <w:b/>
                <w:sz w:val="19"/>
              </w:rPr>
              <w:t>BIDDERS</w:t>
            </w:r>
          </w:p>
          <w:p>
            <w:pPr>
              <w:pStyle w:val="TableParagraph"/>
              <w:spacing w:before="120"/>
              <w:ind w:left="2168"/>
              <w:rPr>
                <w:b/>
                <w:sz w:val="19"/>
              </w:rPr>
            </w:pPr>
            <w:r>
              <w:rPr>
                <w:b/>
                <w:sz w:val="19"/>
              </w:rPr>
              <w:t>Rank</w:t>
            </w:r>
          </w:p>
          <w:p>
            <w:pPr>
              <w:pStyle w:val="TableParagraph"/>
              <w:spacing w:before="120"/>
              <w:ind w:left="103"/>
              <w:rPr>
                <w:b/>
                <w:sz w:val="19"/>
              </w:rPr>
            </w:pPr>
            <w:r>
              <w:rPr>
                <w:b/>
                <w:w w:val="95"/>
                <w:sz w:val="19"/>
              </w:rPr>
              <w:t>BID ITEMS</w:t>
            </w:r>
          </w:p>
          <w:p>
            <w:pPr>
              <w:pStyle w:val="TableParagraph"/>
              <w:spacing w:before="113"/>
              <w:ind w:left="205"/>
              <w:rPr>
                <w:sz w:val="19"/>
              </w:rPr>
            </w:pPr>
            <w:r>
              <w:rPr>
                <w:w w:val="95"/>
                <w:sz w:val="19"/>
              </w:rPr>
              <w:t>BASE BID</w:t>
            </w:r>
          </w:p>
          <w:p>
            <w:pPr>
              <w:pStyle w:val="TableParagraph"/>
              <w:spacing w:before="6"/>
              <w:rPr>
                <w:rFonts w:ascii="Times New Roman"/>
                <w:sz w:val="32"/>
              </w:rPr>
            </w:pPr>
          </w:p>
          <w:p>
            <w:pPr>
              <w:pStyle w:val="TableParagraph"/>
              <w:ind w:left="205"/>
              <w:rPr>
                <w:sz w:val="19"/>
              </w:rPr>
            </w:pPr>
            <w:r>
              <w:rPr>
                <w:w w:val="95"/>
                <w:sz w:val="19"/>
              </w:rPr>
              <w:t>DEDUCTIVE ALTERNATES</w:t>
            </w:r>
          </w:p>
        </w:tc>
      </w:tr>
      <w:tr>
        <w:trPr>
          <w:trHeight w:val="339" w:hRule="exact"/>
        </w:trPr>
        <w:tc>
          <w:tcPr>
            <w:tcW w:w="2665" w:type="dxa"/>
            <w:vMerge w:val="restart"/>
            <w:tcBorders>
              <w:top w:val="nil"/>
              <w:left w:val="single" w:sz="11" w:space="0" w:color="000000"/>
              <w:right w:val="single" w:sz="7" w:space="0" w:color="000000"/>
            </w:tcBorders>
          </w:tcPr>
          <w:p>
            <w:pPr/>
          </w:p>
        </w:tc>
        <w:tc>
          <w:tcPr>
            <w:tcW w:w="1292" w:type="dxa"/>
            <w:tcBorders>
              <w:top w:val="single" w:sz="7" w:space="0" w:color="000000"/>
              <w:left w:val="single" w:sz="7" w:space="0" w:color="000000"/>
              <w:bottom w:val="single" w:sz="7" w:space="0" w:color="000000"/>
              <w:right w:val="single" w:sz="7" w:space="0" w:color="000000"/>
            </w:tcBorders>
          </w:tcPr>
          <w:p>
            <w:pPr/>
          </w:p>
        </w:tc>
        <w:tc>
          <w:tcPr>
            <w:tcW w:w="1292" w:type="dxa"/>
            <w:tcBorders>
              <w:top w:val="single" w:sz="7" w:space="0" w:color="000000"/>
              <w:left w:val="single" w:sz="7" w:space="0" w:color="000000"/>
              <w:bottom w:val="single" w:sz="7" w:space="0" w:color="000000"/>
              <w:right w:val="single" w:sz="7" w:space="0" w:color="000000"/>
            </w:tcBorders>
          </w:tcPr>
          <w:p>
            <w:pPr/>
          </w:p>
        </w:tc>
        <w:tc>
          <w:tcPr>
            <w:tcW w:w="1292" w:type="dxa"/>
            <w:tcBorders>
              <w:top w:val="single" w:sz="7" w:space="0" w:color="000000"/>
              <w:left w:val="single" w:sz="7" w:space="0" w:color="000000"/>
              <w:bottom w:val="single" w:sz="7" w:space="0" w:color="000000"/>
              <w:right w:val="single" w:sz="7" w:space="0" w:color="000000"/>
            </w:tcBorders>
          </w:tcPr>
          <w:p>
            <w:pPr/>
          </w:p>
        </w:tc>
        <w:tc>
          <w:tcPr>
            <w:tcW w:w="1292" w:type="dxa"/>
            <w:tcBorders>
              <w:top w:val="single" w:sz="7" w:space="0" w:color="000000"/>
              <w:left w:val="single" w:sz="7" w:space="0" w:color="000000"/>
              <w:bottom w:val="single" w:sz="7" w:space="0" w:color="000000"/>
              <w:right w:val="single" w:sz="7" w:space="0" w:color="000000"/>
            </w:tcBorders>
          </w:tcPr>
          <w:p>
            <w:pPr/>
          </w:p>
        </w:tc>
        <w:tc>
          <w:tcPr>
            <w:tcW w:w="1374" w:type="dxa"/>
            <w:tcBorders>
              <w:top w:val="single" w:sz="7" w:space="0" w:color="000000"/>
              <w:left w:val="single" w:sz="7" w:space="0" w:color="000000"/>
              <w:bottom w:val="single" w:sz="7" w:space="0" w:color="000000"/>
              <w:right w:val="thickThinMediumGap" w:sz="21" w:space="0" w:color="000000"/>
            </w:tcBorders>
          </w:tcPr>
          <w:p>
            <w:pPr/>
          </w:p>
        </w:tc>
      </w:tr>
      <w:tr>
        <w:trPr>
          <w:trHeight w:val="339" w:hRule="exact"/>
        </w:trPr>
        <w:tc>
          <w:tcPr>
            <w:tcW w:w="2665" w:type="dxa"/>
            <w:vMerge/>
            <w:tcBorders>
              <w:left w:val="single" w:sz="11" w:space="0" w:color="000000"/>
              <w:right w:val="single" w:sz="7" w:space="0" w:color="000000"/>
            </w:tcBorders>
          </w:tcPr>
          <w:p>
            <w:pPr/>
          </w:p>
        </w:tc>
        <w:tc>
          <w:tcPr>
            <w:tcW w:w="1292" w:type="dxa"/>
            <w:tcBorders>
              <w:top w:val="single" w:sz="7" w:space="0" w:color="000000"/>
              <w:left w:val="single" w:sz="7" w:space="0" w:color="000000"/>
              <w:bottom w:val="single" w:sz="7" w:space="0" w:color="000000"/>
              <w:right w:val="single" w:sz="7" w:space="0" w:color="000000"/>
            </w:tcBorders>
          </w:tcPr>
          <w:p>
            <w:pPr/>
          </w:p>
        </w:tc>
        <w:tc>
          <w:tcPr>
            <w:tcW w:w="1292" w:type="dxa"/>
            <w:tcBorders>
              <w:top w:val="single" w:sz="7" w:space="0" w:color="000000"/>
              <w:left w:val="single" w:sz="7" w:space="0" w:color="000000"/>
              <w:bottom w:val="single" w:sz="7" w:space="0" w:color="000000"/>
              <w:right w:val="single" w:sz="7" w:space="0" w:color="000000"/>
            </w:tcBorders>
          </w:tcPr>
          <w:p>
            <w:pPr/>
          </w:p>
        </w:tc>
        <w:tc>
          <w:tcPr>
            <w:tcW w:w="1292" w:type="dxa"/>
            <w:tcBorders>
              <w:top w:val="single" w:sz="7" w:space="0" w:color="000000"/>
              <w:left w:val="single" w:sz="7" w:space="0" w:color="000000"/>
              <w:bottom w:val="single" w:sz="7" w:space="0" w:color="000000"/>
              <w:right w:val="single" w:sz="7" w:space="0" w:color="000000"/>
            </w:tcBorders>
          </w:tcPr>
          <w:p>
            <w:pPr/>
          </w:p>
        </w:tc>
        <w:tc>
          <w:tcPr>
            <w:tcW w:w="1292" w:type="dxa"/>
            <w:tcBorders>
              <w:top w:val="single" w:sz="7" w:space="0" w:color="000000"/>
              <w:left w:val="single" w:sz="7" w:space="0" w:color="000000"/>
              <w:bottom w:val="single" w:sz="7" w:space="0" w:color="000000"/>
              <w:right w:val="single" w:sz="7" w:space="0" w:color="000000"/>
            </w:tcBorders>
          </w:tcPr>
          <w:p>
            <w:pPr/>
          </w:p>
        </w:tc>
        <w:tc>
          <w:tcPr>
            <w:tcW w:w="1374" w:type="dxa"/>
            <w:tcBorders>
              <w:top w:val="single" w:sz="7" w:space="0" w:color="000000"/>
              <w:left w:val="single" w:sz="7" w:space="0" w:color="000000"/>
              <w:bottom w:val="single" w:sz="7" w:space="0" w:color="000000"/>
              <w:right w:val="thickThinMediumGap" w:sz="21" w:space="0" w:color="000000"/>
            </w:tcBorders>
          </w:tcPr>
          <w:p>
            <w:pPr/>
          </w:p>
        </w:tc>
      </w:tr>
      <w:tr>
        <w:trPr>
          <w:trHeight w:val="165" w:hRule="exact"/>
        </w:trPr>
        <w:tc>
          <w:tcPr>
            <w:tcW w:w="2665" w:type="dxa"/>
            <w:vMerge/>
            <w:tcBorders>
              <w:left w:val="single" w:sz="11" w:space="0" w:color="000000"/>
              <w:bottom w:val="single" w:sz="5" w:space="0" w:color="2E97D3"/>
              <w:right w:val="single" w:sz="7" w:space="0" w:color="000000"/>
            </w:tcBorders>
          </w:tcPr>
          <w:p>
            <w:pPr/>
          </w:p>
        </w:tc>
        <w:tc>
          <w:tcPr>
            <w:tcW w:w="1292" w:type="dxa"/>
            <w:tcBorders>
              <w:top w:val="single" w:sz="7" w:space="0" w:color="000000"/>
              <w:left w:val="single" w:sz="7" w:space="0" w:color="000000"/>
              <w:bottom w:val="single" w:sz="5" w:space="0" w:color="2E97D3"/>
              <w:right w:val="single" w:sz="7" w:space="0" w:color="000000"/>
            </w:tcBorders>
          </w:tcPr>
          <w:p>
            <w:pPr/>
          </w:p>
        </w:tc>
        <w:tc>
          <w:tcPr>
            <w:tcW w:w="1292" w:type="dxa"/>
            <w:tcBorders>
              <w:top w:val="single" w:sz="7" w:space="0" w:color="000000"/>
              <w:left w:val="single" w:sz="7" w:space="0" w:color="000000"/>
              <w:bottom w:val="single" w:sz="5" w:space="0" w:color="2E97D3"/>
              <w:right w:val="single" w:sz="7" w:space="0" w:color="000000"/>
            </w:tcBorders>
          </w:tcPr>
          <w:p>
            <w:pPr/>
          </w:p>
        </w:tc>
        <w:tc>
          <w:tcPr>
            <w:tcW w:w="1292" w:type="dxa"/>
            <w:tcBorders>
              <w:top w:val="single" w:sz="7" w:space="0" w:color="000000"/>
              <w:left w:val="single" w:sz="7" w:space="0" w:color="000000"/>
              <w:bottom w:val="single" w:sz="5" w:space="0" w:color="2E97D3"/>
              <w:right w:val="single" w:sz="7" w:space="0" w:color="000000"/>
            </w:tcBorders>
          </w:tcPr>
          <w:p>
            <w:pPr/>
          </w:p>
        </w:tc>
        <w:tc>
          <w:tcPr>
            <w:tcW w:w="1292" w:type="dxa"/>
            <w:tcBorders>
              <w:top w:val="single" w:sz="7" w:space="0" w:color="000000"/>
              <w:left w:val="single" w:sz="7" w:space="0" w:color="000000"/>
              <w:bottom w:val="single" w:sz="5" w:space="0" w:color="2E97D3"/>
              <w:right w:val="single" w:sz="7" w:space="0" w:color="000000"/>
            </w:tcBorders>
          </w:tcPr>
          <w:p>
            <w:pPr/>
          </w:p>
        </w:tc>
        <w:tc>
          <w:tcPr>
            <w:tcW w:w="1374" w:type="dxa"/>
            <w:tcBorders>
              <w:top w:val="single" w:sz="7" w:space="0" w:color="000000"/>
              <w:left w:val="single" w:sz="7" w:space="0" w:color="000000"/>
              <w:bottom w:val="single" w:sz="5" w:space="0" w:color="2E97D3"/>
              <w:right w:val="thickThinMediumGap" w:sz="21" w:space="0" w:color="000000"/>
            </w:tcBorders>
          </w:tcPr>
          <w:p>
            <w:pPr/>
          </w:p>
        </w:tc>
      </w:tr>
      <w:tr>
        <w:trPr>
          <w:trHeight w:val="174" w:hRule="exact"/>
        </w:trPr>
        <w:tc>
          <w:tcPr>
            <w:tcW w:w="2665" w:type="dxa"/>
            <w:tcBorders>
              <w:top w:val="single" w:sz="5" w:space="0" w:color="2E97D3"/>
              <w:left w:val="single" w:sz="11" w:space="0" w:color="000000"/>
              <w:bottom w:val="nil"/>
              <w:right w:val="single" w:sz="7" w:space="0" w:color="000000"/>
            </w:tcBorders>
          </w:tcPr>
          <w:p>
            <w:pPr/>
          </w:p>
        </w:tc>
        <w:tc>
          <w:tcPr>
            <w:tcW w:w="1292" w:type="dxa"/>
            <w:tcBorders>
              <w:top w:val="single" w:sz="5" w:space="0" w:color="2E97D3"/>
              <w:left w:val="single" w:sz="7" w:space="0" w:color="000000"/>
              <w:bottom w:val="single" w:sz="7" w:space="0" w:color="000000"/>
              <w:right w:val="single" w:sz="7" w:space="0" w:color="000000"/>
            </w:tcBorders>
          </w:tcPr>
          <w:p>
            <w:pPr/>
          </w:p>
        </w:tc>
        <w:tc>
          <w:tcPr>
            <w:tcW w:w="1292" w:type="dxa"/>
            <w:tcBorders>
              <w:top w:val="single" w:sz="5" w:space="0" w:color="2E97D3"/>
              <w:left w:val="single" w:sz="7" w:space="0" w:color="000000"/>
              <w:bottom w:val="single" w:sz="7" w:space="0" w:color="000000"/>
              <w:right w:val="single" w:sz="7" w:space="0" w:color="000000"/>
            </w:tcBorders>
          </w:tcPr>
          <w:p>
            <w:pPr/>
          </w:p>
        </w:tc>
        <w:tc>
          <w:tcPr>
            <w:tcW w:w="1292" w:type="dxa"/>
            <w:tcBorders>
              <w:top w:val="single" w:sz="5" w:space="0" w:color="2E97D3"/>
              <w:left w:val="single" w:sz="7" w:space="0" w:color="000000"/>
              <w:bottom w:val="single" w:sz="7" w:space="0" w:color="000000"/>
              <w:right w:val="single" w:sz="7" w:space="0" w:color="000000"/>
            </w:tcBorders>
          </w:tcPr>
          <w:p>
            <w:pPr/>
          </w:p>
        </w:tc>
        <w:tc>
          <w:tcPr>
            <w:tcW w:w="1292" w:type="dxa"/>
            <w:tcBorders>
              <w:top w:val="single" w:sz="5" w:space="0" w:color="2E97D3"/>
              <w:left w:val="single" w:sz="7" w:space="0" w:color="000000"/>
              <w:bottom w:val="single" w:sz="7" w:space="0" w:color="000000"/>
              <w:right w:val="single" w:sz="7" w:space="0" w:color="000000"/>
            </w:tcBorders>
          </w:tcPr>
          <w:p>
            <w:pPr/>
          </w:p>
        </w:tc>
        <w:tc>
          <w:tcPr>
            <w:tcW w:w="1374" w:type="dxa"/>
            <w:tcBorders>
              <w:top w:val="single" w:sz="5" w:space="0" w:color="2E97D3"/>
              <w:left w:val="single" w:sz="7" w:space="0" w:color="000000"/>
              <w:bottom w:val="single" w:sz="7" w:space="0" w:color="000000"/>
              <w:right w:val="thickThinMediumGap" w:sz="21" w:space="0" w:color="000000"/>
            </w:tcBorders>
          </w:tcPr>
          <w:p>
            <w:pPr/>
          </w:p>
        </w:tc>
      </w:tr>
      <w:tr>
        <w:trPr>
          <w:trHeight w:val="5665" w:hRule="exact"/>
        </w:trPr>
        <w:tc>
          <w:tcPr>
            <w:tcW w:w="5249" w:type="dxa"/>
            <w:gridSpan w:val="3"/>
            <w:tcBorders>
              <w:top w:val="nil"/>
              <w:left w:val="single" w:sz="11" w:space="0" w:color="000000"/>
              <w:bottom w:val="single" w:sz="11" w:space="0" w:color="000000"/>
              <w:right w:val="nil"/>
            </w:tcBorders>
          </w:tcPr>
          <w:p>
            <w:pPr>
              <w:pStyle w:val="TableParagraph"/>
              <w:spacing w:before="127"/>
              <w:ind w:left="421" w:hanging="217"/>
              <w:rPr>
                <w:sz w:val="19"/>
              </w:rPr>
            </w:pPr>
            <w:r>
              <w:rPr>
                <w:w w:val="95"/>
                <w:sz w:val="19"/>
              </w:rPr>
              <w:t>ADDITIVE ALTERNATES</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32"/>
              </w:rPr>
            </w:pPr>
          </w:p>
          <w:p>
            <w:pPr>
              <w:pStyle w:val="TableParagraph"/>
              <w:ind w:left="421"/>
              <w:rPr>
                <w:sz w:val="19"/>
              </w:rPr>
            </w:pPr>
            <w:r>
              <w:rPr>
                <w:w w:val="95"/>
                <w:sz w:val="19"/>
              </w:rPr>
              <w:t>BASE + ALTERNATES</w:t>
            </w:r>
          </w:p>
          <w:p>
            <w:pPr>
              <w:pStyle w:val="TableParagraph"/>
              <w:rPr>
                <w:rFonts w:ascii="Times New Roman"/>
                <w:sz w:val="22"/>
              </w:rPr>
            </w:pPr>
          </w:p>
          <w:p>
            <w:pPr>
              <w:pStyle w:val="TableParagraph"/>
              <w:spacing w:before="5"/>
              <w:rPr>
                <w:rFonts w:ascii="Times New Roman"/>
                <w:sz w:val="18"/>
              </w:rPr>
            </w:pPr>
          </w:p>
          <w:p>
            <w:pPr>
              <w:pStyle w:val="TableParagraph"/>
              <w:ind w:left="205"/>
              <w:rPr>
                <w:b/>
                <w:sz w:val="19"/>
              </w:rPr>
            </w:pPr>
            <w:r>
              <w:rPr>
                <w:b/>
                <w:w w:val="95"/>
                <w:sz w:val="19"/>
              </w:rPr>
              <w:t>ACCEPTED BID TOTAL</w:t>
            </w:r>
          </w:p>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25"/>
              </w:rPr>
            </w:pPr>
          </w:p>
          <w:p>
            <w:pPr>
              <w:pStyle w:val="TableParagraph"/>
              <w:ind w:left="205"/>
              <w:rPr>
                <w:b/>
                <w:sz w:val="19"/>
              </w:rPr>
            </w:pPr>
            <w:r>
              <w:rPr>
                <w:b/>
                <w:w w:val="95"/>
                <w:sz w:val="19"/>
              </w:rPr>
              <w:t>Explanation of Rejected Bidder(s):</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7"/>
              <w:ind w:left="103"/>
              <w:rPr>
                <w:b/>
                <w:sz w:val="19"/>
              </w:rPr>
            </w:pPr>
            <w:r>
              <w:rPr>
                <w:b/>
                <w:sz w:val="19"/>
              </w:rPr>
              <w:t>I certify that this is a true tabulation of bids received.</w:t>
            </w:r>
          </w:p>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25"/>
              </w:rPr>
            </w:pPr>
          </w:p>
          <w:p>
            <w:pPr>
              <w:pStyle w:val="TableParagraph"/>
              <w:spacing w:before="1"/>
              <w:ind w:left="103"/>
              <w:rPr>
                <w:b/>
                <w:sz w:val="19"/>
              </w:rPr>
            </w:pPr>
            <w:r>
              <w:rPr>
                <w:b/>
                <w:w w:val="95"/>
                <w:sz w:val="19"/>
              </w:rPr>
              <w:t>Departmental Approving Officer</w:t>
            </w:r>
          </w:p>
        </w:tc>
        <w:tc>
          <w:tcPr>
            <w:tcW w:w="1292" w:type="dxa"/>
            <w:tcBorders>
              <w:top w:val="single" w:sz="7" w:space="0" w:color="000000"/>
              <w:left w:val="nil"/>
              <w:bottom w:val="single" w:sz="11" w:space="0" w:color="000000"/>
              <w:right w:val="nil"/>
            </w:tcBorders>
          </w:tcPr>
          <w:p>
            <w:pPr/>
          </w:p>
        </w:tc>
        <w:tc>
          <w:tcPr>
            <w:tcW w:w="1292" w:type="dxa"/>
            <w:tcBorders>
              <w:top w:val="single" w:sz="7" w:space="0" w:color="000000"/>
              <w:left w:val="nil"/>
              <w:bottom w:val="single" w:sz="11" w:space="0" w:color="000000"/>
              <w:right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2"/>
              </w:rPr>
            </w:pPr>
          </w:p>
          <w:p>
            <w:pPr>
              <w:pStyle w:val="TableParagraph"/>
              <w:spacing w:before="1"/>
              <w:ind w:left="427" w:right="412"/>
              <w:jc w:val="center"/>
              <w:rPr>
                <w:b/>
                <w:sz w:val="19"/>
              </w:rPr>
            </w:pPr>
            <w:r>
              <w:rPr>
                <w:b/>
                <w:sz w:val="19"/>
              </w:rPr>
              <w:t>Date</w:t>
            </w:r>
          </w:p>
        </w:tc>
        <w:tc>
          <w:tcPr>
            <w:tcW w:w="1374" w:type="dxa"/>
            <w:tcBorders>
              <w:top w:val="single" w:sz="7" w:space="0" w:color="000000"/>
              <w:left w:val="nil"/>
              <w:bottom w:val="single" w:sz="11" w:space="0" w:color="000000"/>
              <w:right w:val="single" w:sz="11" w:space="0" w:color="000000"/>
            </w:tcBorders>
          </w:tcPr>
          <w:p>
            <w:pPr/>
          </w:p>
        </w:tc>
      </w:tr>
    </w:tbl>
    <w:p>
      <w:pPr>
        <w:spacing w:after="0"/>
        <w:sectPr>
          <w:footerReference w:type="default" r:id="rId309"/>
          <w:pgSz w:w="12240" w:h="15840"/>
          <w:pgMar w:footer="1068" w:header="724" w:top="980" w:bottom="1260" w:left="480" w:right="164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29"/>
        </w:rPr>
      </w:pPr>
    </w:p>
    <w:p>
      <w:pPr>
        <w:spacing w:before="97"/>
        <w:ind w:left="3275" w:right="2693" w:firstLine="0"/>
        <w:jc w:val="center"/>
        <w:rPr>
          <w:b/>
          <w:sz w:val="21"/>
        </w:rPr>
      </w:pPr>
      <w:r>
        <w:rPr/>
        <w:pict>
          <v:group style="position:absolute;margin-left:57.895pt;margin-top:-13.066362pt;width:463.1pt;height:582.550pt;mso-position-horizontal-relative:page;mso-position-vertical-relative:paragraph;z-index:-444472" coordorigin="1158,-261" coordsize="9262,11651">
            <v:line style="position:absolute" from="1194,-229" to="10400,-229" stroked="true" strokeweight="1.868315pt" strokecolor="#000000">
              <v:stroke dashstyle="solid"/>
            </v:line>
            <v:line style="position:absolute" from="1194,11333" to="10400,11333" stroked="true" strokeweight="1.40147pt" strokecolor="#000000">
              <v:stroke dashstyle="solid"/>
            </v:line>
            <v:line style="position:absolute" from="1180,-248" to="1180,11347" stroked="true" strokeweight="1.325436pt" strokecolor="#000000">
              <v:stroke dashstyle="solid"/>
            </v:line>
            <v:line style="position:absolute" from="10387,-248" to="10387,11347" stroked="true" strokeweight="1.325215pt" strokecolor="#000000">
              <v:stroke dashstyle="solid"/>
            </v:line>
            <v:line style="position:absolute" from="1166,11381" to="10399,11381" stroked="true" strokeweight=".84pt" strokecolor="#2e97d3">
              <v:stroke dashstyle="solid"/>
            </v:line>
            <w10:wrap type="none"/>
          </v:group>
        </w:pict>
      </w:r>
      <w:r>
        <w:rPr/>
        <w:pict>
          <v:line style="position:absolute;mso-position-horizontal-relative:page;mso-position-vertical-relative:paragraph;z-index:28216" from="29.4pt,-17.689795pt" to="29.4pt,570.070205pt" stroked="true" strokeweight=".72pt" strokecolor="#000000">
            <v:stroke dashstyle="solid"/>
            <w10:wrap type="none"/>
          </v:line>
        </w:pict>
      </w:r>
      <w:r>
        <w:rPr>
          <w:b/>
          <w:w w:val="95"/>
          <w:sz w:val="21"/>
        </w:rPr>
        <w:t>CAPITAL OUTLAY PROJECT</w:t>
      </w:r>
      <w:r>
        <w:rPr>
          <w:b/>
          <w:spacing w:val="51"/>
          <w:w w:val="95"/>
          <w:sz w:val="21"/>
        </w:rPr>
        <w:t> </w:t>
      </w:r>
      <w:r>
        <w:rPr>
          <w:b/>
          <w:w w:val="95"/>
          <w:sz w:val="21"/>
        </w:rPr>
        <w:t>REPORTING</w:t>
      </w:r>
    </w:p>
    <w:p>
      <w:pPr>
        <w:spacing w:before="129"/>
        <w:ind w:left="3275" w:right="2691" w:firstLine="0"/>
        <w:jc w:val="center"/>
        <w:rPr>
          <w:b/>
          <w:sz w:val="19"/>
        </w:rPr>
      </w:pPr>
      <w:r>
        <w:rPr>
          <w:b/>
          <w:w w:val="95"/>
          <w:sz w:val="19"/>
        </w:rPr>
        <w:t>BID TABULATION</w:t>
      </w:r>
    </w:p>
    <w:p>
      <w:pPr>
        <w:pStyle w:val="BodyText"/>
        <w:rPr>
          <w:b/>
          <w:sz w:val="22"/>
        </w:rPr>
      </w:pPr>
    </w:p>
    <w:p>
      <w:pPr>
        <w:pStyle w:val="BodyText"/>
        <w:spacing w:before="10"/>
        <w:rPr>
          <w:b/>
          <w:sz w:val="17"/>
        </w:rPr>
      </w:pPr>
    </w:p>
    <w:p>
      <w:pPr>
        <w:tabs>
          <w:tab w:pos="3401" w:val="left" w:leader="none"/>
        </w:tabs>
        <w:spacing w:before="0"/>
        <w:ind w:left="817" w:right="0" w:firstLine="0"/>
        <w:jc w:val="left"/>
        <w:rPr>
          <w:b/>
          <w:sz w:val="19"/>
        </w:rPr>
      </w:pPr>
      <w:r>
        <w:rPr>
          <w:b/>
          <w:sz w:val="19"/>
        </w:rPr>
        <w:t>Org</w:t>
      </w:r>
      <w:r>
        <w:rPr>
          <w:b/>
          <w:spacing w:val="-13"/>
          <w:sz w:val="19"/>
        </w:rPr>
        <w:t> </w:t>
      </w:r>
      <w:r>
        <w:rPr>
          <w:b/>
          <w:sz w:val="19"/>
        </w:rPr>
        <w:t>Code:</w:t>
        <w:tab/>
        <w:t>Organization:</w:t>
      </w:r>
    </w:p>
    <w:p>
      <w:pPr>
        <w:tabs>
          <w:tab w:pos="3401" w:val="left" w:leader="none"/>
        </w:tabs>
        <w:spacing w:line="372" w:lineRule="auto" w:before="120"/>
        <w:ind w:left="817" w:right="5527" w:firstLine="0"/>
        <w:jc w:val="left"/>
        <w:rPr>
          <w:b/>
          <w:sz w:val="19"/>
        </w:rPr>
      </w:pPr>
      <w:r>
        <w:rPr>
          <w:b/>
          <w:sz w:val="19"/>
        </w:rPr>
        <w:t>Project</w:t>
      </w:r>
      <w:r>
        <w:rPr>
          <w:b/>
          <w:spacing w:val="-18"/>
          <w:sz w:val="19"/>
        </w:rPr>
        <w:t> </w:t>
      </w:r>
      <w:r>
        <w:rPr>
          <w:b/>
          <w:sz w:val="19"/>
        </w:rPr>
        <w:t>Code:</w:t>
        <w:tab/>
      </w:r>
      <w:r>
        <w:rPr>
          <w:b/>
          <w:w w:val="95"/>
          <w:sz w:val="19"/>
        </w:rPr>
        <w:t>Project</w:t>
      </w:r>
      <w:r>
        <w:rPr>
          <w:b/>
          <w:spacing w:val="8"/>
          <w:w w:val="95"/>
          <w:sz w:val="19"/>
        </w:rPr>
        <w:t> </w:t>
      </w:r>
      <w:r>
        <w:rPr>
          <w:b/>
          <w:w w:val="95"/>
          <w:sz w:val="19"/>
        </w:rPr>
        <w:t>Title:</w:t>
      </w:r>
      <w:r>
        <w:rPr>
          <w:b/>
          <w:w w:val="96"/>
          <w:sz w:val="19"/>
        </w:rPr>
        <w:t> </w:t>
      </w:r>
      <w:r>
        <w:rPr>
          <w:b/>
          <w:w w:val="95"/>
          <w:sz w:val="19"/>
        </w:rPr>
        <w:t>Award</w:t>
      </w:r>
      <w:r>
        <w:rPr>
          <w:b/>
          <w:spacing w:val="12"/>
          <w:w w:val="95"/>
          <w:sz w:val="19"/>
        </w:rPr>
        <w:t> </w:t>
      </w:r>
      <w:r>
        <w:rPr>
          <w:b/>
          <w:w w:val="95"/>
          <w:sz w:val="19"/>
        </w:rPr>
        <w:t>Period:</w:t>
      </w:r>
    </w:p>
    <w:p>
      <w:pPr>
        <w:spacing w:before="3"/>
        <w:ind w:left="817" w:right="0" w:firstLine="0"/>
        <w:jc w:val="left"/>
        <w:rPr>
          <w:b/>
          <w:sz w:val="19"/>
        </w:rPr>
      </w:pPr>
      <w:r>
        <w:rPr>
          <w:b/>
          <w:w w:val="95"/>
          <w:sz w:val="19"/>
        </w:rPr>
        <w:t>Latest PWB/DOF Approved Contract Estimate (excluding  Contingency):</w:t>
      </w:r>
    </w:p>
    <w:p>
      <w:pPr>
        <w:pStyle w:val="BodyText"/>
        <w:rPr>
          <w:b/>
          <w:sz w:val="20"/>
        </w:rPr>
      </w:pPr>
    </w:p>
    <w:p>
      <w:pPr>
        <w:spacing w:after="0"/>
        <w:rPr>
          <w:sz w:val="20"/>
        </w:rPr>
        <w:sectPr>
          <w:pgSz w:w="12240" w:h="15840"/>
          <w:pgMar w:header="724" w:footer="1068" w:top="980" w:bottom="1260" w:left="480" w:right="1720"/>
        </w:sectPr>
      </w:pPr>
    </w:p>
    <w:p>
      <w:pPr>
        <w:pStyle w:val="BodyText"/>
        <w:rPr>
          <w:b/>
          <w:sz w:val="22"/>
        </w:rPr>
      </w:pPr>
    </w:p>
    <w:p>
      <w:pPr>
        <w:pStyle w:val="BodyText"/>
        <w:rPr>
          <w:b/>
          <w:sz w:val="22"/>
        </w:rPr>
      </w:pPr>
    </w:p>
    <w:p>
      <w:pPr>
        <w:pStyle w:val="BodyText"/>
        <w:rPr>
          <w:b/>
          <w:sz w:val="22"/>
        </w:rPr>
      </w:pPr>
    </w:p>
    <w:p>
      <w:pPr>
        <w:spacing w:before="146"/>
        <w:ind w:left="800" w:right="0" w:firstLine="0"/>
        <w:jc w:val="center"/>
        <w:rPr>
          <w:b/>
          <w:sz w:val="19"/>
        </w:rPr>
      </w:pPr>
      <w:r>
        <w:rPr>
          <w:b/>
          <w:w w:val="95"/>
          <w:sz w:val="19"/>
        </w:rPr>
        <w:t>BID ITEMS</w:t>
      </w:r>
    </w:p>
    <w:p>
      <w:pPr>
        <w:spacing w:before="112"/>
        <w:ind w:left="919" w:right="0" w:firstLine="0"/>
        <w:jc w:val="center"/>
        <w:rPr>
          <w:sz w:val="19"/>
        </w:rPr>
      </w:pPr>
      <w:r>
        <w:rPr>
          <w:w w:val="95"/>
          <w:sz w:val="19"/>
        </w:rPr>
        <w:t>BASE BID</w:t>
      </w:r>
    </w:p>
    <w:p>
      <w:pPr>
        <w:pStyle w:val="BodyText"/>
        <w:spacing w:before="9"/>
        <w:rPr>
          <w:sz w:val="19"/>
        </w:rPr>
      </w:pPr>
      <w:r>
        <w:rPr/>
        <w:br w:type="column"/>
      </w:r>
      <w:r>
        <w:rPr>
          <w:sz w:val="19"/>
        </w:rPr>
      </w:r>
    </w:p>
    <w:p>
      <w:pPr>
        <w:spacing w:before="1"/>
        <w:ind w:left="706" w:right="0" w:firstLine="0"/>
        <w:jc w:val="left"/>
        <w:rPr>
          <w:b/>
          <w:sz w:val="19"/>
        </w:rPr>
      </w:pPr>
      <w:r>
        <w:rPr>
          <w:b/>
          <w:sz w:val="19"/>
        </w:rPr>
        <w:t>BIDDERS</w:t>
      </w:r>
    </w:p>
    <w:p>
      <w:pPr>
        <w:spacing w:before="120"/>
        <w:ind w:left="1081" w:right="0" w:firstLine="0"/>
        <w:jc w:val="left"/>
        <w:rPr>
          <w:b/>
          <w:sz w:val="19"/>
        </w:rPr>
      </w:pPr>
      <w:r>
        <w:rPr>
          <w:b/>
          <w:sz w:val="19"/>
        </w:rPr>
        <w:t>Rank</w:t>
      </w:r>
    </w:p>
    <w:p>
      <w:pPr>
        <w:pStyle w:val="BodyText"/>
        <w:spacing w:before="4"/>
        <w:rPr>
          <w:b/>
          <w:sz w:val="27"/>
        </w:rPr>
      </w:pPr>
    </w:p>
    <w:tbl>
      <w:tblPr>
        <w:tblW w:w="0" w:type="auto"/>
        <w:jc w:val="left"/>
        <w:tblInd w:w="1556"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292"/>
        <w:gridCol w:w="1292"/>
        <w:gridCol w:w="1292"/>
        <w:gridCol w:w="1292"/>
        <w:gridCol w:w="1292"/>
      </w:tblGrid>
      <w:tr>
        <w:trPr>
          <w:trHeight w:val="339" w:hRule="exact"/>
        </w:trPr>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r>
    </w:tbl>
    <w:p>
      <w:pPr>
        <w:spacing w:after="0"/>
        <w:sectPr>
          <w:type w:val="continuous"/>
          <w:pgSz w:w="12240" w:h="15840"/>
          <w:pgMar w:top="560" w:bottom="280" w:left="480" w:right="1720"/>
          <w:cols w:num="2" w:equalWidth="0">
            <w:col w:w="1761" w:space="40"/>
            <w:col w:w="8239"/>
          </w:cols>
        </w:sectPr>
      </w:pPr>
    </w:p>
    <w:p>
      <w:pPr>
        <w:pStyle w:val="BodyText"/>
        <w:spacing w:before="1"/>
        <w:rPr>
          <w:b/>
        </w:rPr>
      </w:pPr>
    </w:p>
    <w:p>
      <w:pPr>
        <w:spacing w:before="97"/>
        <w:ind w:left="919" w:right="0" w:firstLine="0"/>
        <w:jc w:val="left"/>
        <w:rPr>
          <w:sz w:val="19"/>
        </w:rPr>
      </w:pPr>
      <w:r>
        <w:rPr>
          <w:w w:val="95"/>
          <w:sz w:val="19"/>
        </w:rPr>
        <w:t>DEDUCTIVE ALTERNATES</w:t>
      </w:r>
    </w:p>
    <w:tbl>
      <w:tblPr>
        <w:tblW w:w="0" w:type="auto"/>
        <w:jc w:val="left"/>
        <w:tblInd w:w="3357"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292"/>
        <w:gridCol w:w="1292"/>
        <w:gridCol w:w="1292"/>
        <w:gridCol w:w="1292"/>
        <w:gridCol w:w="1292"/>
      </w:tblGrid>
      <w:tr>
        <w:trPr>
          <w:trHeight w:val="339" w:hRule="exact"/>
        </w:trPr>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r>
      <w:tr>
        <w:trPr>
          <w:trHeight w:val="339" w:hRule="exact"/>
        </w:trPr>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r>
      <w:tr>
        <w:trPr>
          <w:trHeight w:val="339" w:hRule="exact"/>
        </w:trPr>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r>
    </w:tbl>
    <w:p>
      <w:pPr>
        <w:spacing w:before="101"/>
        <w:ind w:left="1135" w:right="0" w:hanging="217"/>
        <w:jc w:val="left"/>
        <w:rPr>
          <w:sz w:val="19"/>
        </w:rPr>
      </w:pPr>
      <w:r>
        <w:rPr>
          <w:w w:val="95"/>
          <w:sz w:val="19"/>
        </w:rPr>
        <w:t>ADDITIVE ALTERNATES</w:t>
      </w:r>
    </w:p>
    <w:tbl>
      <w:tblPr>
        <w:tblW w:w="0" w:type="auto"/>
        <w:jc w:val="left"/>
        <w:tblInd w:w="3357"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292"/>
        <w:gridCol w:w="1292"/>
        <w:gridCol w:w="1292"/>
        <w:gridCol w:w="1292"/>
        <w:gridCol w:w="1292"/>
      </w:tblGrid>
      <w:tr>
        <w:trPr>
          <w:trHeight w:val="339" w:hRule="exact"/>
        </w:trPr>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r>
      <w:tr>
        <w:trPr>
          <w:trHeight w:val="339" w:hRule="exact"/>
        </w:trPr>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c>
          <w:tcPr>
            <w:tcW w:w="1292" w:type="dxa"/>
            <w:tcBorders>
              <w:left w:val="single" w:sz="7" w:space="0" w:color="000000"/>
              <w:right w:val="single" w:sz="7" w:space="0" w:color="000000"/>
            </w:tcBorders>
          </w:tcPr>
          <w:p>
            <w:pPr/>
          </w:p>
        </w:tc>
      </w:tr>
    </w:tbl>
    <w:p>
      <w:pPr>
        <w:pStyle w:val="BodyText"/>
        <w:rPr>
          <w:sz w:val="22"/>
        </w:rPr>
      </w:pPr>
    </w:p>
    <w:p>
      <w:pPr>
        <w:spacing w:before="187"/>
        <w:ind w:left="1135" w:right="0" w:firstLine="0"/>
        <w:jc w:val="left"/>
        <w:rPr>
          <w:sz w:val="19"/>
        </w:rPr>
      </w:pPr>
      <w:r>
        <w:rPr/>
        <w:pict>
          <v:shape style="position:absolute;margin-left:191.853104pt;margin-top:2.497125pt;width:324.3pt;height:17.9pt;mso-position-horizontal-relative:page;mso-position-vertical-relative:paragraph;z-index:28240" type="#_x0000_t202" filled="false" stroked="false">
            <v:textbox inset="0,0,0,0">
              <w:txbxContent>
                <w:tbl>
                  <w:tblPr>
                    <w:tblW w:w="0" w:type="auto"/>
                    <w:jc w:val="left"/>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292"/>
                    <w:gridCol w:w="1292"/>
                    <w:gridCol w:w="1292"/>
                    <w:gridCol w:w="1292"/>
                    <w:gridCol w:w="1292"/>
                  </w:tblGrid>
                  <w:tr>
                    <w:trPr>
                      <w:trHeight w:val="339" w:hRule="exact"/>
                    </w:trPr>
                    <w:tc>
                      <w:tcPr>
                        <w:tcW w:w="1292" w:type="dxa"/>
                        <w:tcBorders>
                          <w:left w:val="single" w:sz="7" w:space="0" w:color="000000"/>
                          <w:right w:val="single" w:sz="7" w:space="0" w:color="000000"/>
                        </w:tcBorders>
                      </w:tcPr>
                      <w:p>
                        <w:pPr>
                          <w:pStyle w:val="TableParagraph"/>
                          <w:tabs>
                            <w:tab w:pos="920" w:val="left" w:leader="none"/>
                          </w:tabs>
                          <w:spacing w:before="118"/>
                          <w:ind w:left="88"/>
                          <w:rPr>
                            <w:sz w:val="19"/>
                          </w:rPr>
                        </w:pPr>
                        <w:r>
                          <w:rPr>
                            <w:sz w:val="19"/>
                          </w:rPr>
                          <w:t>$</w:t>
                          <w:tab/>
                          <w:t>-</w:t>
                        </w:r>
                      </w:p>
                    </w:tc>
                    <w:tc>
                      <w:tcPr>
                        <w:tcW w:w="1292" w:type="dxa"/>
                        <w:tcBorders>
                          <w:left w:val="single" w:sz="7" w:space="0" w:color="000000"/>
                          <w:right w:val="single" w:sz="7" w:space="0" w:color="000000"/>
                        </w:tcBorders>
                      </w:tcPr>
                      <w:p>
                        <w:pPr>
                          <w:pStyle w:val="TableParagraph"/>
                          <w:tabs>
                            <w:tab w:pos="920" w:val="left" w:leader="none"/>
                          </w:tabs>
                          <w:spacing w:before="118"/>
                          <w:ind w:left="88"/>
                          <w:rPr>
                            <w:sz w:val="19"/>
                          </w:rPr>
                        </w:pPr>
                        <w:r>
                          <w:rPr>
                            <w:sz w:val="19"/>
                          </w:rPr>
                          <w:t>$</w:t>
                          <w:tab/>
                          <w:t>-</w:t>
                        </w:r>
                      </w:p>
                    </w:tc>
                    <w:tc>
                      <w:tcPr>
                        <w:tcW w:w="1292" w:type="dxa"/>
                        <w:tcBorders>
                          <w:left w:val="single" w:sz="7" w:space="0" w:color="000000"/>
                          <w:right w:val="single" w:sz="7" w:space="0" w:color="000000"/>
                        </w:tcBorders>
                      </w:tcPr>
                      <w:p>
                        <w:pPr>
                          <w:pStyle w:val="TableParagraph"/>
                          <w:tabs>
                            <w:tab w:pos="920" w:val="left" w:leader="none"/>
                          </w:tabs>
                          <w:spacing w:before="118"/>
                          <w:ind w:left="88"/>
                          <w:rPr>
                            <w:sz w:val="19"/>
                          </w:rPr>
                        </w:pPr>
                        <w:r>
                          <w:rPr>
                            <w:sz w:val="19"/>
                          </w:rPr>
                          <w:t>$</w:t>
                          <w:tab/>
                          <w:t>-</w:t>
                        </w:r>
                      </w:p>
                    </w:tc>
                    <w:tc>
                      <w:tcPr>
                        <w:tcW w:w="1292" w:type="dxa"/>
                        <w:tcBorders>
                          <w:left w:val="single" w:sz="7" w:space="0" w:color="000000"/>
                          <w:right w:val="single" w:sz="7" w:space="0" w:color="000000"/>
                        </w:tcBorders>
                      </w:tcPr>
                      <w:p>
                        <w:pPr>
                          <w:pStyle w:val="TableParagraph"/>
                          <w:tabs>
                            <w:tab w:pos="920" w:val="left" w:leader="none"/>
                          </w:tabs>
                          <w:spacing w:before="118"/>
                          <w:ind w:left="88"/>
                          <w:rPr>
                            <w:sz w:val="19"/>
                          </w:rPr>
                        </w:pPr>
                        <w:r>
                          <w:rPr>
                            <w:sz w:val="19"/>
                          </w:rPr>
                          <w:t>$</w:t>
                          <w:tab/>
                          <w:t>-</w:t>
                        </w:r>
                      </w:p>
                    </w:tc>
                    <w:tc>
                      <w:tcPr>
                        <w:tcW w:w="1292" w:type="dxa"/>
                        <w:tcBorders>
                          <w:left w:val="single" w:sz="7" w:space="0" w:color="000000"/>
                          <w:right w:val="single" w:sz="7" w:space="0" w:color="000000"/>
                        </w:tcBorders>
                      </w:tcPr>
                      <w:p>
                        <w:pPr>
                          <w:pStyle w:val="TableParagraph"/>
                          <w:tabs>
                            <w:tab w:pos="920" w:val="left" w:leader="none"/>
                          </w:tabs>
                          <w:spacing w:before="118"/>
                          <w:ind w:left="88"/>
                          <w:rPr>
                            <w:sz w:val="19"/>
                          </w:rPr>
                        </w:pPr>
                        <w:r>
                          <w:rPr>
                            <w:sz w:val="19"/>
                          </w:rPr>
                          <w:t>$</w:t>
                          <w:tab/>
                          <w:t>-</w:t>
                        </w:r>
                      </w:p>
                    </w:tc>
                  </w:tr>
                </w:tbl>
                <w:p>
                  <w:pPr>
                    <w:pStyle w:val="BodyText"/>
                  </w:pPr>
                </w:p>
              </w:txbxContent>
            </v:textbox>
            <w10:wrap type="none"/>
          </v:shape>
        </w:pict>
      </w:r>
      <w:r>
        <w:rPr>
          <w:w w:val="95"/>
          <w:sz w:val="19"/>
        </w:rPr>
        <w:t>BASE + ALTERNATES</w:t>
      </w:r>
    </w:p>
    <w:p>
      <w:pPr>
        <w:pStyle w:val="BodyText"/>
        <w:rPr>
          <w:sz w:val="22"/>
        </w:rPr>
      </w:pPr>
    </w:p>
    <w:p>
      <w:pPr>
        <w:pStyle w:val="BodyText"/>
        <w:spacing w:before="5"/>
        <w:rPr>
          <w:sz w:val="18"/>
        </w:rPr>
      </w:pPr>
    </w:p>
    <w:p>
      <w:pPr>
        <w:spacing w:before="1"/>
        <w:ind w:left="919" w:right="0" w:firstLine="0"/>
        <w:jc w:val="left"/>
        <w:rPr>
          <w:b/>
          <w:sz w:val="19"/>
        </w:rPr>
      </w:pPr>
      <w:r>
        <w:rPr/>
        <w:pict>
          <v:shape style="position:absolute;margin-left:191.853104pt;margin-top:9.778337pt;width:324.3pt;height:18.8pt;mso-position-horizontal-relative:page;mso-position-vertical-relative:paragraph;z-index:28264" type="#_x0000_t202" filled="false" stroked="false">
            <v:textbox inset="0,0,0,0">
              <w:txbxContent>
                <w:tbl>
                  <w:tblPr>
                    <w:tblW w:w="0" w:type="auto"/>
                    <w:jc w:val="left"/>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292"/>
                    <w:gridCol w:w="1292"/>
                    <w:gridCol w:w="1292"/>
                    <w:gridCol w:w="1292"/>
                    <w:gridCol w:w="1292"/>
                  </w:tblGrid>
                  <w:tr>
                    <w:trPr>
                      <w:trHeight w:val="339" w:hRule="exact"/>
                    </w:trPr>
                    <w:tc>
                      <w:tcPr>
                        <w:tcW w:w="1292" w:type="dxa"/>
                        <w:tcBorders>
                          <w:left w:val="single" w:sz="7" w:space="0" w:color="000000"/>
                          <w:bottom w:val="double" w:sz="7" w:space="0" w:color="000000"/>
                          <w:right w:val="single" w:sz="7" w:space="0" w:color="000000"/>
                        </w:tcBorders>
                      </w:tcPr>
                      <w:p>
                        <w:pPr>
                          <w:pStyle w:val="TableParagraph"/>
                          <w:tabs>
                            <w:tab w:pos="920" w:val="left" w:leader="none"/>
                          </w:tabs>
                          <w:spacing w:before="99"/>
                          <w:ind w:left="88"/>
                          <w:rPr>
                            <w:sz w:val="19"/>
                          </w:rPr>
                        </w:pPr>
                        <w:r>
                          <w:rPr>
                            <w:sz w:val="19"/>
                          </w:rPr>
                          <w:t>$</w:t>
                          <w:tab/>
                          <w:t>-</w:t>
                        </w:r>
                      </w:p>
                    </w:tc>
                    <w:tc>
                      <w:tcPr>
                        <w:tcW w:w="1292" w:type="dxa"/>
                        <w:tcBorders>
                          <w:left w:val="single" w:sz="7" w:space="0" w:color="000000"/>
                          <w:bottom w:val="double" w:sz="7" w:space="0" w:color="000000"/>
                          <w:right w:val="single" w:sz="7" w:space="0" w:color="000000"/>
                        </w:tcBorders>
                      </w:tcPr>
                      <w:p>
                        <w:pPr>
                          <w:pStyle w:val="TableParagraph"/>
                          <w:tabs>
                            <w:tab w:pos="920" w:val="left" w:leader="none"/>
                          </w:tabs>
                          <w:spacing w:before="99"/>
                          <w:ind w:left="88"/>
                          <w:rPr>
                            <w:sz w:val="19"/>
                          </w:rPr>
                        </w:pPr>
                        <w:r>
                          <w:rPr>
                            <w:sz w:val="19"/>
                          </w:rPr>
                          <w:t>$</w:t>
                          <w:tab/>
                          <w:t>-</w:t>
                        </w:r>
                      </w:p>
                    </w:tc>
                    <w:tc>
                      <w:tcPr>
                        <w:tcW w:w="1292" w:type="dxa"/>
                        <w:tcBorders>
                          <w:left w:val="single" w:sz="7" w:space="0" w:color="000000"/>
                          <w:bottom w:val="double" w:sz="7" w:space="0" w:color="000000"/>
                          <w:right w:val="single" w:sz="7" w:space="0" w:color="000000"/>
                        </w:tcBorders>
                      </w:tcPr>
                      <w:p>
                        <w:pPr>
                          <w:pStyle w:val="TableParagraph"/>
                          <w:tabs>
                            <w:tab w:pos="920" w:val="left" w:leader="none"/>
                          </w:tabs>
                          <w:spacing w:before="99"/>
                          <w:ind w:left="88"/>
                          <w:rPr>
                            <w:sz w:val="19"/>
                          </w:rPr>
                        </w:pPr>
                        <w:r>
                          <w:rPr>
                            <w:sz w:val="19"/>
                          </w:rPr>
                          <w:t>$</w:t>
                          <w:tab/>
                          <w:t>-</w:t>
                        </w:r>
                      </w:p>
                    </w:tc>
                    <w:tc>
                      <w:tcPr>
                        <w:tcW w:w="1292" w:type="dxa"/>
                        <w:tcBorders>
                          <w:left w:val="single" w:sz="7" w:space="0" w:color="000000"/>
                          <w:bottom w:val="double" w:sz="7" w:space="0" w:color="000000"/>
                          <w:right w:val="single" w:sz="7" w:space="0" w:color="000000"/>
                        </w:tcBorders>
                      </w:tcPr>
                      <w:p>
                        <w:pPr>
                          <w:pStyle w:val="TableParagraph"/>
                          <w:tabs>
                            <w:tab w:pos="920" w:val="left" w:leader="none"/>
                          </w:tabs>
                          <w:spacing w:before="99"/>
                          <w:ind w:left="88"/>
                          <w:rPr>
                            <w:sz w:val="19"/>
                          </w:rPr>
                        </w:pPr>
                        <w:r>
                          <w:rPr>
                            <w:sz w:val="19"/>
                          </w:rPr>
                          <w:t>$</w:t>
                          <w:tab/>
                          <w:t>-</w:t>
                        </w:r>
                      </w:p>
                    </w:tc>
                    <w:tc>
                      <w:tcPr>
                        <w:tcW w:w="1292" w:type="dxa"/>
                        <w:tcBorders>
                          <w:left w:val="single" w:sz="7" w:space="0" w:color="000000"/>
                          <w:bottom w:val="double" w:sz="7" w:space="0" w:color="000000"/>
                          <w:right w:val="single" w:sz="7" w:space="0" w:color="000000"/>
                        </w:tcBorders>
                      </w:tcPr>
                      <w:p>
                        <w:pPr>
                          <w:pStyle w:val="TableParagraph"/>
                          <w:tabs>
                            <w:tab w:pos="920" w:val="left" w:leader="none"/>
                          </w:tabs>
                          <w:spacing w:before="99"/>
                          <w:ind w:left="88"/>
                          <w:rPr>
                            <w:sz w:val="19"/>
                          </w:rPr>
                        </w:pPr>
                        <w:r>
                          <w:rPr>
                            <w:sz w:val="19"/>
                          </w:rPr>
                          <w:t>$</w:t>
                          <w:tab/>
                          <w:t>-</w:t>
                        </w:r>
                      </w:p>
                    </w:tc>
                  </w:tr>
                </w:tbl>
                <w:p>
                  <w:pPr>
                    <w:pStyle w:val="BodyText"/>
                  </w:pPr>
                </w:p>
              </w:txbxContent>
            </v:textbox>
            <w10:wrap type="none"/>
          </v:shape>
        </w:pict>
      </w:r>
      <w:r>
        <w:rPr>
          <w:b/>
          <w:w w:val="95"/>
          <w:sz w:val="19"/>
        </w:rPr>
        <w:t>ACCEPTED BID TOTAL</w:t>
      </w:r>
    </w:p>
    <w:p>
      <w:pPr>
        <w:pStyle w:val="BodyText"/>
        <w:rPr>
          <w:b/>
          <w:sz w:val="22"/>
        </w:rPr>
      </w:pPr>
    </w:p>
    <w:p>
      <w:pPr>
        <w:pStyle w:val="BodyText"/>
        <w:rPr>
          <w:b/>
          <w:sz w:val="22"/>
        </w:rPr>
      </w:pPr>
    </w:p>
    <w:p>
      <w:pPr>
        <w:pStyle w:val="BodyText"/>
        <w:spacing w:before="4"/>
        <w:rPr>
          <w:b/>
          <w:sz w:val="25"/>
        </w:rPr>
      </w:pPr>
    </w:p>
    <w:p>
      <w:pPr>
        <w:spacing w:before="0"/>
        <w:ind w:left="919" w:right="0" w:firstLine="0"/>
        <w:jc w:val="left"/>
        <w:rPr>
          <w:b/>
          <w:sz w:val="19"/>
        </w:rPr>
      </w:pPr>
      <w:r>
        <w:rPr>
          <w:b/>
          <w:w w:val="95"/>
          <w:sz w:val="19"/>
        </w:rPr>
        <w:t>Explanation of Rejected Bidder(s):</w:t>
      </w:r>
    </w:p>
    <w:p>
      <w:pPr>
        <w:pStyle w:val="BodyText"/>
        <w:rPr>
          <w:b/>
          <w:sz w:val="22"/>
        </w:rPr>
      </w:pPr>
    </w:p>
    <w:p>
      <w:pPr>
        <w:pStyle w:val="BodyText"/>
        <w:rPr>
          <w:b/>
          <w:sz w:val="22"/>
        </w:rPr>
      </w:pPr>
    </w:p>
    <w:p>
      <w:pPr>
        <w:pStyle w:val="BodyText"/>
        <w:rPr>
          <w:b/>
          <w:sz w:val="22"/>
        </w:rPr>
      </w:pPr>
    </w:p>
    <w:p>
      <w:pPr>
        <w:spacing w:before="157"/>
        <w:ind w:left="817" w:right="0" w:firstLine="0"/>
        <w:jc w:val="left"/>
        <w:rPr>
          <w:b/>
          <w:sz w:val="19"/>
        </w:rPr>
      </w:pPr>
      <w:r>
        <w:rPr>
          <w:b/>
          <w:sz w:val="19"/>
        </w:rPr>
        <w:t>I certify that this is a true tabulation of bids received.</w:t>
      </w:r>
    </w:p>
    <w:p>
      <w:pPr>
        <w:pStyle w:val="BodyText"/>
        <w:rPr>
          <w:b/>
          <w:sz w:val="20"/>
        </w:rPr>
      </w:pPr>
    </w:p>
    <w:p>
      <w:pPr>
        <w:pStyle w:val="BodyText"/>
        <w:rPr>
          <w:b/>
          <w:sz w:val="20"/>
        </w:rPr>
      </w:pPr>
    </w:p>
    <w:p>
      <w:pPr>
        <w:pStyle w:val="BodyText"/>
        <w:spacing w:before="4"/>
        <w:rPr>
          <w:b/>
          <w:sz w:val="13"/>
        </w:rPr>
      </w:pPr>
      <w:r>
        <w:rPr/>
        <w:pict>
          <v:group style="position:absolute;margin-left:62.632935pt;margin-top:9.645823pt;width:259.45pt;height:.95pt;mso-position-horizontal-relative:page;mso-position-vertical-relative:paragraph;z-index:28144;mso-wrap-distance-left:0;mso-wrap-distance-right:0" coordorigin="1253,193" coordsize="5189,19">
            <v:line style="position:absolute" from="1262,193" to="6432,193" stroked="true" strokeweight="0pt" strokecolor="#000000">
              <v:stroke dashstyle="solid"/>
            </v:line>
            <v:line style="position:absolute" from="1262,202" to="6432,202" stroked="true" strokeweight=".934041pt" strokecolor="#000000">
              <v:stroke dashstyle="solid"/>
            </v:line>
            <w10:wrap type="topAndBottom"/>
          </v:group>
        </w:pict>
      </w:r>
      <w:r>
        <w:rPr/>
        <w:pict>
          <v:group style="position:absolute;margin-left:385.600311pt;margin-top:9.645823pt;width:130.25pt;height:.95pt;mso-position-horizontal-relative:page;mso-position-vertical-relative:paragraph;z-index:28168;mso-wrap-distance-left:0;mso-wrap-distance-right:0" coordorigin="7712,193" coordsize="2605,19">
            <v:line style="position:absolute" from="7722,193" to="10307,193" stroked="true" strokeweight="0pt" strokecolor="#000000">
              <v:stroke dashstyle="solid"/>
            </v:line>
            <v:line style="position:absolute" from="7722,202" to="10307,202" stroked="true" strokeweight=".934041pt" strokecolor="#000000">
              <v:stroke dashstyle="solid"/>
            </v:line>
            <w10:wrap type="topAndBottom"/>
          </v:group>
        </w:pict>
      </w:r>
    </w:p>
    <w:p>
      <w:pPr>
        <w:tabs>
          <w:tab w:pos="7696" w:val="left" w:leader="none"/>
        </w:tabs>
        <w:spacing w:before="96"/>
        <w:ind w:left="817" w:right="0" w:firstLine="0"/>
        <w:jc w:val="left"/>
        <w:rPr>
          <w:b/>
          <w:sz w:val="19"/>
        </w:rPr>
      </w:pPr>
      <w:r>
        <w:rPr>
          <w:b/>
          <w:sz w:val="19"/>
        </w:rPr>
        <w:t>Departmental</w:t>
      </w:r>
      <w:r>
        <w:rPr>
          <w:b/>
          <w:spacing w:val="-29"/>
          <w:sz w:val="19"/>
        </w:rPr>
        <w:t> </w:t>
      </w:r>
      <w:r>
        <w:rPr>
          <w:b/>
          <w:sz w:val="19"/>
        </w:rPr>
        <w:t>Approving</w:t>
      </w:r>
      <w:r>
        <w:rPr>
          <w:b/>
          <w:spacing w:val="-29"/>
          <w:sz w:val="19"/>
        </w:rPr>
        <w:t> </w:t>
      </w:r>
      <w:r>
        <w:rPr>
          <w:b/>
          <w:sz w:val="19"/>
        </w:rPr>
        <w:t>Officer</w:t>
        <w:tab/>
        <w:t>Date</w:t>
      </w:r>
    </w:p>
    <w:p>
      <w:pPr>
        <w:spacing w:after="0"/>
        <w:jc w:val="left"/>
        <w:rPr>
          <w:sz w:val="19"/>
        </w:rPr>
        <w:sectPr>
          <w:type w:val="continuous"/>
          <w:pgSz w:w="12240" w:h="15840"/>
          <w:pgMar w:top="560" w:bottom="280" w:left="480" w:right="1720"/>
        </w:sectPr>
      </w:pPr>
    </w:p>
    <w:p>
      <w:pPr>
        <w:pStyle w:val="BodyText"/>
        <w:rPr>
          <w:b/>
          <w:sz w:val="20"/>
        </w:rPr>
      </w:pPr>
    </w:p>
    <w:p>
      <w:pPr>
        <w:tabs>
          <w:tab w:pos="9204" w:val="left" w:leader="none"/>
        </w:tabs>
        <w:spacing w:before="214"/>
        <w:ind w:left="106" w:right="0" w:firstLine="0"/>
        <w:jc w:val="left"/>
        <w:rPr>
          <w:b/>
          <w:sz w:val="24"/>
        </w:rPr>
      </w:pPr>
      <w:r>
        <w:rPr>
          <w:b/>
          <w:sz w:val="24"/>
        </w:rPr>
        <w:t>CONSTRUCTION</w:t>
        <w:tab/>
        <w:t>6854</w:t>
      </w:r>
    </w:p>
    <w:p>
      <w:pPr>
        <w:pStyle w:val="BodyText"/>
        <w:ind w:left="106"/>
      </w:pPr>
      <w:r>
        <w:rPr/>
        <w:t>(Revised 5/1998)</w:t>
      </w:r>
    </w:p>
    <w:p>
      <w:pPr>
        <w:pStyle w:val="BodyText"/>
        <w:spacing w:before="10"/>
        <w:rPr>
          <w:sz w:val="20"/>
        </w:rPr>
      </w:pPr>
    </w:p>
    <w:p>
      <w:pPr>
        <w:pStyle w:val="Heading2"/>
        <w:ind w:left="106" w:right="116"/>
      </w:pPr>
      <w:bookmarkStart w:name="The actual construction is the second st" w:id="95"/>
      <w:bookmarkEnd w:id="95"/>
      <w:r>
        <w:rPr>
          <w:b w:val="0"/>
        </w:rPr>
      </w:r>
      <w:r>
        <w:rPr>
          <w:b w:val="0"/>
        </w:rPr>
        <w:t>The actual construction is the second step in the construction phase: </w:t>
      </w:r>
      <w:r>
        <w:rPr/>
        <w:t>As noted in Section 6853, the construction phase consists of two steps: awarding the bid (previous section) and actual construction (this section). Section 3.00 of the Budget Act stipulates that “construction, when used in connection with a capital outlay project, shall include all such related things as fixtures, installed equipment, auxiliary facilities, contingencies, project construction, management, administration and associated costs.” Construction may also include departmental staffing costs for agency-retained construction work.</w:t>
      </w:r>
    </w:p>
    <w:p>
      <w:pPr>
        <w:pStyle w:val="BodyText"/>
        <w:spacing w:before="10"/>
        <w:rPr>
          <w:b/>
          <w:sz w:val="20"/>
        </w:rPr>
      </w:pPr>
    </w:p>
    <w:p>
      <w:pPr>
        <w:spacing w:before="0"/>
        <w:ind w:left="106" w:right="86" w:firstLine="0"/>
        <w:jc w:val="left"/>
        <w:rPr>
          <w:b/>
          <w:sz w:val="24"/>
        </w:rPr>
      </w:pPr>
      <w:bookmarkStart w:name="Construction cannot begin until the cont" w:id="96"/>
      <w:bookmarkEnd w:id="96"/>
      <w:r>
        <w:rPr/>
      </w:r>
      <w:r>
        <w:rPr>
          <w:b/>
          <w:sz w:val="24"/>
        </w:rPr>
        <w:t>Construction cannot begin until the contractor receives a notice to proceed from the project manager (which occurs after DOF has approved the DF-14D and released construction funds as described in Section 6853). Construction occurs in accordance with contract requirements. Any changes must be by contract amendment, and in some cases, DOF must concur with those changes (see following change orders). The phase ends when construction is complete and the contractor files a </w:t>
      </w:r>
      <w:r>
        <w:rPr>
          <w:b/>
          <w:i/>
          <w:sz w:val="24"/>
        </w:rPr>
        <w:t>Notice of Completion </w:t>
      </w:r>
      <w:r>
        <w:rPr>
          <w:b/>
          <w:sz w:val="24"/>
        </w:rPr>
        <w:t>with DGS or other project manager.</w:t>
      </w:r>
    </w:p>
    <w:p>
      <w:pPr>
        <w:pStyle w:val="BodyText"/>
        <w:spacing w:before="120"/>
        <w:ind w:left="106"/>
      </w:pPr>
      <w:r>
        <w:rPr>
          <w:b/>
        </w:rPr>
        <w:t>Competitive versus non-competitive construction</w:t>
      </w:r>
      <w:r>
        <w:rPr/>
        <w:t>: In a competitive bid situation, work during the construction phase is accomplished under a contract. In non-competitive situations, the work is done by either the DGS, the California Department of Corrections inmate labor, or departmental staff, as appropriate.</w:t>
      </w:r>
    </w:p>
    <w:p>
      <w:pPr>
        <w:pStyle w:val="BodyText"/>
        <w:spacing w:before="120"/>
        <w:ind w:left="106" w:right="294"/>
      </w:pPr>
      <w:r>
        <w:rPr>
          <w:b/>
        </w:rPr>
        <w:t>What are the contract documents? </w:t>
      </w:r>
      <w:r>
        <w:rPr/>
        <w:t>The contract documents consist of the agreement between the state and the contractor, notices to contractors, instructions to bidders, the written specifications and drawings prepared by the architect/engineer for constructing a project, general and supplementary conditions, contract bonds, addenda, change orders, and supplementary agreements.</w:t>
      </w:r>
    </w:p>
    <w:p>
      <w:pPr>
        <w:pStyle w:val="Heading2"/>
        <w:spacing w:before="120"/>
        <w:ind w:left="106"/>
      </w:pPr>
      <w:r>
        <w:rPr/>
        <w:t>What are the cost elements of construction?</w:t>
      </w:r>
    </w:p>
    <w:p>
      <w:pPr>
        <w:pStyle w:val="ListParagraph"/>
        <w:numPr>
          <w:ilvl w:val="0"/>
          <w:numId w:val="111"/>
        </w:numPr>
        <w:tabs>
          <w:tab w:pos="467" w:val="left" w:leader="none"/>
        </w:tabs>
        <w:spacing w:line="240" w:lineRule="auto" w:before="117" w:after="0"/>
        <w:ind w:left="466" w:right="137" w:hanging="360"/>
        <w:jc w:val="left"/>
        <w:rPr>
          <w:sz w:val="24"/>
        </w:rPr>
      </w:pPr>
      <w:r>
        <w:rPr>
          <w:b/>
          <w:sz w:val="24"/>
        </w:rPr>
        <w:t>Construction support: </w:t>
      </w:r>
      <w:r>
        <w:rPr>
          <w:sz w:val="24"/>
        </w:rPr>
        <w:t>The terms </w:t>
      </w:r>
      <w:r>
        <w:rPr>
          <w:i/>
          <w:sz w:val="24"/>
        </w:rPr>
        <w:t>construction support </w:t>
      </w:r>
      <w:r>
        <w:rPr>
          <w:sz w:val="24"/>
        </w:rPr>
        <w:t>or </w:t>
      </w:r>
      <w:r>
        <w:rPr>
          <w:i/>
          <w:sz w:val="24"/>
        </w:rPr>
        <w:t>project administration </w:t>
      </w:r>
      <w:r>
        <w:rPr>
          <w:sz w:val="24"/>
        </w:rPr>
        <w:t>are applied to all project expenses incurred during the construction phase other than actual construction costs.  The major construction support/project administration cost items are inspection, construction management, architect/engineer review, and special consultants—primarily for materials testing and asbestos abatement monitoring. Project </w:t>
      </w:r>
      <w:r>
        <w:rPr>
          <w:i/>
          <w:sz w:val="24"/>
        </w:rPr>
        <w:t>soft costs </w:t>
      </w:r>
      <w:r>
        <w:rPr>
          <w:sz w:val="24"/>
        </w:rPr>
        <w:t>include costs for all pre-construction phases, plus construction support</w:t>
      </w:r>
      <w:r>
        <w:rPr>
          <w:spacing w:val="-9"/>
          <w:sz w:val="24"/>
        </w:rPr>
        <w:t> </w:t>
      </w:r>
      <w:r>
        <w:rPr>
          <w:sz w:val="24"/>
        </w:rPr>
        <w:t>expenses.</w:t>
      </w:r>
    </w:p>
    <w:p>
      <w:pPr>
        <w:pStyle w:val="BodyText"/>
        <w:rPr>
          <w:sz w:val="26"/>
        </w:rPr>
      </w:pPr>
    </w:p>
    <w:p>
      <w:pPr>
        <w:pStyle w:val="BodyText"/>
        <w:spacing w:before="216"/>
        <w:ind w:left="106"/>
      </w:pPr>
      <w:r>
        <w:rPr/>
        <w:t>(Continued)</w:t>
      </w:r>
    </w:p>
    <w:p>
      <w:pPr>
        <w:spacing w:after="0"/>
        <w:sectPr>
          <w:footerReference w:type="default" r:id="rId310"/>
          <w:pgSz w:w="12240" w:h="15840"/>
          <w:pgMar w:footer="792" w:header="724" w:top="980" w:bottom="980" w:left="1060" w:right="1340"/>
        </w:sectPr>
      </w:pPr>
    </w:p>
    <w:p>
      <w:pPr>
        <w:pStyle w:val="BodyText"/>
        <w:rPr>
          <w:sz w:val="20"/>
        </w:rPr>
      </w:pPr>
    </w:p>
    <w:p>
      <w:pPr>
        <w:pStyle w:val="BodyText"/>
        <w:spacing w:before="214"/>
        <w:ind w:left="106"/>
      </w:pPr>
      <w:r>
        <w:rPr/>
        <w:t>(Continued)</w:t>
      </w:r>
    </w:p>
    <w:p>
      <w:pPr>
        <w:tabs>
          <w:tab w:pos="8203" w:val="left" w:leader="none"/>
        </w:tabs>
        <w:spacing w:before="0"/>
        <w:ind w:left="106" w:right="0" w:firstLine="0"/>
        <w:jc w:val="left"/>
        <w:rPr>
          <w:sz w:val="24"/>
        </w:rPr>
      </w:pPr>
      <w:r>
        <w:rPr>
          <w:b/>
          <w:sz w:val="24"/>
        </w:rPr>
        <w:t>CONSTRUCTION</w:t>
        <w:tab/>
        <w:t>6854 </w:t>
      </w:r>
      <w:r>
        <w:rPr>
          <w:sz w:val="24"/>
        </w:rPr>
        <w:t>(Cont.</w:t>
      </w:r>
      <w:r>
        <w:rPr>
          <w:spacing w:val="-6"/>
          <w:sz w:val="24"/>
        </w:rPr>
        <w:t> </w:t>
      </w:r>
      <w:r>
        <w:rPr>
          <w:sz w:val="24"/>
        </w:rPr>
        <w:t>1)</w:t>
      </w:r>
    </w:p>
    <w:p>
      <w:pPr>
        <w:pStyle w:val="BodyText"/>
        <w:ind w:left="106"/>
      </w:pPr>
      <w:r>
        <w:rPr/>
        <w:t>(Revised 5/1998)</w:t>
      </w:r>
    </w:p>
    <w:p>
      <w:pPr>
        <w:pStyle w:val="BodyText"/>
        <w:spacing w:before="5"/>
        <w:rPr>
          <w:sz w:val="34"/>
        </w:rPr>
      </w:pPr>
    </w:p>
    <w:p>
      <w:pPr>
        <w:pStyle w:val="ListParagraph"/>
        <w:numPr>
          <w:ilvl w:val="0"/>
          <w:numId w:val="111"/>
        </w:numPr>
        <w:tabs>
          <w:tab w:pos="467" w:val="left" w:leader="none"/>
        </w:tabs>
        <w:spacing w:line="240" w:lineRule="auto" w:before="0" w:after="0"/>
        <w:ind w:left="466" w:right="304" w:hanging="360"/>
        <w:jc w:val="left"/>
        <w:rPr>
          <w:sz w:val="24"/>
        </w:rPr>
      </w:pPr>
      <w:r>
        <w:rPr>
          <w:b/>
          <w:sz w:val="24"/>
        </w:rPr>
        <w:t>Construction contract</w:t>
      </w:r>
      <w:r>
        <w:rPr>
          <w:sz w:val="24"/>
        </w:rPr>
        <w:t>: This is the actual amount of the construction bid award, plus any approved change orders (referred to as “hard</w:t>
      </w:r>
      <w:r>
        <w:rPr>
          <w:spacing w:val="-29"/>
          <w:sz w:val="24"/>
        </w:rPr>
        <w:t> </w:t>
      </w:r>
      <w:r>
        <w:rPr>
          <w:sz w:val="24"/>
        </w:rPr>
        <w:t>costs”).</w:t>
      </w:r>
    </w:p>
    <w:p>
      <w:pPr>
        <w:pStyle w:val="BodyText"/>
        <w:spacing w:before="120"/>
        <w:ind w:left="466" w:right="155" w:hanging="360"/>
      </w:pPr>
      <w:r>
        <w:rPr>
          <w:strike/>
          <w:color w:val="2E97D3"/>
        </w:rPr>
        <w:t>a.</w:t>
      </w:r>
      <w:r>
        <w:rPr>
          <w:strike w:val="0"/>
          <w:color w:val="2E97D3"/>
          <w:u w:val="single" w:color="2E97D3"/>
        </w:rPr>
        <w:t>1.</w:t>
      </w:r>
      <w:r>
        <w:rPr>
          <w:b/>
          <w:strike w:val="0"/>
        </w:rPr>
        <w:t>Change orders </w:t>
      </w:r>
      <w:r>
        <w:rPr>
          <w:strike w:val="0"/>
        </w:rPr>
        <w:t>are formal contract amendments executed during the course of construction as required to address unforeseen site conditions, errors and omissions in the contract documents, and changes in the work resulting from client department requests. When a proposed change order potentially modifies project scope or would require a project augmentation, the client department must discuss the desired change with DOF </w:t>
      </w:r>
      <w:r>
        <w:rPr>
          <w:b/>
          <w:strike w:val="0"/>
        </w:rPr>
        <w:t>before executing the change order </w:t>
      </w:r>
      <w:r>
        <w:rPr>
          <w:strike w:val="0"/>
        </w:rPr>
        <w:t>to determine if the matter requires DOF/PWB action. (See Section 6863 for scope changes.) Change orders are funded from the contingency line item of the project budget, discussed in the following text.</w:t>
      </w:r>
    </w:p>
    <w:p>
      <w:pPr>
        <w:pStyle w:val="BodyText"/>
        <w:ind w:left="466" w:right="129"/>
        <w:jc w:val="both"/>
      </w:pPr>
      <w:r>
        <w:rPr/>
        <w:t>Approved scope changes may be funded partially or entirely from the contingency line- item, depending upon cost and how close the project is to completion. DOF makes this determination, in consultation with the client department, on a case-by-case basis.</w:t>
      </w:r>
    </w:p>
    <w:p>
      <w:pPr>
        <w:pStyle w:val="BodyText"/>
        <w:spacing w:before="120"/>
        <w:ind w:left="106" w:right="448"/>
        <w:rPr>
          <w:i/>
        </w:rPr>
      </w:pPr>
      <w:r>
        <w:rPr>
          <w:b/>
        </w:rPr>
        <w:t>Construction contingency</w:t>
      </w:r>
      <w:r>
        <w:rPr/>
        <w:t>: The construction contingency is a set percentage of the construction contract amount budgeted for unforeseen emergencies or design shortfalls identified </w:t>
      </w:r>
      <w:r>
        <w:rPr>
          <w:i/>
        </w:rPr>
        <w:t>after </w:t>
      </w:r>
      <w:r>
        <w:rPr/>
        <w:t>a construction project commences</w:t>
      </w:r>
      <w:r>
        <w:rPr>
          <w:i/>
        </w:rPr>
        <w:t>.</w:t>
      </w:r>
    </w:p>
    <w:p>
      <w:pPr>
        <w:pStyle w:val="BodyText"/>
        <w:tabs>
          <w:tab w:pos="1546" w:val="left" w:leader="none"/>
        </w:tabs>
        <w:spacing w:before="2"/>
        <w:ind w:left="466" w:right="891" w:hanging="360"/>
      </w:pPr>
      <w:r>
        <w:rPr>
          <w:strike/>
          <w:color w:val="2E97D3"/>
        </w:rPr>
        <w:t>a.</w:t>
      </w:r>
      <w:r>
        <w:rPr>
          <w:strike w:val="0"/>
          <w:color w:val="2E97D3"/>
          <w:u w:val="single" w:color="2E97D3"/>
        </w:rPr>
        <w:t>7.</w:t>
        <w:tab/>
      </w:r>
      <w:r>
        <w:rPr>
          <w:strike w:val="0"/>
        </w:rPr>
        <w:t>Construction contingencies are limited to 5 percent of</w:t>
      </w:r>
      <w:r>
        <w:rPr>
          <w:strike w:val="0"/>
          <w:spacing w:val="-26"/>
        </w:rPr>
        <w:t> </w:t>
      </w:r>
      <w:r>
        <w:rPr>
          <w:strike w:val="0"/>
        </w:rPr>
        <w:t>the</w:t>
      </w:r>
      <w:r>
        <w:rPr>
          <w:strike w:val="0"/>
          <w:spacing w:val="-3"/>
        </w:rPr>
        <w:t> </w:t>
      </w:r>
      <w:r>
        <w:rPr>
          <w:strike w:val="0"/>
        </w:rPr>
        <w:t>construction</w:t>
      </w:r>
      <w:r>
        <w:rPr>
          <w:strike w:val="0"/>
          <w:w w:val="99"/>
        </w:rPr>
        <w:t> </w:t>
      </w:r>
      <w:r>
        <w:rPr>
          <w:strike w:val="0"/>
        </w:rPr>
        <w:t>estimate/bid for a new facility and 7 percent of the construction estimate/bid for remodeling/renovation</w:t>
      </w:r>
      <w:r>
        <w:rPr>
          <w:strike w:val="0"/>
          <w:spacing w:val="-18"/>
        </w:rPr>
        <w:t> </w:t>
      </w:r>
      <w:r>
        <w:rPr>
          <w:strike w:val="0"/>
        </w:rPr>
        <w:t>projects.</w:t>
      </w:r>
    </w:p>
    <w:p>
      <w:pPr>
        <w:pStyle w:val="BodyText"/>
        <w:tabs>
          <w:tab w:pos="1546" w:val="left" w:leader="none"/>
        </w:tabs>
        <w:spacing w:before="119"/>
        <w:ind w:left="466" w:right="170" w:hanging="360"/>
      </w:pPr>
      <w:r>
        <w:rPr>
          <w:strike/>
          <w:color w:val="2E97D3"/>
        </w:rPr>
        <w:t>b.</w:t>
      </w:r>
      <w:r>
        <w:rPr>
          <w:strike w:val="0"/>
          <w:color w:val="2E97D3"/>
          <w:u w:val="single" w:color="2E97D3"/>
        </w:rPr>
        <w:t>8.</w:t>
        <w:tab/>
      </w:r>
      <w:r>
        <w:rPr>
          <w:strike w:val="0"/>
        </w:rPr>
        <w:t>A construction contingency is included in the budget so the</w:t>
      </w:r>
      <w:r>
        <w:rPr>
          <w:strike w:val="0"/>
          <w:spacing w:val="-30"/>
        </w:rPr>
        <w:t> </w:t>
      </w:r>
      <w:r>
        <w:rPr>
          <w:strike w:val="0"/>
        </w:rPr>
        <w:t>project</w:t>
      </w:r>
      <w:r>
        <w:rPr>
          <w:strike w:val="0"/>
          <w:spacing w:val="-2"/>
        </w:rPr>
        <w:t> </w:t>
      </w:r>
      <w:r>
        <w:rPr>
          <w:strike w:val="0"/>
        </w:rPr>
        <w:t>can</w:t>
      </w:r>
      <w:r>
        <w:rPr>
          <w:strike w:val="0"/>
          <w:w w:val="99"/>
        </w:rPr>
        <w:t> </w:t>
      </w:r>
      <w:r>
        <w:rPr>
          <w:strike w:val="0"/>
        </w:rPr>
        <w:t>proceed with minimal interruption for small (non-scope) changes or cost overruns. The typical construction contract includes a specific completion date or working days to complete clause, and the contractor can be assessed liquidated damages if the work is not completed within this specified time. Concurrently, the contractor is entitled to proceed with the work without interruption. To minimize state-caused delays, the client department must be able to implement </w:t>
      </w:r>
      <w:r>
        <w:rPr>
          <w:i/>
          <w:strike w:val="0"/>
        </w:rPr>
        <w:t>minor </w:t>
      </w:r>
      <w:r>
        <w:rPr>
          <w:strike w:val="0"/>
        </w:rPr>
        <w:t>(i.e., non-scope) changes without administrative</w:t>
      </w:r>
      <w:r>
        <w:rPr>
          <w:strike w:val="0"/>
          <w:spacing w:val="-12"/>
        </w:rPr>
        <w:t> </w:t>
      </w:r>
      <w:r>
        <w:rPr>
          <w:strike w:val="0"/>
        </w:rPr>
        <w:t>delay.</w:t>
      </w:r>
    </w:p>
    <w:p>
      <w:pPr>
        <w:pStyle w:val="BodyText"/>
        <w:tabs>
          <w:tab w:pos="1546" w:val="left" w:leader="none"/>
        </w:tabs>
        <w:spacing w:before="119"/>
        <w:ind w:left="106"/>
      </w:pPr>
      <w:r>
        <w:rPr>
          <w:strike/>
          <w:color w:val="2E97D3"/>
        </w:rPr>
        <w:t>c.</w:t>
      </w:r>
      <w:r>
        <w:rPr>
          <w:strike w:val="0"/>
          <w:color w:val="2E97D3"/>
          <w:u w:val="single" w:color="2E97D3"/>
        </w:rPr>
        <w:t>9.</w:t>
        <w:tab/>
      </w:r>
      <w:r>
        <w:rPr>
          <w:strike w:val="0"/>
        </w:rPr>
        <w:t>Generally, the project manager approves the use of contingency</w:t>
      </w:r>
      <w:r>
        <w:rPr>
          <w:strike w:val="0"/>
          <w:spacing w:val="-34"/>
        </w:rPr>
        <w:t> </w:t>
      </w:r>
      <w:r>
        <w:rPr>
          <w:strike w:val="0"/>
        </w:rPr>
        <w:t>funds.</w:t>
      </w:r>
    </w:p>
    <w:p>
      <w:pPr>
        <w:pStyle w:val="BodyText"/>
        <w:ind w:left="466" w:right="200"/>
      </w:pPr>
      <w:r>
        <w:rPr/>
        <w:t>However, if the project requires an augmentation or a scope change, DOF may require that contingency funds be used in part to meet that need. This decision is made on a case-by-case basis.  (Likewise, if an augmentation is requested and a review of change orders reveals that contingency funds were used for a non-essential purpose, PWB may disapprove the request for additional funds and direct the client department to identify alternative solutions.)</w:t>
      </w:r>
    </w:p>
    <w:p>
      <w:pPr>
        <w:pStyle w:val="BodyText"/>
        <w:spacing w:before="10"/>
        <w:rPr>
          <w:sz w:val="20"/>
        </w:rPr>
      </w:pPr>
    </w:p>
    <w:p>
      <w:pPr>
        <w:spacing w:before="0"/>
        <w:ind w:left="106" w:right="0" w:firstLine="0"/>
        <w:jc w:val="left"/>
        <w:rPr>
          <w:b/>
          <w:sz w:val="24"/>
        </w:rPr>
      </w:pPr>
      <w:bookmarkStart w:name="Construction augmentations:  See Section" w:id="97"/>
      <w:bookmarkEnd w:id="97"/>
      <w:r>
        <w:rPr/>
      </w:r>
      <w:r>
        <w:rPr>
          <w:sz w:val="24"/>
        </w:rPr>
        <w:t>Construction augmentations:  </w:t>
      </w:r>
      <w:r>
        <w:rPr>
          <w:b/>
          <w:sz w:val="24"/>
        </w:rPr>
        <w:t>See Section 6861.</w:t>
      </w:r>
    </w:p>
    <w:p>
      <w:pPr>
        <w:spacing w:after="0"/>
        <w:jc w:val="left"/>
        <w:rPr>
          <w:sz w:val="24"/>
        </w:rPr>
        <w:sectPr>
          <w:pgSz w:w="12240" w:h="15840"/>
          <w:pgMar w:header="724" w:footer="792" w:top="980" w:bottom="980" w:left="1060" w:right="1320"/>
        </w:sectPr>
      </w:pPr>
    </w:p>
    <w:p>
      <w:pPr>
        <w:pStyle w:val="BodyText"/>
        <w:rPr>
          <w:b/>
          <w:sz w:val="20"/>
        </w:rPr>
      </w:pPr>
    </w:p>
    <w:p>
      <w:pPr>
        <w:pStyle w:val="Heading2"/>
        <w:tabs>
          <w:tab w:pos="9784" w:val="left" w:leader="none"/>
        </w:tabs>
        <w:spacing w:before="214"/>
        <w:ind w:left="686"/>
      </w:pPr>
      <w:bookmarkStart w:name="EQUIPMENT 6855" w:id="98"/>
      <w:bookmarkEnd w:id="98"/>
      <w:r>
        <w:rPr>
          <w:b w:val="0"/>
        </w:rPr>
      </w:r>
      <w:r>
        <w:rPr/>
        <w:t>EQUIPMENT</w:t>
        <w:tab/>
        <w:t>6855</w:t>
      </w:r>
    </w:p>
    <w:p>
      <w:pPr>
        <w:pStyle w:val="BodyText"/>
        <w:ind w:left="686"/>
      </w:pPr>
      <w:bookmarkStart w:name="(Revised 5/1998)" w:id="99"/>
      <w:bookmarkEnd w:id="99"/>
      <w:r>
        <w:rPr/>
      </w:r>
      <w:r>
        <w:rPr/>
        <w:t>(Revised 5/1998)</w:t>
      </w:r>
    </w:p>
    <w:p>
      <w:pPr>
        <w:spacing w:before="117"/>
        <w:ind w:left="686" w:right="0" w:firstLine="0"/>
        <w:jc w:val="left"/>
        <w:rPr>
          <w:sz w:val="24"/>
        </w:rPr>
      </w:pPr>
      <w:r>
        <w:rPr>
          <w:b/>
          <w:sz w:val="24"/>
        </w:rPr>
        <w:t>Group 1 and 2 equipment</w:t>
      </w:r>
      <w:r>
        <w:rPr>
          <w:sz w:val="24"/>
        </w:rPr>
        <w:t>:  Capital outlay equipment is categorized either as </w:t>
      </w:r>
      <w:r>
        <w:rPr>
          <w:i/>
          <w:sz w:val="24"/>
        </w:rPr>
        <w:t>Group 1 </w:t>
      </w:r>
      <w:r>
        <w:rPr>
          <w:sz w:val="24"/>
        </w:rPr>
        <w:t>or</w:t>
      </w:r>
    </w:p>
    <w:p>
      <w:pPr>
        <w:spacing w:before="0"/>
        <w:ind w:left="686" w:right="0" w:firstLine="0"/>
        <w:jc w:val="left"/>
        <w:rPr>
          <w:sz w:val="24"/>
        </w:rPr>
      </w:pPr>
      <w:r>
        <w:rPr>
          <w:i/>
          <w:sz w:val="24"/>
        </w:rPr>
        <w:t>Group 2 </w:t>
      </w:r>
      <w:r>
        <w:rPr>
          <w:sz w:val="24"/>
        </w:rPr>
        <w:t>equipment:</w:t>
      </w:r>
    </w:p>
    <w:p>
      <w:pPr>
        <w:pStyle w:val="BodyText"/>
        <w:spacing w:before="123"/>
        <w:ind w:left="1046" w:right="414" w:hanging="360"/>
      </w:pPr>
      <w:r>
        <w:rPr>
          <w:strike/>
          <w:color w:val="2E97D3"/>
        </w:rPr>
        <w:t>1.</w:t>
      </w:r>
      <w:r>
        <w:rPr>
          <w:strike w:val="0"/>
          <w:color w:val="2E97D3"/>
          <w:u w:val="single" w:color="2E97D3"/>
        </w:rPr>
        <w:t>2.</w:t>
      </w:r>
      <w:r>
        <w:rPr>
          <w:strike w:val="0"/>
        </w:rPr>
        <w:t>Group 1 equipment is installed equipment such as heating and air conditioning units and is budgeted as part of the construction phase.</w:t>
      </w:r>
    </w:p>
    <w:p>
      <w:pPr>
        <w:pStyle w:val="BodyText"/>
      </w:pPr>
    </w:p>
    <w:p>
      <w:pPr>
        <w:pStyle w:val="BodyText"/>
        <w:ind w:left="1046" w:right="362" w:hanging="360"/>
      </w:pPr>
      <w:r>
        <w:rPr>
          <w:strike/>
          <w:color w:val="2E97D3"/>
        </w:rPr>
        <w:t>2.</w:t>
      </w:r>
      <w:r>
        <w:rPr>
          <w:strike w:val="0"/>
          <w:color w:val="2E97D3"/>
          <w:u w:val="single" w:color="2E97D3"/>
        </w:rPr>
        <w:t>3.</w:t>
      </w:r>
      <w:r>
        <w:rPr>
          <w:strike w:val="0"/>
        </w:rPr>
        <w:t>Group 2 equipment is movable equipment, such as tables and chairs (but not replacement equipment) and is budgeted as its own project phase, typically following construction.</w:t>
      </w:r>
    </w:p>
    <w:p>
      <w:pPr>
        <w:spacing w:before="120"/>
        <w:ind w:left="686" w:right="0" w:firstLine="0"/>
        <w:jc w:val="left"/>
        <w:rPr>
          <w:sz w:val="24"/>
        </w:rPr>
      </w:pPr>
      <w:r>
        <w:rPr>
          <w:b/>
          <w:sz w:val="24"/>
        </w:rPr>
        <w:t>Not all equipment is classified as capital outlay</w:t>
      </w:r>
      <w:r>
        <w:rPr>
          <w:sz w:val="24"/>
        </w:rPr>
        <w:t>: See Section 6806 for the difference between equipment budgeted through the support appropriation versus capital outlay equipment.</w:t>
      </w:r>
    </w:p>
    <w:p>
      <w:pPr>
        <w:spacing w:before="120"/>
        <w:ind w:left="686" w:right="529" w:firstLine="0"/>
        <w:jc w:val="both"/>
        <w:rPr>
          <w:sz w:val="24"/>
        </w:rPr>
      </w:pPr>
      <w:r>
        <w:rPr>
          <w:b/>
          <w:sz w:val="24"/>
        </w:rPr>
        <w:t>How to request funds for capital outlay equipment</w:t>
      </w:r>
      <w:r>
        <w:rPr>
          <w:sz w:val="24"/>
        </w:rPr>
        <w:t>: Specific information is required when requesting funding for capital outlay equipment. See Section 6818 for budgeting instructions.</w:t>
      </w:r>
    </w:p>
    <w:p>
      <w:pPr>
        <w:pStyle w:val="BodyText"/>
        <w:spacing w:before="120"/>
        <w:ind w:left="686" w:right="215"/>
      </w:pPr>
      <w:r>
        <w:rPr>
          <w:b/>
        </w:rPr>
        <w:t>Expenditure of equipment funds requires DOF approval</w:t>
      </w:r>
      <w:r>
        <w:rPr/>
        <w:t>: Government Code Section </w:t>
      </w:r>
      <w:hyperlink r:id="rId171">
        <w:r>
          <w:rPr>
            <w:color w:val="0000FF"/>
            <w:u w:val="single" w:color="0000FF"/>
          </w:rPr>
          <w:t>13332.11</w:t>
        </w:r>
      </w:hyperlink>
      <w:r>
        <w:rPr/>
        <w:t>(c) limits the cumulative expenditure of project funds for equipment to $2,000 without prior approval by DOF. This refers to the purchase of Group 2 equipment budgeted in the equipment phase of a project. The project manager requests approval by providing the standard fiscal reporting requirements specified in Section 6845.</w:t>
      </w:r>
    </w:p>
    <w:p>
      <w:pPr>
        <w:pStyle w:val="BodyText"/>
        <w:spacing w:before="120"/>
        <w:ind w:left="686" w:right="254"/>
      </w:pPr>
      <w:r>
        <w:rPr>
          <w:b/>
        </w:rPr>
        <w:t>Long-lead equipment: </w:t>
      </w:r>
      <w:r>
        <w:rPr/>
        <w:t>Although final equipment lists are generally not approved for purchase until after PWB has approved preliminary plans, there are instances when equipment must be ordered in advance because of installation problems or extended manufacturing time. Subject to DOF and PWB approval, Government Code Section 15792 allows departments to incur equipment obligations to be paid during the fiscal year following the year of a project completion.  This authorization:</w:t>
      </w:r>
    </w:p>
    <w:p>
      <w:pPr>
        <w:pStyle w:val="ListParagraph"/>
        <w:numPr>
          <w:ilvl w:val="0"/>
          <w:numId w:val="112"/>
        </w:numPr>
        <w:tabs>
          <w:tab w:pos="1047" w:val="left" w:leader="none"/>
        </w:tabs>
        <w:spacing w:line="242" w:lineRule="auto" w:before="120" w:after="0"/>
        <w:ind w:left="1046" w:right="377" w:hanging="360"/>
        <w:jc w:val="left"/>
        <w:rPr>
          <w:sz w:val="24"/>
        </w:rPr>
      </w:pPr>
      <w:r>
        <w:rPr>
          <w:sz w:val="24"/>
        </w:rPr>
        <w:t>Is limited to the purchase of equipment related to capital outlay projects for which the Legislature has appropriated construction</w:t>
      </w:r>
      <w:r>
        <w:rPr>
          <w:spacing w:val="-24"/>
          <w:sz w:val="24"/>
        </w:rPr>
        <w:t> </w:t>
      </w:r>
      <w:r>
        <w:rPr>
          <w:sz w:val="24"/>
        </w:rPr>
        <w:t>funds;</w:t>
      </w:r>
    </w:p>
    <w:p>
      <w:pPr>
        <w:pStyle w:val="ListParagraph"/>
        <w:numPr>
          <w:ilvl w:val="0"/>
          <w:numId w:val="112"/>
        </w:numPr>
        <w:tabs>
          <w:tab w:pos="1047" w:val="left" w:leader="none"/>
        </w:tabs>
        <w:spacing w:line="242" w:lineRule="auto" w:before="194" w:after="0"/>
        <w:ind w:left="1046" w:right="485" w:hanging="360"/>
        <w:jc w:val="left"/>
        <w:rPr>
          <w:sz w:val="24"/>
        </w:rPr>
      </w:pPr>
      <w:r>
        <w:rPr>
          <w:sz w:val="24"/>
        </w:rPr>
        <w:t>Applies to both Groups 1 and 2 equipment, although in practice the request is made generally for the latter;</w:t>
      </w:r>
      <w:r>
        <w:rPr>
          <w:spacing w:val="-14"/>
          <w:sz w:val="24"/>
        </w:rPr>
        <w:t> </w:t>
      </w:r>
      <w:r>
        <w:rPr>
          <w:sz w:val="24"/>
        </w:rPr>
        <w:t>and</w:t>
      </w:r>
    </w:p>
    <w:p>
      <w:pPr>
        <w:pStyle w:val="ListParagraph"/>
        <w:numPr>
          <w:ilvl w:val="0"/>
          <w:numId w:val="112"/>
        </w:numPr>
        <w:tabs>
          <w:tab w:pos="1047" w:val="left" w:leader="none"/>
        </w:tabs>
        <w:spacing w:line="242" w:lineRule="auto" w:before="194" w:after="0"/>
        <w:ind w:left="1046" w:right="467" w:hanging="360"/>
        <w:jc w:val="left"/>
        <w:rPr>
          <w:sz w:val="24"/>
        </w:rPr>
      </w:pPr>
      <w:r>
        <w:rPr>
          <w:sz w:val="24"/>
        </w:rPr>
        <w:t>Is subject to the determination of future year equipment funding needs based on the project</w:t>
      </w:r>
      <w:r>
        <w:rPr>
          <w:spacing w:val="-7"/>
          <w:sz w:val="24"/>
        </w:rPr>
        <w:t> </w:t>
      </w:r>
      <w:r>
        <w:rPr>
          <w:sz w:val="24"/>
        </w:rPr>
        <w:t>schedule.</w:t>
      </w:r>
    </w:p>
    <w:p>
      <w:pPr>
        <w:pStyle w:val="BodyText"/>
        <w:spacing w:before="196"/>
        <w:ind w:left="686" w:right="1082"/>
      </w:pPr>
      <w:r>
        <w:rPr/>
        <w:t>See also Section 6842 on PWB’s role and responsibilities related to capital outlay equipment.</w:t>
      </w:r>
    </w:p>
    <w:p>
      <w:pPr>
        <w:spacing w:before="119"/>
        <w:ind w:left="686" w:right="0" w:firstLine="0"/>
        <w:jc w:val="left"/>
        <w:rPr>
          <w:sz w:val="24"/>
        </w:rPr>
      </w:pPr>
      <w:r>
        <w:rPr>
          <w:b/>
          <w:sz w:val="24"/>
        </w:rPr>
        <w:t>Agenda package for approval of long-lead equipment.  </w:t>
      </w:r>
      <w:r>
        <w:rPr>
          <w:sz w:val="24"/>
        </w:rPr>
        <w:t>Provide the following:</w:t>
      </w:r>
    </w:p>
    <w:p>
      <w:pPr>
        <w:pStyle w:val="ListParagraph"/>
        <w:numPr>
          <w:ilvl w:val="0"/>
          <w:numId w:val="113"/>
        </w:numPr>
        <w:tabs>
          <w:tab w:pos="1047" w:val="left" w:leader="none"/>
        </w:tabs>
        <w:spacing w:line="240" w:lineRule="auto" w:before="119" w:after="0"/>
        <w:ind w:left="1046" w:right="1069" w:hanging="360"/>
        <w:jc w:val="left"/>
        <w:rPr>
          <w:sz w:val="24"/>
        </w:rPr>
      </w:pPr>
      <w:r>
        <w:rPr>
          <w:sz w:val="24"/>
        </w:rPr>
        <w:t>All information required in Section 6845, including the standard fiscal reporting requirements and the agenda package;</w:t>
      </w:r>
      <w:r>
        <w:rPr>
          <w:spacing w:val="-20"/>
          <w:sz w:val="24"/>
        </w:rPr>
        <w:t> </w:t>
      </w:r>
      <w:r>
        <w:rPr>
          <w:sz w:val="24"/>
        </w:rPr>
        <w:t>and</w:t>
      </w:r>
    </w:p>
    <w:p>
      <w:pPr>
        <w:pStyle w:val="ListParagraph"/>
        <w:numPr>
          <w:ilvl w:val="0"/>
          <w:numId w:val="113"/>
        </w:numPr>
        <w:tabs>
          <w:tab w:pos="1047" w:val="left" w:leader="none"/>
        </w:tabs>
        <w:spacing w:line="240" w:lineRule="auto" w:before="119" w:after="0"/>
        <w:ind w:left="1046" w:right="0" w:hanging="360"/>
        <w:jc w:val="left"/>
        <w:rPr>
          <w:sz w:val="24"/>
        </w:rPr>
      </w:pPr>
      <w:r>
        <w:rPr/>
        <w:pict>
          <v:line style="position:absolute;mso-position-horizontal-relative:page;mso-position-vertical-relative:paragraph;z-index:28288" from="29.4pt,25.966856pt" to="29.4pt,51.765856pt" stroked="true" strokeweight=".72pt" strokecolor="#000000">
            <v:stroke dashstyle="solid"/>
            <w10:wrap type="none"/>
          </v:line>
        </w:pict>
      </w:r>
      <w:r>
        <w:rPr>
          <w:sz w:val="24"/>
        </w:rPr>
        <w:t>Identification of which equipment needs to be ordered early and</w:t>
      </w:r>
      <w:r>
        <w:rPr>
          <w:spacing w:val="-33"/>
          <w:sz w:val="24"/>
        </w:rPr>
        <w:t> </w:t>
      </w:r>
      <w:r>
        <w:rPr>
          <w:sz w:val="24"/>
        </w:rPr>
        <w:t>why.</w:t>
      </w:r>
    </w:p>
    <w:p>
      <w:pPr>
        <w:spacing w:after="0" w:line="240" w:lineRule="auto"/>
        <w:jc w:val="left"/>
        <w:rPr>
          <w:sz w:val="24"/>
        </w:rPr>
        <w:sectPr>
          <w:pgSz w:w="12240" w:h="15840"/>
          <w:pgMar w:header="724" w:footer="792" w:top="980" w:bottom="980" w:left="480" w:right="1340"/>
        </w:sectPr>
      </w:pPr>
    </w:p>
    <w:p>
      <w:pPr>
        <w:pStyle w:val="BodyText"/>
        <w:rPr>
          <w:sz w:val="20"/>
        </w:rPr>
      </w:pPr>
    </w:p>
    <w:p>
      <w:pPr>
        <w:pStyle w:val="BodyText"/>
        <w:spacing w:before="1"/>
        <w:rPr>
          <w:sz w:val="22"/>
        </w:rPr>
      </w:pPr>
    </w:p>
    <w:p>
      <w:pPr>
        <w:tabs>
          <w:tab w:pos="9784" w:val="left" w:leader="none"/>
        </w:tabs>
        <w:spacing w:before="1"/>
        <w:ind w:left="686" w:right="0" w:firstLine="0"/>
        <w:jc w:val="left"/>
        <w:rPr>
          <w:b/>
          <w:sz w:val="24"/>
        </w:rPr>
      </w:pPr>
      <w:r>
        <w:rPr/>
        <w:pict>
          <v:line style="position:absolute;mso-position-horizontal-relative:page;mso-position-vertical-relative:paragraph;z-index:28384" from="29.4pt,14.065843pt" to="29.4pt,27.865843pt" stroked="true" strokeweight=".72pt" strokecolor="#000000">
            <v:stroke dashstyle="solid"/>
            <w10:wrap type="none"/>
          </v:line>
        </w:pict>
      </w:r>
      <w:bookmarkStart w:name="PROJECT COMPLETION 6856" w:id="100"/>
      <w:bookmarkEnd w:id="100"/>
      <w:r>
        <w:rPr/>
      </w:r>
      <w:r>
        <w:rPr>
          <w:b/>
          <w:sz w:val="24"/>
        </w:rPr>
        <w:t>PROJECT</w:t>
      </w:r>
      <w:r>
        <w:rPr>
          <w:b/>
          <w:spacing w:val="-3"/>
          <w:sz w:val="24"/>
        </w:rPr>
        <w:t> </w:t>
      </w:r>
      <w:r>
        <w:rPr>
          <w:b/>
          <w:sz w:val="24"/>
        </w:rPr>
        <w:t>COMPLETION</w:t>
        <w:tab/>
        <w:t>6856</w:t>
      </w:r>
    </w:p>
    <w:p>
      <w:pPr>
        <w:pStyle w:val="BodyText"/>
        <w:ind w:left="686"/>
      </w:pPr>
      <w:r>
        <w:rPr/>
        <w:t>(Revised </w:t>
      </w:r>
      <w:r>
        <w:rPr>
          <w:strike/>
          <w:color w:val="2E97D3"/>
        </w:rPr>
        <w:t>5/1998</w:t>
      </w:r>
      <w:r>
        <w:rPr>
          <w:strike w:val="0"/>
          <w:color w:val="2E97D3"/>
          <w:u w:val="single" w:color="2E97D3"/>
        </w:rPr>
        <w:t>09/2017</w:t>
      </w:r>
      <w:r>
        <w:rPr>
          <w:strike w:val="0"/>
        </w:rPr>
        <w:t>)</w:t>
      </w:r>
    </w:p>
    <w:p>
      <w:pPr>
        <w:pStyle w:val="BodyText"/>
        <w:spacing w:before="11"/>
        <w:rPr>
          <w:sz w:val="15"/>
        </w:rPr>
      </w:pPr>
    </w:p>
    <w:p>
      <w:pPr>
        <w:pStyle w:val="BodyText"/>
        <w:spacing w:before="92"/>
        <w:ind w:left="686" w:right="167"/>
      </w:pPr>
      <w:r>
        <w:rPr/>
        <w:pict>
          <v:line style="position:absolute;mso-position-horizontal-relative:page;mso-position-vertical-relative:paragraph;z-index:28408" from="29.4pt,4.815879pt" to="29.4pt,18.615879pt" stroked="true" strokeweight=".72pt" strokecolor="#000000">
            <v:stroke dashstyle="solid"/>
            <w10:wrap type="none"/>
          </v:line>
        </w:pict>
      </w:r>
      <w:r>
        <w:rPr/>
        <w:pict>
          <v:line style="position:absolute;mso-position-horizontal-relative:page;mso-position-vertical-relative:paragraph;z-index:28432" from="29.4pt,32.415878pt" to="29.4pt,60.015878pt" stroked="true" strokeweight=".72pt" strokecolor="#000000">
            <v:stroke dashstyle="solid"/>
            <w10:wrap type="none"/>
          </v:line>
        </w:pict>
      </w:r>
      <w:r>
        <w:rPr>
          <w:b/>
        </w:rPr>
        <w:t>Project Occupancy</w:t>
      </w:r>
      <w:r>
        <w:rPr/>
        <w:t>: </w:t>
      </w:r>
      <w:r>
        <w:rPr>
          <w:strike/>
          <w:color w:val="2E97D3"/>
        </w:rPr>
        <w:t>DOF</w:t>
      </w:r>
      <w:r>
        <w:rPr>
          <w:strike w:val="0"/>
          <w:color w:val="2E97D3"/>
          <w:u w:val="single" w:color="2E97D3"/>
        </w:rPr>
        <w:t>Finance </w:t>
      </w:r>
      <w:r>
        <w:rPr>
          <w:strike w:val="0"/>
        </w:rPr>
        <w:t>must be notified by the department when the project is ready for occupancy (the date of final inspection, beneficial use or occupancy of the project, whichever is earliest). </w:t>
      </w:r>
      <w:r>
        <w:rPr>
          <w:strike/>
          <w:color w:val="2E97D3"/>
        </w:rPr>
        <w:t>For lease/</w:t>
      </w:r>
      <w:r>
        <w:rPr>
          <w:strike w:val="0"/>
          <w:color w:val="2E97D3"/>
          <w:u w:val="single" w:color="2E97D3"/>
        </w:rPr>
        <w:t>A copy of the Certificate of Occupancy must be sent to Finance. For lease--</w:t>
      </w:r>
      <w:r>
        <w:rPr>
          <w:strike w:val="0"/>
        </w:rPr>
        <w:t>revenue funded projects, this is typically the date when insurance must be in place and triggers when lease payments begin.</w:t>
      </w:r>
    </w:p>
    <w:p>
      <w:pPr>
        <w:pStyle w:val="BodyText"/>
        <w:spacing w:before="11"/>
        <w:rPr>
          <w:sz w:val="23"/>
        </w:rPr>
      </w:pPr>
    </w:p>
    <w:p>
      <w:pPr>
        <w:pStyle w:val="Heading2"/>
        <w:numPr>
          <w:ilvl w:val="0"/>
          <w:numId w:val="114"/>
        </w:numPr>
        <w:tabs>
          <w:tab w:pos="1047" w:val="left" w:leader="none"/>
        </w:tabs>
        <w:spacing w:line="240" w:lineRule="auto" w:before="0" w:after="0"/>
        <w:ind w:left="1046" w:right="0" w:hanging="360"/>
        <w:jc w:val="left"/>
        <w:rPr>
          <w:b w:val="0"/>
        </w:rPr>
      </w:pPr>
      <w:r>
        <w:rPr/>
        <w:t>Information requirements related to notification of project</w:t>
      </w:r>
      <w:r>
        <w:rPr>
          <w:spacing w:val="-40"/>
        </w:rPr>
        <w:t> </w:t>
      </w:r>
      <w:r>
        <w:rPr/>
        <w:t>occupancy</w:t>
      </w:r>
      <w:r>
        <w:rPr>
          <w:b w:val="0"/>
        </w:rPr>
        <w:t>:</w:t>
      </w:r>
    </w:p>
    <w:p>
      <w:pPr>
        <w:pStyle w:val="BodyText"/>
        <w:spacing w:before="11"/>
        <w:rPr>
          <w:sz w:val="23"/>
        </w:rPr>
      </w:pPr>
    </w:p>
    <w:p>
      <w:pPr>
        <w:pStyle w:val="BodyText"/>
        <w:tabs>
          <w:tab w:pos="2126" w:val="left" w:leader="none"/>
        </w:tabs>
        <w:ind w:left="1046"/>
      </w:pPr>
      <w:r>
        <w:rPr>
          <w:strike/>
          <w:color w:val="2E97D3"/>
        </w:rPr>
        <w:t>a.</w:t>
      </w:r>
      <w:r>
        <w:rPr>
          <w:strike w:val="0"/>
          <w:color w:val="2E97D3"/>
          <w:u w:val="single" w:color="2E97D3"/>
        </w:rPr>
        <w:t>1.</w:t>
        <w:tab/>
      </w:r>
      <w:r>
        <w:rPr>
          <w:strike w:val="0"/>
        </w:rPr>
        <w:t>The standard fiscal reporting requirements described in Section 6845;</w:t>
      </w:r>
      <w:r>
        <w:rPr>
          <w:strike w:val="0"/>
          <w:spacing w:val="-32"/>
        </w:rPr>
        <w:t> </w:t>
      </w:r>
      <w:r>
        <w:rPr>
          <w:strike w:val="0"/>
        </w:rPr>
        <w:t>and</w:t>
      </w:r>
    </w:p>
    <w:p>
      <w:pPr>
        <w:pStyle w:val="BodyText"/>
        <w:spacing w:before="11"/>
        <w:rPr>
          <w:sz w:val="15"/>
        </w:rPr>
      </w:pPr>
    </w:p>
    <w:p>
      <w:pPr>
        <w:pStyle w:val="BodyText"/>
        <w:spacing w:before="92"/>
        <w:ind w:left="1406" w:right="95" w:hanging="360"/>
      </w:pPr>
      <w:r>
        <w:rPr/>
        <w:pict>
          <v:line style="position:absolute;mso-position-horizontal-relative:page;mso-position-vertical-relative:paragraph;z-index:28456" from="29.4pt,4.815879pt" to="29.4pt,128.895879pt" stroked="true" strokeweight=".72pt" strokecolor="#000000">
            <v:stroke dashstyle="solid"/>
            <w10:wrap type="none"/>
          </v:line>
        </w:pict>
      </w:r>
      <w:r>
        <w:rPr>
          <w:strike/>
          <w:color w:val="2E97D3"/>
        </w:rPr>
        <w:t>b. The project occupancy letter. For projects managed by DGS, DGS sends a letter to the client department attesting to the project occupancy including project occupancy date.  The department must forward a copy to DOF.  Departments exempt from DGS project management must prepare a letter attesting to project occupancy.</w:t>
      </w:r>
    </w:p>
    <w:p>
      <w:pPr>
        <w:pStyle w:val="BodyText"/>
        <w:ind w:left="1406"/>
      </w:pPr>
      <w:r>
        <w:rPr>
          <w:strike/>
          <w:color w:val="2E97D3"/>
        </w:rPr>
        <w:t>(For lease/revenue funding projects, this letter must also be sent to the STO.)</w:t>
      </w:r>
    </w:p>
    <w:p>
      <w:pPr>
        <w:pStyle w:val="BodyText"/>
        <w:spacing w:before="6"/>
        <w:rPr>
          <w:sz w:val="10"/>
        </w:rPr>
      </w:pPr>
      <w:r>
        <w:rPr/>
        <w:pict>
          <v:line style="position:absolute;mso-position-horizontal-relative:page;mso-position-vertical-relative:paragraph;z-index:28312;mso-wrap-distance-left:0;mso-wrap-distance-right:0" from="76.320pt,8.32386pt" to="94.32pt,8.32386pt" stroked="true" strokeweight=".6pt" strokecolor="#2e97d3">
            <v:stroke dashstyle="solid"/>
            <w10:wrap type="topAndBottom"/>
          </v:line>
        </w:pict>
      </w:r>
    </w:p>
    <w:p>
      <w:pPr>
        <w:pStyle w:val="ListParagraph"/>
        <w:numPr>
          <w:ilvl w:val="0"/>
          <w:numId w:val="114"/>
        </w:numPr>
        <w:tabs>
          <w:tab w:pos="1407" w:val="left" w:leader="none"/>
        </w:tabs>
        <w:spacing w:line="240" w:lineRule="auto" w:before="72" w:after="0"/>
        <w:ind w:left="1406" w:right="0" w:hanging="360"/>
        <w:jc w:val="left"/>
        <w:rPr>
          <w:color w:val="2E97D3"/>
          <w:sz w:val="24"/>
        </w:rPr>
      </w:pPr>
      <w:r>
        <w:rPr>
          <w:color w:val="2E97D3"/>
          <w:sz w:val="24"/>
          <w:u w:val="single" w:color="2E97D3"/>
        </w:rPr>
        <w:t>A copy of the “Certificate of</w:t>
      </w:r>
      <w:r>
        <w:rPr>
          <w:color w:val="2E97D3"/>
          <w:spacing w:val="-14"/>
          <w:sz w:val="24"/>
          <w:u w:val="single" w:color="2E97D3"/>
        </w:rPr>
        <w:t> </w:t>
      </w:r>
      <w:r>
        <w:rPr>
          <w:color w:val="2E97D3"/>
          <w:sz w:val="24"/>
          <w:u w:val="single" w:color="2E97D3"/>
        </w:rPr>
        <w:t>Occupancy”</w:t>
      </w:r>
    </w:p>
    <w:p>
      <w:pPr>
        <w:pStyle w:val="BodyText"/>
        <w:spacing w:before="11"/>
        <w:rPr>
          <w:sz w:val="15"/>
        </w:rPr>
      </w:pPr>
    </w:p>
    <w:p>
      <w:pPr>
        <w:pStyle w:val="BodyText"/>
        <w:spacing w:before="92"/>
        <w:ind w:left="686" w:right="388"/>
      </w:pPr>
      <w:r>
        <w:rPr/>
        <w:pict>
          <v:line style="position:absolute;mso-position-horizontal-relative:page;mso-position-vertical-relative:paragraph;z-index:28480" from="29.4pt,46.215851pt" to="29.4pt,73.815851pt" stroked="true" strokeweight=".72pt" strokecolor="#000000">
            <v:stroke dashstyle="solid"/>
            <w10:wrap type="none"/>
          </v:line>
        </w:pict>
      </w:r>
      <w:r>
        <w:rPr/>
        <w:pict>
          <v:line style="position:absolute;mso-position-horizontal-relative:page;mso-position-vertical-relative:paragraph;z-index:28504" from="29.4pt,87.615852pt" to="29.4pt,129.015852pt" stroked="true" strokeweight=".72pt" strokecolor="#000000">
            <v:stroke dashstyle="solid"/>
            <w10:wrap type="none"/>
          </v:line>
        </w:pict>
      </w:r>
      <w:r>
        <w:rPr>
          <w:b/>
        </w:rPr>
        <w:t>Modifications after occupancy</w:t>
      </w:r>
      <w:r>
        <w:rPr/>
        <w:t>: If the </w:t>
      </w:r>
      <w:r>
        <w:rPr>
          <w:strike/>
          <w:color w:val="2E97D3"/>
        </w:rPr>
        <w:t>client </w:t>
      </w:r>
      <w:r>
        <w:rPr>
          <w:strike w:val="0"/>
        </w:rPr>
        <w:t>department has determined that there are modifications necessary to complete the project after occupancy, and savings are available or an augmentation can be justified, the department may submit an item to the </w:t>
      </w:r>
      <w:r>
        <w:rPr>
          <w:strike/>
          <w:color w:val="2E97D3"/>
        </w:rPr>
        <w:t>board</w:t>
      </w:r>
      <w:r>
        <w:rPr>
          <w:strike w:val="0"/>
          <w:color w:val="2E97D3"/>
          <w:u w:val="single" w:color="2E97D3"/>
        </w:rPr>
        <w:t>PWB </w:t>
      </w:r>
      <w:r>
        <w:rPr>
          <w:strike w:val="0"/>
        </w:rPr>
        <w:t>for either a “cost increase within appropriation” or an augmentation (Section 6861). The </w:t>
      </w:r>
      <w:r>
        <w:rPr>
          <w:strike/>
          <w:color w:val="2E97D3"/>
        </w:rPr>
        <w:t>board</w:t>
      </w:r>
      <w:r>
        <w:rPr>
          <w:strike w:val="0"/>
          <w:color w:val="2E97D3"/>
          <w:u w:val="single" w:color="2E97D3"/>
        </w:rPr>
        <w:t>PWB </w:t>
      </w:r>
      <w:r>
        <w:rPr>
          <w:strike w:val="0"/>
        </w:rPr>
        <w:t>item should include a list of proposed modifications to be completed under the existing contract and, for each modification, a justification narrative including cost estimates and scheduled completion date. </w:t>
      </w:r>
      <w:r>
        <w:rPr>
          <w:strike/>
          <w:color w:val="2E97D3"/>
        </w:rPr>
        <w:t>This board item should be submitted with the Project Occupancy Letter.</w:t>
      </w:r>
    </w:p>
    <w:p>
      <w:pPr>
        <w:pStyle w:val="BodyText"/>
        <w:spacing w:before="11"/>
        <w:rPr>
          <w:sz w:val="15"/>
        </w:rPr>
      </w:pPr>
    </w:p>
    <w:p>
      <w:pPr>
        <w:pStyle w:val="BodyText"/>
        <w:spacing w:before="92"/>
        <w:ind w:left="686" w:right="101"/>
      </w:pPr>
      <w:r>
        <w:rPr/>
        <w:pict>
          <v:line style="position:absolute;mso-position-horizontal-relative:page;mso-position-vertical-relative:paragraph;z-index:-444328" from="436.079987pt,58.995869pt" to="440.039987pt,58.995869pt" stroked="true" strokeweight=".84pt" strokecolor="#2e97d3">
            <v:stroke dashstyle="solid"/>
            <w10:wrap type="none"/>
          </v:line>
        </w:pict>
      </w:r>
      <w:r>
        <w:rPr/>
        <w:pict>
          <v:line style="position:absolute;mso-position-horizontal-relative:page;mso-position-vertical-relative:paragraph;z-index:-444304" from="208.559998pt,95.835869pt" to="211.920998pt,95.835869pt" stroked="true" strokeweight=".6pt" strokecolor="#2e97d3">
            <v:stroke dashstyle="solid"/>
            <w10:wrap type="none"/>
          </v:line>
        </w:pict>
      </w:r>
      <w:r>
        <w:rPr/>
        <w:pict>
          <v:line style="position:absolute;mso-position-horizontal-relative:page;mso-position-vertical-relative:paragraph;z-index:28528" from="29.4pt,46.214867pt" to="29.4pt,60.015867pt" stroked="true" strokeweight=".72pt" strokecolor="#000000">
            <v:stroke dashstyle="solid"/>
            <w10:wrap type="none"/>
          </v:line>
        </w:pict>
      </w:r>
      <w:r>
        <w:rPr/>
        <w:pict>
          <v:line style="position:absolute;mso-position-horizontal-relative:page;mso-position-vertical-relative:paragraph;z-index:28552" from="29.4pt,87.615868pt" to="29.4pt,115.215868pt" stroked="true" strokeweight=".72pt" strokecolor="#000000">
            <v:stroke dashstyle="solid"/>
            <w10:wrap type="none"/>
          </v:line>
        </w:pict>
      </w:r>
      <w:r>
        <w:rPr>
          <w:b/>
        </w:rPr>
        <w:t>Project Completion: </w:t>
      </w:r>
      <w:r>
        <w:rPr/>
        <w:t>When the contract has been accepted and completed by both the contractor and DGS (or exempt department) and claims have been settled, the DGS (or exempt department) prepares a “Notice of Completion” pursuant to Section 3093 of the Civil Code. A copy of this notice is sent to </w:t>
      </w:r>
      <w:r>
        <w:rPr>
          <w:strike/>
          <w:color w:val="2E97D3"/>
        </w:rPr>
        <w:t>DOF</w:t>
      </w:r>
      <w:r>
        <w:rPr>
          <w:strike w:val="0"/>
          <w:color w:val="2E97D3"/>
          <w:u w:val="single" w:color="2E97D3"/>
        </w:rPr>
        <w:t>Finance </w:t>
      </w:r>
      <w:r>
        <w:rPr>
          <w:strike w:val="0"/>
        </w:rPr>
        <w:t>and for lease </w:t>
      </w:r>
      <w:r>
        <w:rPr>
          <w:strike/>
          <w:color w:val="2E97D3"/>
        </w:rPr>
        <w:t>/ </w:t>
      </w:r>
      <w:r>
        <w:rPr>
          <w:strike w:val="0"/>
          <w:color w:val="2E97D3"/>
        </w:rPr>
        <w:t>-</w:t>
      </w:r>
      <w:r>
        <w:rPr>
          <w:strike w:val="0"/>
        </w:rPr>
        <w:t>revenue funded projects a copy is also sent to the STO. This notification must be prepared within 1 year of the date of occupancy as described in the preceding text. Extensions to the deadline (i.e. for scheduled completion of approved “modifications after occupancy”) must be approved by </w:t>
      </w:r>
      <w:r>
        <w:rPr>
          <w:strike/>
          <w:color w:val="2E97D3"/>
        </w:rPr>
        <w:t>DOF</w:t>
      </w:r>
      <w:r>
        <w:rPr>
          <w:strike w:val="0"/>
          <w:color w:val="2E97D3"/>
          <w:u w:val="single" w:color="2E97D3"/>
        </w:rPr>
        <w:t>Finance</w:t>
      </w:r>
      <w:r>
        <w:rPr>
          <w:strike w:val="0"/>
        </w:rPr>
        <w:t>.</w:t>
      </w:r>
    </w:p>
    <w:p>
      <w:pPr>
        <w:pStyle w:val="BodyText"/>
        <w:spacing w:before="11"/>
        <w:rPr>
          <w:sz w:val="15"/>
        </w:rPr>
      </w:pPr>
    </w:p>
    <w:p>
      <w:pPr>
        <w:pStyle w:val="Heading2"/>
        <w:numPr>
          <w:ilvl w:val="2"/>
          <w:numId w:val="109"/>
        </w:numPr>
        <w:tabs>
          <w:tab w:pos="1047" w:val="left" w:leader="none"/>
        </w:tabs>
        <w:spacing w:line="240" w:lineRule="auto" w:before="92" w:after="0"/>
        <w:ind w:left="1046" w:right="0" w:hanging="360"/>
        <w:jc w:val="left"/>
        <w:rPr>
          <w:b w:val="0"/>
        </w:rPr>
      </w:pPr>
      <w:r>
        <w:rPr/>
        <w:t>Information requirements related to notification of</w:t>
      </w:r>
      <w:r>
        <w:rPr>
          <w:spacing w:val="-30"/>
        </w:rPr>
        <w:t> </w:t>
      </w:r>
      <w:r>
        <w:rPr/>
        <w:t>completion</w:t>
      </w:r>
      <w:r>
        <w:rPr>
          <w:b w:val="0"/>
        </w:rPr>
        <w:t>:</w:t>
      </w:r>
    </w:p>
    <w:p>
      <w:pPr>
        <w:pStyle w:val="BodyText"/>
        <w:spacing w:before="11"/>
        <w:rPr>
          <w:sz w:val="23"/>
        </w:rPr>
      </w:pPr>
    </w:p>
    <w:p>
      <w:pPr>
        <w:pStyle w:val="ListParagraph"/>
        <w:numPr>
          <w:ilvl w:val="3"/>
          <w:numId w:val="109"/>
        </w:numPr>
        <w:tabs>
          <w:tab w:pos="1407" w:val="left" w:leader="none"/>
        </w:tabs>
        <w:spacing w:line="240" w:lineRule="auto" w:before="0" w:after="0"/>
        <w:ind w:left="1406" w:right="0" w:hanging="360"/>
        <w:jc w:val="left"/>
        <w:rPr>
          <w:sz w:val="24"/>
        </w:rPr>
      </w:pPr>
      <w:r>
        <w:rPr>
          <w:sz w:val="24"/>
        </w:rPr>
        <w:t>The standard fiscal reporting requirements described in Section 6845;</w:t>
      </w:r>
      <w:r>
        <w:rPr>
          <w:spacing w:val="-32"/>
          <w:sz w:val="24"/>
        </w:rPr>
        <w:t> </w:t>
      </w:r>
      <w:r>
        <w:rPr>
          <w:sz w:val="24"/>
        </w:rPr>
        <w:t>and</w:t>
      </w:r>
    </w:p>
    <w:p>
      <w:pPr>
        <w:pStyle w:val="BodyText"/>
        <w:spacing w:before="11"/>
        <w:rPr>
          <w:sz w:val="23"/>
        </w:rPr>
      </w:pPr>
    </w:p>
    <w:p>
      <w:pPr>
        <w:pStyle w:val="ListParagraph"/>
        <w:numPr>
          <w:ilvl w:val="3"/>
          <w:numId w:val="109"/>
        </w:numPr>
        <w:tabs>
          <w:tab w:pos="1407" w:val="left" w:leader="none"/>
        </w:tabs>
        <w:spacing w:line="240" w:lineRule="auto" w:before="0" w:after="0"/>
        <w:ind w:left="1406" w:right="0" w:hanging="360"/>
        <w:jc w:val="left"/>
        <w:rPr>
          <w:sz w:val="24"/>
        </w:rPr>
      </w:pPr>
      <w:r>
        <w:rPr/>
        <w:pict>
          <v:line style="position:absolute;mso-position-horizontal-relative:page;mso-position-vertical-relative:paragraph;z-index:28576" from="29.4pt,27.814859pt" to="29.4pt,67.535859pt" stroked="true" strokeweight=".72pt" strokecolor="#000000">
            <v:stroke dashstyle="solid"/>
            <w10:wrap type="none"/>
          </v:line>
        </w:pict>
      </w:r>
      <w:r>
        <w:rPr>
          <w:sz w:val="24"/>
        </w:rPr>
        <w:t>A copy of the “Notice of</w:t>
      </w:r>
      <w:r>
        <w:rPr>
          <w:spacing w:val="-13"/>
          <w:sz w:val="24"/>
        </w:rPr>
        <w:t> </w:t>
      </w:r>
      <w:r>
        <w:rPr>
          <w:sz w:val="24"/>
        </w:rPr>
        <w:t>Completion.”</w:t>
      </w:r>
    </w:p>
    <w:p>
      <w:pPr>
        <w:pStyle w:val="BodyText"/>
        <w:rPr>
          <w:sz w:val="26"/>
        </w:rPr>
      </w:pPr>
    </w:p>
    <w:p>
      <w:pPr>
        <w:pStyle w:val="BodyText"/>
        <w:rPr>
          <w:sz w:val="26"/>
        </w:rPr>
      </w:pPr>
    </w:p>
    <w:p>
      <w:pPr>
        <w:pStyle w:val="BodyText"/>
        <w:spacing w:before="196"/>
        <w:ind w:left="686"/>
      </w:pPr>
      <w:r>
        <w:rPr/>
        <w:t>(Continued)</w:t>
      </w:r>
    </w:p>
    <w:p>
      <w:pPr>
        <w:spacing w:after="0"/>
        <w:sectPr>
          <w:footerReference w:type="default" r:id="rId311"/>
          <w:pgSz w:w="12240" w:h="15840"/>
          <w:pgMar w:footer="785" w:header="724" w:top="980" w:bottom="980" w:left="480" w:right="1340"/>
        </w:sectPr>
      </w:pPr>
    </w:p>
    <w:p>
      <w:pPr>
        <w:pStyle w:val="BodyText"/>
        <w:spacing w:before="4"/>
        <w:rPr>
          <w:rFonts w:ascii="Times New Roman"/>
          <w:sz w:val="17"/>
        </w:rPr>
      </w:pPr>
    </w:p>
    <w:p>
      <w:pPr>
        <w:spacing w:after="0"/>
        <w:rPr>
          <w:rFonts w:ascii="Times New Roman"/>
          <w:sz w:val="17"/>
        </w:rPr>
        <w:sectPr>
          <w:pgSz w:w="12240" w:h="15840"/>
          <w:pgMar w:header="724" w:footer="785" w:top="980" w:bottom="980" w:left="1720" w:right="1720"/>
        </w:sectPr>
      </w:pPr>
    </w:p>
    <w:p>
      <w:pPr>
        <w:pStyle w:val="BodyText"/>
        <w:rPr>
          <w:rFonts w:ascii="Times New Roman"/>
          <w:sz w:val="20"/>
        </w:rPr>
      </w:pPr>
    </w:p>
    <w:p>
      <w:pPr>
        <w:pStyle w:val="BodyText"/>
        <w:spacing w:before="214"/>
        <w:ind w:left="686"/>
      </w:pPr>
      <w:r>
        <w:rPr/>
        <w:t>(Continued)</w:t>
      </w:r>
    </w:p>
    <w:p>
      <w:pPr>
        <w:tabs>
          <w:tab w:pos="8783" w:val="left" w:leader="none"/>
        </w:tabs>
        <w:spacing w:before="0"/>
        <w:ind w:left="686" w:right="0" w:firstLine="0"/>
        <w:jc w:val="left"/>
        <w:rPr>
          <w:sz w:val="24"/>
        </w:rPr>
      </w:pPr>
      <w:r>
        <w:rPr/>
        <w:pict>
          <v:line style="position:absolute;mso-position-horizontal-relative:page;mso-position-vertical-relative:paragraph;z-index:28624" from="29.4pt,14.015833pt" to="29.4pt,27.815833pt" stroked="true" strokeweight=".72pt" strokecolor="#000000">
            <v:stroke dashstyle="solid"/>
            <w10:wrap type="none"/>
          </v:line>
        </w:pict>
      </w:r>
      <w:bookmarkStart w:name="PROJECT COMPLETION 6856 (Cont. 1)" w:id="101"/>
      <w:bookmarkEnd w:id="101"/>
      <w:r>
        <w:rPr/>
      </w:r>
      <w:r>
        <w:rPr>
          <w:b/>
          <w:sz w:val="24"/>
        </w:rPr>
        <w:t>PROJECT</w:t>
      </w:r>
      <w:r>
        <w:rPr>
          <w:b/>
          <w:spacing w:val="-3"/>
          <w:sz w:val="24"/>
        </w:rPr>
        <w:t> </w:t>
      </w:r>
      <w:r>
        <w:rPr>
          <w:b/>
          <w:sz w:val="24"/>
        </w:rPr>
        <w:t>COMPLETION</w:t>
        <w:tab/>
        <w:t>6856 </w:t>
      </w:r>
      <w:r>
        <w:rPr>
          <w:sz w:val="24"/>
        </w:rPr>
        <w:t>(Cont.</w:t>
      </w:r>
      <w:r>
        <w:rPr>
          <w:spacing w:val="-6"/>
          <w:sz w:val="24"/>
        </w:rPr>
        <w:t> </w:t>
      </w:r>
      <w:r>
        <w:rPr>
          <w:sz w:val="24"/>
        </w:rPr>
        <w:t>1)</w:t>
      </w:r>
    </w:p>
    <w:p>
      <w:pPr>
        <w:pStyle w:val="BodyText"/>
        <w:ind w:left="686"/>
      </w:pPr>
      <w:r>
        <w:rPr/>
        <w:t>(Revised </w:t>
      </w:r>
      <w:r>
        <w:rPr>
          <w:strike/>
          <w:color w:val="2E97D3"/>
        </w:rPr>
        <w:t>5/1998</w:t>
      </w:r>
      <w:r>
        <w:rPr>
          <w:strike w:val="0"/>
          <w:color w:val="2E97D3"/>
          <w:u w:val="single" w:color="2E97D3"/>
        </w:rPr>
        <w:t>09/2017</w:t>
      </w:r>
      <w:r>
        <w:rPr>
          <w:strike w:val="0"/>
        </w:rPr>
        <w:t>)</w:t>
      </w:r>
    </w:p>
    <w:p>
      <w:pPr>
        <w:pStyle w:val="BodyText"/>
        <w:spacing w:before="11"/>
        <w:rPr>
          <w:sz w:val="15"/>
        </w:rPr>
      </w:pPr>
    </w:p>
    <w:p>
      <w:pPr>
        <w:pStyle w:val="BodyText"/>
        <w:spacing w:before="92"/>
        <w:ind w:left="686" w:right="264"/>
        <w:jc w:val="both"/>
      </w:pPr>
      <w:r>
        <w:rPr/>
        <w:pict>
          <v:line style="position:absolute;mso-position-horizontal-relative:page;mso-position-vertical-relative:paragraph;z-index:28648" from="29.4pt,18.616869pt" to="29.4pt,46.215869pt" stroked="true" strokeweight=".72pt" strokecolor="#000000">
            <v:stroke dashstyle="solid"/>
            <w10:wrap type="none"/>
          </v:line>
        </w:pict>
      </w:r>
      <w:r>
        <w:rPr>
          <w:b/>
        </w:rPr>
        <w:t>Project Close Out</w:t>
      </w:r>
      <w:r>
        <w:rPr/>
        <w:t>: “Project close out” reflects the closing of the financial records related to a project. Final project financial statements are reportable to </w:t>
      </w:r>
      <w:r>
        <w:rPr>
          <w:strike/>
          <w:color w:val="2E97D3"/>
        </w:rPr>
        <w:t>DOF</w:t>
      </w:r>
      <w:r>
        <w:rPr>
          <w:strike w:val="0"/>
          <w:color w:val="2E97D3"/>
          <w:u w:val="single" w:color="2E97D3"/>
        </w:rPr>
        <w:t>Finance </w:t>
      </w:r>
      <w:r>
        <w:rPr>
          <w:strike w:val="0"/>
        </w:rPr>
        <w:t>within three months of project completion unless an extension has been approved by </w:t>
      </w:r>
      <w:r>
        <w:rPr>
          <w:strike/>
          <w:color w:val="2E97D3"/>
        </w:rPr>
        <w:t>DOF</w:t>
      </w:r>
      <w:r>
        <w:rPr>
          <w:strike w:val="0"/>
          <w:color w:val="2E97D3"/>
          <w:u w:val="single" w:color="2E97D3"/>
        </w:rPr>
        <w:t>Finance</w:t>
      </w:r>
      <w:r>
        <w:rPr>
          <w:strike w:val="0"/>
        </w:rPr>
        <w:t>.</w:t>
      </w:r>
    </w:p>
    <w:p>
      <w:pPr>
        <w:pStyle w:val="BodyText"/>
        <w:spacing w:before="10"/>
        <w:rPr>
          <w:sz w:val="15"/>
        </w:rPr>
      </w:pPr>
    </w:p>
    <w:p>
      <w:pPr>
        <w:pStyle w:val="ListParagraph"/>
        <w:numPr>
          <w:ilvl w:val="0"/>
          <w:numId w:val="115"/>
        </w:numPr>
        <w:tabs>
          <w:tab w:pos="1047" w:val="left" w:leader="none"/>
        </w:tabs>
        <w:spacing w:line="240" w:lineRule="auto" w:before="93" w:after="0"/>
        <w:ind w:left="1046" w:right="197" w:hanging="360"/>
        <w:jc w:val="left"/>
        <w:rPr>
          <w:sz w:val="24"/>
        </w:rPr>
      </w:pPr>
      <w:r>
        <w:rPr/>
        <w:pict>
          <v:line style="position:absolute;mso-position-horizontal-relative:page;mso-position-vertical-relative:paragraph;z-index:-444064" from="433.200012pt,40.685856pt" to="436.440012pt,40.685856pt" stroked="true" strokeweight=".6pt" strokecolor="#2e97d3">
            <v:stroke dashstyle="solid"/>
            <w10:wrap type="none"/>
          </v:line>
        </w:pict>
      </w:r>
      <w:r>
        <w:rPr/>
        <w:pict>
          <v:line style="position:absolute;mso-position-horizontal-relative:page;mso-position-vertical-relative:paragraph;z-index:28672" from="29.4pt,32.464855pt" to="29.4pt,46.265855pt" stroked="true" strokeweight=".72pt" strokecolor="#000000">
            <v:stroke dashstyle="solid"/>
            <w10:wrap type="none"/>
          </v:line>
        </w:pict>
      </w:r>
      <w:r>
        <w:rPr>
          <w:b/>
          <w:sz w:val="24"/>
        </w:rPr>
        <w:t>Return of Funds Transfer: </w:t>
      </w:r>
      <w:r>
        <w:rPr>
          <w:sz w:val="24"/>
        </w:rPr>
        <w:t>Government Code, Section </w:t>
      </w:r>
      <w:hyperlink r:id="rId312">
        <w:r>
          <w:rPr>
            <w:sz w:val="24"/>
          </w:rPr>
          <w:t>14959</w:t>
        </w:r>
      </w:hyperlink>
      <w:r>
        <w:rPr>
          <w:sz w:val="24"/>
        </w:rPr>
        <w:t> requires that DGS transfer the unencumbered project funds out of the Architectural Revolving Fund to the originating appropriation within three months of project completion. The </w:t>
      </w:r>
      <w:r>
        <w:rPr>
          <w:strike/>
          <w:color w:val="2E97D3"/>
          <w:sz w:val="24"/>
        </w:rPr>
        <w:t>client </w:t>
      </w:r>
      <w:r>
        <w:rPr>
          <w:strike w:val="0"/>
          <w:sz w:val="24"/>
        </w:rPr>
        <w:t>department must submit a Return of Funds Transfer form (available from DGS) to effect that</w:t>
      </w:r>
      <w:r>
        <w:rPr>
          <w:strike w:val="0"/>
          <w:spacing w:val="-8"/>
          <w:sz w:val="24"/>
        </w:rPr>
        <w:t> </w:t>
      </w:r>
      <w:r>
        <w:rPr>
          <w:strike w:val="0"/>
          <w:sz w:val="24"/>
        </w:rPr>
        <w:t>transfer.</w:t>
      </w:r>
    </w:p>
    <w:p>
      <w:pPr>
        <w:pStyle w:val="BodyText"/>
      </w:pPr>
    </w:p>
    <w:p>
      <w:pPr>
        <w:pStyle w:val="ListParagraph"/>
        <w:numPr>
          <w:ilvl w:val="0"/>
          <w:numId w:val="115"/>
        </w:numPr>
        <w:tabs>
          <w:tab w:pos="1047" w:val="left" w:leader="none"/>
        </w:tabs>
        <w:spacing w:line="240" w:lineRule="auto" w:before="0" w:after="0"/>
        <w:ind w:left="1046" w:right="332" w:hanging="360"/>
        <w:jc w:val="both"/>
        <w:rPr>
          <w:sz w:val="24"/>
        </w:rPr>
      </w:pPr>
      <w:r>
        <w:rPr/>
        <w:pict>
          <v:line style="position:absolute;mso-position-horizontal-relative:page;mso-position-vertical-relative:paragraph;z-index:28696" from="29.4pt,14.015869pt" to="29.4pt,27.815869pt" stroked="true" strokeweight=".72pt" strokecolor="#000000">
            <v:stroke dashstyle="solid"/>
            <w10:wrap type="none"/>
          </v:line>
        </w:pict>
      </w:r>
      <w:r>
        <w:rPr>
          <w:b/>
          <w:sz w:val="24"/>
        </w:rPr>
        <w:t>Financial statements: </w:t>
      </w:r>
      <w:r>
        <w:rPr>
          <w:sz w:val="24"/>
        </w:rPr>
        <w:t>Departments shall provide final project financial statements to </w:t>
      </w:r>
      <w:r>
        <w:rPr>
          <w:strike/>
          <w:color w:val="2E97D3"/>
          <w:sz w:val="24"/>
        </w:rPr>
        <w:t>DOF</w:t>
      </w:r>
      <w:r>
        <w:rPr>
          <w:strike w:val="0"/>
          <w:color w:val="2E97D3"/>
          <w:sz w:val="24"/>
          <w:u w:val="single" w:color="2E97D3"/>
        </w:rPr>
        <w:t>Finance</w:t>
      </w:r>
      <w:r>
        <w:rPr>
          <w:b/>
          <w:strike w:val="0"/>
          <w:sz w:val="24"/>
        </w:rPr>
        <w:t>. </w:t>
      </w:r>
      <w:r>
        <w:rPr>
          <w:strike w:val="0"/>
          <w:sz w:val="24"/>
        </w:rPr>
        <w:t>These statements should include an accountability for agency retained authority.  Outstanding claims should be treated as</w:t>
      </w:r>
      <w:r>
        <w:rPr>
          <w:strike w:val="0"/>
          <w:spacing w:val="-32"/>
          <w:sz w:val="24"/>
        </w:rPr>
        <w:t> </w:t>
      </w:r>
      <w:r>
        <w:rPr>
          <w:strike w:val="0"/>
          <w:sz w:val="24"/>
        </w:rPr>
        <w:t>encumbrances.</w:t>
      </w:r>
    </w:p>
    <w:p>
      <w:pPr>
        <w:pStyle w:val="BodyText"/>
      </w:pPr>
    </w:p>
    <w:p>
      <w:pPr>
        <w:pStyle w:val="ListParagraph"/>
        <w:numPr>
          <w:ilvl w:val="0"/>
          <w:numId w:val="115"/>
        </w:numPr>
        <w:tabs>
          <w:tab w:pos="1047" w:val="left" w:leader="none"/>
        </w:tabs>
        <w:spacing w:line="240" w:lineRule="auto" w:before="0" w:after="0"/>
        <w:ind w:left="1046" w:right="394" w:hanging="360"/>
        <w:jc w:val="left"/>
        <w:rPr>
          <w:sz w:val="24"/>
        </w:rPr>
      </w:pPr>
      <w:r>
        <w:rPr/>
        <w:pict>
          <v:line style="position:absolute;mso-position-horizontal-relative:page;mso-position-vertical-relative:paragraph;z-index:28720" from="29.4pt,14.014857pt" to="29.4pt,27.815857pt" stroked="true" strokeweight=".72pt" strokecolor="#000000">
            <v:stroke dashstyle="solid"/>
            <w10:wrap type="none"/>
          </v:line>
        </w:pict>
      </w:r>
      <w:r>
        <w:rPr/>
        <w:pict>
          <v:line style="position:absolute;mso-position-horizontal-relative:page;mso-position-vertical-relative:paragraph;z-index:28744" from="29.4pt,55.415855pt" to="29.4pt,95.015855pt" stroked="true" strokeweight=".72pt" strokecolor="#000000">
            <v:stroke dashstyle="solid"/>
            <w10:wrap type="none"/>
          </v:line>
        </w:pict>
      </w:r>
      <w:r>
        <w:rPr>
          <w:b/>
          <w:sz w:val="24"/>
        </w:rPr>
        <w:t>Reversion of remaining project funds: </w:t>
      </w:r>
      <w:r>
        <w:rPr>
          <w:sz w:val="24"/>
        </w:rPr>
        <w:t>Departments must submit an item to the </w:t>
      </w:r>
      <w:r>
        <w:rPr>
          <w:strike/>
          <w:color w:val="2E97D3"/>
          <w:sz w:val="24"/>
        </w:rPr>
        <w:t>board</w:t>
      </w:r>
      <w:r>
        <w:rPr>
          <w:strike w:val="0"/>
          <w:color w:val="2E97D3"/>
          <w:sz w:val="24"/>
          <w:u w:val="single" w:color="2E97D3"/>
        </w:rPr>
        <w:t>PWB </w:t>
      </w:r>
      <w:r>
        <w:rPr>
          <w:strike w:val="0"/>
          <w:sz w:val="24"/>
        </w:rPr>
        <w:t>for reversion of any remaining project appropriation authority to the originating fund (Section 6862). Reversion items should include an accountability for agency retained authority.  Outstanding claims should be treated as</w:t>
      </w:r>
      <w:r>
        <w:rPr>
          <w:strike w:val="0"/>
          <w:spacing w:val="-39"/>
          <w:sz w:val="24"/>
        </w:rPr>
        <w:t> </w:t>
      </w:r>
      <w:r>
        <w:rPr>
          <w:strike w:val="0"/>
          <w:sz w:val="24"/>
        </w:rPr>
        <w:t>encumbrances.</w:t>
      </w:r>
    </w:p>
    <w:p>
      <w:pPr>
        <w:spacing w:after="0" w:line="240" w:lineRule="auto"/>
        <w:jc w:val="left"/>
        <w:rPr>
          <w:sz w:val="24"/>
        </w:rPr>
        <w:sectPr>
          <w:pgSz w:w="12240" w:h="15840"/>
          <w:pgMar w:header="724" w:footer="785" w:top="980" w:bottom="980" w:left="480" w:right="1320"/>
        </w:sectPr>
      </w:pPr>
    </w:p>
    <w:p>
      <w:pPr>
        <w:pStyle w:val="BodyText"/>
        <w:spacing w:before="4"/>
        <w:rPr>
          <w:rFonts w:ascii="Times New Roman"/>
          <w:sz w:val="17"/>
        </w:rPr>
      </w:pPr>
      <w:r>
        <w:rPr/>
        <w:pict>
          <v:line style="position:absolute;mso-position-horizontal-relative:page;mso-position-vertical-relative:page;z-index:28768" from="26.76pt,48.959999pt" to="26.76pt,88.679999pt" stroked="true" strokeweight=".72pt" strokecolor="#000000">
            <v:stroke dashstyle="solid"/>
            <w10:wrap type="none"/>
          </v:line>
        </w:pict>
      </w:r>
    </w:p>
    <w:p>
      <w:pPr>
        <w:spacing w:after="0"/>
        <w:rPr>
          <w:rFonts w:ascii="Times New Roman"/>
          <w:sz w:val="17"/>
        </w:rPr>
        <w:sectPr>
          <w:pgSz w:w="12240" w:h="15840"/>
          <w:pgMar w:header="724" w:footer="785" w:top="980" w:bottom="980" w:left="420" w:right="1720"/>
        </w:sectPr>
      </w:pPr>
    </w:p>
    <w:p>
      <w:pPr>
        <w:pStyle w:val="BodyText"/>
        <w:spacing w:before="3"/>
        <w:rPr>
          <w:rFonts w:ascii="Times New Roman"/>
          <w:sz w:val="14"/>
        </w:rPr>
      </w:pPr>
    </w:p>
    <w:p>
      <w:pPr>
        <w:pStyle w:val="Heading2"/>
        <w:spacing w:before="93"/>
        <w:ind w:left="640"/>
      </w:pPr>
      <w:r>
        <w:rPr/>
        <w:pict>
          <v:line style="position:absolute;mso-position-horizontal-relative:page;mso-position-vertical-relative:paragraph;z-index:28816" from="26.76pt,-8.934129pt" to="26.76pt,18.665871pt" stroked="true" strokeweight=".72pt" strokecolor="#000000">
            <v:stroke dashstyle="solid"/>
            <w10:wrap type="none"/>
          </v:line>
        </w:pict>
      </w:r>
      <w:r>
        <w:rPr>
          <w:color w:val="2E97D3"/>
          <w:u w:val="thick" w:color="2E97D3"/>
        </w:rPr>
        <w:t>PUBLIC WORKS </w:t>
      </w:r>
      <w:r>
        <w:rPr/>
        <w:t>BOARD </w:t>
      </w:r>
      <w:r>
        <w:rPr>
          <w:color w:val="2E97D3"/>
          <w:u w:val="thick" w:color="2E97D3"/>
        </w:rPr>
        <w:t>(PWB) </w:t>
      </w:r>
      <w:r>
        <w:rPr/>
        <w:t>ITEMS FOR INTERIM FINANCING</w:t>
      </w:r>
    </w:p>
    <w:p>
      <w:pPr>
        <w:tabs>
          <w:tab w:pos="9739" w:val="left" w:leader="none"/>
        </w:tabs>
        <w:spacing w:before="0"/>
        <w:ind w:left="640" w:right="0" w:firstLine="0"/>
        <w:jc w:val="left"/>
        <w:rPr>
          <w:b/>
          <w:sz w:val="24"/>
        </w:rPr>
      </w:pPr>
      <w:r>
        <w:rPr/>
        <w:pict>
          <v:line style="position:absolute;mso-position-horizontal-relative:page;mso-position-vertical-relative:paragraph;z-index:28840" from="26.76pt,14.015883pt" to="26.76pt,47.615883pt" stroked="true" strokeweight=".72pt" strokecolor="#000000">
            <v:stroke dashstyle="solid"/>
            <w10:wrap type="none"/>
          </v:line>
        </w:pict>
      </w:r>
      <w:r>
        <w:rPr>
          <w:b/>
          <w:sz w:val="24"/>
        </w:rPr>
        <w:t>AND</w:t>
      </w:r>
      <w:r>
        <w:rPr>
          <w:b/>
          <w:spacing w:val="-1"/>
          <w:sz w:val="24"/>
        </w:rPr>
        <w:t> </w:t>
      </w:r>
      <w:r>
        <w:rPr>
          <w:b/>
          <w:sz w:val="24"/>
        </w:rPr>
        <w:t>BOND</w:t>
      </w:r>
      <w:r>
        <w:rPr>
          <w:b/>
          <w:spacing w:val="-3"/>
          <w:sz w:val="24"/>
        </w:rPr>
        <w:t> </w:t>
      </w:r>
      <w:r>
        <w:rPr>
          <w:b/>
          <w:sz w:val="24"/>
        </w:rPr>
        <w:t>SALE</w:t>
        <w:tab/>
        <w:t>6860</w:t>
      </w:r>
    </w:p>
    <w:p>
      <w:pPr>
        <w:pStyle w:val="BodyText"/>
        <w:ind w:left="640"/>
      </w:pPr>
      <w:r>
        <w:rPr/>
        <w:t>(</w:t>
      </w:r>
      <w:r>
        <w:rPr>
          <w:strike/>
          <w:color w:val="2E97D3"/>
        </w:rPr>
        <w:t>New 5/1998</w:t>
      </w:r>
      <w:r>
        <w:rPr>
          <w:strike w:val="0"/>
          <w:color w:val="2E97D3"/>
          <w:u w:val="single" w:color="2E97D3"/>
        </w:rPr>
        <w:t>Revised 09/2017</w:t>
      </w:r>
      <w:r>
        <w:rPr>
          <w:strike w:val="0"/>
        </w:rPr>
        <w:t>)</w:t>
      </w:r>
    </w:p>
    <w:p>
      <w:pPr>
        <w:pStyle w:val="BodyText"/>
        <w:spacing w:before="120"/>
        <w:ind w:left="640" w:right="94"/>
      </w:pPr>
      <w:r>
        <w:rPr/>
        <w:pict>
          <v:line style="position:absolute;mso-position-horizontal-relative:page;mso-position-vertical-relative:paragraph;z-index:28864" from="26.76pt,33.815845pt" to="26.76pt,108.815845pt" stroked="true" strokeweight=".72pt" strokecolor="#000000">
            <v:stroke dashstyle="solid"/>
            <w10:wrap type="none"/>
          </v:line>
        </w:pict>
      </w:r>
      <w:r>
        <w:rPr>
          <w:b/>
        </w:rPr>
        <w:t>Interim financing:  </w:t>
      </w:r>
      <w:r>
        <w:rPr/>
        <w:t>For projects funded from PWB lease-revenue </w:t>
      </w:r>
      <w:r>
        <w:rPr>
          <w:strike/>
          <w:color w:val="2E97D3"/>
        </w:rPr>
        <w:t>or energy efficiency </w:t>
      </w:r>
      <w:r>
        <w:rPr>
          <w:strike w:val="0"/>
        </w:rPr>
        <w:t>bonds, departments may need financing for expenses incurred in the interim period before a bond sale is conducted. The </w:t>
      </w:r>
      <w:r>
        <w:rPr>
          <w:strike/>
          <w:color w:val="2E97D3"/>
        </w:rPr>
        <w:t>board</w:t>
      </w:r>
      <w:r>
        <w:rPr>
          <w:strike w:val="0"/>
          <w:color w:val="2E97D3"/>
          <w:u w:val="single" w:color="2E97D3"/>
        </w:rPr>
        <w:t>PWB </w:t>
      </w:r>
      <w:r>
        <w:rPr>
          <w:strike w:val="0"/>
        </w:rPr>
        <w:t>must approve the use of interim financing, and simultaneously authorize a </w:t>
      </w:r>
      <w:r>
        <w:rPr>
          <w:i/>
          <w:strike w:val="0"/>
        </w:rPr>
        <w:t>future </w:t>
      </w:r>
      <w:r>
        <w:rPr>
          <w:strike w:val="0"/>
        </w:rPr>
        <w:t>bond sale to </w:t>
      </w:r>
      <w:r>
        <w:rPr>
          <w:strike/>
          <w:color w:val="2E97D3"/>
        </w:rPr>
        <w:t>ensure</w:t>
      </w:r>
      <w:r>
        <w:rPr>
          <w:strike w:val="0"/>
          <w:color w:val="2E97D3"/>
          <w:u w:val="single" w:color="2E97D3"/>
        </w:rPr>
        <w:t>provide assurance </w:t>
      </w:r>
      <w:r>
        <w:rPr>
          <w:strike w:val="0"/>
        </w:rPr>
        <w:t>that the interim financing will be repaid. The </w:t>
      </w:r>
      <w:r>
        <w:rPr>
          <w:strike/>
          <w:color w:val="2E97D3"/>
        </w:rPr>
        <w:t>board</w:t>
      </w:r>
      <w:r>
        <w:rPr>
          <w:strike w:val="0"/>
          <w:color w:val="2E97D3"/>
          <w:u w:val="single" w:color="2E97D3"/>
        </w:rPr>
        <w:t>PWB </w:t>
      </w:r>
      <w:r>
        <w:rPr>
          <w:strike w:val="0"/>
        </w:rPr>
        <w:t>action includes the approval of various supporting documents (indenture, site agreements, facility agreements, </w:t>
      </w:r>
      <w:r>
        <w:rPr>
          <w:strike/>
          <w:color w:val="2E97D3"/>
        </w:rPr>
        <w:t>energy contracts, </w:t>
      </w:r>
      <w:r>
        <w:rPr>
          <w:strike w:val="0"/>
        </w:rPr>
        <w:t>etc.). This is all presented in a single </w:t>
      </w:r>
      <w:r>
        <w:rPr>
          <w:strike/>
          <w:color w:val="2E97D3"/>
        </w:rPr>
        <w:t>board</w:t>
      </w:r>
      <w:r>
        <w:rPr>
          <w:strike w:val="0"/>
          <w:color w:val="2E97D3"/>
          <w:u w:val="single" w:color="2E97D3"/>
        </w:rPr>
        <w:t>PWB </w:t>
      </w:r>
      <w:r>
        <w:rPr>
          <w:strike w:val="0"/>
        </w:rPr>
        <w:t>item, with several sub-items.</w:t>
      </w:r>
    </w:p>
    <w:p>
      <w:pPr>
        <w:tabs>
          <w:tab w:pos="2080" w:val="left" w:leader="none"/>
        </w:tabs>
        <w:spacing w:before="120"/>
        <w:ind w:left="1360" w:right="1167" w:hanging="360"/>
        <w:jc w:val="left"/>
        <w:rPr>
          <w:sz w:val="24"/>
        </w:rPr>
      </w:pPr>
      <w:r>
        <w:rPr/>
        <w:pict>
          <v:line style="position:absolute;mso-position-horizontal-relative:page;mso-position-vertical-relative:paragraph;z-index:28888" from="26.76pt,20.015871pt" to="26.76pt,39.815871pt" stroked="true" strokeweight=".72pt" strokecolor="#000000">
            <v:stroke dashstyle="solid"/>
            <w10:wrap type="none"/>
          </v:line>
        </w:pict>
      </w:r>
      <w:r>
        <w:rPr>
          <w:strike/>
          <w:color w:val="2E97D3"/>
          <w:sz w:val="24"/>
        </w:rPr>
        <w:t>1.</w:t>
      </w:r>
      <w:r>
        <w:rPr>
          <w:strike w:val="0"/>
          <w:color w:val="2E97D3"/>
          <w:sz w:val="24"/>
          <w:u w:val="single" w:color="2E97D3"/>
        </w:rPr>
        <w:t>a.</w:t>
        <w:tab/>
      </w:r>
      <w:r>
        <w:rPr>
          <w:b/>
          <w:strike w:val="0"/>
          <w:sz w:val="24"/>
        </w:rPr>
        <w:t>Agenda requirements for interim financing</w:t>
      </w:r>
      <w:r>
        <w:rPr>
          <w:strike w:val="0"/>
          <w:sz w:val="24"/>
        </w:rPr>
        <w:t>.  Provide</w:t>
      </w:r>
      <w:r>
        <w:rPr>
          <w:strike w:val="0"/>
          <w:spacing w:val="-29"/>
          <w:sz w:val="24"/>
        </w:rPr>
        <w:t> </w:t>
      </w:r>
      <w:r>
        <w:rPr>
          <w:strike w:val="0"/>
          <w:sz w:val="24"/>
        </w:rPr>
        <w:t>the</w:t>
      </w:r>
      <w:r>
        <w:rPr>
          <w:strike w:val="0"/>
          <w:spacing w:val="-6"/>
          <w:sz w:val="24"/>
        </w:rPr>
        <w:t> </w:t>
      </w:r>
      <w:r>
        <w:rPr>
          <w:strike w:val="0"/>
          <w:sz w:val="24"/>
        </w:rPr>
        <w:t>following</w:t>
      </w:r>
      <w:r>
        <w:rPr>
          <w:strike w:val="0"/>
          <w:w w:val="99"/>
          <w:sz w:val="24"/>
        </w:rPr>
        <w:t> </w:t>
      </w:r>
      <w:r>
        <w:rPr>
          <w:strike w:val="0"/>
          <w:sz w:val="24"/>
        </w:rPr>
        <w:t>information for the</w:t>
      </w:r>
      <w:r>
        <w:rPr>
          <w:strike w:val="0"/>
          <w:spacing w:val="-12"/>
          <w:sz w:val="24"/>
        </w:rPr>
        <w:t> </w:t>
      </w:r>
      <w:r>
        <w:rPr>
          <w:strike/>
          <w:color w:val="2E97D3"/>
          <w:sz w:val="24"/>
        </w:rPr>
        <w:t>board</w:t>
      </w:r>
      <w:r>
        <w:rPr>
          <w:strike w:val="0"/>
          <w:color w:val="2E97D3"/>
          <w:sz w:val="24"/>
          <w:u w:val="single" w:color="2E97D3"/>
        </w:rPr>
        <w:t>PWB</w:t>
      </w:r>
      <w:r>
        <w:rPr>
          <w:strike w:val="0"/>
          <w:sz w:val="24"/>
        </w:rPr>
        <w:t>:</w:t>
      </w:r>
    </w:p>
    <w:p>
      <w:pPr>
        <w:pStyle w:val="ListParagraph"/>
        <w:numPr>
          <w:ilvl w:val="0"/>
          <w:numId w:val="116"/>
        </w:numPr>
        <w:tabs>
          <w:tab w:pos="1361" w:val="left" w:leader="none"/>
        </w:tabs>
        <w:spacing w:line="274" w:lineRule="exact" w:before="126" w:after="0"/>
        <w:ind w:left="1360" w:right="507" w:hanging="360"/>
        <w:jc w:val="left"/>
        <w:rPr>
          <w:sz w:val="24"/>
        </w:rPr>
      </w:pPr>
      <w:r>
        <w:rPr>
          <w:sz w:val="24"/>
        </w:rPr>
        <w:t>Standard fiscal reporting requirements specified in Section 6845. Also submit the agenda </w:t>
      </w:r>
      <w:r>
        <w:rPr>
          <w:i/>
          <w:sz w:val="24"/>
        </w:rPr>
        <w:t>briefing package</w:t>
      </w:r>
      <w:r>
        <w:rPr>
          <w:sz w:val="24"/>
        </w:rPr>
        <w:t>.  However, PWB staff will format the agenda item</w:t>
      </w:r>
      <w:r>
        <w:rPr>
          <w:spacing w:val="-37"/>
          <w:sz w:val="24"/>
        </w:rPr>
        <w:t> </w:t>
      </w:r>
      <w:r>
        <w:rPr>
          <w:sz w:val="24"/>
        </w:rPr>
        <w:t>itself;</w:t>
      </w:r>
    </w:p>
    <w:p>
      <w:pPr>
        <w:pStyle w:val="BodyText"/>
        <w:spacing w:before="10"/>
        <w:rPr>
          <w:sz w:val="20"/>
        </w:rPr>
      </w:pPr>
    </w:p>
    <w:p>
      <w:pPr>
        <w:pStyle w:val="ListParagraph"/>
        <w:numPr>
          <w:ilvl w:val="0"/>
          <w:numId w:val="116"/>
        </w:numPr>
        <w:tabs>
          <w:tab w:pos="1361" w:val="left" w:leader="none"/>
        </w:tabs>
        <w:spacing w:line="240" w:lineRule="auto" w:before="0" w:after="0"/>
        <w:ind w:left="1360" w:right="0" w:hanging="360"/>
        <w:jc w:val="left"/>
        <w:rPr>
          <w:sz w:val="24"/>
        </w:rPr>
      </w:pPr>
      <w:r>
        <w:rPr/>
        <w:pict>
          <v:line style="position:absolute;mso-position-horizontal-relative:page;mso-position-vertical-relative:paragraph;z-index:-443872" from="424.679993pt,12.995864pt" to="427.919993pt,12.995864pt" stroked="true" strokeweight=".84pt" strokecolor="#2e97d3">
            <v:stroke dashstyle="solid"/>
            <w10:wrap type="none"/>
          </v:line>
        </w:pict>
      </w:r>
      <w:r>
        <w:rPr/>
        <w:pict>
          <v:line style="position:absolute;mso-position-horizontal-relative:page;mso-position-vertical-relative:paragraph;z-index:28912" from="26.76pt,.094864pt" to="26.76pt,23.975864pt" stroked="true" strokeweight=".72pt" strokecolor="#000000">
            <v:stroke dashstyle="solid"/>
            <w10:wrap type="none"/>
          </v:line>
        </w:pict>
      </w:r>
      <w:r>
        <w:rPr>
          <w:sz w:val="24"/>
        </w:rPr>
        <w:t>A completed PMIB loan application </w:t>
      </w:r>
      <w:r>
        <w:rPr>
          <w:strike/>
          <w:color w:val="2E97D3"/>
          <w:sz w:val="24"/>
        </w:rPr>
        <w:t>or loan renewal</w:t>
      </w:r>
      <w:r>
        <w:rPr>
          <w:strike/>
          <w:color w:val="2E97D3"/>
          <w:spacing w:val="-31"/>
          <w:sz w:val="24"/>
        </w:rPr>
        <w:t> </w:t>
      </w:r>
      <w:r>
        <w:rPr>
          <w:strike/>
          <w:color w:val="2E97D3"/>
          <w:sz w:val="24"/>
        </w:rPr>
        <w:t>application;</w:t>
      </w:r>
      <w:r>
        <w:rPr>
          <w:strike w:val="0"/>
          <w:color w:val="2E97D3"/>
          <w:sz w:val="24"/>
        </w:rPr>
        <w:t>;</w:t>
      </w:r>
    </w:p>
    <w:p>
      <w:pPr>
        <w:pStyle w:val="ListParagraph"/>
        <w:numPr>
          <w:ilvl w:val="0"/>
          <w:numId w:val="116"/>
        </w:numPr>
        <w:tabs>
          <w:tab w:pos="1361" w:val="left" w:leader="none"/>
        </w:tabs>
        <w:spacing w:line="240" w:lineRule="auto" w:before="201" w:after="0"/>
        <w:ind w:left="1360" w:right="0" w:hanging="360"/>
        <w:jc w:val="left"/>
        <w:rPr>
          <w:sz w:val="24"/>
        </w:rPr>
      </w:pPr>
      <w:r>
        <w:rPr>
          <w:sz w:val="24"/>
        </w:rPr>
        <w:t>Anticipated project</w:t>
      </w:r>
      <w:r>
        <w:rPr>
          <w:spacing w:val="-15"/>
          <w:sz w:val="24"/>
        </w:rPr>
        <w:t> </w:t>
      </w:r>
      <w:r>
        <w:rPr>
          <w:sz w:val="24"/>
        </w:rPr>
        <w:t>schedule;</w:t>
      </w:r>
    </w:p>
    <w:p>
      <w:pPr>
        <w:pStyle w:val="ListParagraph"/>
        <w:numPr>
          <w:ilvl w:val="0"/>
          <w:numId w:val="116"/>
        </w:numPr>
        <w:tabs>
          <w:tab w:pos="1361" w:val="left" w:leader="none"/>
        </w:tabs>
        <w:spacing w:line="240" w:lineRule="auto" w:before="199" w:after="0"/>
        <w:ind w:left="1360" w:right="0" w:hanging="360"/>
        <w:jc w:val="left"/>
        <w:rPr>
          <w:sz w:val="24"/>
        </w:rPr>
      </w:pPr>
      <w:r>
        <w:rPr>
          <w:sz w:val="24"/>
        </w:rPr>
        <w:t>The date planned to go to PMIB;</w:t>
      </w:r>
      <w:r>
        <w:rPr>
          <w:spacing w:val="-13"/>
          <w:sz w:val="24"/>
        </w:rPr>
        <w:t> </w:t>
      </w:r>
      <w:r>
        <w:rPr>
          <w:sz w:val="24"/>
        </w:rPr>
        <w:t>and</w:t>
      </w:r>
    </w:p>
    <w:p>
      <w:pPr>
        <w:pStyle w:val="ListParagraph"/>
        <w:numPr>
          <w:ilvl w:val="0"/>
          <w:numId w:val="116"/>
        </w:numPr>
        <w:tabs>
          <w:tab w:pos="1361" w:val="left" w:leader="none"/>
        </w:tabs>
        <w:spacing w:line="240" w:lineRule="auto" w:before="199" w:after="0"/>
        <w:ind w:left="1360" w:right="0" w:hanging="360"/>
        <w:jc w:val="left"/>
        <w:rPr>
          <w:sz w:val="24"/>
        </w:rPr>
      </w:pPr>
      <w:r>
        <w:rPr>
          <w:sz w:val="24"/>
        </w:rPr>
        <w:t>The anticipated amount and duration of the</w:t>
      </w:r>
      <w:r>
        <w:rPr>
          <w:spacing w:val="-22"/>
          <w:sz w:val="24"/>
        </w:rPr>
        <w:t> </w:t>
      </w:r>
      <w:r>
        <w:rPr>
          <w:sz w:val="24"/>
        </w:rPr>
        <w:t>loan.</w:t>
      </w:r>
    </w:p>
    <w:p>
      <w:pPr>
        <w:pStyle w:val="BodyText"/>
        <w:spacing w:before="197"/>
        <w:ind w:left="1000"/>
        <w:rPr>
          <w:b/>
        </w:rPr>
      </w:pPr>
      <w:r>
        <w:rPr>
          <w:strike/>
          <w:color w:val="2E97D3"/>
        </w:rPr>
        <w:t>2.</w:t>
      </w:r>
      <w:r>
        <w:rPr>
          <w:strike w:val="0"/>
          <w:color w:val="2E97D3"/>
          <w:u w:val="single" w:color="2E97D3"/>
        </w:rPr>
        <w:t>b. ...............................................................................................................................</w:t>
      </w:r>
      <w:r>
        <w:rPr>
          <w:b/>
          <w:strike w:val="0"/>
        </w:rPr>
        <w:t>Wh</w:t>
      </w:r>
    </w:p>
    <w:p>
      <w:pPr>
        <w:pStyle w:val="BodyText"/>
        <w:ind w:left="1360"/>
      </w:pPr>
      <w:r>
        <w:rPr/>
        <w:pict>
          <v:line style="position:absolute;mso-position-horizontal-relative:page;mso-position-vertical-relative:paragraph;z-index:28936" from="26.76pt,14.015868pt" to="26.76pt,41.615868pt" stroked="true" strokeweight=".72pt" strokecolor="#000000">
            <v:stroke dashstyle="solid"/>
            <w10:wrap type="none"/>
          </v:line>
        </w:pict>
      </w:r>
      <w:r>
        <w:rPr>
          <w:b/>
        </w:rPr>
        <w:t>en ready for the actual sale: </w:t>
      </w:r>
      <w:r>
        <w:rPr/>
        <w:t>The actual bond sale will require a subsequent bond item. This request is initiated by STO rather than the </w:t>
      </w:r>
      <w:r>
        <w:rPr>
          <w:strike/>
          <w:color w:val="2E97D3"/>
        </w:rPr>
        <w:t>client </w:t>
      </w:r>
      <w:r>
        <w:rPr>
          <w:strike w:val="0"/>
        </w:rPr>
        <w:t>department, and PWB prepares the agenda item. The </w:t>
      </w:r>
      <w:r>
        <w:rPr>
          <w:strike/>
          <w:color w:val="2E97D3"/>
        </w:rPr>
        <w:t>client </w:t>
      </w:r>
      <w:r>
        <w:rPr>
          <w:strike w:val="0"/>
        </w:rPr>
        <w:t>department may be asked to provide a briefing document, however.</w:t>
      </w:r>
    </w:p>
    <w:p>
      <w:pPr>
        <w:pStyle w:val="BodyText"/>
        <w:spacing w:before="120"/>
        <w:ind w:left="1000"/>
      </w:pPr>
      <w:r>
        <w:rPr/>
        <w:pict>
          <v:line style="position:absolute;mso-position-horizontal-relative:page;mso-position-vertical-relative:paragraph;z-index:28960" from="26.76pt,6.215856pt" to="26.76pt,26.015856pt" stroked="true" strokeweight=".72pt" strokecolor="#000000">
            <v:stroke dashstyle="solid"/>
            <w10:wrap type="none"/>
          </v:line>
        </w:pict>
      </w:r>
      <w:r>
        <w:rPr/>
        <w:t>See Section 6878 for additional information on interim </w:t>
      </w:r>
      <w:r>
        <w:rPr>
          <w:strike/>
          <w:color w:val="2E97D3"/>
        </w:rPr>
        <w:t>financing</w:t>
      </w:r>
      <w:r>
        <w:rPr>
          <w:strike w:val="0"/>
          <w:color w:val="2E97D3"/>
          <w:u w:val="single" w:color="2E97D3"/>
        </w:rPr>
        <w:t>finance</w:t>
      </w:r>
      <w:r>
        <w:rPr>
          <w:strike w:val="0"/>
        </w:rPr>
        <w:t>.</w:t>
      </w:r>
    </w:p>
    <w:p>
      <w:pPr>
        <w:spacing w:after="0"/>
        <w:sectPr>
          <w:pgSz w:w="12240" w:h="15840"/>
          <w:pgMar w:header="724" w:footer="785" w:top="980" w:bottom="980" w:left="420" w:right="1300"/>
        </w:sectPr>
      </w:pPr>
    </w:p>
    <w:p>
      <w:pPr>
        <w:pStyle w:val="BodyText"/>
        <w:ind w:left="107"/>
        <w:rPr>
          <w:sz w:val="20"/>
        </w:rPr>
      </w:pPr>
      <w:r>
        <w:rPr>
          <w:sz w:val="20"/>
        </w:rPr>
        <w:pict>
          <v:group style="width:.75pt;height:14.55pt;mso-position-horizontal-relative:char;mso-position-vertical-relative:line" coordorigin="0,0" coordsize="15,291">
            <v:line style="position:absolute" from="8,8" to="8,283" stroked="true" strokeweight=".72pt" strokecolor="#000000">
              <v:stroke dashstyle="solid"/>
            </v:line>
          </v:group>
        </w:pict>
      </w:r>
      <w:r>
        <w:rPr>
          <w:sz w:val="20"/>
        </w:rPr>
      </w:r>
    </w:p>
    <w:p>
      <w:pPr>
        <w:spacing w:line="224" w:lineRule="exact" w:before="0"/>
        <w:ind w:left="640" w:right="0" w:firstLine="0"/>
        <w:jc w:val="left"/>
        <w:rPr>
          <w:b/>
          <w:sz w:val="24"/>
        </w:rPr>
      </w:pPr>
      <w:r>
        <w:rPr>
          <w:b/>
          <w:sz w:val="24"/>
        </w:rPr>
        <w:t>AUGMENTATIONS, ADDITIONAL COSTS (WITHIN APPROPRIATION)</w:t>
      </w:r>
    </w:p>
    <w:p>
      <w:pPr>
        <w:tabs>
          <w:tab w:pos="9739" w:val="left" w:leader="none"/>
        </w:tabs>
        <w:spacing w:before="0"/>
        <w:ind w:left="640" w:right="0" w:firstLine="0"/>
        <w:jc w:val="left"/>
        <w:rPr>
          <w:b/>
          <w:sz w:val="24"/>
        </w:rPr>
      </w:pPr>
      <w:r>
        <w:rPr/>
        <w:pict>
          <v:line style="position:absolute;mso-position-horizontal-relative:page;mso-position-vertical-relative:paragraph;z-index:29032" from="26.76pt,14.015883pt" to="26.76pt,47.615883pt" stroked="true" strokeweight=".72pt" strokecolor="#000000">
            <v:stroke dashstyle="solid"/>
            <w10:wrap type="none"/>
          </v:line>
        </w:pict>
      </w:r>
      <w:bookmarkStart w:name="AND RECOGNITION OF DEFICITS  6861" w:id="102"/>
      <w:bookmarkEnd w:id="102"/>
      <w:r>
        <w:rPr/>
      </w:r>
      <w:r>
        <w:rPr>
          <w:b/>
          <w:sz w:val="24"/>
        </w:rPr>
        <w:t>AND RECOGNITION</w:t>
      </w:r>
      <w:r>
        <w:rPr>
          <w:b/>
          <w:spacing w:val="-4"/>
          <w:sz w:val="24"/>
        </w:rPr>
        <w:t> </w:t>
      </w:r>
      <w:r>
        <w:rPr>
          <w:b/>
          <w:sz w:val="24"/>
        </w:rPr>
        <w:t>OF</w:t>
      </w:r>
      <w:r>
        <w:rPr>
          <w:b/>
          <w:spacing w:val="-3"/>
          <w:sz w:val="24"/>
        </w:rPr>
        <w:t> </w:t>
      </w:r>
      <w:r>
        <w:rPr>
          <w:b/>
          <w:sz w:val="24"/>
        </w:rPr>
        <w:t>DEFICITS</w:t>
        <w:tab/>
        <w:t>6861</w:t>
      </w:r>
    </w:p>
    <w:p>
      <w:pPr>
        <w:pStyle w:val="BodyText"/>
        <w:ind w:left="746"/>
      </w:pPr>
      <w:r>
        <w:rPr/>
        <w:t>(Revised </w:t>
      </w:r>
      <w:r>
        <w:rPr>
          <w:strike/>
          <w:color w:val="2E97D3"/>
        </w:rPr>
        <w:t>5/1998</w:t>
      </w:r>
      <w:r>
        <w:rPr>
          <w:strike w:val="0"/>
          <w:color w:val="2E97D3"/>
          <w:u w:val="single" w:color="2E97D3"/>
        </w:rPr>
        <w:t>09/2017</w:t>
      </w:r>
      <w:r>
        <w:rPr>
          <w:strike w:val="0"/>
        </w:rPr>
        <w:t>)</w:t>
      </w:r>
    </w:p>
    <w:p>
      <w:pPr>
        <w:pStyle w:val="BodyText"/>
        <w:spacing w:before="120"/>
        <w:ind w:left="746" w:right="230"/>
      </w:pPr>
      <w:r>
        <w:rPr/>
        <w:pict>
          <v:line style="position:absolute;mso-position-horizontal-relative:page;mso-position-vertical-relative:paragraph;z-index:29056" from="26.76pt,33.816849pt" to="26.76pt,215.495849pt" stroked="true" strokeweight=".72pt" strokecolor="#000000">
            <v:stroke dashstyle="solid"/>
            <w10:wrap type="none"/>
          </v:line>
        </w:pict>
      </w:r>
      <w:r>
        <w:rPr>
          <w:b/>
        </w:rPr>
        <w:t>PWB’s authority to augment</w:t>
      </w:r>
      <w:r>
        <w:rPr/>
        <w:t>: </w:t>
      </w:r>
      <w:r>
        <w:rPr>
          <w:color w:val="2E97D3"/>
          <w:u w:val="single" w:color="2E97D3"/>
        </w:rPr>
        <w:t>The </w:t>
      </w:r>
      <w:r>
        <w:rPr/>
        <w:t>PWB’s authority to augment capital outlay projects, and the appropriations for those augmentations, are set out in Government Code Sections </w:t>
      </w:r>
      <w:r>
        <w:rPr>
          <w:strike/>
          <w:color w:val="2E97D3"/>
          <w:u w:val="single" w:color="2E97D3"/>
        </w:rPr>
        <w:t>16352</w:t>
      </w:r>
      <w:hyperlink r:id="rId314">
        <w:r>
          <w:rPr>
            <w:strike w:val="0"/>
            <w:color w:val="2E97D3"/>
            <w:u w:val="single" w:color="2E97D3"/>
          </w:rPr>
          <w:t>16352</w:t>
        </w:r>
      </w:hyperlink>
      <w:r>
        <w:rPr>
          <w:strike w:val="0"/>
        </w:rPr>
        <w:t>, </w:t>
      </w:r>
      <w:r>
        <w:rPr>
          <w:strike/>
          <w:color w:val="2E97D3"/>
          <w:u w:val="single" w:color="2E97D3"/>
        </w:rPr>
        <w:t>16352.5</w:t>
      </w:r>
      <w:hyperlink r:id="rId314">
        <w:r>
          <w:rPr>
            <w:strike w:val="0"/>
            <w:color w:val="2E97D3"/>
            <w:u w:val="single" w:color="2E97D3"/>
          </w:rPr>
          <w:t>16352.5</w:t>
        </w:r>
      </w:hyperlink>
      <w:r>
        <w:rPr>
          <w:strike w:val="0"/>
        </w:rPr>
        <w:t>, </w:t>
      </w:r>
      <w:r>
        <w:rPr>
          <w:strike/>
          <w:color w:val="2E97D3"/>
          <w:u w:val="single" w:color="2E97D3"/>
        </w:rPr>
        <w:t>16354</w:t>
      </w:r>
      <w:hyperlink r:id="rId315">
        <w:r>
          <w:rPr>
            <w:strike w:val="0"/>
            <w:color w:val="2E97D3"/>
            <w:u w:val="single" w:color="2E97D3"/>
          </w:rPr>
          <w:t>16354</w:t>
        </w:r>
      </w:hyperlink>
      <w:r>
        <w:rPr>
          <w:strike w:val="0"/>
        </w:rPr>
        <w:t>, and </w:t>
      </w:r>
      <w:r>
        <w:rPr>
          <w:strike/>
          <w:color w:val="2E97D3"/>
          <w:u w:val="single" w:color="2E97D3"/>
        </w:rPr>
        <w:t>16409</w:t>
      </w:r>
      <w:hyperlink r:id="rId316">
        <w:r>
          <w:rPr>
            <w:strike w:val="0"/>
            <w:color w:val="2E97D3"/>
            <w:u w:val="single" w:color="2E97D3"/>
          </w:rPr>
          <w:t>16409</w:t>
        </w:r>
      </w:hyperlink>
      <w:r>
        <w:rPr>
          <w:strike w:val="0"/>
        </w:rPr>
        <w:t>. </w:t>
      </w:r>
      <w:r>
        <w:rPr>
          <w:strike/>
          <w:color w:val="2E97D3"/>
        </w:rPr>
        <w:t>Section</w:t>
      </w:r>
      <w:r>
        <w:rPr>
          <w:strike w:val="0"/>
          <w:color w:val="2E97D3"/>
          <w:u w:val="single" w:color="2E97D3"/>
        </w:rPr>
        <w:t>Sections </w:t>
      </w:r>
      <w:r>
        <w:rPr>
          <w:strike/>
          <w:color w:val="2E97D3"/>
          <w:u w:val="single" w:color="2E97D3"/>
        </w:rPr>
        <w:t>13332.11</w:t>
      </w:r>
    </w:p>
    <w:p>
      <w:pPr>
        <w:pStyle w:val="BodyText"/>
        <w:ind w:left="746" w:right="681"/>
      </w:pPr>
      <w:hyperlink r:id="rId317">
        <w:r>
          <w:rPr>
            <w:color w:val="2E97D3"/>
            <w:u w:val="single" w:color="2E97D3"/>
          </w:rPr>
          <w:t>13332.11 (for design-bid-build projects) and 13332.19 (for design-build projects)</w:t>
        </w:r>
      </w:hyperlink>
      <w:r>
        <w:rPr>
          <w:color w:val="2E97D3"/>
          <w:u w:val="single" w:color="2E97D3"/>
        </w:rPr>
        <w:t> </w:t>
      </w:r>
      <w:r>
        <w:rPr/>
        <w:t>of the Government Code limits that authority as follows:</w:t>
      </w:r>
    </w:p>
    <w:p>
      <w:pPr>
        <w:pStyle w:val="BodyText"/>
        <w:spacing w:before="122"/>
        <w:ind w:left="640"/>
      </w:pPr>
      <w:r>
        <w:rPr>
          <w:strike/>
          <w:color w:val="2E97D3"/>
        </w:rPr>
        <w:t>1.</w:t>
      </w:r>
      <w:r>
        <w:rPr>
          <w:strike w:val="0"/>
          <w:color w:val="2E97D3"/>
          <w:u w:val="single" w:color="2E97D3"/>
        </w:rPr>
        <w:t>9. </w:t>
      </w:r>
      <w:r>
        <w:rPr>
          <w:strike w:val="0"/>
        </w:rPr>
        <w:t>Augmentations are limited to 20 percent of the amount appropriated;</w:t>
      </w:r>
    </w:p>
    <w:p>
      <w:pPr>
        <w:pStyle w:val="BodyText"/>
        <w:ind w:left="1000" w:right="121" w:hanging="360"/>
      </w:pPr>
      <w:r>
        <w:rPr>
          <w:strike/>
          <w:color w:val="2E97D3"/>
        </w:rPr>
        <w:t>2.  PWB must defer approval of preliminary plans or any portion of an acquisition project if the estimated cost of the total project exceeds 20 percent of the amount appropriated. (A limited exception is provided for acquisition projects—see Section 6849.) If construction has not yet been appropriated, there is no requirement under law to defer action on preliminary plans, but PWB will nonetheless calculate the project’s estimated percentage increase based on the last legislatively recognized cost. As appropriate, it is generally board practice to defer action and notify the Legislature when such increases exceed 20 percent;</w:t>
      </w:r>
    </w:p>
    <w:p>
      <w:pPr>
        <w:pStyle w:val="BodyText"/>
        <w:spacing w:before="197"/>
        <w:ind w:left="1000" w:right="230" w:hanging="360"/>
      </w:pPr>
      <w:r>
        <w:rPr/>
        <w:pict>
          <v:line style="position:absolute;mso-position-horizontal-relative:page;mso-position-vertical-relative:paragraph;z-index:29080" from="26.76pt,23.865849pt" to="26.76pt,89.145849pt" stroked="true" strokeweight=".72pt" strokecolor="#000000">
            <v:stroke dashstyle="solid"/>
            <w10:wrap type="none"/>
          </v:line>
        </w:pict>
      </w:r>
      <w:r>
        <w:rPr>
          <w:strike/>
          <w:color w:val="2E97D3"/>
        </w:rPr>
        <w:t>3.</w:t>
      </w:r>
      <w:r>
        <w:rPr>
          <w:strike w:val="0"/>
          <w:color w:val="2E97D3"/>
          <w:u w:val="single" w:color="2E97D3"/>
        </w:rPr>
        <w:t>10. </w:t>
      </w:r>
      <w:r>
        <w:rPr>
          <w:strike w:val="0"/>
        </w:rPr>
        <w:t>Any single augmentation or cumulative augmentation exceeding 10 percent of the funds appropriated requires a 20-day notification to </w:t>
      </w:r>
      <w:r>
        <w:rPr>
          <w:strike/>
          <w:color w:val="2E97D3"/>
        </w:rPr>
        <w:t>JOBC</w:t>
      </w:r>
      <w:r>
        <w:rPr>
          <w:strike w:val="0"/>
          <w:color w:val="2E97D3"/>
          <w:u w:val="single" w:color="2E97D3"/>
        </w:rPr>
        <w:t>JLBC </w:t>
      </w:r>
      <w:r>
        <w:rPr>
          <w:i/>
          <w:strike w:val="0"/>
        </w:rPr>
        <w:t>prior </w:t>
      </w:r>
      <w:r>
        <w:rPr>
          <w:strike w:val="0"/>
        </w:rPr>
        <w:t>to action by the PWB;</w:t>
      </w:r>
    </w:p>
    <w:p>
      <w:pPr>
        <w:pStyle w:val="BodyText"/>
        <w:spacing w:line="242" w:lineRule="auto"/>
        <w:ind w:left="1000" w:hanging="360"/>
      </w:pPr>
      <w:r>
        <w:rPr>
          <w:strike/>
          <w:color w:val="2E97D3"/>
        </w:rPr>
        <w:t>4. Augmentations of construction phases have specific limits discussed in the following text under “How to compute an augmentation;” and</w:t>
      </w:r>
    </w:p>
    <w:p>
      <w:pPr>
        <w:spacing w:line="274" w:lineRule="exact" w:before="202"/>
        <w:ind w:left="1000" w:right="895" w:hanging="360"/>
        <w:jc w:val="left"/>
        <w:rPr>
          <w:i/>
          <w:sz w:val="24"/>
        </w:rPr>
      </w:pPr>
      <w:r>
        <w:rPr/>
        <w:pict>
          <v:line style="position:absolute;mso-position-horizontal-relative:page;mso-position-vertical-relative:paragraph;z-index:29104" from="26.76pt,23.819002pt" to="26.76pt,37.620002pt" stroked="true" strokeweight=".72pt" strokecolor="#000000">
            <v:stroke dashstyle="solid"/>
            <w10:wrap type="none"/>
          </v:line>
        </w:pict>
      </w:r>
      <w:r>
        <w:rPr>
          <w:strike/>
          <w:color w:val="2E97D3"/>
          <w:sz w:val="24"/>
        </w:rPr>
        <w:t>5.</w:t>
      </w:r>
      <w:r>
        <w:rPr>
          <w:i/>
          <w:strike w:val="0"/>
          <w:color w:val="2E97D3"/>
          <w:sz w:val="24"/>
          <w:u w:val="single" w:color="2E97D3"/>
        </w:rPr>
        <w:t>11. </w:t>
      </w:r>
      <w:r>
        <w:rPr>
          <w:strike w:val="0"/>
          <w:sz w:val="24"/>
        </w:rPr>
        <w:t>PWB may recognize a potential augmentation of a future project phase, which the board terms a </w:t>
      </w:r>
      <w:r>
        <w:rPr>
          <w:i/>
          <w:strike w:val="0"/>
          <w:sz w:val="24"/>
        </w:rPr>
        <w:t>recognized anticipated deficit.</w:t>
      </w:r>
    </w:p>
    <w:p>
      <w:pPr>
        <w:pStyle w:val="BodyText"/>
        <w:spacing w:before="197"/>
        <w:ind w:left="746"/>
      </w:pPr>
      <w:r>
        <w:rPr/>
        <w:t>In addition, by board policy and practice:</w:t>
      </w:r>
    </w:p>
    <w:p>
      <w:pPr>
        <w:pStyle w:val="BodyText"/>
        <w:tabs>
          <w:tab w:pos="2080" w:val="left" w:leader="none"/>
        </w:tabs>
        <w:spacing w:before="117"/>
        <w:ind w:left="1000"/>
      </w:pPr>
      <w:r>
        <w:rPr>
          <w:strike/>
          <w:color w:val="2E97D3"/>
        </w:rPr>
        <w:t>1.</w:t>
      </w:r>
      <w:r>
        <w:rPr>
          <w:strike w:val="0"/>
          <w:color w:val="2E97D3"/>
          <w:u w:val="single" w:color="2E97D3"/>
        </w:rPr>
        <w:t>a.</w:t>
        <w:tab/>
      </w:r>
      <w:r>
        <w:rPr>
          <w:strike w:val="0"/>
        </w:rPr>
        <w:t>Recognition</w:t>
      </w:r>
      <w:r>
        <w:rPr>
          <w:strike w:val="0"/>
          <w:spacing w:val="-3"/>
        </w:rPr>
        <w:t> </w:t>
      </w:r>
      <w:r>
        <w:rPr>
          <w:strike w:val="0"/>
        </w:rPr>
        <w:t>of</w:t>
      </w:r>
      <w:r>
        <w:rPr>
          <w:strike w:val="0"/>
          <w:spacing w:val="-3"/>
        </w:rPr>
        <w:t> </w:t>
      </w:r>
      <w:r>
        <w:rPr>
          <w:strike w:val="0"/>
        </w:rPr>
        <w:t>anticipated</w:t>
      </w:r>
      <w:r>
        <w:rPr>
          <w:strike w:val="0"/>
          <w:spacing w:val="-5"/>
        </w:rPr>
        <w:t> </w:t>
      </w:r>
      <w:r>
        <w:rPr>
          <w:strike w:val="0"/>
        </w:rPr>
        <w:t>deficits</w:t>
      </w:r>
      <w:r>
        <w:rPr>
          <w:strike w:val="0"/>
          <w:spacing w:val="-4"/>
        </w:rPr>
        <w:t> </w:t>
      </w:r>
      <w:r>
        <w:rPr>
          <w:strike w:val="0"/>
        </w:rPr>
        <w:t>is</w:t>
      </w:r>
      <w:r>
        <w:rPr>
          <w:strike w:val="0"/>
          <w:spacing w:val="-4"/>
        </w:rPr>
        <w:t> </w:t>
      </w:r>
      <w:r>
        <w:rPr>
          <w:strike w:val="0"/>
        </w:rPr>
        <w:t>generally</w:t>
      </w:r>
      <w:r>
        <w:rPr>
          <w:strike w:val="0"/>
          <w:spacing w:val="-4"/>
        </w:rPr>
        <w:t> </w:t>
      </w:r>
      <w:r>
        <w:rPr>
          <w:strike w:val="0"/>
        </w:rPr>
        <w:t>limited</w:t>
      </w:r>
      <w:r>
        <w:rPr>
          <w:strike w:val="0"/>
          <w:spacing w:val="-5"/>
        </w:rPr>
        <w:t> </w:t>
      </w:r>
      <w:r>
        <w:rPr>
          <w:strike w:val="0"/>
        </w:rPr>
        <w:t>to</w:t>
      </w:r>
      <w:r>
        <w:rPr>
          <w:strike w:val="0"/>
          <w:spacing w:val="-3"/>
        </w:rPr>
        <w:t> </w:t>
      </w:r>
      <w:r>
        <w:rPr>
          <w:strike w:val="0"/>
        </w:rPr>
        <w:t>the</w:t>
      </w:r>
      <w:r>
        <w:rPr>
          <w:strike w:val="0"/>
          <w:spacing w:val="-3"/>
        </w:rPr>
        <w:t> </w:t>
      </w:r>
      <w:r>
        <w:rPr>
          <w:strike w:val="0"/>
        </w:rPr>
        <w:t>construction</w:t>
      </w:r>
      <w:r>
        <w:rPr>
          <w:strike w:val="0"/>
          <w:spacing w:val="-24"/>
        </w:rPr>
        <w:t> </w:t>
      </w:r>
      <w:r>
        <w:rPr>
          <w:strike w:val="0"/>
        </w:rPr>
        <w:t>phase.</w:t>
      </w:r>
    </w:p>
    <w:p>
      <w:pPr>
        <w:pStyle w:val="BodyText"/>
        <w:ind w:left="107"/>
        <w:rPr>
          <w:sz w:val="20"/>
        </w:rPr>
      </w:pPr>
      <w:r>
        <w:rPr>
          <w:sz w:val="20"/>
        </w:rPr>
        <w:pict>
          <v:group style="width:.75pt;height:12.55pt;mso-position-horizontal-relative:char;mso-position-vertical-relative:line" coordorigin="0,0" coordsize="15,251">
            <v:line style="position:absolute" from="8,8" to="8,243" stroked="true" strokeweight=".72pt" strokecolor="#000000">
              <v:stroke dashstyle="solid"/>
            </v:line>
          </v:group>
        </w:pict>
      </w:r>
      <w:r>
        <w:rPr>
          <w:sz w:val="20"/>
        </w:rPr>
      </w:r>
    </w:p>
    <w:p>
      <w:pPr>
        <w:pStyle w:val="BodyText"/>
        <w:tabs>
          <w:tab w:pos="2080" w:val="left" w:leader="none"/>
        </w:tabs>
        <w:ind w:left="1360" w:right="886" w:hanging="360"/>
      </w:pPr>
      <w:r>
        <w:rPr/>
        <w:pict>
          <v:line style="position:absolute;mso-position-horizontal-relative:page;mso-position-vertical-relative:paragraph;z-index:29128" from="26.76pt,14.136874pt" to="26.76pt,67.655874pt" stroked="true" strokeweight=".72pt" strokecolor="#000000">
            <v:stroke dashstyle="solid"/>
            <w10:wrap type="none"/>
          </v:line>
        </w:pict>
      </w:r>
      <w:r>
        <w:rPr>
          <w:strike/>
          <w:color w:val="2E97D3"/>
        </w:rPr>
        <w:t>2.</w:t>
      </w:r>
      <w:r>
        <w:rPr>
          <w:strike w:val="0"/>
          <w:color w:val="2E97D3"/>
          <w:u w:val="single" w:color="2E97D3"/>
        </w:rPr>
        <w:t>b.</w:t>
        <w:tab/>
      </w:r>
      <w:r>
        <w:rPr>
          <w:strike w:val="0"/>
        </w:rPr>
        <w:t>Augmentations of less than 10 percent </w:t>
      </w:r>
      <w:r>
        <w:rPr>
          <w:i/>
          <w:strike w:val="0"/>
        </w:rPr>
        <w:t>may </w:t>
      </w:r>
      <w:r>
        <w:rPr>
          <w:strike w:val="0"/>
        </w:rPr>
        <w:t>be treated as</w:t>
      </w:r>
      <w:r>
        <w:rPr>
          <w:strike w:val="0"/>
          <w:spacing w:val="-29"/>
        </w:rPr>
        <w:t> </w:t>
      </w:r>
      <w:r>
        <w:rPr>
          <w:strike w:val="0"/>
        </w:rPr>
        <w:t>a</w:t>
      </w:r>
      <w:r>
        <w:rPr>
          <w:strike w:val="0"/>
          <w:spacing w:val="-4"/>
        </w:rPr>
        <w:t> </w:t>
      </w:r>
      <w:r>
        <w:rPr>
          <w:strike w:val="0"/>
        </w:rPr>
        <w:t>delegated</w:t>
      </w:r>
      <w:r>
        <w:rPr>
          <w:strike w:val="0"/>
          <w:w w:val="99"/>
        </w:rPr>
        <w:t> </w:t>
      </w:r>
      <w:r>
        <w:rPr>
          <w:strike w:val="0"/>
        </w:rPr>
        <w:t>item </w:t>
      </w:r>
      <w:r>
        <w:rPr>
          <w:strike/>
          <w:color w:val="2E97D3"/>
        </w:rPr>
        <w:t>to DOF</w:t>
      </w:r>
      <w:r>
        <w:rPr>
          <w:strike w:val="0"/>
          <w:color w:val="2E97D3"/>
          <w:u w:val="single" w:color="2E97D3"/>
        </w:rPr>
        <w:t>by PWB staff</w:t>
      </w:r>
      <w:r>
        <w:rPr>
          <w:strike w:val="0"/>
        </w:rPr>
        <w:t>, and at </w:t>
      </w:r>
      <w:r>
        <w:rPr>
          <w:strike/>
          <w:color w:val="2E97D3"/>
        </w:rPr>
        <w:t>DOF</w:t>
      </w:r>
      <w:r>
        <w:rPr>
          <w:strike w:val="0"/>
          <w:color w:val="2E97D3"/>
          <w:u w:val="single" w:color="2E97D3"/>
        </w:rPr>
        <w:t>their </w:t>
      </w:r>
      <w:r>
        <w:rPr>
          <w:strike w:val="0"/>
        </w:rPr>
        <w:t>discretion </w:t>
      </w:r>
      <w:r>
        <w:rPr>
          <w:i/>
          <w:strike w:val="0"/>
        </w:rPr>
        <w:t>may </w:t>
      </w:r>
      <w:r>
        <w:rPr>
          <w:strike w:val="0"/>
        </w:rPr>
        <w:t>be approved prior to the PWB monthly meeting. </w:t>
      </w:r>
      <w:r>
        <w:rPr>
          <w:strike w:val="0"/>
          <w:color w:val="2E97D3"/>
          <w:u w:val="single" w:color="2E97D3"/>
        </w:rPr>
        <w:t>In this case, the augmentation approval will be reported as a “reportable” at the PWB</w:t>
      </w:r>
      <w:r>
        <w:rPr>
          <w:strike w:val="0"/>
          <w:color w:val="2E97D3"/>
          <w:spacing w:val="-23"/>
          <w:u w:val="single" w:color="2E97D3"/>
        </w:rPr>
        <w:t> </w:t>
      </w:r>
      <w:r>
        <w:rPr>
          <w:strike w:val="0"/>
          <w:color w:val="2E97D3"/>
          <w:u w:val="single" w:color="2E97D3"/>
        </w:rPr>
        <w:t>meeting.</w:t>
      </w:r>
    </w:p>
    <w:p>
      <w:pPr>
        <w:pStyle w:val="BodyText"/>
        <w:rPr>
          <w:sz w:val="21"/>
        </w:rPr>
      </w:pPr>
    </w:p>
    <w:p>
      <w:pPr>
        <w:pStyle w:val="BodyText"/>
        <w:spacing w:before="1"/>
        <w:ind w:left="746" w:right="895"/>
      </w:pPr>
      <w:r>
        <w:rPr/>
        <w:pict>
          <v:line style="position:absolute;mso-position-horizontal-relative:page;mso-position-vertical-relative:paragraph;z-index:29152" from="26.76pt,14.065856pt" to="26.76pt,27.865856pt" stroked="true" strokeweight=".72pt" strokecolor="#000000">
            <v:stroke dashstyle="solid"/>
            <w10:wrap type="none"/>
          </v:line>
        </w:pict>
      </w:r>
      <w:r>
        <w:rPr/>
        <w:t>The balance of this section describes PWB procedures in implementing Section </w:t>
      </w:r>
      <w:r>
        <w:rPr>
          <w:strike/>
          <w:color w:val="2E97D3"/>
          <w:u w:val="single" w:color="2E97D3"/>
        </w:rPr>
        <w:t>13332.11</w:t>
      </w:r>
      <w:r>
        <w:rPr>
          <w:strike/>
          <w:color w:val="2E97D3"/>
        </w:rPr>
        <w:t>.</w:t>
      </w:r>
      <w:hyperlink r:id="rId317">
        <w:r>
          <w:rPr>
            <w:strike w:val="0"/>
            <w:color w:val="2E97D3"/>
            <w:u w:val="single" w:color="2E97D3"/>
          </w:rPr>
          <w:t>13332.11</w:t>
        </w:r>
      </w:hyperlink>
      <w:r>
        <w:rPr>
          <w:strike w:val="0"/>
          <w:color w:val="2E97D3"/>
          <w:u w:val="single" w:color="2E97D3"/>
        </w:rPr>
        <w:t>. </w:t>
      </w:r>
      <w:r>
        <w:rPr>
          <w:strike w:val="0"/>
        </w:rPr>
        <w:t>A broad overview of PWB authority is provided in Section 6842.</w:t>
      </w:r>
    </w:p>
    <w:p>
      <w:pPr>
        <w:pStyle w:val="BodyText"/>
        <w:spacing w:before="10"/>
        <w:rPr>
          <w:sz w:val="17"/>
        </w:rPr>
      </w:pPr>
    </w:p>
    <w:p>
      <w:pPr>
        <w:pStyle w:val="BodyText"/>
        <w:spacing w:before="92"/>
        <w:ind w:left="640"/>
      </w:pPr>
      <w:r>
        <w:rPr/>
        <w:pict>
          <v:line style="position:absolute;mso-position-horizontal-relative:page;mso-position-vertical-relative:paragraph;z-index:29176" from="26.76pt,4.815861pt" to="26.76pt,50.535861pt" stroked="true" strokeweight=".72pt" strokecolor="#000000">
            <v:stroke dashstyle="solid"/>
            <w10:wrap type="none"/>
          </v:line>
        </w:pict>
      </w:r>
      <w:r>
        <w:rPr>
          <w:strike/>
          <w:color w:val="2E97D3"/>
        </w:rPr>
        <w:t>(Continued)</w:t>
      </w:r>
    </w:p>
    <w:p>
      <w:pPr>
        <w:spacing w:after="0"/>
        <w:sectPr>
          <w:headerReference w:type="default" r:id="rId313"/>
          <w:pgSz w:w="12240" w:h="15840"/>
          <w:pgMar w:header="726" w:footer="785" w:top="980" w:bottom="980" w:left="420" w:right="1220"/>
        </w:sectPr>
      </w:pPr>
    </w:p>
    <w:p>
      <w:pPr>
        <w:pStyle w:val="BodyText"/>
        <w:spacing w:line="268" w:lineRule="exact"/>
        <w:ind w:left="640"/>
      </w:pPr>
      <w:r>
        <w:rPr/>
        <w:pict>
          <v:line style="position:absolute;mso-position-horizontal-relative:page;mso-position-vertical-relative:paragraph;z-index:29320" from="26.76pt,-.176719pt" to="26.76pt,74.823281pt" stroked="true" strokeweight=".72pt" strokecolor="#000000">
            <v:stroke dashstyle="solid"/>
            <w10:wrap type="none"/>
          </v:line>
        </w:pict>
      </w:r>
      <w:r>
        <w:rPr>
          <w:strike/>
          <w:color w:val="2E97D3"/>
        </w:rPr>
        <w:t>(Continued)</w:t>
      </w:r>
    </w:p>
    <w:p>
      <w:pPr>
        <w:pStyle w:val="Heading2"/>
        <w:ind w:left="640"/>
      </w:pPr>
      <w:r>
        <w:rPr>
          <w:strike/>
          <w:color w:val="2C6234"/>
        </w:rPr>
        <w:t>AUGMENTATIONS, ADDITIONAL COSTS (WITHIN APPROPRIATION)</w:t>
      </w:r>
    </w:p>
    <w:p>
      <w:pPr>
        <w:tabs>
          <w:tab w:pos="8656" w:val="left" w:leader="none"/>
        </w:tabs>
        <w:spacing w:before="0"/>
        <w:ind w:left="640" w:right="0" w:firstLine="0"/>
        <w:jc w:val="left"/>
        <w:rPr>
          <w:sz w:val="24"/>
        </w:rPr>
      </w:pPr>
      <w:r>
        <w:rPr/>
        <w:pict>
          <v:line style="position:absolute;mso-position-horizontal-relative:page;mso-position-vertical-relative:paragraph;z-index:-443464" from="53.040001pt,8.436384pt" to="530.400001pt,8.436384pt" stroked="true" strokeweight=".599pt" strokecolor="#2e97d3">
            <v:stroke dashstyle="solid"/>
            <w10:wrap type="none"/>
          </v:line>
        </w:pict>
      </w:r>
      <w:r>
        <w:rPr>
          <w:b/>
          <w:color w:val="2E97D3"/>
          <w:sz w:val="24"/>
        </w:rPr>
        <w:t>AND RECOGNITION</w:t>
      </w:r>
      <w:r>
        <w:rPr>
          <w:b/>
          <w:color w:val="2E97D3"/>
          <w:spacing w:val="-4"/>
          <w:sz w:val="24"/>
        </w:rPr>
        <w:t> </w:t>
      </w:r>
      <w:r>
        <w:rPr>
          <w:b/>
          <w:color w:val="2E97D3"/>
          <w:sz w:val="24"/>
        </w:rPr>
        <w:t>OF</w:t>
      </w:r>
      <w:r>
        <w:rPr>
          <w:b/>
          <w:color w:val="2E97D3"/>
          <w:spacing w:val="-3"/>
          <w:sz w:val="24"/>
        </w:rPr>
        <w:t> </w:t>
      </w:r>
      <w:r>
        <w:rPr>
          <w:b/>
          <w:color w:val="2E97D3"/>
          <w:sz w:val="24"/>
        </w:rPr>
        <w:t>DEFICITS</w:t>
        <w:tab/>
        <w:t>6861 </w:t>
      </w:r>
      <w:r>
        <w:rPr>
          <w:color w:val="2E97D3"/>
          <w:sz w:val="24"/>
        </w:rPr>
        <w:t>(Cont.</w:t>
      </w:r>
      <w:r>
        <w:rPr>
          <w:color w:val="2E97D3"/>
          <w:spacing w:val="-10"/>
          <w:sz w:val="24"/>
        </w:rPr>
        <w:t> </w:t>
      </w:r>
      <w:r>
        <w:rPr>
          <w:color w:val="2E97D3"/>
          <w:sz w:val="24"/>
        </w:rPr>
        <w:t>1)</w:t>
      </w:r>
    </w:p>
    <w:p>
      <w:pPr>
        <w:pStyle w:val="BodyText"/>
        <w:ind w:left="640"/>
      </w:pPr>
      <w:r>
        <w:rPr>
          <w:strike/>
          <w:color w:val="2E97D3"/>
        </w:rPr>
        <w:t>(Revised 5/1998)</w:t>
      </w:r>
    </w:p>
    <w:p>
      <w:pPr>
        <w:pStyle w:val="BodyText"/>
        <w:spacing w:before="120"/>
        <w:ind w:left="746" w:right="1015"/>
      </w:pPr>
      <w:r>
        <w:rPr/>
        <w:pict>
          <v:line style="position:absolute;mso-position-horizontal-relative:page;mso-position-vertical-relative:paragraph;z-index:-443440" from="159.119995pt,14.435847pt" to="162.479995pt,14.435847pt" stroked="true" strokeweight=".6pt" strokecolor="#2e97d3">
            <v:stroke dashstyle="solid"/>
            <w10:wrap type="none"/>
          </v:line>
        </w:pict>
      </w:r>
      <w:r>
        <w:rPr>
          <w:b/>
        </w:rPr>
        <w:t>Compelling need: </w:t>
      </w:r>
      <w:r>
        <w:rPr/>
        <w:t>While PWB is authorized to augment capital outlay projects, augmentations are not approved unless there is a compelling need, and only after:</w:t>
      </w:r>
    </w:p>
    <w:p>
      <w:pPr>
        <w:pStyle w:val="BodyText"/>
        <w:spacing w:before="5"/>
        <w:rPr>
          <w:sz w:val="34"/>
        </w:rPr>
      </w:pPr>
    </w:p>
    <w:p>
      <w:pPr>
        <w:pStyle w:val="ListParagraph"/>
        <w:numPr>
          <w:ilvl w:val="0"/>
          <w:numId w:val="117"/>
        </w:numPr>
        <w:tabs>
          <w:tab w:pos="1001" w:val="left" w:leader="none"/>
        </w:tabs>
        <w:spacing w:line="240" w:lineRule="auto" w:before="0" w:after="0"/>
        <w:ind w:left="1000" w:right="885" w:hanging="360"/>
        <w:jc w:val="left"/>
        <w:rPr>
          <w:sz w:val="24"/>
        </w:rPr>
      </w:pPr>
      <w:r>
        <w:rPr/>
        <w:pict>
          <v:line style="position:absolute;mso-position-horizontal-relative:page;mso-position-vertical-relative:paragraph;z-index:29344" from="26.76pt,27.814884pt" to="26.76pt,53.495884pt" stroked="true" strokeweight=".72pt" strokecolor="#000000">
            <v:stroke dashstyle="solid"/>
            <w10:wrap type="none"/>
          </v:line>
        </w:pict>
      </w:r>
      <w:r>
        <w:rPr>
          <w:sz w:val="24"/>
        </w:rPr>
        <w:t>Non-committed</w:t>
      </w:r>
      <w:r>
        <w:rPr>
          <w:spacing w:val="-5"/>
          <w:sz w:val="24"/>
        </w:rPr>
        <w:t> </w:t>
      </w:r>
      <w:r>
        <w:rPr>
          <w:sz w:val="24"/>
        </w:rPr>
        <w:t>project</w:t>
      </w:r>
      <w:r>
        <w:rPr>
          <w:spacing w:val="-6"/>
          <w:sz w:val="24"/>
        </w:rPr>
        <w:t> </w:t>
      </w:r>
      <w:r>
        <w:rPr>
          <w:sz w:val="24"/>
        </w:rPr>
        <w:t>funds</w:t>
      </w:r>
      <w:r>
        <w:rPr>
          <w:spacing w:val="-4"/>
          <w:sz w:val="24"/>
        </w:rPr>
        <w:t> </w:t>
      </w:r>
      <w:r>
        <w:rPr>
          <w:sz w:val="24"/>
        </w:rPr>
        <w:t>(contingencies)</w:t>
      </w:r>
      <w:r>
        <w:rPr>
          <w:spacing w:val="-7"/>
          <w:sz w:val="24"/>
        </w:rPr>
        <w:t> </w:t>
      </w:r>
      <w:r>
        <w:rPr>
          <w:sz w:val="24"/>
        </w:rPr>
        <w:t>have</w:t>
      </w:r>
      <w:r>
        <w:rPr>
          <w:spacing w:val="-3"/>
          <w:sz w:val="24"/>
        </w:rPr>
        <w:t> </w:t>
      </w:r>
      <w:r>
        <w:rPr>
          <w:sz w:val="24"/>
        </w:rPr>
        <w:t>been</w:t>
      </w:r>
      <w:r>
        <w:rPr>
          <w:spacing w:val="-3"/>
          <w:sz w:val="24"/>
        </w:rPr>
        <w:t> </w:t>
      </w:r>
      <w:r>
        <w:rPr>
          <w:sz w:val="24"/>
        </w:rPr>
        <w:t>considered</w:t>
      </w:r>
      <w:r>
        <w:rPr>
          <w:spacing w:val="-5"/>
          <w:sz w:val="24"/>
        </w:rPr>
        <w:t> </w:t>
      </w:r>
      <w:r>
        <w:rPr>
          <w:sz w:val="24"/>
        </w:rPr>
        <w:t>as</w:t>
      </w:r>
      <w:r>
        <w:rPr>
          <w:spacing w:val="-4"/>
          <w:sz w:val="24"/>
        </w:rPr>
        <w:t> </w:t>
      </w:r>
      <w:r>
        <w:rPr>
          <w:sz w:val="24"/>
        </w:rPr>
        <w:t>a</w:t>
      </w:r>
      <w:r>
        <w:rPr>
          <w:spacing w:val="-31"/>
          <w:sz w:val="24"/>
        </w:rPr>
        <w:t> </w:t>
      </w:r>
      <w:r>
        <w:rPr>
          <w:sz w:val="24"/>
        </w:rPr>
        <w:t>possible source of</w:t>
      </w:r>
      <w:r>
        <w:rPr>
          <w:spacing w:val="-17"/>
          <w:sz w:val="24"/>
        </w:rPr>
        <w:t> </w:t>
      </w:r>
      <w:r>
        <w:rPr>
          <w:sz w:val="24"/>
        </w:rPr>
        <w:t>funding;</w:t>
      </w:r>
    </w:p>
    <w:p>
      <w:pPr>
        <w:pStyle w:val="BodyText"/>
        <w:spacing w:before="7"/>
        <w:rPr>
          <w:sz w:val="20"/>
        </w:rPr>
      </w:pPr>
    </w:p>
    <w:p>
      <w:pPr>
        <w:pStyle w:val="ListParagraph"/>
        <w:numPr>
          <w:ilvl w:val="0"/>
          <w:numId w:val="117"/>
        </w:numPr>
        <w:tabs>
          <w:tab w:pos="1001" w:val="left" w:leader="none"/>
        </w:tabs>
        <w:spacing w:line="240" w:lineRule="auto" w:before="0" w:after="0"/>
        <w:ind w:left="1000" w:right="302" w:hanging="360"/>
        <w:jc w:val="left"/>
        <w:rPr>
          <w:sz w:val="24"/>
        </w:rPr>
      </w:pPr>
      <w:r>
        <w:rPr/>
        <w:pict>
          <v:line style="position:absolute;mso-position-horizontal-relative:page;mso-position-vertical-relative:paragraph;z-index:-443416" from="372.600006pt,8.435843pt" to="375.960006pt,8.435843pt" stroked="true" strokeweight=".6pt" strokecolor="#2e97d3">
            <v:stroke dashstyle="solid"/>
            <w10:wrap type="none"/>
          </v:line>
        </w:pict>
      </w:r>
      <w:r>
        <w:rPr/>
        <w:pict>
          <v:line style="position:absolute;mso-position-horizontal-relative:page;mso-position-vertical-relative:paragraph;z-index:29368" from="26.76pt,41.615841pt" to="26.76pt,120.815841pt" stroked="true" strokeweight=".72pt" strokecolor="#000000">
            <v:stroke dashstyle="solid"/>
            <w10:wrap type="none"/>
          </v:line>
        </w:pict>
      </w:r>
      <w:r>
        <w:rPr>
          <w:sz w:val="24"/>
        </w:rPr>
        <w:t>Cost reductions which do not affect scope are evaluated. PWB staff may request the client</w:t>
      </w:r>
      <w:r>
        <w:rPr>
          <w:spacing w:val="-4"/>
          <w:sz w:val="24"/>
        </w:rPr>
        <w:t> </w:t>
      </w:r>
      <w:r>
        <w:rPr>
          <w:sz w:val="24"/>
        </w:rPr>
        <w:t>department</w:t>
      </w:r>
      <w:r>
        <w:rPr>
          <w:spacing w:val="-4"/>
          <w:sz w:val="24"/>
        </w:rPr>
        <w:t> </w:t>
      </w:r>
      <w:r>
        <w:rPr>
          <w:sz w:val="24"/>
        </w:rPr>
        <w:t>to</w:t>
      </w:r>
      <w:r>
        <w:rPr>
          <w:spacing w:val="-4"/>
          <w:sz w:val="24"/>
        </w:rPr>
        <w:t> </w:t>
      </w:r>
      <w:r>
        <w:rPr>
          <w:sz w:val="24"/>
        </w:rPr>
        <w:t>evaluate</w:t>
      </w:r>
      <w:r>
        <w:rPr>
          <w:spacing w:val="-4"/>
          <w:sz w:val="24"/>
        </w:rPr>
        <w:t> </w:t>
      </w:r>
      <w:r>
        <w:rPr>
          <w:sz w:val="24"/>
        </w:rPr>
        <w:t>and</w:t>
      </w:r>
      <w:r>
        <w:rPr>
          <w:spacing w:val="-4"/>
          <w:sz w:val="24"/>
        </w:rPr>
        <w:t> </w:t>
      </w:r>
      <w:r>
        <w:rPr>
          <w:sz w:val="24"/>
        </w:rPr>
        <w:t>include</w:t>
      </w:r>
      <w:r>
        <w:rPr>
          <w:spacing w:val="-6"/>
          <w:sz w:val="24"/>
        </w:rPr>
        <w:t> </w:t>
      </w:r>
      <w:r>
        <w:rPr>
          <w:sz w:val="24"/>
        </w:rPr>
        <w:t>deductive</w:t>
      </w:r>
      <w:r>
        <w:rPr>
          <w:spacing w:val="-4"/>
          <w:sz w:val="24"/>
        </w:rPr>
        <w:t> </w:t>
      </w:r>
      <w:r>
        <w:rPr>
          <w:sz w:val="24"/>
        </w:rPr>
        <w:t>alternates</w:t>
      </w:r>
      <w:r>
        <w:rPr>
          <w:spacing w:val="-5"/>
          <w:sz w:val="24"/>
        </w:rPr>
        <w:t> </w:t>
      </w:r>
      <w:r>
        <w:rPr>
          <w:sz w:val="24"/>
        </w:rPr>
        <w:t>before</w:t>
      </w:r>
      <w:r>
        <w:rPr>
          <w:spacing w:val="-4"/>
          <w:sz w:val="24"/>
        </w:rPr>
        <w:t> </w:t>
      </w:r>
      <w:r>
        <w:rPr>
          <w:sz w:val="24"/>
        </w:rPr>
        <w:t>proceeding</w:t>
      </w:r>
      <w:r>
        <w:rPr>
          <w:spacing w:val="-6"/>
          <w:sz w:val="24"/>
        </w:rPr>
        <w:t> </w:t>
      </w:r>
      <w:r>
        <w:rPr>
          <w:sz w:val="24"/>
        </w:rPr>
        <w:t>to</w:t>
      </w:r>
      <w:r>
        <w:rPr>
          <w:spacing w:val="-36"/>
          <w:sz w:val="24"/>
        </w:rPr>
        <w:t> </w:t>
      </w:r>
      <w:r>
        <w:rPr>
          <w:sz w:val="24"/>
        </w:rPr>
        <w:t>bid (see Section 6852);</w:t>
      </w:r>
      <w:r>
        <w:rPr>
          <w:spacing w:val="-24"/>
          <w:sz w:val="24"/>
        </w:rPr>
        <w:t> </w:t>
      </w:r>
      <w:r>
        <w:rPr>
          <w:sz w:val="24"/>
        </w:rPr>
        <w:t>and</w:t>
      </w:r>
    </w:p>
    <w:p>
      <w:pPr>
        <w:pStyle w:val="BodyText"/>
        <w:spacing w:before="9"/>
        <w:rPr>
          <w:sz w:val="20"/>
        </w:rPr>
      </w:pPr>
    </w:p>
    <w:p>
      <w:pPr>
        <w:pStyle w:val="ListParagraph"/>
        <w:numPr>
          <w:ilvl w:val="0"/>
          <w:numId w:val="117"/>
        </w:numPr>
        <w:tabs>
          <w:tab w:pos="1001" w:val="left" w:leader="none"/>
        </w:tabs>
        <w:spacing w:line="240" w:lineRule="auto" w:before="0" w:after="0"/>
        <w:ind w:left="1000" w:right="107" w:hanging="360"/>
        <w:jc w:val="left"/>
        <w:rPr>
          <w:sz w:val="24"/>
        </w:rPr>
      </w:pPr>
      <w:r>
        <w:rPr/>
        <w:pict>
          <v:line style="position:absolute;mso-position-horizontal-relative:page;mso-position-vertical-relative:paragraph;z-index:-443392" from="226.559998pt,8.436378pt" to="229.920998pt,8.436378pt" stroked="true" strokeweight=".599pt" strokecolor="#2e97d3">
            <v:stroke dashstyle="solid"/>
            <w10:wrap type="none"/>
          </v:line>
        </w:pict>
      </w:r>
      <w:r>
        <w:rPr>
          <w:sz w:val="24"/>
        </w:rPr>
        <w:t>For </w:t>
      </w:r>
      <w:r>
        <w:rPr>
          <w:strike/>
          <w:color w:val="2E97D3"/>
          <w:sz w:val="24"/>
        </w:rPr>
        <w:t>higher education </w:t>
      </w:r>
      <w:r>
        <w:rPr>
          <w:strike w:val="0"/>
          <w:sz w:val="24"/>
        </w:rPr>
        <w:t>projects</w:t>
      </w:r>
      <w:r>
        <w:rPr>
          <w:strike w:val="0"/>
          <w:color w:val="2E97D3"/>
          <w:sz w:val="24"/>
        </w:rPr>
        <w:t>, </w:t>
      </w:r>
      <w:r>
        <w:rPr>
          <w:strike w:val="0"/>
          <w:color w:val="2E97D3"/>
          <w:sz w:val="24"/>
          <w:u w:val="single" w:color="2E97D3"/>
        </w:rPr>
        <w:t>by the Department of Parks and Recreation, the California Science Center, and the various Conservancies under the Natural Resources Agency, the </w:t>
      </w:r>
      <w:r>
        <w:rPr>
          <w:strike w:val="0"/>
          <w:sz w:val="24"/>
        </w:rPr>
        <w:t>use of non-state funds is evaluated</w:t>
      </w:r>
      <w:r>
        <w:rPr>
          <w:strike/>
          <w:color w:val="2E97D3"/>
          <w:sz w:val="24"/>
        </w:rPr>
        <w:t>. </w:t>
      </w:r>
      <w:r>
        <w:rPr>
          <w:strike w:val="0"/>
          <w:color w:val="2E97D3"/>
          <w:sz w:val="24"/>
          <w:u w:val="single" w:color="2E97D3"/>
        </w:rPr>
        <w:t>when potentially</w:t>
      </w:r>
      <w:r>
        <w:rPr>
          <w:strike w:val="0"/>
          <w:color w:val="2E97D3"/>
          <w:spacing w:val="13"/>
          <w:sz w:val="24"/>
          <w:u w:val="single" w:color="2E97D3"/>
        </w:rPr>
        <w:t> </w:t>
      </w:r>
      <w:r>
        <w:rPr>
          <w:strike w:val="0"/>
          <w:color w:val="2E97D3"/>
          <w:sz w:val="24"/>
          <w:u w:val="single" w:color="2E97D3"/>
        </w:rPr>
        <w:t>available.</w:t>
      </w:r>
    </w:p>
    <w:p>
      <w:pPr>
        <w:pStyle w:val="BodyText"/>
        <w:spacing w:before="9"/>
        <w:rPr>
          <w:sz w:val="20"/>
        </w:rPr>
      </w:pPr>
    </w:p>
    <w:p>
      <w:pPr>
        <w:pStyle w:val="BodyText"/>
        <w:ind w:left="640" w:right="429"/>
      </w:pPr>
      <w:r>
        <w:rPr/>
        <w:pict>
          <v:line style="position:absolute;mso-position-horizontal-relative:page;mso-position-vertical-relative:paragraph;z-index:-443368" from="103.800003pt,36.036354pt" to="107.161003pt,36.036354pt" stroked="true" strokeweight=".599pt" strokecolor="#2e97d3">
            <v:stroke dashstyle="solid"/>
            <w10:wrap type="none"/>
          </v:line>
        </w:pict>
      </w:r>
      <w:r>
        <w:rPr/>
        <w:pict>
          <v:line style="position:absolute;mso-position-horizontal-relative:page;mso-position-vertical-relative:paragraph;z-index:29392" from="26.76pt,27.815855pt" to="26.76pt,80.135855pt" stroked="true" strokeweight=".72pt" strokecolor="#000000">
            <v:stroke dashstyle="solid"/>
            <w10:wrap type="none"/>
          </v:line>
        </w:pict>
      </w:r>
      <w:r>
        <w:rPr/>
        <w:t>PWB authority to augment projects </w:t>
      </w:r>
      <w:r>
        <w:rPr>
          <w:strike/>
          <w:color w:val="2E97D3"/>
        </w:rPr>
        <w:t>in no way relieves</w:t>
      </w:r>
      <w:r>
        <w:rPr>
          <w:strike w:val="0"/>
          <w:color w:val="2E97D3"/>
          <w:u w:val="single" w:color="2E97D3"/>
        </w:rPr>
        <w:t>does not relieve </w:t>
      </w:r>
      <w:r>
        <w:rPr>
          <w:strike w:val="0"/>
        </w:rPr>
        <w:t>departments of the responsibility to keep projects within approved cost and scope to the maximum extent possible. PWB will not use its augmentation authority to fund client revisions for </w:t>
      </w:r>
      <w:r>
        <w:rPr>
          <w:strike/>
          <w:color w:val="2E97D3"/>
        </w:rPr>
        <w:t>“nice-to- have”</w:t>
      </w:r>
      <w:r>
        <w:rPr>
          <w:strike w:val="0"/>
          <w:color w:val="2E97D3"/>
          <w:u w:val="single" w:color="2E97D3"/>
        </w:rPr>
        <w:t>non-essential </w:t>
      </w:r>
      <w:r>
        <w:rPr>
          <w:strike w:val="0"/>
        </w:rPr>
        <w:t>items.</w:t>
      </w:r>
    </w:p>
    <w:p>
      <w:pPr>
        <w:pStyle w:val="BodyText"/>
        <w:spacing w:before="218"/>
        <w:ind w:left="640"/>
      </w:pPr>
      <w:r>
        <w:rPr>
          <w:color w:val="2C6234"/>
          <w:u w:val="thick" w:color="2C6234"/>
        </w:rPr>
        <w:t>(Continued)</w:t>
      </w:r>
    </w:p>
    <w:p>
      <w:pPr>
        <w:spacing w:after="0"/>
        <w:sectPr>
          <w:pgSz w:w="12240" w:h="15840"/>
          <w:pgMar w:header="726" w:footer="785" w:top="980" w:bottom="980" w:left="420" w:right="1300"/>
        </w:sectPr>
      </w:pPr>
    </w:p>
    <w:p>
      <w:pPr>
        <w:tabs>
          <w:tab w:pos="8764" w:val="left" w:leader="none"/>
        </w:tabs>
        <w:spacing w:before="0"/>
        <w:ind w:left="746" w:right="0" w:firstLine="0"/>
        <w:jc w:val="left"/>
        <w:rPr>
          <w:sz w:val="24"/>
        </w:rPr>
      </w:pPr>
      <w:r>
        <w:rPr/>
        <w:pict>
          <v:line style="position:absolute;mso-position-horizontal-relative:page;mso-position-vertical-relative:paragraph;z-index:-443248" from="58.32pt,13.17583pt" to="535.560pt,13.17583pt" stroked="true" strokeweight="1.2pt" strokecolor="#2e97d3">
            <v:stroke dashstyle="solid"/>
            <w10:wrap type="none"/>
          </v:line>
        </w:pict>
      </w:r>
      <w:r>
        <w:rPr/>
        <w:pict>
          <v:line style="position:absolute;mso-position-horizontal-relative:page;mso-position-vertical-relative:page;z-index:29440" from="26.76pt,48.959999pt" to="26.76pt,114.839999pt" stroked="true" strokeweight=".72pt" strokecolor="#000000">
            <v:stroke dashstyle="solid"/>
            <w10:wrap type="none"/>
          </v:line>
        </w:pict>
      </w:r>
      <w:bookmarkStart w:name="AUGMENTATIONS, ADDITIONAL COSTS (WITHIN " w:id="103"/>
      <w:bookmarkEnd w:id="103"/>
      <w:r>
        <w:rPr/>
      </w:r>
      <w:r>
        <w:rPr>
          <w:b/>
          <w:color w:val="2E97D3"/>
          <w:sz w:val="24"/>
        </w:rPr>
        <w:t>AND RECOGNITION</w:t>
      </w:r>
      <w:r>
        <w:rPr>
          <w:b/>
          <w:color w:val="2E97D3"/>
          <w:spacing w:val="-6"/>
          <w:sz w:val="24"/>
        </w:rPr>
        <w:t> </w:t>
      </w:r>
      <w:r>
        <w:rPr>
          <w:b/>
          <w:color w:val="2E97D3"/>
          <w:sz w:val="24"/>
        </w:rPr>
        <w:t>OF</w:t>
      </w:r>
      <w:r>
        <w:rPr>
          <w:b/>
          <w:color w:val="2E97D3"/>
          <w:spacing w:val="-3"/>
          <w:sz w:val="24"/>
        </w:rPr>
        <w:t> </w:t>
      </w:r>
      <w:r>
        <w:rPr>
          <w:b/>
          <w:color w:val="2E97D3"/>
          <w:sz w:val="24"/>
        </w:rPr>
        <w:t>DEFICITS</w:t>
        <w:tab/>
        <w:t>6861 </w:t>
      </w:r>
      <w:r>
        <w:rPr>
          <w:color w:val="2E97D3"/>
          <w:sz w:val="24"/>
        </w:rPr>
        <w:t>(Cont.</w:t>
      </w:r>
      <w:r>
        <w:rPr>
          <w:color w:val="2E97D3"/>
          <w:spacing w:val="-15"/>
          <w:sz w:val="24"/>
        </w:rPr>
        <w:t> </w:t>
      </w:r>
      <w:r>
        <w:rPr>
          <w:color w:val="2E97D3"/>
          <w:sz w:val="24"/>
        </w:rPr>
        <w:t>1)</w:t>
      </w:r>
    </w:p>
    <w:p>
      <w:pPr>
        <w:pStyle w:val="BodyText"/>
        <w:ind w:left="746"/>
      </w:pPr>
      <w:r>
        <w:rPr>
          <w:color w:val="2E97D3"/>
          <w:u w:val="single" w:color="2E97D3"/>
        </w:rPr>
        <w:t>(Revised 9/2017)</w:t>
      </w:r>
    </w:p>
    <w:p>
      <w:pPr>
        <w:pStyle w:val="BodyText"/>
        <w:spacing w:before="4"/>
        <w:rPr>
          <w:sz w:val="26"/>
        </w:rPr>
      </w:pPr>
    </w:p>
    <w:p>
      <w:pPr>
        <w:pStyle w:val="Heading2"/>
        <w:spacing w:before="93"/>
        <w:ind w:left="746"/>
      </w:pPr>
      <w:bookmarkStart w:name="How to compute the augmentation:" w:id="104"/>
      <w:bookmarkEnd w:id="104"/>
      <w:r>
        <w:rPr>
          <w:b w:val="0"/>
        </w:rPr>
      </w:r>
      <w:r>
        <w:rPr/>
        <w:t>How to compute the augmentation:</w:t>
      </w:r>
    </w:p>
    <w:p>
      <w:pPr>
        <w:pStyle w:val="ListParagraph"/>
        <w:numPr>
          <w:ilvl w:val="0"/>
          <w:numId w:val="118"/>
        </w:numPr>
        <w:tabs>
          <w:tab w:pos="1001" w:val="left" w:leader="none"/>
        </w:tabs>
        <w:spacing w:line="240" w:lineRule="auto" w:before="120" w:after="0"/>
        <w:ind w:left="1000" w:right="614" w:hanging="360"/>
        <w:jc w:val="left"/>
        <w:rPr>
          <w:sz w:val="24"/>
        </w:rPr>
      </w:pPr>
      <w:r>
        <w:rPr/>
        <w:pict>
          <v:line style="position:absolute;mso-position-horizontal-relative:page;mso-position-vertical-relative:paragraph;z-index:29464" from="26.76pt,47.615879pt" to="26.76pt,354.215879pt" stroked="true" strokeweight=".72pt" strokecolor="#000000">
            <v:stroke dashstyle="solid"/>
            <w10:wrap type="none"/>
          </v:line>
        </w:pict>
      </w:r>
      <w:r>
        <w:rPr>
          <w:sz w:val="24"/>
        </w:rPr>
        <w:t>If an appropriation is for a single project phase—such as preliminary plans, working drawings</w:t>
      </w:r>
      <w:r>
        <w:rPr>
          <w:spacing w:val="-4"/>
          <w:sz w:val="24"/>
        </w:rPr>
        <w:t> </w:t>
      </w:r>
      <w:r>
        <w:rPr>
          <w:sz w:val="24"/>
        </w:rPr>
        <w:t>or</w:t>
      </w:r>
      <w:r>
        <w:rPr>
          <w:spacing w:val="-4"/>
          <w:sz w:val="24"/>
        </w:rPr>
        <w:t> </w:t>
      </w:r>
      <w:r>
        <w:rPr>
          <w:sz w:val="24"/>
        </w:rPr>
        <w:t>construction—the</w:t>
      </w:r>
      <w:r>
        <w:rPr>
          <w:spacing w:val="-3"/>
          <w:sz w:val="24"/>
        </w:rPr>
        <w:t> </w:t>
      </w:r>
      <w:r>
        <w:rPr>
          <w:sz w:val="24"/>
        </w:rPr>
        <w:t>amount</w:t>
      </w:r>
      <w:r>
        <w:rPr>
          <w:spacing w:val="-5"/>
          <w:sz w:val="24"/>
        </w:rPr>
        <w:t> </w:t>
      </w:r>
      <w:r>
        <w:rPr>
          <w:sz w:val="24"/>
        </w:rPr>
        <w:t>of</w:t>
      </w:r>
      <w:r>
        <w:rPr>
          <w:spacing w:val="-3"/>
          <w:sz w:val="24"/>
        </w:rPr>
        <w:t> </w:t>
      </w:r>
      <w:r>
        <w:rPr>
          <w:sz w:val="24"/>
        </w:rPr>
        <w:t>the</w:t>
      </w:r>
      <w:r>
        <w:rPr>
          <w:spacing w:val="-7"/>
          <w:sz w:val="24"/>
        </w:rPr>
        <w:t> </w:t>
      </w:r>
      <w:r>
        <w:rPr>
          <w:sz w:val="24"/>
        </w:rPr>
        <w:t>phase</w:t>
      </w:r>
      <w:r>
        <w:rPr>
          <w:spacing w:val="-3"/>
          <w:sz w:val="24"/>
        </w:rPr>
        <w:t> </w:t>
      </w:r>
      <w:r>
        <w:rPr>
          <w:sz w:val="24"/>
        </w:rPr>
        <w:t>is</w:t>
      </w:r>
      <w:r>
        <w:rPr>
          <w:spacing w:val="-4"/>
          <w:sz w:val="24"/>
        </w:rPr>
        <w:t> </w:t>
      </w:r>
      <w:r>
        <w:rPr>
          <w:sz w:val="24"/>
        </w:rPr>
        <w:t>used</w:t>
      </w:r>
      <w:r>
        <w:rPr>
          <w:spacing w:val="-3"/>
          <w:sz w:val="24"/>
        </w:rPr>
        <w:t> </w:t>
      </w:r>
      <w:r>
        <w:rPr>
          <w:sz w:val="24"/>
        </w:rPr>
        <w:t>to</w:t>
      </w:r>
      <w:r>
        <w:rPr>
          <w:spacing w:val="-3"/>
          <w:sz w:val="24"/>
        </w:rPr>
        <w:t> </w:t>
      </w:r>
      <w:r>
        <w:rPr>
          <w:sz w:val="24"/>
        </w:rPr>
        <w:t>calculate</w:t>
      </w:r>
      <w:r>
        <w:rPr>
          <w:spacing w:val="-3"/>
          <w:sz w:val="24"/>
        </w:rPr>
        <w:t> </w:t>
      </w:r>
      <w:r>
        <w:rPr>
          <w:sz w:val="24"/>
        </w:rPr>
        <w:t>the</w:t>
      </w:r>
      <w:r>
        <w:rPr>
          <w:spacing w:val="-27"/>
          <w:sz w:val="24"/>
        </w:rPr>
        <w:t> </w:t>
      </w:r>
      <w:r>
        <w:rPr>
          <w:sz w:val="24"/>
        </w:rPr>
        <w:t>allowable augmentation (i.e., no more than 20</w:t>
      </w:r>
      <w:r>
        <w:rPr>
          <w:spacing w:val="-36"/>
          <w:sz w:val="24"/>
        </w:rPr>
        <w:t> </w:t>
      </w:r>
      <w:r>
        <w:rPr>
          <w:sz w:val="24"/>
        </w:rPr>
        <w:t>percent).</w:t>
      </w:r>
    </w:p>
    <w:p>
      <w:pPr>
        <w:pStyle w:val="BodyText"/>
        <w:spacing w:before="10"/>
        <w:rPr>
          <w:sz w:val="20"/>
        </w:rPr>
      </w:pPr>
    </w:p>
    <w:p>
      <w:pPr>
        <w:pStyle w:val="ListParagraph"/>
        <w:numPr>
          <w:ilvl w:val="0"/>
          <w:numId w:val="118"/>
        </w:numPr>
        <w:tabs>
          <w:tab w:pos="1001" w:val="left" w:leader="none"/>
        </w:tabs>
        <w:spacing w:line="240" w:lineRule="auto" w:before="0" w:after="0"/>
        <w:ind w:left="1000" w:right="340" w:hanging="360"/>
        <w:jc w:val="left"/>
        <w:rPr>
          <w:sz w:val="24"/>
        </w:rPr>
      </w:pPr>
      <w:r>
        <w:rPr>
          <w:sz w:val="24"/>
        </w:rPr>
        <w:t>If the appropriation funds </w:t>
      </w:r>
      <w:r>
        <w:rPr>
          <w:strike/>
          <w:color w:val="2E97D3"/>
          <w:sz w:val="24"/>
        </w:rPr>
        <w:t>both preliminary plans and working drawings</w:t>
      </w:r>
      <w:r>
        <w:rPr>
          <w:strike w:val="0"/>
          <w:color w:val="2E97D3"/>
          <w:sz w:val="24"/>
          <w:u w:val="single" w:color="2E97D3"/>
        </w:rPr>
        <w:t>multiple phases</w:t>
      </w:r>
      <w:r>
        <w:rPr>
          <w:strike w:val="0"/>
          <w:sz w:val="24"/>
        </w:rPr>
        <w:t>, PWB</w:t>
      </w:r>
      <w:r>
        <w:rPr>
          <w:strike w:val="0"/>
          <w:spacing w:val="-6"/>
          <w:sz w:val="24"/>
        </w:rPr>
        <w:t> </w:t>
      </w:r>
      <w:r>
        <w:rPr>
          <w:strike w:val="0"/>
          <w:sz w:val="24"/>
        </w:rPr>
        <w:t>staff</w:t>
      </w:r>
      <w:r>
        <w:rPr>
          <w:strike w:val="0"/>
          <w:spacing w:val="-30"/>
          <w:sz w:val="24"/>
        </w:rPr>
        <w:t> </w:t>
      </w:r>
      <w:r>
        <w:rPr>
          <w:strike w:val="0"/>
          <w:sz w:val="24"/>
        </w:rPr>
        <w:t>has</w:t>
      </w:r>
      <w:r>
        <w:rPr>
          <w:strike w:val="0"/>
          <w:spacing w:val="-6"/>
          <w:sz w:val="24"/>
        </w:rPr>
        <w:t> </w:t>
      </w:r>
      <w:r>
        <w:rPr>
          <w:strike w:val="0"/>
          <w:sz w:val="24"/>
        </w:rPr>
        <w:t>the</w:t>
      </w:r>
      <w:r>
        <w:rPr>
          <w:strike w:val="0"/>
          <w:spacing w:val="-3"/>
          <w:sz w:val="24"/>
        </w:rPr>
        <w:t> </w:t>
      </w:r>
      <w:r>
        <w:rPr>
          <w:strike w:val="0"/>
          <w:sz w:val="24"/>
        </w:rPr>
        <w:t>option</w:t>
      </w:r>
      <w:r>
        <w:rPr>
          <w:strike w:val="0"/>
          <w:spacing w:val="-3"/>
          <w:sz w:val="24"/>
        </w:rPr>
        <w:t> </w:t>
      </w:r>
      <w:r>
        <w:rPr>
          <w:strike w:val="0"/>
          <w:sz w:val="24"/>
        </w:rPr>
        <w:t>to</w:t>
      </w:r>
      <w:r>
        <w:rPr>
          <w:strike w:val="0"/>
          <w:spacing w:val="-3"/>
          <w:sz w:val="24"/>
        </w:rPr>
        <w:t> </w:t>
      </w:r>
      <w:r>
        <w:rPr>
          <w:strike w:val="0"/>
          <w:sz w:val="24"/>
        </w:rPr>
        <w:t>use</w:t>
      </w:r>
      <w:r>
        <w:rPr>
          <w:strike w:val="0"/>
          <w:spacing w:val="-3"/>
          <w:sz w:val="24"/>
        </w:rPr>
        <w:t> </w:t>
      </w:r>
      <w:r>
        <w:rPr>
          <w:strike w:val="0"/>
          <w:sz w:val="24"/>
        </w:rPr>
        <w:t>the</w:t>
      </w:r>
      <w:r>
        <w:rPr>
          <w:strike w:val="0"/>
          <w:spacing w:val="-3"/>
          <w:sz w:val="24"/>
        </w:rPr>
        <w:t> </w:t>
      </w:r>
      <w:r>
        <w:rPr>
          <w:strike w:val="0"/>
          <w:sz w:val="24"/>
        </w:rPr>
        <w:t>total</w:t>
      </w:r>
      <w:r>
        <w:rPr>
          <w:strike w:val="0"/>
          <w:spacing w:val="-6"/>
          <w:sz w:val="24"/>
        </w:rPr>
        <w:t> </w:t>
      </w:r>
      <w:r>
        <w:rPr>
          <w:strike/>
          <w:color w:val="2E97D3"/>
          <w:sz w:val="24"/>
        </w:rPr>
        <w:t>of</w:t>
      </w:r>
      <w:r>
        <w:rPr>
          <w:strike/>
          <w:color w:val="2E97D3"/>
          <w:spacing w:val="-1"/>
          <w:sz w:val="24"/>
        </w:rPr>
        <w:t> </w:t>
      </w:r>
      <w:r>
        <w:rPr>
          <w:strike/>
          <w:color w:val="2E97D3"/>
          <w:sz w:val="24"/>
        </w:rPr>
        <w:t>these</w:t>
      </w:r>
      <w:r>
        <w:rPr>
          <w:strike/>
          <w:color w:val="2E97D3"/>
          <w:spacing w:val="-3"/>
          <w:sz w:val="24"/>
        </w:rPr>
        <w:t> </w:t>
      </w:r>
      <w:r>
        <w:rPr>
          <w:strike/>
          <w:color w:val="2E97D3"/>
          <w:sz w:val="24"/>
        </w:rPr>
        <w:t>two</w:t>
      </w:r>
      <w:r>
        <w:rPr>
          <w:strike/>
          <w:color w:val="2E97D3"/>
          <w:spacing w:val="-3"/>
          <w:sz w:val="24"/>
        </w:rPr>
        <w:t> </w:t>
      </w:r>
      <w:r>
        <w:rPr>
          <w:strike/>
          <w:color w:val="2E97D3"/>
          <w:sz w:val="24"/>
        </w:rPr>
        <w:t>phases</w:t>
      </w:r>
      <w:r>
        <w:rPr>
          <w:strike w:val="0"/>
          <w:color w:val="2E97D3"/>
          <w:sz w:val="24"/>
          <w:u w:val="single" w:color="2E97D3"/>
        </w:rPr>
        <w:t>appropriation</w:t>
      </w:r>
      <w:r>
        <w:rPr>
          <w:strike w:val="0"/>
          <w:color w:val="2E97D3"/>
          <w:spacing w:val="-4"/>
          <w:sz w:val="24"/>
          <w:u w:val="single" w:color="2E97D3"/>
        </w:rPr>
        <w:t> </w:t>
      </w:r>
      <w:r>
        <w:rPr>
          <w:strike w:val="0"/>
          <w:sz w:val="24"/>
        </w:rPr>
        <w:t>to</w:t>
      </w:r>
      <w:r>
        <w:rPr>
          <w:strike w:val="0"/>
          <w:spacing w:val="-5"/>
          <w:sz w:val="24"/>
        </w:rPr>
        <w:t> </w:t>
      </w:r>
      <w:r>
        <w:rPr>
          <w:strike w:val="0"/>
          <w:sz w:val="24"/>
        </w:rPr>
        <w:t>determine the allowable augmentation </w:t>
      </w:r>
      <w:r>
        <w:rPr>
          <w:strike/>
          <w:color w:val="2E97D3"/>
          <w:sz w:val="24"/>
        </w:rPr>
        <w:t>for any one phase. However, PWB does not normally entertain augmentations for preliminary plans or working drawings.</w:t>
      </w:r>
      <w:r>
        <w:rPr>
          <w:strike/>
          <w:color w:val="2E97D3"/>
          <w:spacing w:val="-37"/>
          <w:sz w:val="24"/>
        </w:rPr>
        <w:t> </w:t>
      </w:r>
      <w:r>
        <w:rPr>
          <w:strike w:val="0"/>
          <w:color w:val="2E97D3"/>
          <w:sz w:val="24"/>
          <w:u w:val="single" w:color="2E97D3"/>
        </w:rPr>
        <w:t>..</w:t>
      </w:r>
    </w:p>
    <w:p>
      <w:pPr>
        <w:pStyle w:val="ListParagraph"/>
        <w:numPr>
          <w:ilvl w:val="0"/>
          <w:numId w:val="118"/>
        </w:numPr>
        <w:tabs>
          <w:tab w:pos="1001" w:val="left" w:leader="none"/>
        </w:tabs>
        <w:spacing w:line="240" w:lineRule="auto" w:before="0" w:after="0"/>
        <w:ind w:left="1000" w:right="669" w:hanging="360"/>
        <w:jc w:val="left"/>
        <w:rPr>
          <w:color w:val="2E97D3"/>
          <w:sz w:val="24"/>
        </w:rPr>
      </w:pPr>
      <w:r>
        <w:rPr>
          <w:strike/>
          <w:color w:val="2E97D3"/>
          <w:sz w:val="24"/>
        </w:rPr>
        <w:t>Augmentations for construction are based on the total amount appropriated for the construction phase and are calculated on construction contract costs and A&amp;E costs (Government Code Section </w:t>
      </w:r>
      <w:r>
        <w:rPr>
          <w:strike/>
          <w:color w:val="2E97D3"/>
          <w:sz w:val="24"/>
          <w:u w:val="single" w:color="2E97D3"/>
        </w:rPr>
        <w:t>13332.11</w:t>
      </w:r>
      <w:r>
        <w:rPr>
          <w:strike/>
          <w:color w:val="2E97D3"/>
          <w:spacing w:val="-19"/>
          <w:sz w:val="24"/>
          <w:u w:val="single" w:color="2E97D3"/>
        </w:rPr>
        <w:t> </w:t>
      </w:r>
      <w:r>
        <w:rPr>
          <w:strike/>
          <w:color w:val="2E97D3"/>
          <w:sz w:val="24"/>
        </w:rPr>
        <w:t>[e]).</w:t>
      </w:r>
    </w:p>
    <w:p>
      <w:pPr>
        <w:pStyle w:val="BodyText"/>
        <w:spacing w:before="10"/>
        <w:rPr>
          <w:sz w:val="20"/>
        </w:rPr>
      </w:pPr>
    </w:p>
    <w:p>
      <w:pPr>
        <w:pStyle w:val="ListParagraph"/>
        <w:numPr>
          <w:ilvl w:val="1"/>
          <w:numId w:val="118"/>
        </w:numPr>
        <w:tabs>
          <w:tab w:pos="1361" w:val="left" w:leader="none"/>
        </w:tabs>
        <w:spacing w:line="240" w:lineRule="auto" w:before="0" w:after="0"/>
        <w:ind w:left="1360" w:right="279" w:hanging="360"/>
        <w:jc w:val="left"/>
        <w:rPr>
          <w:sz w:val="24"/>
        </w:rPr>
      </w:pPr>
      <w:r>
        <w:rPr>
          <w:strike/>
          <w:color w:val="2E97D3"/>
          <w:sz w:val="24"/>
        </w:rPr>
        <w:t>Construction contract costs include the principal construction contract or bid packages, agency-retained activities, landscaping, change orders and contingencies to the principal contract or bid</w:t>
      </w:r>
      <w:r>
        <w:rPr>
          <w:strike/>
          <w:color w:val="2E97D3"/>
          <w:spacing w:val="-20"/>
          <w:sz w:val="24"/>
        </w:rPr>
        <w:t> </w:t>
      </w:r>
      <w:r>
        <w:rPr>
          <w:strike/>
          <w:color w:val="2E97D3"/>
          <w:sz w:val="24"/>
        </w:rPr>
        <w:t>packages.</w:t>
      </w:r>
    </w:p>
    <w:p>
      <w:pPr>
        <w:pStyle w:val="BodyText"/>
        <w:spacing w:before="9"/>
        <w:rPr>
          <w:sz w:val="20"/>
        </w:rPr>
      </w:pPr>
    </w:p>
    <w:p>
      <w:pPr>
        <w:pStyle w:val="ListParagraph"/>
        <w:numPr>
          <w:ilvl w:val="1"/>
          <w:numId w:val="118"/>
        </w:numPr>
        <w:tabs>
          <w:tab w:pos="1361" w:val="left" w:leader="none"/>
        </w:tabs>
        <w:spacing w:line="240" w:lineRule="auto" w:before="1" w:after="0"/>
        <w:ind w:left="1360" w:right="177" w:hanging="360"/>
        <w:jc w:val="left"/>
        <w:rPr>
          <w:sz w:val="24"/>
        </w:rPr>
      </w:pPr>
      <w:r>
        <w:rPr>
          <w:strike/>
          <w:color w:val="2E97D3"/>
          <w:sz w:val="24"/>
        </w:rPr>
        <w:t>A&amp;E services are interpreted to mean architecture and engineering services including architectural supervision, project administration and/or management, testing, inspection, specialized consultation and other similar line items in support of the actual construction of the</w:t>
      </w:r>
      <w:r>
        <w:rPr>
          <w:strike/>
          <w:color w:val="2E97D3"/>
          <w:spacing w:val="-14"/>
          <w:sz w:val="24"/>
        </w:rPr>
        <w:t> </w:t>
      </w:r>
      <w:r>
        <w:rPr>
          <w:strike/>
          <w:color w:val="2E97D3"/>
          <w:sz w:val="24"/>
        </w:rPr>
        <w:t>project.</w:t>
      </w:r>
    </w:p>
    <w:p>
      <w:pPr>
        <w:pStyle w:val="BodyText"/>
        <w:spacing w:before="10"/>
        <w:rPr>
          <w:sz w:val="20"/>
        </w:rPr>
      </w:pPr>
    </w:p>
    <w:p>
      <w:pPr>
        <w:pStyle w:val="ListParagraph"/>
        <w:numPr>
          <w:ilvl w:val="1"/>
          <w:numId w:val="118"/>
        </w:numPr>
        <w:tabs>
          <w:tab w:pos="1361" w:val="left" w:leader="none"/>
        </w:tabs>
        <w:spacing w:line="240" w:lineRule="auto" w:before="0" w:after="0"/>
        <w:ind w:left="1360" w:right="107" w:hanging="360"/>
        <w:jc w:val="left"/>
        <w:rPr>
          <w:sz w:val="24"/>
        </w:rPr>
      </w:pPr>
      <w:r>
        <w:rPr>
          <w:strike/>
          <w:color w:val="2E97D3"/>
          <w:sz w:val="24"/>
        </w:rPr>
        <w:t>Amounts for planning, working drawings or equipment will not be used to calculate the allowable augmentation to the construction</w:t>
      </w:r>
      <w:r>
        <w:rPr>
          <w:strike/>
          <w:color w:val="2E97D3"/>
          <w:spacing w:val="-23"/>
          <w:sz w:val="24"/>
        </w:rPr>
        <w:t> </w:t>
      </w:r>
      <w:r>
        <w:rPr>
          <w:strike/>
          <w:color w:val="2E97D3"/>
          <w:sz w:val="24"/>
        </w:rPr>
        <w:t>phase.</w:t>
      </w:r>
    </w:p>
    <w:p>
      <w:pPr>
        <w:pStyle w:val="BodyText"/>
        <w:spacing w:before="9"/>
        <w:rPr>
          <w:sz w:val="20"/>
        </w:rPr>
      </w:pPr>
    </w:p>
    <w:p>
      <w:pPr>
        <w:pStyle w:val="BodyText"/>
        <w:spacing w:before="1"/>
        <w:ind w:left="640"/>
      </w:pPr>
      <w:r>
        <w:rPr>
          <w:strike/>
          <w:color w:val="2E97D3"/>
        </w:rPr>
        <w:t>(Continued)</w:t>
      </w:r>
    </w:p>
    <w:p>
      <w:pPr>
        <w:spacing w:after="0"/>
        <w:sectPr>
          <w:headerReference w:type="default" r:id="rId318"/>
          <w:pgSz w:w="12240" w:h="15840"/>
          <w:pgMar w:header="726" w:footer="785" w:top="1740" w:bottom="980" w:left="420" w:right="1220"/>
        </w:sectPr>
      </w:pPr>
    </w:p>
    <w:p>
      <w:pPr>
        <w:tabs>
          <w:tab w:pos="8738" w:val="left" w:leader="none"/>
        </w:tabs>
        <w:spacing w:before="0"/>
        <w:ind w:left="640" w:right="0" w:firstLine="0"/>
        <w:jc w:val="left"/>
        <w:rPr>
          <w:sz w:val="24"/>
        </w:rPr>
      </w:pPr>
      <w:r>
        <w:rPr/>
        <w:pict>
          <v:line style="position:absolute;mso-position-horizontal-relative:page;mso-position-vertical-relative:paragraph;z-index:-443128" from="53.040001pt,8.436384pt" to="534.600001pt,8.436384pt" stroked="true" strokeweight=".599pt" strokecolor="#2e97d3">
            <v:stroke dashstyle="solid"/>
            <w10:wrap type="none"/>
          </v:line>
        </w:pict>
      </w:r>
      <w:r>
        <w:rPr/>
        <w:pict>
          <v:line style="position:absolute;mso-position-horizontal-relative:page;mso-position-vertical-relative:page;z-index:29560" from="26.76pt,48.959999pt" to="26.76pt,212.759999pt" stroked="true" strokeweight=".72pt" strokecolor="#000000">
            <v:stroke dashstyle="solid"/>
            <w10:wrap type="none"/>
          </v:line>
        </w:pict>
      </w:r>
      <w:bookmarkStart w:name="AUGMENTATIONS, ADDITIONAL COSTS (WITHIN " w:id="105"/>
      <w:bookmarkEnd w:id="105"/>
      <w:r>
        <w:rPr/>
      </w:r>
      <w:bookmarkStart w:name="AND RECOGNITION OF DEFICITS  6861 (Cont." w:id="106"/>
      <w:bookmarkEnd w:id="106"/>
      <w:r>
        <w:rPr/>
      </w:r>
      <w:r>
        <w:rPr>
          <w:b/>
          <w:color w:val="2E97D3"/>
          <w:sz w:val="24"/>
        </w:rPr>
        <w:t>AND RECOGNITION</w:t>
      </w:r>
      <w:r>
        <w:rPr>
          <w:b/>
          <w:color w:val="2E97D3"/>
          <w:spacing w:val="-4"/>
          <w:sz w:val="24"/>
        </w:rPr>
        <w:t> </w:t>
      </w:r>
      <w:r>
        <w:rPr>
          <w:b/>
          <w:color w:val="2E97D3"/>
          <w:sz w:val="24"/>
        </w:rPr>
        <w:t>OF</w:t>
      </w:r>
      <w:r>
        <w:rPr>
          <w:b/>
          <w:color w:val="2E97D3"/>
          <w:spacing w:val="-3"/>
          <w:sz w:val="24"/>
        </w:rPr>
        <w:t> </w:t>
      </w:r>
      <w:r>
        <w:rPr>
          <w:b/>
          <w:color w:val="2E97D3"/>
          <w:sz w:val="24"/>
        </w:rPr>
        <w:t>DEFICITS</w:t>
        <w:tab/>
        <w:t>6861 </w:t>
      </w:r>
      <w:r>
        <w:rPr>
          <w:color w:val="2E97D3"/>
          <w:sz w:val="24"/>
        </w:rPr>
        <w:t>(Cont.</w:t>
      </w:r>
      <w:r>
        <w:rPr>
          <w:color w:val="2E97D3"/>
          <w:spacing w:val="-6"/>
          <w:sz w:val="24"/>
        </w:rPr>
        <w:t> </w:t>
      </w:r>
      <w:r>
        <w:rPr>
          <w:color w:val="2E97D3"/>
          <w:sz w:val="24"/>
        </w:rPr>
        <w:t>2)</w:t>
      </w:r>
    </w:p>
    <w:p>
      <w:pPr>
        <w:pStyle w:val="BodyText"/>
        <w:ind w:left="640"/>
      </w:pPr>
      <w:r>
        <w:rPr>
          <w:strike/>
          <w:color w:val="2E97D3"/>
        </w:rPr>
        <w:t>(Revised 5/1998)</w:t>
      </w:r>
    </w:p>
    <w:p>
      <w:pPr>
        <w:pStyle w:val="ListParagraph"/>
        <w:numPr>
          <w:ilvl w:val="0"/>
          <w:numId w:val="118"/>
        </w:numPr>
        <w:tabs>
          <w:tab w:pos="1001" w:val="left" w:leader="none"/>
        </w:tabs>
        <w:spacing w:line="240" w:lineRule="auto" w:before="120" w:after="0"/>
        <w:ind w:left="1000" w:right="415" w:hanging="360"/>
        <w:jc w:val="left"/>
        <w:rPr>
          <w:color w:val="2E97D3"/>
          <w:sz w:val="24"/>
        </w:rPr>
      </w:pPr>
      <w:r>
        <w:rPr>
          <w:strike/>
          <w:color w:val="2E97D3"/>
          <w:sz w:val="24"/>
        </w:rPr>
        <w:t>All other existing restrictions, such as policy limits on contingency (Section 6854) and A&amp;E fees (Section 6818, “Technical Notes”) are to be</w:t>
      </w:r>
      <w:r>
        <w:rPr>
          <w:strike/>
          <w:color w:val="2E97D3"/>
          <w:spacing w:val="-27"/>
          <w:sz w:val="24"/>
        </w:rPr>
        <w:t> </w:t>
      </w:r>
      <w:r>
        <w:rPr>
          <w:strike/>
          <w:color w:val="2E97D3"/>
          <w:sz w:val="24"/>
        </w:rPr>
        <w:t>observed.</w:t>
      </w:r>
    </w:p>
    <w:p>
      <w:pPr>
        <w:pStyle w:val="BodyText"/>
        <w:spacing w:before="4"/>
        <w:rPr>
          <w:sz w:val="26"/>
        </w:rPr>
      </w:pPr>
    </w:p>
    <w:p>
      <w:pPr>
        <w:pStyle w:val="BodyText"/>
        <w:spacing w:before="93"/>
        <w:ind w:left="1000" w:right="454" w:hanging="360"/>
      </w:pPr>
      <w:r>
        <w:rPr>
          <w:color w:val="2E97D3"/>
          <w:u w:val="single" w:color="2E97D3"/>
        </w:rPr>
        <w:t>3. If a project has multiple funding appropriations, the total of the combined appropriations can be used as the baseline for augmentation, and PWB staff has the option to determine which funding source(s) and which appropriation(s) will be augmented.</w:t>
      </w:r>
    </w:p>
    <w:p>
      <w:pPr>
        <w:pStyle w:val="BodyText"/>
        <w:spacing w:before="120"/>
        <w:ind w:left="746" w:right="111"/>
      </w:pPr>
      <w:r>
        <w:rPr/>
        <w:pict>
          <v:line style="position:absolute;mso-position-horizontal-relative:page;mso-position-vertical-relative:paragraph;z-index:29584" from="26.76pt,61.415871pt" to="26.76pt,75.215871pt" stroked="true" strokeweight=".72pt" strokecolor="#000000">
            <v:stroke dashstyle="solid"/>
            <w10:wrap type="none"/>
          </v:line>
        </w:pict>
      </w:r>
      <w:r>
        <w:rPr/>
        <w:pict>
          <v:line style="position:absolute;mso-position-horizontal-relative:page;mso-position-vertical-relative:paragraph;z-index:29608" from="26.76pt,102.815872pt" to="26.76pt,130.415872pt" stroked="true" strokeweight=".72pt" strokecolor="#000000">
            <v:stroke dashstyle="solid"/>
            <w10:wrap type="none"/>
          </v:line>
        </w:pict>
      </w:r>
      <w:r>
        <w:rPr>
          <w:b/>
        </w:rPr>
        <w:t>PWB agenda item requirements for augmentations, anticipated deficits, and cost increases within appropriation:  </w:t>
      </w:r>
      <w:r>
        <w:rPr/>
        <w:t>A PWB agenda item is required for any augmentation or departmental request for PWB to recognize an anticipated deficit or cost increase within appropriation.  If the request requires formal board action (i.e., not delegated to PWB staff), it must be submitted to </w:t>
      </w:r>
      <w:r>
        <w:rPr>
          <w:strike/>
          <w:color w:val="2E97D3"/>
        </w:rPr>
        <w:t>DOF</w:t>
      </w:r>
      <w:r>
        <w:rPr>
          <w:strike w:val="0"/>
          <w:color w:val="2E97D3"/>
          <w:u w:val="single" w:color="2E97D3"/>
        </w:rPr>
        <w:t>Finance </w:t>
      </w:r>
      <w:r>
        <w:rPr>
          <w:strike w:val="0"/>
        </w:rPr>
        <w:t>20 working days preceding the PWB meeting. Those requests for augmentation and recognition of anticipated deficits which require legislative notification (i.e., those in excess of 10 percent) must be submitted to </w:t>
      </w:r>
      <w:r>
        <w:rPr>
          <w:strike/>
          <w:color w:val="2E97D3"/>
        </w:rPr>
        <w:t>DOF</w:t>
      </w:r>
      <w:r>
        <w:rPr>
          <w:strike w:val="0"/>
          <w:color w:val="2E97D3"/>
          <w:u w:val="single" w:color="2E97D3"/>
        </w:rPr>
        <w:t>Finance </w:t>
      </w:r>
      <w:r>
        <w:rPr>
          <w:strike w:val="0"/>
        </w:rPr>
        <w:t>30 workingdays prior to the scheduled PWB meeting.  Formats and examples</w:t>
      </w:r>
      <w:r>
        <w:rPr>
          <w:strike w:val="0"/>
          <w:spacing w:val="-6"/>
        </w:rPr>
        <w:t> </w:t>
      </w:r>
      <w:r>
        <w:rPr>
          <w:strike w:val="0"/>
        </w:rPr>
        <w:t>for</w:t>
      </w:r>
      <w:r>
        <w:rPr>
          <w:strike w:val="0"/>
          <w:spacing w:val="-5"/>
        </w:rPr>
        <w:t> </w:t>
      </w:r>
      <w:r>
        <w:rPr>
          <w:strike w:val="0"/>
        </w:rPr>
        <w:t>agenda</w:t>
      </w:r>
      <w:r>
        <w:rPr>
          <w:strike w:val="0"/>
          <w:spacing w:val="-3"/>
        </w:rPr>
        <w:t> </w:t>
      </w:r>
      <w:r>
        <w:rPr>
          <w:strike w:val="0"/>
        </w:rPr>
        <w:t>items</w:t>
      </w:r>
      <w:r>
        <w:rPr>
          <w:strike w:val="0"/>
          <w:spacing w:val="-6"/>
        </w:rPr>
        <w:t> </w:t>
      </w:r>
      <w:r>
        <w:rPr>
          <w:strike w:val="0"/>
        </w:rPr>
        <w:t>are</w:t>
      </w:r>
      <w:r>
        <w:rPr>
          <w:strike w:val="0"/>
          <w:spacing w:val="-3"/>
        </w:rPr>
        <w:t> </w:t>
      </w:r>
      <w:r>
        <w:rPr>
          <w:strike w:val="0"/>
        </w:rPr>
        <w:t>available</w:t>
      </w:r>
      <w:r>
        <w:rPr>
          <w:strike w:val="0"/>
          <w:spacing w:val="-5"/>
        </w:rPr>
        <w:t> </w:t>
      </w:r>
      <w:r>
        <w:rPr>
          <w:strike w:val="0"/>
        </w:rPr>
        <w:t>from</w:t>
      </w:r>
      <w:r>
        <w:rPr>
          <w:strike w:val="0"/>
          <w:spacing w:val="-5"/>
        </w:rPr>
        <w:t> </w:t>
      </w:r>
      <w:r>
        <w:rPr>
          <w:strike w:val="0"/>
        </w:rPr>
        <w:t>the</w:t>
      </w:r>
      <w:r>
        <w:rPr>
          <w:strike w:val="0"/>
          <w:spacing w:val="-3"/>
        </w:rPr>
        <w:t> </w:t>
      </w:r>
      <w:r>
        <w:rPr>
          <w:strike/>
          <w:color w:val="2E97D3"/>
        </w:rPr>
        <w:t>DOF</w:t>
      </w:r>
      <w:r>
        <w:rPr>
          <w:strike w:val="0"/>
          <w:color w:val="2E97D3"/>
          <w:u w:val="single" w:color="2E97D3"/>
        </w:rPr>
        <w:t>Finance</w:t>
      </w:r>
      <w:r>
        <w:rPr>
          <w:strike w:val="0"/>
          <w:color w:val="2E97D3"/>
          <w:spacing w:val="-3"/>
          <w:u w:val="single" w:color="2E97D3"/>
        </w:rPr>
        <w:t> </w:t>
      </w:r>
      <w:r>
        <w:rPr>
          <w:strike w:val="0"/>
        </w:rPr>
        <w:t>Capital</w:t>
      </w:r>
      <w:r>
        <w:rPr>
          <w:strike w:val="0"/>
          <w:spacing w:val="-4"/>
        </w:rPr>
        <w:t> </w:t>
      </w:r>
      <w:r>
        <w:rPr>
          <w:strike w:val="0"/>
        </w:rPr>
        <w:t>Outlay</w:t>
      </w:r>
      <w:r>
        <w:rPr>
          <w:strike w:val="0"/>
          <w:spacing w:val="-17"/>
        </w:rPr>
        <w:t> </w:t>
      </w:r>
      <w:r>
        <w:rPr>
          <w:strike w:val="0"/>
        </w:rPr>
        <w:t>unit.</w:t>
      </w:r>
    </w:p>
    <w:p>
      <w:pPr>
        <w:pStyle w:val="Heading2"/>
        <w:spacing w:before="197"/>
        <w:ind w:left="746"/>
        <w:rPr>
          <w:b w:val="0"/>
        </w:rPr>
      </w:pPr>
      <w:bookmarkStart w:name="Agenda packages for augmentations:" w:id="107"/>
      <w:bookmarkEnd w:id="107"/>
      <w:r>
        <w:rPr>
          <w:b w:val="0"/>
        </w:rPr>
      </w:r>
      <w:r>
        <w:rPr/>
        <w:t>Agenda packages for augmentations</w:t>
      </w:r>
      <w:r>
        <w:rPr>
          <w:b w:val="0"/>
        </w:rPr>
        <w:t>:</w:t>
      </w:r>
    </w:p>
    <w:p>
      <w:pPr>
        <w:pStyle w:val="BodyText"/>
        <w:ind w:left="107"/>
        <w:rPr>
          <w:sz w:val="20"/>
        </w:rPr>
      </w:pPr>
      <w:r>
        <w:rPr>
          <w:sz w:val="20"/>
        </w:rPr>
        <w:pict>
          <v:group style="width:.75pt;height:12.75pt;mso-position-horizontal-relative:char;mso-position-vertical-relative:line" coordorigin="0,0" coordsize="15,255">
            <v:line style="position:absolute" from="8,8" to="8,248" stroked="true" strokeweight=".72pt" strokecolor="#000000">
              <v:stroke dashstyle="solid"/>
            </v:line>
          </v:group>
        </w:pict>
      </w:r>
      <w:r>
        <w:rPr>
          <w:sz w:val="20"/>
        </w:rPr>
      </w:r>
    </w:p>
    <w:p>
      <w:pPr>
        <w:spacing w:before="0"/>
        <w:ind w:left="640" w:right="0" w:firstLine="0"/>
        <w:jc w:val="left"/>
        <w:rPr>
          <w:sz w:val="24"/>
        </w:rPr>
      </w:pPr>
      <w:r>
        <w:rPr>
          <w:sz w:val="24"/>
        </w:rPr>
        <w:t>1.  </w:t>
      </w:r>
      <w:r>
        <w:rPr>
          <w:b/>
          <w:sz w:val="24"/>
        </w:rPr>
        <w:t>Construction augmentations to award bid.  </w:t>
      </w:r>
      <w:r>
        <w:rPr>
          <w:sz w:val="24"/>
        </w:rPr>
        <w:t>Provide the following:</w:t>
      </w:r>
    </w:p>
    <w:p>
      <w:pPr>
        <w:pStyle w:val="BodyText"/>
        <w:spacing w:before="120"/>
        <w:ind w:left="1000" w:hanging="360"/>
      </w:pPr>
      <w:r>
        <w:rPr/>
        <w:pict>
          <v:line style="position:absolute;mso-position-horizontal-relative:page;mso-position-vertical-relative:paragraph;z-index:29632" from="26.76pt,33.815853pt" to="26.76pt,59.495853pt" stroked="true" strokeweight=".72pt" strokecolor="#000000">
            <v:stroke dashstyle="solid"/>
            <w10:wrap type="none"/>
          </v:line>
        </w:pict>
      </w:r>
      <w:r>
        <w:rPr>
          <w:rFonts w:ascii="Times New Roman"/>
          <w:strike/>
          <w:color w:val="2E97D3"/>
        </w:rPr>
        <w:t>a.</w:t>
      </w:r>
      <w:r>
        <w:rPr>
          <w:rFonts w:ascii="Times New Roman"/>
          <w:strike w:val="0"/>
          <w:color w:val="2E97D3"/>
          <w:u w:val="single" w:color="2E97D3"/>
        </w:rPr>
        <w:t>2.</w:t>
      </w:r>
      <w:r>
        <w:rPr>
          <w:strike w:val="0"/>
        </w:rPr>
        <w:t>All information requested in Section 6845, including the standard fiscal</w:t>
      </w:r>
      <w:r>
        <w:rPr>
          <w:strike w:val="0"/>
          <w:spacing w:val="-54"/>
        </w:rPr>
        <w:t> </w:t>
      </w:r>
      <w:r>
        <w:rPr>
          <w:strike w:val="0"/>
        </w:rPr>
        <w:t>reporting requirements and the agenda package;</w:t>
      </w:r>
    </w:p>
    <w:p>
      <w:pPr>
        <w:pStyle w:val="BodyText"/>
        <w:spacing w:before="7"/>
        <w:rPr>
          <w:sz w:val="20"/>
        </w:rPr>
      </w:pPr>
    </w:p>
    <w:p>
      <w:pPr>
        <w:pStyle w:val="BodyText"/>
        <w:ind w:left="640"/>
      </w:pPr>
      <w:r>
        <w:rPr>
          <w:rFonts w:ascii="Times New Roman"/>
          <w:color w:val="2E97D3"/>
          <w:u w:val="single" w:color="2E97D3"/>
        </w:rPr>
        <w:t>3.  </w:t>
      </w:r>
      <w:r>
        <w:rPr/>
        <w:t>A draft legislative notification if the augmentation exceeds 10 percent;</w:t>
      </w:r>
    </w:p>
    <w:p>
      <w:pPr>
        <w:pStyle w:val="BodyText"/>
        <w:spacing w:line="269" w:lineRule="exact" w:before="9"/>
        <w:ind w:left="640"/>
        <w:rPr>
          <w:rFonts w:ascii="Times New Roman"/>
        </w:rPr>
      </w:pPr>
      <w:r>
        <w:rPr>
          <w:rFonts w:ascii="Times New Roman"/>
          <w:strike/>
          <w:color w:val="2E97D3"/>
        </w:rPr>
        <w:t>b.</w:t>
      </w:r>
    </w:p>
    <w:p>
      <w:pPr>
        <w:pStyle w:val="BodyText"/>
        <w:spacing w:after="3"/>
        <w:ind w:left="1000" w:right="642" w:hanging="360"/>
      </w:pPr>
      <w:r>
        <w:rPr>
          <w:rFonts w:ascii="Times New Roman"/>
          <w:strike/>
          <w:color w:val="2E97D3"/>
        </w:rPr>
        <w:t>c.</w:t>
      </w:r>
      <w:r>
        <w:rPr>
          <w:rFonts w:ascii="Times New Roman"/>
          <w:strike w:val="0"/>
          <w:color w:val="2E97D3"/>
          <w:u w:val="single" w:color="2E97D3"/>
        </w:rPr>
        <w:t>4.</w:t>
      </w:r>
      <w:r>
        <w:rPr>
          <w:strike w:val="0"/>
        </w:rPr>
        <w:t>A copy of the bid tabulation for construction augmentations (see the illustration in Section 6853); and</w:t>
      </w:r>
    </w:p>
    <w:p>
      <w:pPr>
        <w:pStyle w:val="BodyText"/>
        <w:ind w:left="107"/>
        <w:rPr>
          <w:sz w:val="20"/>
        </w:rPr>
      </w:pPr>
      <w:r>
        <w:rPr>
          <w:sz w:val="20"/>
        </w:rPr>
        <w:pict>
          <v:group style="width:.75pt;height:12.75pt;mso-position-horizontal-relative:char;mso-position-vertical-relative:line" coordorigin="0,0" coordsize="15,255">
            <v:line style="position:absolute" from="8,8" to="8,248" stroked="true" strokeweight=".72pt" strokecolor="#000000">
              <v:stroke dashstyle="solid"/>
            </v:line>
          </v:group>
        </w:pict>
      </w:r>
      <w:r>
        <w:rPr>
          <w:sz w:val="20"/>
        </w:rPr>
      </w:r>
    </w:p>
    <w:p>
      <w:pPr>
        <w:pStyle w:val="BodyText"/>
        <w:tabs>
          <w:tab w:pos="1468" w:val="left" w:leader="none"/>
        </w:tabs>
        <w:ind w:left="1000" w:right="963" w:hanging="360"/>
      </w:pPr>
      <w:r>
        <w:rPr>
          <w:rFonts w:ascii="Times New Roman"/>
          <w:strike/>
          <w:color w:val="2E97D3"/>
        </w:rPr>
        <w:t>d.</w:t>
      </w:r>
      <w:r>
        <w:rPr>
          <w:strike w:val="0"/>
          <w:color w:val="2E97D3"/>
          <w:sz w:val="22"/>
          <w:u w:val="single" w:color="2E97D3"/>
        </w:rPr>
        <w:t>5.</w:t>
        <w:tab/>
      </w:r>
      <w:r>
        <w:rPr>
          <w:strike w:val="0"/>
        </w:rPr>
        <w:t>A narrative description justifying the need for such augmentation.</w:t>
      </w:r>
      <w:r>
        <w:rPr>
          <w:strike w:val="0"/>
          <w:spacing w:val="-33"/>
        </w:rPr>
        <w:t> </w:t>
      </w:r>
      <w:r>
        <w:rPr>
          <w:strike w:val="0"/>
        </w:rPr>
        <w:t>This</w:t>
      </w:r>
      <w:r>
        <w:rPr>
          <w:strike w:val="0"/>
          <w:spacing w:val="-3"/>
        </w:rPr>
        <w:t> </w:t>
      </w:r>
      <w:r>
        <w:rPr>
          <w:strike w:val="0"/>
        </w:rPr>
        <w:t>must</w:t>
      </w:r>
      <w:r>
        <w:rPr>
          <w:strike w:val="0"/>
          <w:w w:val="100"/>
        </w:rPr>
        <w:t> </w:t>
      </w:r>
      <w:r>
        <w:rPr>
          <w:strike w:val="0"/>
        </w:rPr>
        <w:t>address efforts to include deductive alternates, value engineering, contingency reductions or scope modifications to address augmentations needs, and the consequences if the request is not</w:t>
      </w:r>
      <w:r>
        <w:rPr>
          <w:strike w:val="0"/>
          <w:spacing w:val="-42"/>
        </w:rPr>
        <w:t> </w:t>
      </w:r>
      <w:r>
        <w:rPr>
          <w:strike w:val="0"/>
        </w:rPr>
        <w:t>approved.</w:t>
      </w:r>
    </w:p>
    <w:p>
      <w:pPr>
        <w:pStyle w:val="BodyText"/>
        <w:spacing w:before="216"/>
        <w:ind w:left="640"/>
      </w:pPr>
      <w:r>
        <w:rPr/>
        <w:pict>
          <v:line style="position:absolute;mso-position-horizontal-relative:page;mso-position-vertical-relative:paragraph;z-index:29656" from="26.76pt,24.695854pt" to="26.76pt,137.855854pt" stroked="true" strokeweight=".72pt" strokecolor="#000000">
            <v:stroke dashstyle="solid"/>
            <w10:wrap type="none"/>
          </v:line>
        </w:pict>
      </w:r>
      <w:r>
        <w:rPr/>
        <w:t>(Continued)</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3"/>
        </w:rPr>
      </w:pPr>
    </w:p>
    <w:p>
      <w:pPr>
        <w:pStyle w:val="Heading2"/>
        <w:ind w:left="746"/>
      </w:pPr>
      <w:bookmarkStart w:name="AUGMENTATIONS, ADDITIONAL COSTS (WITHIN " w:id="108"/>
      <w:bookmarkEnd w:id="108"/>
      <w:r>
        <w:rPr>
          <w:b w:val="0"/>
        </w:rPr>
      </w:r>
      <w:r>
        <w:rPr>
          <w:color w:val="2C6234"/>
          <w:u w:val="thick" w:color="2C6234"/>
        </w:rPr>
        <w:t>AUGMENTATIONS, ADDITIONAL COSTS (WITHIN APPROPRIATION)</w:t>
      </w:r>
    </w:p>
    <w:p>
      <w:pPr>
        <w:spacing w:after="0"/>
        <w:sectPr>
          <w:headerReference w:type="default" r:id="rId319"/>
          <w:pgSz w:w="12240" w:h="15840"/>
          <w:pgMar w:header="726" w:footer="785" w:top="1520" w:bottom="980" w:left="420" w:right="1380"/>
        </w:sectPr>
      </w:pPr>
    </w:p>
    <w:p>
      <w:pPr>
        <w:tabs>
          <w:tab w:pos="9360" w:val="left" w:leader="none"/>
        </w:tabs>
        <w:spacing w:before="0"/>
        <w:ind w:left="826" w:right="0" w:firstLine="0"/>
        <w:jc w:val="left"/>
        <w:rPr>
          <w:b/>
          <w:sz w:val="24"/>
        </w:rPr>
      </w:pPr>
      <w:r>
        <w:rPr/>
        <w:pict>
          <v:line style="position:absolute;mso-position-horizontal-relative:page;mso-position-vertical-relative:paragraph;z-index:-442960" from="463.320007pt,8.436384pt" to="485.040007pt,8.436384pt" stroked="true" strokeweight=".599pt" strokecolor="#2e97d3">
            <v:stroke dashstyle="solid"/>
            <w10:wrap type="none"/>
          </v:line>
        </w:pict>
      </w:r>
      <w:r>
        <w:rPr/>
        <w:pict>
          <v:line style="position:absolute;mso-position-horizontal-relative:page;mso-position-vertical-relative:page;z-index:29752" from="26.76pt,48.959999pt" to="26.76pt,117.959999pt" stroked="true" strokeweight=".72pt" strokecolor="#000000">
            <v:stroke dashstyle="solid"/>
            <w10:wrap type="none"/>
          </v:line>
        </w:pict>
      </w:r>
      <w:bookmarkStart w:name="AUGMENTATIONS, ADDITIONAL COSTS (WITHIN " w:id="109"/>
      <w:bookmarkEnd w:id="109"/>
      <w:r>
        <w:rPr/>
      </w:r>
      <w:r>
        <w:rPr>
          <w:b/>
          <w:sz w:val="24"/>
        </w:rPr>
        <w:t>AND RECOGNITION</w:t>
      </w:r>
      <w:r>
        <w:rPr>
          <w:b/>
          <w:spacing w:val="-7"/>
          <w:sz w:val="24"/>
        </w:rPr>
        <w:t> </w:t>
      </w:r>
      <w:r>
        <w:rPr>
          <w:b/>
          <w:sz w:val="24"/>
        </w:rPr>
        <w:t>OF</w:t>
      </w:r>
      <w:r>
        <w:rPr>
          <w:b/>
          <w:spacing w:val="-3"/>
          <w:sz w:val="24"/>
        </w:rPr>
        <w:t> </w:t>
      </w:r>
      <w:r>
        <w:rPr>
          <w:b/>
          <w:sz w:val="24"/>
        </w:rPr>
        <w:t>DEFICITS</w:t>
        <w:tab/>
        <w:t>6861</w:t>
      </w:r>
    </w:p>
    <w:p>
      <w:pPr>
        <w:pStyle w:val="BodyText"/>
        <w:ind w:left="826"/>
      </w:pPr>
      <w:r>
        <w:rPr/>
        <w:t>(Cont. </w:t>
      </w:r>
      <w:r>
        <w:rPr>
          <w:strike/>
          <w:color w:val="2E97D3"/>
        </w:rPr>
        <w:t>3</w:t>
      </w:r>
      <w:r>
        <w:rPr>
          <w:strike w:val="0"/>
          <w:color w:val="2E97D3"/>
          <w:u w:val="single" w:color="2E97D3"/>
        </w:rPr>
        <w:t>2</w:t>
      </w:r>
      <w:r>
        <w:rPr>
          <w:strike w:val="0"/>
        </w:rPr>
        <w:t>)</w:t>
      </w:r>
    </w:p>
    <w:p>
      <w:pPr>
        <w:pStyle w:val="BodyText"/>
        <w:ind w:left="826"/>
      </w:pPr>
      <w:r>
        <w:rPr/>
        <w:t>(Revised </w:t>
      </w:r>
      <w:r>
        <w:rPr>
          <w:strike/>
          <w:color w:val="2E97D3"/>
        </w:rPr>
        <w:t>5/1998)</w:t>
      </w:r>
      <w:r>
        <w:rPr>
          <w:strike w:val="0"/>
          <w:color w:val="2E97D3"/>
          <w:u w:val="single" w:color="2E97D3"/>
        </w:rPr>
        <w:t>9/2017)</w:t>
      </w:r>
    </w:p>
    <w:p>
      <w:pPr>
        <w:pStyle w:val="BodyText"/>
        <w:spacing w:before="3"/>
        <w:rPr>
          <w:sz w:val="23"/>
        </w:rPr>
      </w:pPr>
    </w:p>
    <w:p>
      <w:pPr>
        <w:spacing w:before="92"/>
        <w:ind w:left="720" w:right="0" w:firstLine="0"/>
        <w:jc w:val="left"/>
        <w:rPr>
          <w:sz w:val="24"/>
        </w:rPr>
      </w:pPr>
      <w:r>
        <w:rPr>
          <w:strike/>
          <w:color w:val="2E97D3"/>
          <w:sz w:val="24"/>
        </w:rPr>
        <w:t>2.</w:t>
      </w:r>
      <w:r>
        <w:rPr>
          <w:strike w:val="0"/>
          <w:color w:val="2E97D3"/>
          <w:sz w:val="24"/>
          <w:u w:val="single" w:color="2E97D3"/>
        </w:rPr>
        <w:t>6. </w:t>
      </w:r>
      <w:r>
        <w:rPr>
          <w:b/>
          <w:strike w:val="0"/>
          <w:sz w:val="24"/>
        </w:rPr>
        <w:t>Construction augmentations during construction. </w:t>
      </w:r>
      <w:r>
        <w:rPr>
          <w:strike w:val="0"/>
          <w:sz w:val="24"/>
        </w:rPr>
        <w:t>Provide the following:</w:t>
      </w:r>
    </w:p>
    <w:p>
      <w:pPr>
        <w:pStyle w:val="BodyText"/>
        <w:tabs>
          <w:tab w:pos="1548" w:val="left" w:leader="none"/>
        </w:tabs>
        <w:spacing w:before="117"/>
        <w:ind w:left="1080" w:right="569" w:hanging="360"/>
      </w:pPr>
      <w:r>
        <w:rPr/>
        <w:pict>
          <v:line style="position:absolute;mso-position-horizontal-relative:page;mso-position-vertical-relative:paragraph;z-index:29776" from="26.76pt,33.665867pt" to="26.76pt,85.145867pt" stroked="true" strokeweight=".72pt" strokecolor="#000000">
            <v:stroke dashstyle="solid"/>
            <w10:wrap type="none"/>
          </v:line>
        </w:pict>
      </w:r>
      <w:r>
        <w:rPr>
          <w:strike/>
          <w:color w:val="2E97D3"/>
        </w:rPr>
        <w:t>a.</w:t>
      </w:r>
      <w:r>
        <w:rPr>
          <w:strike w:val="0"/>
          <w:color w:val="2E97D3"/>
          <w:u w:val="single" w:color="2E97D3"/>
        </w:rPr>
        <w:t>7.</w:t>
        <w:tab/>
      </w:r>
      <w:r>
        <w:rPr>
          <w:strike w:val="0"/>
        </w:rPr>
        <w:t>All information requested in Section 6845, including the standard</w:t>
      </w:r>
      <w:r>
        <w:rPr>
          <w:strike w:val="0"/>
          <w:spacing w:val="-40"/>
        </w:rPr>
        <w:t> </w:t>
      </w:r>
      <w:r>
        <w:rPr>
          <w:strike w:val="0"/>
        </w:rPr>
        <w:t>fiscal</w:t>
      </w:r>
      <w:r>
        <w:rPr>
          <w:strike w:val="0"/>
          <w:spacing w:val="-30"/>
        </w:rPr>
        <w:t> </w:t>
      </w:r>
      <w:r>
        <w:rPr>
          <w:strike w:val="0"/>
        </w:rPr>
        <w:t>reporting</w:t>
      </w:r>
      <w:r>
        <w:rPr>
          <w:strike w:val="0"/>
          <w:w w:val="99"/>
        </w:rPr>
        <w:t> </w:t>
      </w:r>
      <w:r>
        <w:rPr>
          <w:strike w:val="0"/>
        </w:rPr>
        <w:t>requirements and the agenda</w:t>
      </w:r>
      <w:r>
        <w:rPr>
          <w:strike w:val="0"/>
          <w:spacing w:val="-38"/>
        </w:rPr>
        <w:t> </w:t>
      </w:r>
      <w:r>
        <w:rPr>
          <w:strike w:val="0"/>
        </w:rPr>
        <w:t>package;</w:t>
      </w:r>
    </w:p>
    <w:p>
      <w:pPr>
        <w:pStyle w:val="BodyText"/>
        <w:spacing w:before="9"/>
        <w:rPr>
          <w:sz w:val="20"/>
        </w:rPr>
      </w:pPr>
    </w:p>
    <w:p>
      <w:pPr>
        <w:pStyle w:val="BodyText"/>
        <w:tabs>
          <w:tab w:pos="1548" w:val="left" w:leader="none"/>
        </w:tabs>
        <w:spacing w:before="1"/>
        <w:ind w:left="720"/>
      </w:pPr>
      <w:r>
        <w:rPr>
          <w:strike/>
          <w:color w:val="2E97D3"/>
        </w:rPr>
        <w:t>b.</w:t>
      </w:r>
      <w:r>
        <w:rPr>
          <w:strike w:val="0"/>
          <w:color w:val="2E97D3"/>
          <w:u w:val="single" w:color="2E97D3"/>
        </w:rPr>
        <w:t>8.</w:t>
        <w:tab/>
      </w:r>
      <w:r>
        <w:rPr>
          <w:strike w:val="0"/>
        </w:rPr>
        <w:t>A</w:t>
      </w:r>
      <w:r>
        <w:rPr>
          <w:strike w:val="0"/>
          <w:spacing w:val="-4"/>
        </w:rPr>
        <w:t> </w:t>
      </w:r>
      <w:r>
        <w:rPr>
          <w:strike w:val="0"/>
        </w:rPr>
        <w:t>draft</w:t>
      </w:r>
      <w:r>
        <w:rPr>
          <w:strike w:val="0"/>
          <w:spacing w:val="-7"/>
        </w:rPr>
        <w:t> </w:t>
      </w:r>
      <w:r>
        <w:rPr>
          <w:strike w:val="0"/>
        </w:rPr>
        <w:t>legislative</w:t>
      </w:r>
      <w:r>
        <w:rPr>
          <w:strike w:val="0"/>
          <w:spacing w:val="-4"/>
        </w:rPr>
        <w:t> </w:t>
      </w:r>
      <w:r>
        <w:rPr>
          <w:strike w:val="0"/>
        </w:rPr>
        <w:t>notification</w:t>
      </w:r>
      <w:r>
        <w:rPr>
          <w:strike w:val="0"/>
          <w:spacing w:val="-4"/>
        </w:rPr>
        <w:t> </w:t>
      </w:r>
      <w:r>
        <w:rPr>
          <w:strike w:val="0"/>
        </w:rPr>
        <w:t>if</w:t>
      </w:r>
      <w:r>
        <w:rPr>
          <w:strike w:val="0"/>
          <w:spacing w:val="-4"/>
        </w:rPr>
        <w:t> </w:t>
      </w:r>
      <w:r>
        <w:rPr>
          <w:strike w:val="0"/>
        </w:rPr>
        <w:t>the</w:t>
      </w:r>
      <w:r>
        <w:rPr>
          <w:strike w:val="0"/>
          <w:spacing w:val="-4"/>
        </w:rPr>
        <w:t> </w:t>
      </w:r>
      <w:r>
        <w:rPr>
          <w:strike w:val="0"/>
        </w:rPr>
        <w:t>augmentation</w:t>
      </w:r>
      <w:r>
        <w:rPr>
          <w:strike w:val="0"/>
          <w:spacing w:val="-4"/>
        </w:rPr>
        <w:t> </w:t>
      </w:r>
      <w:r>
        <w:rPr>
          <w:strike w:val="0"/>
        </w:rPr>
        <w:t>exceeds</w:t>
      </w:r>
      <w:r>
        <w:rPr>
          <w:strike w:val="0"/>
          <w:spacing w:val="-7"/>
        </w:rPr>
        <w:t> </w:t>
      </w:r>
      <w:r>
        <w:rPr>
          <w:strike w:val="0"/>
        </w:rPr>
        <w:t>10</w:t>
      </w:r>
      <w:r>
        <w:rPr>
          <w:strike w:val="0"/>
          <w:spacing w:val="-31"/>
        </w:rPr>
        <w:t> </w:t>
      </w:r>
      <w:r>
        <w:rPr>
          <w:strike w:val="0"/>
        </w:rPr>
        <w:t>percent;</w:t>
      </w:r>
    </w:p>
    <w:p>
      <w:pPr>
        <w:pStyle w:val="BodyText"/>
        <w:spacing w:before="7"/>
        <w:rPr>
          <w:sz w:val="20"/>
        </w:rPr>
      </w:pPr>
    </w:p>
    <w:p>
      <w:pPr>
        <w:pStyle w:val="BodyText"/>
        <w:tabs>
          <w:tab w:pos="1548" w:val="left" w:leader="none"/>
        </w:tabs>
        <w:ind w:left="1080" w:right="1006" w:hanging="360"/>
      </w:pPr>
      <w:r>
        <w:rPr>
          <w:strike/>
          <w:color w:val="2E97D3"/>
        </w:rPr>
        <w:t>c.</w:t>
      </w:r>
      <w:r>
        <w:rPr>
          <w:strike w:val="0"/>
          <w:color w:val="2E97D3"/>
          <w:u w:val="single" w:color="2E97D3"/>
        </w:rPr>
        <w:t>9.</w:t>
        <w:tab/>
      </w:r>
      <w:r>
        <w:rPr>
          <w:strike w:val="0"/>
        </w:rPr>
        <w:t>A complete narrative description justifying the need for such</w:t>
      </w:r>
      <w:r>
        <w:rPr>
          <w:strike w:val="0"/>
          <w:spacing w:val="-29"/>
        </w:rPr>
        <w:t> </w:t>
      </w:r>
      <w:r>
        <w:rPr>
          <w:strike w:val="0"/>
        </w:rPr>
        <w:t>cost</w:t>
      </w:r>
      <w:r>
        <w:rPr>
          <w:strike w:val="0"/>
          <w:spacing w:val="-3"/>
        </w:rPr>
        <w:t> </w:t>
      </w:r>
      <w:r>
        <w:rPr>
          <w:strike w:val="0"/>
        </w:rPr>
        <w:t>increases,</w:t>
      </w:r>
      <w:r>
        <w:rPr>
          <w:strike w:val="0"/>
          <w:w w:val="100"/>
        </w:rPr>
        <w:t> </w:t>
      </w:r>
      <w:r>
        <w:rPr>
          <w:strike w:val="0"/>
        </w:rPr>
        <w:t>including the</w:t>
      </w:r>
      <w:r>
        <w:rPr>
          <w:strike w:val="0"/>
          <w:spacing w:val="-24"/>
        </w:rPr>
        <w:t> </w:t>
      </w:r>
      <w:r>
        <w:rPr>
          <w:strike w:val="0"/>
        </w:rPr>
        <w:t>following:</w:t>
      </w:r>
    </w:p>
    <w:p>
      <w:pPr>
        <w:pStyle w:val="BodyText"/>
        <w:tabs>
          <w:tab w:pos="1080" w:val="left" w:leader="none"/>
        </w:tabs>
        <w:spacing w:before="119"/>
        <w:ind w:left="103"/>
      </w:pPr>
      <w:r>
        <w:rPr>
          <w:strike/>
          <w:color w:val="2E97D3"/>
        </w:rPr>
        <w:t>(1)</w:t>
      </w:r>
      <w:r>
        <w:rPr>
          <w:strike w:val="0"/>
          <w:color w:val="2E97D3"/>
          <w:u w:val="single" w:color="2E97D3"/>
        </w:rPr>
        <w:t>10.</w:t>
        <w:tab/>
      </w:r>
      <w:r>
        <w:rPr>
          <w:strike w:val="0"/>
        </w:rPr>
        <w:t>Status of the project and percentage</w:t>
      </w:r>
      <w:r>
        <w:rPr>
          <w:strike w:val="0"/>
          <w:spacing w:val="-37"/>
        </w:rPr>
        <w:t> </w:t>
      </w:r>
      <w:r>
        <w:rPr>
          <w:strike w:val="0"/>
        </w:rPr>
        <w:t>complete;</w:t>
      </w:r>
    </w:p>
    <w:p>
      <w:pPr>
        <w:pStyle w:val="BodyText"/>
        <w:tabs>
          <w:tab w:pos="1080" w:val="left" w:leader="none"/>
        </w:tabs>
        <w:ind w:left="1080" w:right="2039" w:hanging="977"/>
      </w:pPr>
      <w:r>
        <w:rPr>
          <w:strike/>
          <w:color w:val="2E97D3"/>
        </w:rPr>
        <w:t>(2)</w:t>
      </w:r>
      <w:r>
        <w:rPr>
          <w:strike w:val="0"/>
          <w:color w:val="2E97D3"/>
          <w:u w:val="single" w:color="2E97D3"/>
        </w:rPr>
        <w:t>11.</w:t>
        <w:tab/>
      </w:r>
      <w:r>
        <w:rPr>
          <w:strike w:val="0"/>
        </w:rPr>
        <w:t>Full description of the unanticipated items, their cost, why</w:t>
      </w:r>
      <w:r>
        <w:rPr>
          <w:strike w:val="0"/>
          <w:spacing w:val="-32"/>
        </w:rPr>
        <w:t> </w:t>
      </w:r>
      <w:r>
        <w:rPr>
          <w:strike w:val="0"/>
        </w:rPr>
        <w:t>needed,</w:t>
      </w:r>
      <w:r>
        <w:rPr>
          <w:strike w:val="0"/>
          <w:spacing w:val="-30"/>
        </w:rPr>
        <w:t> </w:t>
      </w:r>
      <w:r>
        <w:rPr>
          <w:strike w:val="0"/>
        </w:rPr>
        <w:t>and</w:t>
      </w:r>
      <w:r>
        <w:rPr>
          <w:strike w:val="0"/>
          <w:w w:val="99"/>
        </w:rPr>
        <w:t> </w:t>
      </w:r>
      <w:r>
        <w:rPr>
          <w:strike w:val="0"/>
        </w:rPr>
        <w:t>alternative</w:t>
      </w:r>
      <w:r>
        <w:rPr>
          <w:strike w:val="0"/>
          <w:spacing w:val="-15"/>
        </w:rPr>
        <w:t> </w:t>
      </w:r>
      <w:r>
        <w:rPr>
          <w:strike w:val="0"/>
        </w:rPr>
        <w:t>solutions;</w:t>
      </w:r>
    </w:p>
    <w:p>
      <w:pPr>
        <w:pStyle w:val="BodyText"/>
        <w:ind w:left="1906" w:right="569" w:hanging="473"/>
      </w:pPr>
      <w:r>
        <w:rPr>
          <w:strike/>
          <w:color w:val="2E97D3"/>
        </w:rPr>
        <w:t>(3)</w:t>
      </w:r>
      <w:r>
        <w:rPr>
          <w:strike w:val="0"/>
          <w:color w:val="2E97D3"/>
          <w:u w:val="single" w:color="2E97D3"/>
        </w:rPr>
        <w:t>12. </w:t>
      </w:r>
      <w:r>
        <w:rPr>
          <w:strike w:val="0"/>
        </w:rPr>
        <w:t>Reason(s) why costs were not included in the original bidding documents and/or as deductive or additive alternatives to the bid, as appropriate;</w:t>
      </w:r>
    </w:p>
    <w:p>
      <w:pPr>
        <w:pStyle w:val="BodyText"/>
        <w:tabs>
          <w:tab w:pos="1080" w:val="left" w:leader="none"/>
        </w:tabs>
        <w:ind w:left="1080" w:right="1519" w:hanging="977"/>
      </w:pPr>
      <w:r>
        <w:rPr>
          <w:strike/>
          <w:color w:val="2E97D3"/>
        </w:rPr>
        <w:t>(4)</w:t>
      </w:r>
      <w:r>
        <w:rPr>
          <w:strike w:val="0"/>
          <w:color w:val="2E97D3"/>
          <w:u w:val="single" w:color="2E97D3"/>
        </w:rPr>
        <w:t>13.</w:t>
        <w:tab/>
      </w:r>
      <w:r>
        <w:rPr>
          <w:strike w:val="0"/>
        </w:rPr>
        <w:t>Reason(s) why deductive alternates cannot be change ordered to</w:t>
      </w:r>
      <w:r>
        <w:rPr>
          <w:strike w:val="0"/>
          <w:spacing w:val="-35"/>
        </w:rPr>
        <w:t> </w:t>
      </w:r>
      <w:r>
        <w:rPr>
          <w:strike w:val="0"/>
        </w:rPr>
        <w:t>cover</w:t>
      </w:r>
      <w:r>
        <w:rPr>
          <w:strike w:val="0"/>
          <w:spacing w:val="-32"/>
        </w:rPr>
        <w:t> </w:t>
      </w:r>
      <w:r>
        <w:rPr>
          <w:strike w:val="0"/>
        </w:rPr>
        <w:t>the</w:t>
      </w:r>
      <w:r>
        <w:rPr>
          <w:strike w:val="0"/>
          <w:w w:val="99"/>
        </w:rPr>
        <w:t> </w:t>
      </w:r>
      <w:r>
        <w:rPr>
          <w:strike w:val="0"/>
        </w:rPr>
        <w:t>additional</w:t>
      </w:r>
      <w:r>
        <w:rPr>
          <w:strike w:val="0"/>
          <w:spacing w:val="-13"/>
        </w:rPr>
        <w:t> </w:t>
      </w:r>
      <w:r>
        <w:rPr>
          <w:strike w:val="0"/>
        </w:rPr>
        <w:t>costs;</w:t>
      </w:r>
    </w:p>
    <w:p>
      <w:pPr>
        <w:pStyle w:val="BodyText"/>
        <w:ind w:left="1906" w:right="569" w:hanging="473"/>
      </w:pPr>
      <w:r>
        <w:rPr/>
        <w:pict>
          <v:line style="position:absolute;mso-position-horizontal-relative:page;mso-position-vertical-relative:paragraph;z-index:29800" from="26.76pt,27.815855pt" to="26.76pt,41.615855pt" stroked="true" strokeweight=".72pt" strokecolor="#000000">
            <v:stroke dashstyle="solid"/>
            <w10:wrap type="none"/>
          </v:line>
        </w:pict>
      </w:r>
      <w:r>
        <w:rPr>
          <w:strike/>
          <w:color w:val="2E97D3"/>
        </w:rPr>
        <w:t>(5)</w:t>
      </w:r>
      <w:r>
        <w:rPr>
          <w:strike w:val="0"/>
          <w:color w:val="2E97D3"/>
          <w:u w:val="single" w:color="2E97D3"/>
        </w:rPr>
        <w:t>14. </w:t>
      </w:r>
      <w:r>
        <w:rPr>
          <w:strike w:val="0"/>
        </w:rPr>
        <w:t>Reasons why these items cannot be funded within the construction contingency;</w:t>
      </w:r>
    </w:p>
    <w:p>
      <w:pPr>
        <w:pStyle w:val="BodyText"/>
        <w:ind w:left="1433" w:right="922"/>
      </w:pPr>
      <w:r>
        <w:rPr>
          <w:strike/>
          <w:color w:val="2E97D3"/>
        </w:rPr>
        <w:t>(6)</w:t>
      </w:r>
      <w:r>
        <w:rPr>
          <w:strike w:val="0"/>
          <w:color w:val="2E97D3"/>
          <w:u w:val="single" w:color="2E97D3"/>
        </w:rPr>
        <w:t>15. </w:t>
      </w:r>
      <w:r>
        <w:rPr>
          <w:strike w:val="0"/>
        </w:rPr>
        <w:t>Explanation of efforts to value engineer remaining project components; </w:t>
      </w:r>
      <w:r>
        <w:rPr>
          <w:strike/>
          <w:color w:val="2E97D3"/>
        </w:rPr>
        <w:t>(7)</w:t>
      </w:r>
      <w:r>
        <w:rPr>
          <w:strike w:val="0"/>
          <w:color w:val="2E97D3"/>
          <w:u w:val="single" w:color="2E97D3"/>
        </w:rPr>
        <w:t>16. </w:t>
      </w:r>
      <w:r>
        <w:rPr>
          <w:strike w:val="0"/>
        </w:rPr>
        <w:t>Consequences if not approved; and</w:t>
      </w:r>
    </w:p>
    <w:p>
      <w:pPr>
        <w:pStyle w:val="BodyText"/>
        <w:ind w:left="1433"/>
      </w:pPr>
      <w:r>
        <w:rPr/>
        <w:pict>
          <v:line style="position:absolute;mso-position-horizontal-relative:page;mso-position-vertical-relative:paragraph;z-index:29824" from="26.76pt,14.015874pt" to="26.76pt,45.815874pt" stroked="true" strokeweight=".72pt" strokecolor="#000000">
            <v:stroke dashstyle="solid"/>
            <w10:wrap type="none"/>
          </v:line>
        </w:pict>
      </w:r>
      <w:r>
        <w:rPr>
          <w:strike/>
          <w:color w:val="2E97D3"/>
        </w:rPr>
        <w:t>(8)</w:t>
      </w:r>
      <w:r>
        <w:rPr>
          <w:strike w:val="0"/>
          <w:color w:val="2E97D3"/>
          <w:u w:val="single" w:color="2E97D3"/>
        </w:rPr>
        <w:t>17. </w:t>
      </w:r>
      <w:r>
        <w:rPr>
          <w:strike w:val="0"/>
        </w:rPr>
        <w:t>Whether the additional items are within the scope approved by the Legislature.</w:t>
      </w:r>
    </w:p>
    <w:p>
      <w:pPr>
        <w:pStyle w:val="BodyText"/>
        <w:spacing w:before="3"/>
        <w:rPr>
          <w:sz w:val="23"/>
        </w:rPr>
      </w:pPr>
    </w:p>
    <w:p>
      <w:pPr>
        <w:spacing w:before="92"/>
        <w:ind w:left="1080" w:right="1006" w:hanging="360"/>
        <w:jc w:val="left"/>
        <w:rPr>
          <w:sz w:val="24"/>
        </w:rPr>
      </w:pPr>
      <w:r>
        <w:rPr/>
        <w:pict>
          <v:line style="position:absolute;mso-position-horizontal-relative:page;mso-position-vertical-relative:paragraph;z-index:-442936" from="458.640015pt,13.035855pt" to="462.000015pt,13.035855pt" stroked="true" strokeweight=".6pt" strokecolor="#2e97d3">
            <v:stroke dashstyle="solid"/>
            <w10:wrap type="none"/>
          </v:line>
        </w:pict>
      </w:r>
      <w:r>
        <w:rPr>
          <w:strike/>
          <w:color w:val="2E97D3"/>
          <w:sz w:val="24"/>
        </w:rPr>
        <w:t>3.</w:t>
      </w:r>
      <w:r>
        <w:rPr>
          <w:strike w:val="0"/>
          <w:color w:val="2E97D3"/>
          <w:sz w:val="24"/>
          <w:u w:val="single" w:color="2E97D3"/>
        </w:rPr>
        <w:t>18. </w:t>
      </w:r>
      <w:r>
        <w:rPr>
          <w:b/>
          <w:strike w:val="0"/>
          <w:sz w:val="24"/>
        </w:rPr>
        <w:t>Agenda package for augmentations of land acquisition projects. </w:t>
      </w:r>
      <w:r>
        <w:rPr>
          <w:strike w:val="0"/>
          <w:sz w:val="24"/>
        </w:rPr>
        <w:t>Provide the following:</w:t>
      </w:r>
    </w:p>
    <w:p>
      <w:pPr>
        <w:pStyle w:val="BodyText"/>
        <w:tabs>
          <w:tab w:pos="1548" w:val="left" w:leader="none"/>
        </w:tabs>
        <w:spacing w:before="120"/>
        <w:ind w:left="1080" w:right="569" w:hanging="360"/>
      </w:pPr>
      <w:r>
        <w:rPr/>
        <w:pict>
          <v:line style="position:absolute;mso-position-horizontal-relative:page;mso-position-vertical-relative:paragraph;z-index:29848" from="26.76pt,33.815849pt" to="26.76pt,47.615849pt" stroked="true" strokeweight=".72pt" strokecolor="#000000">
            <v:stroke dashstyle="solid"/>
            <w10:wrap type="none"/>
          </v:line>
        </w:pict>
      </w:r>
      <w:r>
        <w:rPr>
          <w:strike/>
          <w:color w:val="2E97D3"/>
        </w:rPr>
        <w:t>a.</w:t>
      </w:r>
      <w:r>
        <w:rPr>
          <w:strike w:val="0"/>
          <w:color w:val="2E97D3"/>
          <w:u w:val="single" w:color="2E97D3"/>
        </w:rPr>
        <w:t>19.</w:t>
        <w:tab/>
      </w:r>
      <w:r>
        <w:rPr>
          <w:strike w:val="0"/>
        </w:rPr>
        <w:t>All information requested in Section 6845, including the standard</w:t>
      </w:r>
      <w:r>
        <w:rPr>
          <w:strike w:val="0"/>
          <w:spacing w:val="-40"/>
        </w:rPr>
        <w:t> </w:t>
      </w:r>
      <w:r>
        <w:rPr>
          <w:strike w:val="0"/>
        </w:rPr>
        <w:t>fiscal</w:t>
      </w:r>
      <w:r>
        <w:rPr>
          <w:strike w:val="0"/>
          <w:spacing w:val="-30"/>
        </w:rPr>
        <w:t> </w:t>
      </w:r>
      <w:r>
        <w:rPr>
          <w:strike w:val="0"/>
        </w:rPr>
        <w:t>reporting</w:t>
      </w:r>
      <w:r>
        <w:rPr>
          <w:strike w:val="0"/>
          <w:w w:val="99"/>
        </w:rPr>
        <w:t> </w:t>
      </w:r>
      <w:r>
        <w:rPr>
          <w:strike w:val="0"/>
        </w:rPr>
        <w:t>requirements and the agenda</w:t>
      </w:r>
      <w:r>
        <w:rPr>
          <w:strike w:val="0"/>
          <w:spacing w:val="-38"/>
        </w:rPr>
        <w:t> </w:t>
      </w:r>
      <w:r>
        <w:rPr>
          <w:strike w:val="0"/>
        </w:rPr>
        <w:t>package;</w:t>
      </w:r>
    </w:p>
    <w:p>
      <w:pPr>
        <w:pStyle w:val="BodyText"/>
        <w:tabs>
          <w:tab w:pos="1548" w:val="left" w:leader="none"/>
        </w:tabs>
        <w:ind w:left="720"/>
      </w:pPr>
      <w:r>
        <w:rPr>
          <w:strike/>
          <w:color w:val="2E97D3"/>
        </w:rPr>
        <w:t>b.</w:t>
      </w:r>
      <w:r>
        <w:rPr>
          <w:strike w:val="0"/>
          <w:color w:val="2E97D3"/>
          <w:u w:val="single" w:color="2E97D3"/>
        </w:rPr>
        <w:t>20.</w:t>
        <w:tab/>
      </w:r>
      <w:r>
        <w:rPr>
          <w:strike w:val="0"/>
        </w:rPr>
        <w:t>A</w:t>
      </w:r>
      <w:r>
        <w:rPr>
          <w:strike w:val="0"/>
          <w:spacing w:val="-4"/>
        </w:rPr>
        <w:t> </w:t>
      </w:r>
      <w:r>
        <w:rPr>
          <w:strike w:val="0"/>
        </w:rPr>
        <w:t>draft</w:t>
      </w:r>
      <w:r>
        <w:rPr>
          <w:strike w:val="0"/>
          <w:spacing w:val="-7"/>
        </w:rPr>
        <w:t> </w:t>
      </w:r>
      <w:r>
        <w:rPr>
          <w:strike w:val="0"/>
        </w:rPr>
        <w:t>legislative</w:t>
      </w:r>
      <w:r>
        <w:rPr>
          <w:strike w:val="0"/>
          <w:spacing w:val="-4"/>
        </w:rPr>
        <w:t> </w:t>
      </w:r>
      <w:r>
        <w:rPr>
          <w:strike w:val="0"/>
        </w:rPr>
        <w:t>notification</w:t>
      </w:r>
      <w:r>
        <w:rPr>
          <w:strike w:val="0"/>
          <w:spacing w:val="-4"/>
        </w:rPr>
        <w:t> </w:t>
      </w:r>
      <w:r>
        <w:rPr>
          <w:strike w:val="0"/>
        </w:rPr>
        <w:t>if</w:t>
      </w:r>
      <w:r>
        <w:rPr>
          <w:strike w:val="0"/>
          <w:spacing w:val="-4"/>
        </w:rPr>
        <w:t> </w:t>
      </w:r>
      <w:r>
        <w:rPr>
          <w:strike w:val="0"/>
        </w:rPr>
        <w:t>the</w:t>
      </w:r>
      <w:r>
        <w:rPr>
          <w:strike w:val="0"/>
          <w:spacing w:val="-4"/>
        </w:rPr>
        <w:t> </w:t>
      </w:r>
      <w:r>
        <w:rPr>
          <w:strike w:val="0"/>
        </w:rPr>
        <w:t>augmentation</w:t>
      </w:r>
      <w:r>
        <w:rPr>
          <w:strike w:val="0"/>
          <w:spacing w:val="-4"/>
        </w:rPr>
        <w:t> </w:t>
      </w:r>
      <w:r>
        <w:rPr>
          <w:strike w:val="0"/>
        </w:rPr>
        <w:t>exceeds</w:t>
      </w:r>
      <w:r>
        <w:rPr>
          <w:strike w:val="0"/>
          <w:spacing w:val="-7"/>
        </w:rPr>
        <w:t> </w:t>
      </w:r>
      <w:r>
        <w:rPr>
          <w:strike w:val="0"/>
        </w:rPr>
        <w:t>10</w:t>
      </w:r>
      <w:r>
        <w:rPr>
          <w:strike w:val="0"/>
          <w:spacing w:val="-31"/>
        </w:rPr>
        <w:t> </w:t>
      </w:r>
      <w:r>
        <w:rPr>
          <w:strike w:val="0"/>
        </w:rPr>
        <w:t>percent;</w:t>
      </w:r>
    </w:p>
    <w:p>
      <w:pPr>
        <w:pStyle w:val="BodyText"/>
        <w:tabs>
          <w:tab w:pos="1548" w:val="left" w:leader="none"/>
        </w:tabs>
        <w:ind w:left="1080" w:right="382" w:hanging="360"/>
      </w:pPr>
      <w:r>
        <w:rPr>
          <w:strike/>
          <w:color w:val="2E97D3"/>
        </w:rPr>
        <w:t>c.</w:t>
      </w:r>
      <w:r>
        <w:rPr>
          <w:strike w:val="0"/>
          <w:color w:val="2E97D3"/>
          <w:u w:val="single" w:color="2E97D3"/>
        </w:rPr>
        <w:t>21.</w:t>
        <w:tab/>
      </w:r>
      <w:r>
        <w:rPr>
          <w:strike w:val="0"/>
        </w:rPr>
        <w:t>A listing of all budgeted parcels and a description of the acquisition status</w:t>
      </w:r>
      <w:r>
        <w:rPr>
          <w:strike w:val="0"/>
          <w:spacing w:val="-33"/>
        </w:rPr>
        <w:t> </w:t>
      </w:r>
      <w:r>
        <w:rPr>
          <w:strike w:val="0"/>
        </w:rPr>
        <w:t>of</w:t>
      </w:r>
      <w:r>
        <w:rPr>
          <w:strike w:val="0"/>
          <w:spacing w:val="-2"/>
        </w:rPr>
        <w:t> </w:t>
      </w:r>
      <w:r>
        <w:rPr>
          <w:strike w:val="0"/>
        </w:rPr>
        <w:t>each</w:t>
      </w:r>
      <w:r>
        <w:rPr>
          <w:strike w:val="0"/>
          <w:w w:val="99"/>
        </w:rPr>
        <w:t> </w:t>
      </w:r>
      <w:r>
        <w:rPr>
          <w:strike w:val="0"/>
        </w:rPr>
        <w:t>parcel (acquired, in negotiation,</w:t>
      </w:r>
      <w:r>
        <w:rPr>
          <w:strike w:val="0"/>
          <w:spacing w:val="-29"/>
        </w:rPr>
        <w:t> </w:t>
      </w:r>
      <w:r>
        <w:rPr>
          <w:strike w:val="0"/>
        </w:rPr>
        <w:t>etc.);</w:t>
      </w:r>
    </w:p>
    <w:p>
      <w:pPr>
        <w:pStyle w:val="BodyText"/>
        <w:tabs>
          <w:tab w:pos="1548" w:val="left" w:leader="none"/>
        </w:tabs>
        <w:spacing w:line="274" w:lineRule="exact" w:before="6"/>
        <w:ind w:left="1080" w:right="1169" w:hanging="360"/>
      </w:pPr>
      <w:r>
        <w:rPr>
          <w:strike/>
          <w:color w:val="2E97D3"/>
        </w:rPr>
        <w:t>d.</w:t>
      </w:r>
      <w:r>
        <w:rPr>
          <w:strike w:val="0"/>
          <w:color w:val="2E97D3"/>
          <w:u w:val="single" w:color="2E97D3"/>
        </w:rPr>
        <w:t>22.</w:t>
        <w:tab/>
      </w:r>
      <w:r>
        <w:rPr>
          <w:strike w:val="0"/>
        </w:rPr>
        <w:t>A complete narrative description of alternative solutions, including</w:t>
      </w:r>
      <w:r>
        <w:rPr>
          <w:strike w:val="0"/>
          <w:spacing w:val="-30"/>
        </w:rPr>
        <w:t> </w:t>
      </w:r>
      <w:r>
        <w:rPr>
          <w:strike w:val="0"/>
        </w:rPr>
        <w:t>why</w:t>
      </w:r>
      <w:r>
        <w:rPr>
          <w:strike w:val="0"/>
          <w:spacing w:val="-6"/>
        </w:rPr>
        <w:t> </w:t>
      </w:r>
      <w:r>
        <w:rPr>
          <w:strike w:val="0"/>
        </w:rPr>
        <w:t>the</w:t>
      </w:r>
      <w:r>
        <w:rPr>
          <w:strike w:val="0"/>
          <w:w w:val="99"/>
        </w:rPr>
        <w:t> </w:t>
      </w:r>
      <w:r>
        <w:rPr>
          <w:strike w:val="0"/>
        </w:rPr>
        <w:t>augmentation</w:t>
      </w:r>
      <w:r>
        <w:rPr>
          <w:strike w:val="0"/>
          <w:spacing w:val="-5"/>
        </w:rPr>
        <w:t> </w:t>
      </w:r>
      <w:r>
        <w:rPr>
          <w:strike w:val="0"/>
        </w:rPr>
        <w:t>is</w:t>
      </w:r>
      <w:r>
        <w:rPr>
          <w:strike w:val="0"/>
          <w:spacing w:val="-6"/>
        </w:rPr>
        <w:t> </w:t>
      </w:r>
      <w:r>
        <w:rPr>
          <w:strike w:val="0"/>
        </w:rPr>
        <w:t>the</w:t>
      </w:r>
      <w:r>
        <w:rPr>
          <w:strike w:val="0"/>
          <w:spacing w:val="-5"/>
        </w:rPr>
        <w:t> </w:t>
      </w:r>
      <w:r>
        <w:rPr>
          <w:strike w:val="0"/>
        </w:rPr>
        <w:t>correct</w:t>
      </w:r>
      <w:r>
        <w:rPr>
          <w:strike w:val="0"/>
          <w:spacing w:val="-5"/>
        </w:rPr>
        <w:t> </w:t>
      </w:r>
      <w:r>
        <w:rPr>
          <w:strike w:val="0"/>
        </w:rPr>
        <w:t>solution,</w:t>
      </w:r>
      <w:r>
        <w:rPr>
          <w:strike w:val="0"/>
          <w:spacing w:val="-5"/>
        </w:rPr>
        <w:t> </w:t>
      </w:r>
      <w:r>
        <w:rPr>
          <w:strike w:val="0"/>
        </w:rPr>
        <w:t>and</w:t>
      </w:r>
      <w:r>
        <w:rPr>
          <w:strike w:val="0"/>
          <w:spacing w:val="-5"/>
        </w:rPr>
        <w:t> </w:t>
      </w:r>
      <w:r>
        <w:rPr>
          <w:strike w:val="0"/>
        </w:rPr>
        <w:t>consequences</w:t>
      </w:r>
      <w:r>
        <w:rPr>
          <w:strike w:val="0"/>
          <w:spacing w:val="-6"/>
        </w:rPr>
        <w:t> </w:t>
      </w:r>
      <w:r>
        <w:rPr>
          <w:strike w:val="0"/>
        </w:rPr>
        <w:t>if</w:t>
      </w:r>
      <w:r>
        <w:rPr>
          <w:strike w:val="0"/>
          <w:spacing w:val="-5"/>
        </w:rPr>
        <w:t> </w:t>
      </w:r>
      <w:r>
        <w:rPr>
          <w:strike w:val="0"/>
        </w:rPr>
        <w:t>not</w:t>
      </w:r>
      <w:r>
        <w:rPr>
          <w:strike w:val="0"/>
          <w:spacing w:val="-5"/>
        </w:rPr>
        <w:t> </w:t>
      </w:r>
      <w:r>
        <w:rPr>
          <w:strike w:val="0"/>
        </w:rPr>
        <w:t>approved;</w:t>
      </w:r>
      <w:r>
        <w:rPr>
          <w:strike w:val="0"/>
          <w:spacing w:val="-39"/>
        </w:rPr>
        <w:t> </w:t>
      </w:r>
      <w:r>
        <w:rPr>
          <w:strike w:val="0"/>
        </w:rPr>
        <w:t>and</w:t>
      </w:r>
    </w:p>
    <w:p>
      <w:pPr>
        <w:pStyle w:val="BodyText"/>
        <w:tabs>
          <w:tab w:pos="1548" w:val="left" w:leader="none"/>
        </w:tabs>
        <w:ind w:left="1080" w:right="273" w:hanging="360"/>
      </w:pPr>
      <w:r>
        <w:rPr>
          <w:strike/>
          <w:color w:val="2E97D3"/>
        </w:rPr>
        <w:t>e.</w:t>
      </w:r>
      <w:r>
        <w:rPr>
          <w:strike w:val="0"/>
          <w:color w:val="2E97D3"/>
          <w:u w:val="single" w:color="2E97D3"/>
        </w:rPr>
        <w:t>23.</w:t>
        <w:tab/>
      </w:r>
      <w:r>
        <w:rPr>
          <w:strike w:val="0"/>
        </w:rPr>
        <w:t>A parcel map showing the relationship of the parcels requiring augmentation</w:t>
      </w:r>
      <w:r>
        <w:rPr>
          <w:strike w:val="0"/>
          <w:spacing w:val="-36"/>
        </w:rPr>
        <w:t> </w:t>
      </w:r>
      <w:r>
        <w:rPr>
          <w:strike w:val="0"/>
        </w:rPr>
        <w:t>to</w:t>
      </w:r>
      <w:r>
        <w:rPr>
          <w:strike w:val="0"/>
          <w:spacing w:val="-3"/>
        </w:rPr>
        <w:t> </w:t>
      </w:r>
      <w:r>
        <w:rPr>
          <w:strike w:val="0"/>
        </w:rPr>
        <w:t>the</w:t>
      </w:r>
      <w:r>
        <w:rPr>
          <w:strike w:val="0"/>
          <w:w w:val="99"/>
        </w:rPr>
        <w:t> </w:t>
      </w:r>
      <w:r>
        <w:rPr>
          <w:strike w:val="0"/>
        </w:rPr>
        <w:t>total funded</w:t>
      </w:r>
      <w:r>
        <w:rPr>
          <w:strike w:val="0"/>
          <w:spacing w:val="-24"/>
        </w:rPr>
        <w:t> </w:t>
      </w:r>
      <w:r>
        <w:rPr>
          <w:strike w:val="0"/>
        </w:rPr>
        <w:t>acquisitions.</w:t>
      </w:r>
    </w:p>
    <w:p>
      <w:pPr>
        <w:pStyle w:val="BodyText"/>
        <w:ind w:left="187"/>
        <w:rPr>
          <w:sz w:val="20"/>
        </w:rPr>
      </w:pPr>
      <w:r>
        <w:rPr>
          <w:sz w:val="20"/>
        </w:rPr>
        <w:pict>
          <v:group style="width:.75pt;height:14.55pt;mso-position-horizontal-relative:char;mso-position-vertical-relative:line" coordorigin="0,0" coordsize="15,291">
            <v:line style="position:absolute" from="8,8" to="8,284" stroked="true" strokeweight=".72pt" strokecolor="#000000">
              <v:stroke dashstyle="solid"/>
            </v:line>
          </v:group>
        </w:pict>
      </w:r>
      <w:r>
        <w:rPr>
          <w:sz w:val="20"/>
        </w:rPr>
      </w:r>
    </w:p>
    <w:p>
      <w:pPr>
        <w:pStyle w:val="BodyText"/>
        <w:ind w:left="1186"/>
      </w:pPr>
      <w:r>
        <w:rPr/>
        <w:pict>
          <v:line style="position:absolute;mso-position-horizontal-relative:page;mso-position-vertical-relative:paragraph;z-index:29872" from="26.76pt,14.01586pt" to="26.76pt,51.45586pt" stroked="true" strokeweight=".72pt" strokecolor="#000000">
            <v:stroke dashstyle="solid"/>
            <w10:wrap type="none"/>
          </v:line>
        </w:pict>
      </w:r>
      <w:r>
        <w:rPr/>
        <w:t>(Continued)</w:t>
      </w:r>
    </w:p>
    <w:p>
      <w:pPr>
        <w:spacing w:after="0"/>
        <w:sectPr>
          <w:pgSz w:w="12240" w:h="15840"/>
          <w:pgMar w:header="726" w:footer="785" w:top="1520" w:bottom="980" w:left="340" w:right="1320"/>
        </w:sectPr>
      </w:pPr>
    </w:p>
    <w:p>
      <w:pPr>
        <w:pStyle w:val="BodyText"/>
        <w:spacing w:before="4"/>
        <w:rPr>
          <w:rFonts w:ascii="Times New Roman"/>
          <w:sz w:val="17"/>
        </w:rPr>
      </w:pPr>
      <w:r>
        <w:rPr/>
        <w:pict>
          <v:line style="position:absolute;mso-position-horizontal-relative:page;mso-position-vertical-relative:page;z-index:29896" from="26.76pt,48.959999pt" to="26.76pt,102.479999pt" stroked="true" strokeweight=".72pt" strokecolor="#000000">
            <v:stroke dashstyle="solid"/>
            <w10:wrap type="none"/>
          </v:line>
        </w:pict>
      </w:r>
      <w:bookmarkStart w:name="AUGMENTATIONS, ADDITIONAL COSTS (WITHIN " w:id="110"/>
      <w:bookmarkEnd w:id="110"/>
      <w:r>
        <w:rPr/>
      </w:r>
      <w:r>
        <w:rPr>
          <w:rFonts w:ascii="Times New Roman"/>
          <w:sz w:val="17"/>
        </w:rPr>
      </w:r>
    </w:p>
    <w:p>
      <w:pPr>
        <w:spacing w:after="0"/>
        <w:rPr>
          <w:rFonts w:ascii="Times New Roman"/>
          <w:sz w:val="17"/>
        </w:rPr>
        <w:sectPr>
          <w:footerReference w:type="default" r:id="rId320"/>
          <w:pgSz w:w="12240" w:h="15840"/>
          <w:pgMar w:footer="858" w:header="726" w:top="1520" w:bottom="1040" w:left="420" w:right="1720"/>
        </w:sectPr>
      </w:pPr>
    </w:p>
    <w:p>
      <w:pPr>
        <w:tabs>
          <w:tab w:pos="9280" w:val="left" w:leader="none"/>
        </w:tabs>
        <w:spacing w:before="0"/>
        <w:ind w:left="746" w:right="0" w:firstLine="0"/>
        <w:jc w:val="left"/>
        <w:rPr>
          <w:b/>
          <w:sz w:val="24"/>
        </w:rPr>
      </w:pPr>
      <w:r>
        <w:rPr/>
        <w:pict>
          <v:line style="position:absolute;mso-position-horizontal-relative:page;mso-position-vertical-relative:paragraph;z-index:-442744" from="458.040009pt,8.436384pt" to="485.040009pt,8.436384pt" stroked="true" strokeweight=".599pt" strokecolor="#2e97d3">
            <v:stroke dashstyle="solid"/>
            <w10:wrap type="none"/>
          </v:line>
        </w:pict>
      </w:r>
      <w:r>
        <w:rPr/>
        <w:pict>
          <v:line style="position:absolute;mso-position-horizontal-relative:page;mso-position-vertical-relative:page;z-index:30016" from="26.76pt,48.959999pt" to="26.76pt,201.239999pt" stroked="true" strokeweight=".72pt" strokecolor="#000000">
            <v:stroke dashstyle="solid"/>
            <w10:wrap type="none"/>
          </v:line>
        </w:pict>
      </w:r>
      <w:r>
        <w:rPr>
          <w:b/>
          <w:sz w:val="24"/>
        </w:rPr>
        <w:t>AND RECOGNITION</w:t>
      </w:r>
      <w:r>
        <w:rPr>
          <w:b/>
          <w:spacing w:val="-7"/>
          <w:sz w:val="24"/>
        </w:rPr>
        <w:t> </w:t>
      </w:r>
      <w:r>
        <w:rPr>
          <w:b/>
          <w:sz w:val="24"/>
        </w:rPr>
        <w:t>OF</w:t>
      </w:r>
      <w:r>
        <w:rPr>
          <w:b/>
          <w:spacing w:val="-3"/>
          <w:sz w:val="24"/>
        </w:rPr>
        <w:t> </w:t>
      </w:r>
      <w:r>
        <w:rPr>
          <w:b/>
          <w:sz w:val="24"/>
        </w:rPr>
        <w:t>DEFICITS</w:t>
        <w:tab/>
        <w:t>6861</w:t>
      </w:r>
    </w:p>
    <w:p>
      <w:pPr>
        <w:pStyle w:val="BodyText"/>
        <w:ind w:left="746"/>
      </w:pPr>
      <w:r>
        <w:rPr/>
        <w:t>(Cont. </w:t>
      </w:r>
      <w:r>
        <w:rPr>
          <w:strike/>
          <w:color w:val="2E97D3"/>
        </w:rPr>
        <w:t>4</w:t>
      </w:r>
      <w:r>
        <w:rPr>
          <w:strike w:val="0"/>
          <w:color w:val="2E97D3"/>
          <w:u w:val="single" w:color="2E97D3"/>
        </w:rPr>
        <w:t>3</w:t>
      </w:r>
      <w:r>
        <w:rPr>
          <w:strike w:val="0"/>
        </w:rPr>
        <w:t>)</w:t>
      </w:r>
    </w:p>
    <w:p>
      <w:pPr>
        <w:pStyle w:val="BodyText"/>
        <w:ind w:left="746"/>
      </w:pPr>
      <w:r>
        <w:rPr/>
        <w:t>(Revised </w:t>
      </w:r>
      <w:r>
        <w:rPr>
          <w:strike/>
          <w:color w:val="2E97D3"/>
        </w:rPr>
        <w:t>5/1998</w:t>
      </w:r>
      <w:r>
        <w:rPr>
          <w:strike w:val="0"/>
          <w:color w:val="2E97D3"/>
          <w:u w:val="single" w:color="2E97D3"/>
        </w:rPr>
        <w:t>9/2017</w:t>
      </w:r>
      <w:r>
        <w:rPr>
          <w:strike w:val="0"/>
        </w:rPr>
        <w:t>)</w:t>
      </w:r>
    </w:p>
    <w:p>
      <w:pPr>
        <w:pStyle w:val="BodyText"/>
        <w:spacing w:before="9"/>
        <w:rPr>
          <w:sz w:val="16"/>
        </w:rPr>
      </w:pPr>
    </w:p>
    <w:p>
      <w:pPr>
        <w:pStyle w:val="BodyText"/>
        <w:spacing w:before="92"/>
        <w:ind w:left="746" w:right="528"/>
      </w:pPr>
      <w:r>
        <w:rPr/>
        <w:pict>
          <v:line style="position:absolute;mso-position-horizontal-relative:page;mso-position-vertical-relative:paragraph;z-index:-442720" from="365.880005pt,13.03583pt" to="369.241005pt,13.03583pt" stroked="true" strokeweight=".6pt" strokecolor="#2e97d3">
            <v:stroke dashstyle="solid"/>
            <w10:wrap type="none"/>
          </v:line>
        </w:pict>
      </w:r>
      <w:r>
        <w:rPr/>
        <w:pict>
          <v:line style="position:absolute;mso-position-horizontal-relative:page;mso-position-vertical-relative:paragraph;z-index:-442696" from="359.279999pt,54.31583pt" to="362.639999pt,54.31583pt" stroked="true" strokeweight=".6pt" strokecolor="#2e97d3">
            <v:stroke dashstyle="solid"/>
            <w10:wrap type="none"/>
          </v:line>
        </w:pict>
      </w:r>
      <w:r>
        <w:rPr/>
        <w:pict>
          <v:line style="position:absolute;mso-position-horizontal-relative:page;mso-position-vertical-relative:paragraph;z-index:-442672" from="459.359985pt,68.236328pt" to="462.719985pt,68.236328pt" stroked="true" strokeweight=".599pt" strokecolor="#2e97d3">
            <v:stroke dashstyle="solid"/>
            <w10:wrap type="none"/>
          </v:line>
        </w:pict>
      </w:r>
      <w:r>
        <w:rPr>
          <w:b/>
        </w:rPr>
        <w:t>Agenda packages for recognized anticipated deficits: </w:t>
      </w:r>
      <w:r>
        <w:rPr/>
        <w:t>At the end of the preliminary plans </w:t>
      </w:r>
      <w:r>
        <w:rPr>
          <w:strike/>
          <w:color w:val="2E97D3"/>
        </w:rPr>
        <w:t>or working drawing phase</w:t>
      </w:r>
      <w:r>
        <w:rPr>
          <w:strike w:val="0"/>
        </w:rPr>
        <w:t>, if the project is estimated to exceed its construction budget, the client department may request PWB to approve the preliminary plans </w:t>
      </w:r>
      <w:r>
        <w:rPr>
          <w:strike/>
          <w:color w:val="2E97D3"/>
        </w:rPr>
        <w:t>or working drawings </w:t>
      </w:r>
      <w:r>
        <w:rPr>
          <w:i/>
          <w:strike w:val="0"/>
        </w:rPr>
        <w:t>and </w:t>
      </w:r>
      <w:r>
        <w:rPr>
          <w:strike w:val="0"/>
        </w:rPr>
        <w:t>to recognize an anticipated deficit. PWB notifies the JLBC of the anticipated deficit if it exceeds 10 percent of the construction appropriation. In the absence of a construction appropriation, PWB generally interprets these limits and notification requirements based on the last legislatively recognized estimate for construction.</w:t>
      </w:r>
    </w:p>
    <w:p>
      <w:pPr>
        <w:pStyle w:val="ListParagraph"/>
        <w:numPr>
          <w:ilvl w:val="0"/>
          <w:numId w:val="119"/>
        </w:numPr>
        <w:tabs>
          <w:tab w:pos="1360" w:val="left" w:leader="none"/>
          <w:tab w:pos="1361" w:val="left" w:leader="none"/>
          <w:tab w:pos="2080" w:val="left" w:leader="none"/>
        </w:tabs>
        <w:spacing w:line="390" w:lineRule="atLeast" w:before="5" w:after="0"/>
        <w:ind w:left="1144" w:right="332" w:hanging="398"/>
        <w:jc w:val="left"/>
        <w:rPr>
          <w:sz w:val="24"/>
        </w:rPr>
      </w:pPr>
      <w:r>
        <w:rPr>
          <w:strike w:val="0"/>
          <w:sz w:val="24"/>
        </w:rPr>
        <w:t>When</w:t>
      </w:r>
      <w:r>
        <w:rPr>
          <w:strike w:val="0"/>
          <w:spacing w:val="-5"/>
          <w:sz w:val="24"/>
        </w:rPr>
        <w:t> </w:t>
      </w:r>
      <w:r>
        <w:rPr>
          <w:strike w:val="0"/>
          <w:sz w:val="24"/>
        </w:rPr>
        <w:t>requesting</w:t>
      </w:r>
      <w:r>
        <w:rPr>
          <w:strike w:val="0"/>
          <w:spacing w:val="-5"/>
          <w:sz w:val="24"/>
        </w:rPr>
        <w:t> </w:t>
      </w:r>
      <w:r>
        <w:rPr>
          <w:strike w:val="0"/>
          <w:sz w:val="24"/>
        </w:rPr>
        <w:t>a</w:t>
      </w:r>
      <w:r>
        <w:rPr>
          <w:strike w:val="0"/>
          <w:spacing w:val="-3"/>
          <w:sz w:val="24"/>
        </w:rPr>
        <w:t> </w:t>
      </w:r>
      <w:r>
        <w:rPr>
          <w:strike w:val="0"/>
          <w:sz w:val="24"/>
        </w:rPr>
        <w:t>recognized</w:t>
      </w:r>
      <w:r>
        <w:rPr>
          <w:strike w:val="0"/>
          <w:spacing w:val="-3"/>
          <w:sz w:val="24"/>
        </w:rPr>
        <w:t> </w:t>
      </w:r>
      <w:r>
        <w:rPr>
          <w:strike w:val="0"/>
          <w:sz w:val="24"/>
        </w:rPr>
        <w:t>deficit</w:t>
      </w:r>
      <w:r>
        <w:rPr>
          <w:strike w:val="0"/>
          <w:spacing w:val="-3"/>
          <w:sz w:val="24"/>
        </w:rPr>
        <w:t> </w:t>
      </w:r>
      <w:r>
        <w:rPr>
          <w:strike w:val="0"/>
          <w:sz w:val="24"/>
        </w:rPr>
        <w:t>as</w:t>
      </w:r>
      <w:r>
        <w:rPr>
          <w:strike w:val="0"/>
          <w:spacing w:val="-6"/>
          <w:sz w:val="24"/>
        </w:rPr>
        <w:t> </w:t>
      </w:r>
      <w:r>
        <w:rPr>
          <w:strike w:val="0"/>
          <w:sz w:val="24"/>
        </w:rPr>
        <w:t>part</w:t>
      </w:r>
      <w:r>
        <w:rPr>
          <w:strike w:val="0"/>
          <w:spacing w:val="-6"/>
          <w:sz w:val="24"/>
        </w:rPr>
        <w:t> </w:t>
      </w:r>
      <w:r>
        <w:rPr>
          <w:strike w:val="0"/>
          <w:sz w:val="24"/>
        </w:rPr>
        <w:t>of</w:t>
      </w:r>
      <w:r>
        <w:rPr>
          <w:strike w:val="0"/>
          <w:spacing w:val="-1"/>
          <w:sz w:val="24"/>
        </w:rPr>
        <w:t> </w:t>
      </w:r>
      <w:r>
        <w:rPr>
          <w:strike w:val="0"/>
          <w:sz w:val="24"/>
        </w:rPr>
        <w:t>preliminary</w:t>
      </w:r>
      <w:r>
        <w:rPr>
          <w:strike w:val="0"/>
          <w:spacing w:val="-6"/>
          <w:sz w:val="24"/>
        </w:rPr>
        <w:t> </w:t>
      </w:r>
      <w:r>
        <w:rPr>
          <w:strike w:val="0"/>
          <w:sz w:val="24"/>
        </w:rPr>
        <w:t>plans</w:t>
      </w:r>
      <w:r>
        <w:rPr>
          <w:strike w:val="0"/>
          <w:spacing w:val="-4"/>
          <w:sz w:val="24"/>
        </w:rPr>
        <w:t> </w:t>
      </w:r>
      <w:r>
        <w:rPr>
          <w:strike w:val="0"/>
          <w:sz w:val="24"/>
        </w:rPr>
        <w:t>approval,</w:t>
      </w:r>
      <w:r>
        <w:rPr>
          <w:strike w:val="0"/>
          <w:spacing w:val="-31"/>
          <w:sz w:val="24"/>
        </w:rPr>
        <w:t> </w:t>
      </w:r>
      <w:r>
        <w:rPr>
          <w:strike w:val="0"/>
          <w:sz w:val="24"/>
        </w:rPr>
        <w:t>provide: </w:t>
      </w:r>
      <w:r>
        <w:rPr>
          <w:strike/>
          <w:color w:val="2E97D3"/>
          <w:sz w:val="24"/>
        </w:rPr>
        <w:t>a.</w:t>
      </w:r>
      <w:r>
        <w:rPr>
          <w:strike w:val="0"/>
          <w:color w:val="2E97D3"/>
          <w:sz w:val="24"/>
          <w:u w:val="single" w:color="2E97D3"/>
        </w:rPr>
        <w:t>(1)</w:t>
        <w:tab/>
      </w:r>
      <w:r>
        <w:rPr>
          <w:strike w:val="0"/>
          <w:sz w:val="24"/>
        </w:rPr>
        <w:t>A </w:t>
      </w:r>
      <w:r>
        <w:rPr>
          <w:i/>
          <w:strike w:val="0"/>
          <w:sz w:val="24"/>
        </w:rPr>
        <w:t>sub-item </w:t>
      </w:r>
      <w:r>
        <w:rPr>
          <w:strike w:val="0"/>
          <w:sz w:val="24"/>
        </w:rPr>
        <w:t>recognizing the anticipated deficit including a</w:t>
      </w:r>
      <w:r>
        <w:rPr>
          <w:strike w:val="0"/>
          <w:spacing w:val="-32"/>
          <w:sz w:val="24"/>
        </w:rPr>
        <w:t> </w:t>
      </w:r>
      <w:r>
        <w:rPr>
          <w:strike w:val="0"/>
          <w:sz w:val="24"/>
        </w:rPr>
        <w:t>complete</w:t>
      </w:r>
    </w:p>
    <w:p>
      <w:pPr>
        <w:pStyle w:val="BodyText"/>
        <w:spacing w:line="242" w:lineRule="auto" w:before="4"/>
        <w:ind w:left="1432" w:right="736"/>
      </w:pPr>
      <w:r>
        <w:rPr/>
        <w:t>narrative description justifying the need for the cost increase in the briefing text asfollows:</w:t>
      </w:r>
    </w:p>
    <w:p>
      <w:pPr>
        <w:pStyle w:val="ListParagraph"/>
        <w:numPr>
          <w:ilvl w:val="1"/>
          <w:numId w:val="119"/>
        </w:numPr>
        <w:tabs>
          <w:tab w:pos="1479" w:val="left" w:leader="none"/>
          <w:tab w:pos="2188" w:val="left" w:leader="none"/>
        </w:tabs>
        <w:spacing w:line="276" w:lineRule="exact" w:before="0" w:after="0"/>
        <w:ind w:left="1432" w:right="0" w:hanging="288"/>
        <w:jc w:val="left"/>
        <w:rPr>
          <w:sz w:val="24"/>
        </w:rPr>
      </w:pPr>
      <w:r>
        <w:rPr>
          <w:strike w:val="0"/>
          <w:color w:val="2E97D3"/>
          <w:sz w:val="24"/>
          <w:u w:val="single" w:color="2E97D3"/>
        </w:rPr>
        <w:t>(2)</w:t>
        <w:tab/>
      </w:r>
      <w:r>
        <w:rPr>
          <w:strike w:val="0"/>
          <w:sz w:val="24"/>
        </w:rPr>
        <w:t>A full description of the unanticipated items and estimated</w:t>
      </w:r>
      <w:r>
        <w:rPr>
          <w:strike w:val="0"/>
          <w:spacing w:val="-49"/>
          <w:sz w:val="24"/>
        </w:rPr>
        <w:t> </w:t>
      </w:r>
      <w:r>
        <w:rPr>
          <w:strike w:val="0"/>
          <w:sz w:val="24"/>
        </w:rPr>
        <w:t>cost;</w:t>
      </w:r>
    </w:p>
    <w:p>
      <w:pPr>
        <w:pStyle w:val="ListParagraph"/>
        <w:numPr>
          <w:ilvl w:val="1"/>
          <w:numId w:val="119"/>
        </w:numPr>
        <w:tabs>
          <w:tab w:pos="1479" w:val="left" w:leader="none"/>
          <w:tab w:pos="2188" w:val="left" w:leader="none"/>
        </w:tabs>
        <w:spacing w:line="276" w:lineRule="auto" w:before="43" w:after="0"/>
        <w:ind w:left="1432" w:right="165" w:hanging="288"/>
        <w:jc w:val="left"/>
        <w:rPr>
          <w:sz w:val="24"/>
        </w:rPr>
      </w:pPr>
      <w:r>
        <w:rPr>
          <w:strike w:val="0"/>
          <w:color w:val="2E97D3"/>
          <w:sz w:val="24"/>
          <w:u w:val="single" w:color="2E97D3"/>
        </w:rPr>
        <w:t>(3)</w:t>
        <w:tab/>
      </w:r>
      <w:r>
        <w:rPr>
          <w:strike w:val="0"/>
          <w:sz w:val="24"/>
        </w:rPr>
        <w:t>The need for the items, the reasons why those items were not included</w:t>
      </w:r>
      <w:r>
        <w:rPr>
          <w:strike w:val="0"/>
          <w:spacing w:val="-28"/>
          <w:sz w:val="24"/>
        </w:rPr>
        <w:t> </w:t>
      </w:r>
      <w:r>
        <w:rPr>
          <w:strike w:val="0"/>
          <w:sz w:val="24"/>
        </w:rPr>
        <w:t>in</w:t>
      </w:r>
      <w:r>
        <w:rPr>
          <w:strike w:val="0"/>
          <w:spacing w:val="-3"/>
          <w:sz w:val="24"/>
        </w:rPr>
        <w:t> </w:t>
      </w:r>
      <w:r>
        <w:rPr>
          <w:strike w:val="0"/>
          <w:sz w:val="24"/>
        </w:rPr>
        <w:t>the</w:t>
      </w:r>
      <w:r>
        <w:rPr>
          <w:strike w:val="0"/>
          <w:w w:val="99"/>
          <w:sz w:val="24"/>
        </w:rPr>
        <w:t> </w:t>
      </w:r>
      <w:r>
        <w:rPr>
          <w:strike w:val="0"/>
          <w:sz w:val="24"/>
        </w:rPr>
        <w:t>original</w:t>
      </w:r>
      <w:r>
        <w:rPr>
          <w:strike w:val="0"/>
          <w:spacing w:val="-6"/>
          <w:sz w:val="24"/>
        </w:rPr>
        <w:t> </w:t>
      </w:r>
      <w:r>
        <w:rPr>
          <w:strike w:val="0"/>
          <w:sz w:val="24"/>
        </w:rPr>
        <w:t>proposal,</w:t>
      </w:r>
      <w:r>
        <w:rPr>
          <w:strike w:val="0"/>
          <w:spacing w:val="-8"/>
          <w:sz w:val="24"/>
        </w:rPr>
        <w:t> </w:t>
      </w:r>
      <w:r>
        <w:rPr>
          <w:strike w:val="0"/>
          <w:sz w:val="24"/>
        </w:rPr>
        <w:t>alternative</w:t>
      </w:r>
      <w:r>
        <w:rPr>
          <w:strike w:val="0"/>
          <w:spacing w:val="-5"/>
          <w:sz w:val="24"/>
        </w:rPr>
        <w:t> </w:t>
      </w:r>
      <w:r>
        <w:rPr>
          <w:strike w:val="0"/>
          <w:sz w:val="24"/>
        </w:rPr>
        <w:t>solutions,</w:t>
      </w:r>
      <w:r>
        <w:rPr>
          <w:strike w:val="0"/>
          <w:spacing w:val="-5"/>
          <w:sz w:val="24"/>
        </w:rPr>
        <w:t> </w:t>
      </w:r>
      <w:r>
        <w:rPr>
          <w:strike w:val="0"/>
          <w:sz w:val="24"/>
        </w:rPr>
        <w:t>and</w:t>
      </w:r>
      <w:r>
        <w:rPr>
          <w:strike w:val="0"/>
          <w:spacing w:val="-5"/>
          <w:sz w:val="24"/>
        </w:rPr>
        <w:t> </w:t>
      </w:r>
      <w:r>
        <w:rPr>
          <w:strike w:val="0"/>
          <w:sz w:val="24"/>
        </w:rPr>
        <w:t>consequences</w:t>
      </w:r>
      <w:r>
        <w:rPr>
          <w:strike w:val="0"/>
          <w:spacing w:val="-6"/>
          <w:sz w:val="24"/>
        </w:rPr>
        <w:t> </w:t>
      </w:r>
      <w:r>
        <w:rPr>
          <w:strike w:val="0"/>
          <w:sz w:val="24"/>
        </w:rPr>
        <w:t>if</w:t>
      </w:r>
      <w:r>
        <w:rPr>
          <w:strike w:val="0"/>
          <w:spacing w:val="-5"/>
          <w:sz w:val="24"/>
        </w:rPr>
        <w:t> </w:t>
      </w:r>
      <w:r>
        <w:rPr>
          <w:strike w:val="0"/>
          <w:sz w:val="24"/>
        </w:rPr>
        <w:t>not</w:t>
      </w:r>
      <w:r>
        <w:rPr>
          <w:strike w:val="0"/>
          <w:spacing w:val="-30"/>
          <w:sz w:val="24"/>
        </w:rPr>
        <w:t> </w:t>
      </w:r>
      <w:r>
        <w:rPr>
          <w:strike w:val="0"/>
          <w:sz w:val="24"/>
        </w:rPr>
        <w:t>approved;</w:t>
      </w:r>
    </w:p>
    <w:p>
      <w:pPr>
        <w:pStyle w:val="ListParagraph"/>
        <w:numPr>
          <w:ilvl w:val="1"/>
          <w:numId w:val="119"/>
        </w:numPr>
        <w:tabs>
          <w:tab w:pos="1479" w:val="left" w:leader="none"/>
          <w:tab w:pos="2188" w:val="left" w:leader="none"/>
        </w:tabs>
        <w:spacing w:line="276" w:lineRule="auto" w:before="2" w:after="0"/>
        <w:ind w:left="1432" w:right="446" w:hanging="288"/>
        <w:jc w:val="left"/>
        <w:rPr>
          <w:sz w:val="24"/>
        </w:rPr>
      </w:pPr>
      <w:r>
        <w:rPr>
          <w:strike w:val="0"/>
          <w:color w:val="2E97D3"/>
          <w:sz w:val="24"/>
          <w:u w:val="single" w:color="2E97D3"/>
        </w:rPr>
        <w:t>(4)</w:t>
        <w:tab/>
      </w:r>
      <w:r>
        <w:rPr>
          <w:strike w:val="0"/>
          <w:sz w:val="24"/>
        </w:rPr>
        <w:t>Discussion of alternatives such as value engineering,</w:t>
      </w:r>
      <w:r>
        <w:rPr>
          <w:strike w:val="0"/>
          <w:spacing w:val="-34"/>
          <w:sz w:val="24"/>
        </w:rPr>
        <w:t> </w:t>
      </w:r>
      <w:r>
        <w:rPr>
          <w:strike w:val="0"/>
          <w:sz w:val="24"/>
        </w:rPr>
        <w:t>deductive</w:t>
      </w:r>
      <w:r>
        <w:rPr>
          <w:strike w:val="0"/>
          <w:spacing w:val="-27"/>
          <w:sz w:val="24"/>
        </w:rPr>
        <w:t> </w:t>
      </w:r>
      <w:r>
        <w:rPr>
          <w:strike w:val="0"/>
          <w:sz w:val="24"/>
        </w:rPr>
        <w:t>alternates,</w:t>
      </w:r>
      <w:r>
        <w:rPr>
          <w:strike w:val="0"/>
          <w:w w:val="100"/>
          <w:sz w:val="24"/>
        </w:rPr>
        <w:t> </w:t>
      </w:r>
      <w:r>
        <w:rPr>
          <w:strike w:val="0"/>
          <w:sz w:val="24"/>
        </w:rPr>
        <w:t>or reworking the preliminary plans or working drawings;</w:t>
      </w:r>
      <w:r>
        <w:rPr>
          <w:strike w:val="0"/>
          <w:spacing w:val="-49"/>
          <w:sz w:val="24"/>
        </w:rPr>
        <w:t> </w:t>
      </w:r>
      <w:r>
        <w:rPr>
          <w:strike w:val="0"/>
          <w:sz w:val="24"/>
        </w:rPr>
        <w:t>and</w:t>
      </w:r>
    </w:p>
    <w:p>
      <w:pPr>
        <w:pStyle w:val="ListParagraph"/>
        <w:numPr>
          <w:ilvl w:val="1"/>
          <w:numId w:val="119"/>
        </w:numPr>
        <w:tabs>
          <w:tab w:pos="1479" w:val="left" w:leader="none"/>
          <w:tab w:pos="2188" w:val="left" w:leader="none"/>
        </w:tabs>
        <w:spacing w:line="276" w:lineRule="auto" w:before="0" w:after="0"/>
        <w:ind w:left="1432" w:right="1314" w:hanging="288"/>
        <w:jc w:val="left"/>
        <w:rPr>
          <w:sz w:val="24"/>
        </w:rPr>
      </w:pPr>
      <w:r>
        <w:rPr/>
        <w:pict>
          <v:line style="position:absolute;mso-position-horizontal-relative:page;mso-position-vertical-relative:paragraph;z-index:30040" from="26.76pt,47.735863pt" to="26.76pt,221.735863pt" stroked="true" strokeweight=".72pt" strokecolor="#000000">
            <v:stroke dashstyle="solid"/>
            <w10:wrap type="none"/>
          </v:line>
        </w:pict>
      </w:r>
      <w:r>
        <w:rPr>
          <w:strike w:val="0"/>
          <w:color w:val="2E97D3"/>
          <w:sz w:val="24"/>
          <w:u w:val="single" w:color="2E97D3"/>
        </w:rPr>
        <w:t>(5)</w:t>
        <w:tab/>
      </w:r>
      <w:r>
        <w:rPr>
          <w:strike w:val="0"/>
          <w:sz w:val="24"/>
        </w:rPr>
        <w:t>Whether the additional items are within the scope approved</w:t>
      </w:r>
      <w:r>
        <w:rPr>
          <w:strike w:val="0"/>
          <w:spacing w:val="-26"/>
          <w:sz w:val="24"/>
        </w:rPr>
        <w:t> </w:t>
      </w:r>
      <w:r>
        <w:rPr>
          <w:strike w:val="0"/>
          <w:sz w:val="24"/>
        </w:rPr>
        <w:t>by</w:t>
      </w:r>
      <w:r>
        <w:rPr>
          <w:strike w:val="0"/>
          <w:spacing w:val="-5"/>
          <w:sz w:val="24"/>
        </w:rPr>
        <w:t> </w:t>
      </w:r>
      <w:r>
        <w:rPr>
          <w:strike w:val="0"/>
          <w:sz w:val="24"/>
        </w:rPr>
        <w:t>the</w:t>
      </w:r>
      <w:r>
        <w:rPr>
          <w:strike w:val="0"/>
          <w:w w:val="99"/>
          <w:sz w:val="24"/>
        </w:rPr>
        <w:t> </w:t>
      </w:r>
      <w:r>
        <w:rPr>
          <w:strike w:val="0"/>
          <w:sz w:val="24"/>
        </w:rPr>
        <w:t>Legislature (if not, a separate scope change item is required with the information specified in Section</w:t>
      </w:r>
      <w:r>
        <w:rPr>
          <w:strike w:val="0"/>
          <w:spacing w:val="-31"/>
          <w:sz w:val="24"/>
        </w:rPr>
        <w:t> </w:t>
      </w:r>
      <w:r>
        <w:rPr>
          <w:strike w:val="0"/>
          <w:sz w:val="24"/>
        </w:rPr>
        <w:t>6863).</w:t>
      </w:r>
    </w:p>
    <w:p>
      <w:pPr>
        <w:pStyle w:val="BodyText"/>
        <w:tabs>
          <w:tab w:pos="2080" w:val="left" w:leader="none"/>
        </w:tabs>
        <w:ind w:left="640" w:right="698" w:firstLine="504"/>
        <w:rPr>
          <w:i/>
        </w:rPr>
      </w:pPr>
      <w:r>
        <w:rPr>
          <w:strike/>
          <w:color w:val="2E97D3"/>
        </w:rPr>
        <w:t>b.</w:t>
      </w:r>
      <w:r>
        <w:rPr>
          <w:strike w:val="0"/>
          <w:color w:val="2E97D3"/>
          <w:u w:val="single" w:color="2E97D3"/>
        </w:rPr>
        <w:t>(6)</w:t>
        <w:tab/>
      </w:r>
      <w:r>
        <w:rPr>
          <w:strike w:val="0"/>
        </w:rPr>
        <w:t>A draft legislative notification if the anticipated deficit exceeds</w:t>
      </w:r>
      <w:r>
        <w:rPr>
          <w:strike w:val="0"/>
          <w:spacing w:val="-33"/>
        </w:rPr>
        <w:t> </w:t>
      </w:r>
      <w:r>
        <w:rPr>
          <w:strike w:val="0"/>
        </w:rPr>
        <w:t>10</w:t>
      </w:r>
      <w:r>
        <w:rPr>
          <w:strike w:val="0"/>
          <w:spacing w:val="-26"/>
        </w:rPr>
        <w:t> </w:t>
      </w:r>
      <w:r>
        <w:rPr>
          <w:strike w:val="0"/>
        </w:rPr>
        <w:t>percent.</w:t>
      </w:r>
      <w:r>
        <w:rPr>
          <w:strike w:val="0"/>
          <w:w w:val="100"/>
        </w:rPr>
        <w:t> </w:t>
      </w:r>
      <w:r>
        <w:rPr>
          <w:strike/>
          <w:color w:val="2E97D3"/>
        </w:rPr>
        <w:t>2.  When requesting a recognized deficit at the working drawings stage, prepare a</w:t>
      </w:r>
      <w:r>
        <w:rPr>
          <w:strike/>
          <w:color w:val="2E97D3"/>
          <w:spacing w:val="-14"/>
        </w:rPr>
        <w:t> </w:t>
      </w:r>
      <w:r>
        <w:rPr>
          <w:i/>
          <w:strike/>
          <w:color w:val="2E97D3"/>
        </w:rPr>
        <w:t>full</w:t>
      </w:r>
    </w:p>
    <w:p>
      <w:pPr>
        <w:pStyle w:val="BodyText"/>
        <w:spacing w:line="242" w:lineRule="auto" w:before="4"/>
        <w:ind w:left="1000" w:right="528"/>
      </w:pPr>
      <w:r>
        <w:rPr>
          <w:i/>
          <w:strike/>
          <w:color w:val="2E97D3"/>
        </w:rPr>
        <w:t>agenda item </w:t>
      </w:r>
      <w:r>
        <w:rPr>
          <w:strike/>
          <w:color w:val="2E97D3"/>
        </w:rPr>
        <w:t>in accordance with Section 6845, plus all information noted immediately preceding.</w:t>
      </w:r>
    </w:p>
    <w:p>
      <w:pPr>
        <w:pStyle w:val="BodyText"/>
        <w:spacing w:before="117"/>
        <w:ind w:left="1000" w:right="87"/>
      </w:pPr>
      <w:r>
        <w:rPr>
          <w:strike/>
          <w:color w:val="2E97D3"/>
        </w:rPr>
        <w:t>When the bid is awarded, if the augmentation actually needed is equal to or less than the anticipated deficit as recognized by PWB, PWB does not notify the JLBC again.</w:t>
      </w:r>
    </w:p>
    <w:p>
      <w:pPr>
        <w:pStyle w:val="BodyText"/>
        <w:ind w:left="1000" w:right="115"/>
      </w:pPr>
      <w:r>
        <w:rPr>
          <w:strike/>
          <w:color w:val="2E97D3"/>
        </w:rPr>
        <w:t>However, the client department must submit the formal augmentation request to PWB as outlined in the preceding text.</w:t>
      </w:r>
    </w:p>
    <w:p>
      <w:pPr>
        <w:pStyle w:val="BodyText"/>
        <w:spacing w:before="120"/>
        <w:ind w:left="640"/>
      </w:pPr>
      <w:r>
        <w:rPr>
          <w:strike/>
          <w:color w:val="2E97D3"/>
        </w:rPr>
        <w:t>(Continued)</w:t>
      </w:r>
    </w:p>
    <w:p>
      <w:pPr>
        <w:spacing w:after="0"/>
        <w:sectPr>
          <w:pgSz w:w="12240" w:h="15840"/>
          <w:pgMar w:header="726" w:footer="858" w:top="1520" w:bottom="1040" w:left="420" w:right="1280"/>
        </w:sectPr>
      </w:pPr>
    </w:p>
    <w:p>
      <w:pPr>
        <w:tabs>
          <w:tab w:pos="8738" w:val="left" w:leader="none"/>
        </w:tabs>
        <w:spacing w:before="0"/>
        <w:ind w:left="640" w:right="0" w:firstLine="0"/>
        <w:jc w:val="left"/>
        <w:rPr>
          <w:sz w:val="24"/>
        </w:rPr>
      </w:pPr>
      <w:r>
        <w:rPr/>
        <w:pict>
          <v:line style="position:absolute;mso-position-horizontal-relative:page;mso-position-vertical-relative:paragraph;z-index:-442600" from="53.040001pt,8.436384pt" to="534.600001pt,8.436384pt" stroked="true" strokeweight=".599pt" strokecolor="#2e97d3">
            <v:stroke dashstyle="solid"/>
            <w10:wrap type="none"/>
          </v:line>
        </w:pict>
      </w:r>
      <w:r>
        <w:rPr/>
        <w:pict>
          <v:line style="position:absolute;mso-position-horizontal-relative:page;mso-position-vertical-relative:page;z-index:30208" from="26.76pt,48.959999pt" to="26.76pt,135.479999pt" stroked="true" strokeweight=".72pt" strokecolor="#000000">
            <v:stroke dashstyle="solid"/>
            <w10:wrap type="none"/>
          </v:line>
        </w:pict>
      </w:r>
      <w:bookmarkStart w:name="AND RECOGNITION OF DEFICITS  6861 (Cont." w:id="111"/>
      <w:bookmarkEnd w:id="111"/>
      <w:r>
        <w:rPr/>
      </w:r>
      <w:r>
        <w:rPr>
          <w:b/>
          <w:color w:val="2E97D3"/>
          <w:sz w:val="24"/>
        </w:rPr>
        <w:t>AND RECOGNITION</w:t>
      </w:r>
      <w:r>
        <w:rPr>
          <w:b/>
          <w:color w:val="2E97D3"/>
          <w:spacing w:val="-4"/>
          <w:sz w:val="24"/>
        </w:rPr>
        <w:t> </w:t>
      </w:r>
      <w:r>
        <w:rPr>
          <w:b/>
          <w:color w:val="2E97D3"/>
          <w:sz w:val="24"/>
        </w:rPr>
        <w:t>OF</w:t>
      </w:r>
      <w:r>
        <w:rPr>
          <w:b/>
          <w:color w:val="2E97D3"/>
          <w:spacing w:val="-3"/>
          <w:sz w:val="24"/>
        </w:rPr>
        <w:t> </w:t>
      </w:r>
      <w:r>
        <w:rPr>
          <w:b/>
          <w:color w:val="2E97D3"/>
          <w:sz w:val="24"/>
        </w:rPr>
        <w:t>DEFICITS</w:t>
        <w:tab/>
        <w:t>6861 </w:t>
      </w:r>
      <w:r>
        <w:rPr>
          <w:color w:val="2E97D3"/>
          <w:sz w:val="24"/>
        </w:rPr>
        <w:t>(Cont.</w:t>
      </w:r>
      <w:r>
        <w:rPr>
          <w:color w:val="2E97D3"/>
          <w:spacing w:val="-6"/>
          <w:sz w:val="24"/>
        </w:rPr>
        <w:t> </w:t>
      </w:r>
      <w:r>
        <w:rPr>
          <w:color w:val="2E97D3"/>
          <w:sz w:val="24"/>
        </w:rPr>
        <w:t>5)</w:t>
      </w:r>
    </w:p>
    <w:p>
      <w:pPr>
        <w:pStyle w:val="BodyText"/>
        <w:ind w:left="640"/>
      </w:pPr>
      <w:r>
        <w:rPr>
          <w:strike/>
          <w:color w:val="2E97D3"/>
        </w:rPr>
        <w:t>(Revised 5/1998)</w:t>
      </w:r>
    </w:p>
    <w:p>
      <w:pPr>
        <w:pStyle w:val="BodyText"/>
        <w:spacing w:before="5"/>
        <w:rPr>
          <w:sz w:val="22"/>
        </w:rPr>
      </w:pPr>
    </w:p>
    <w:p>
      <w:pPr>
        <w:pStyle w:val="BodyText"/>
        <w:spacing w:before="92"/>
        <w:ind w:left="746" w:right="155"/>
      </w:pPr>
      <w:r>
        <w:rPr/>
        <w:pict>
          <v:line style="position:absolute;mso-position-horizontal-relative:page;mso-position-vertical-relative:paragraph;z-index:-442576" from="389.160004pt,13.035889pt" to="392.520004pt,13.035889pt" stroked="true" strokeweight=".6pt" strokecolor="#2e97d3">
            <v:stroke dashstyle="solid"/>
            <w10:wrap type="none"/>
          </v:line>
        </w:pict>
      </w:r>
      <w:r>
        <w:rPr/>
        <w:pict>
          <v:line style="position:absolute;mso-position-horizontal-relative:page;mso-position-vertical-relative:paragraph;z-index:-442552" from="123.839996pt,40.636387pt" to="127.079996pt,40.636387pt" stroked="true" strokeweight=".599pt" strokecolor="#2e97d3">
            <v:stroke dashstyle="solid"/>
            <w10:wrap type="none"/>
          </v:line>
        </w:pict>
      </w:r>
      <w:r>
        <w:rPr/>
        <w:pict>
          <v:line style="position:absolute;mso-position-horizontal-relative:page;mso-position-vertical-relative:paragraph;z-index:-442528" from="374.519989pt,68.235886pt" to="377.880989pt,68.235886pt" stroked="true" strokeweight=".6pt" strokecolor="#2e97d3">
            <v:stroke dashstyle="solid"/>
            <w10:wrap type="none"/>
          </v:line>
        </w:pict>
      </w:r>
      <w:r>
        <w:rPr/>
        <w:pict>
          <v:line style="position:absolute;mso-position-horizontal-relative:page;mso-position-vertical-relative:paragraph;z-index:-442504" from="333.959991pt,82.036392pt" to="337.319991pt,82.036392pt" stroked="true" strokeweight=".599pt" strokecolor="#2e97d3">
            <v:stroke dashstyle="solid"/>
            <w10:wrap type="none"/>
          </v:line>
        </w:pict>
      </w:r>
      <w:r>
        <w:rPr/>
        <w:pict>
          <v:line style="position:absolute;mso-position-horizontal-relative:page;mso-position-vertical-relative:paragraph;z-index:30232" from="26.76pt,32.415890pt" to="26.76pt,46.21589pt" stroked="true" strokeweight=".72pt" strokecolor="#000000">
            <v:stroke dashstyle="solid"/>
            <w10:wrap type="none"/>
          </v:line>
        </w:pict>
      </w:r>
      <w:r>
        <w:rPr/>
        <w:pict>
          <v:line style="position:absolute;mso-position-horizontal-relative:page;mso-position-vertical-relative:paragraph;z-index:30256" from="26.76pt,60.015888pt" to="26.76pt,87.615888pt" stroked="true" strokeweight=".72pt" strokecolor="#000000">
            <v:stroke dashstyle="solid"/>
            <w10:wrap type="none"/>
          </v:line>
        </w:pict>
      </w:r>
      <w:r>
        <w:rPr>
          <w:b/>
        </w:rPr>
        <w:t>Agenda packages for cost increases within appropriation: </w:t>
      </w:r>
      <w:r>
        <w:rPr/>
        <w:t>Occasionally a department may need PWB to approve additional project costs for items not anticipated in the bidding documents. If there are bid savings to cover the costs (i.e., revised project cost remains within the original appropriation), and the additional items are within approved scope, PWB may approve the increase without notifying the Legislature. (Otherwise, such a request must be for an augmentation and/or scope change). For cost increases within appropriation, provide the following information:</w:t>
      </w:r>
    </w:p>
    <w:p>
      <w:pPr>
        <w:pStyle w:val="BodyText"/>
        <w:spacing w:before="100"/>
        <w:ind w:left="1101" w:right="933" w:hanging="360"/>
      </w:pPr>
      <w:r>
        <w:rPr/>
        <w:pict>
          <v:line style="position:absolute;mso-position-horizontal-relative:page;mso-position-vertical-relative:paragraph;z-index:30280" from="26.76pt,19.015875pt" to="26.76pt,51.535875pt" stroked="true" strokeweight=".72pt" strokecolor="#000000">
            <v:stroke dashstyle="solid"/>
            <w10:wrap type="none"/>
          </v:line>
        </w:pict>
      </w:r>
      <w:r>
        <w:rPr>
          <w:strike/>
          <w:color w:val="2E97D3"/>
        </w:rPr>
        <w:t>1.</w:t>
      </w:r>
      <w:r>
        <w:rPr>
          <w:strike w:val="0"/>
          <w:color w:val="2E97D3"/>
          <w:u w:val="single" w:color="2E97D3"/>
        </w:rPr>
        <w:t>(1) </w:t>
      </w:r>
      <w:r>
        <w:rPr>
          <w:strike w:val="0"/>
        </w:rPr>
        <w:t>All information requested in Section 6845, including the standard fiscal reporting requirements and the agenda package;</w:t>
      </w:r>
    </w:p>
    <w:p>
      <w:pPr>
        <w:pStyle w:val="BodyText"/>
        <w:spacing w:line="275" w:lineRule="exact" w:before="100"/>
        <w:ind w:left="741"/>
      </w:pPr>
      <w:r>
        <w:rPr>
          <w:strike/>
          <w:color w:val="2E97D3"/>
        </w:rPr>
        <w:t>2.</w:t>
      </w:r>
      <w:r>
        <w:rPr>
          <w:strike w:val="0"/>
          <w:color w:val="2E97D3"/>
          <w:u w:val="single" w:color="2E97D3"/>
        </w:rPr>
        <w:t>(2)  </w:t>
      </w:r>
      <w:r>
        <w:rPr>
          <w:strike w:val="0"/>
        </w:rPr>
        <w:t>A complete narrative description justifying the need for such cost increases.</w:t>
      </w:r>
    </w:p>
    <w:p>
      <w:pPr>
        <w:pStyle w:val="BodyText"/>
        <w:spacing w:line="275" w:lineRule="exact"/>
        <w:ind w:left="1101"/>
      </w:pPr>
      <w:r>
        <w:rPr/>
        <w:t>At a minimum, include the following:</w:t>
      </w:r>
    </w:p>
    <w:p>
      <w:pPr>
        <w:pStyle w:val="BodyText"/>
        <w:tabs>
          <w:tab w:pos="2080" w:val="left" w:leader="none"/>
        </w:tabs>
        <w:spacing w:before="101"/>
        <w:ind w:left="1101"/>
      </w:pPr>
      <w:r>
        <w:rPr>
          <w:strike/>
          <w:color w:val="2E97D3"/>
        </w:rPr>
        <w:t>a.</w:t>
      </w:r>
      <w:r>
        <w:rPr>
          <w:strike w:val="0"/>
          <w:color w:val="2E97D3"/>
          <w:u w:val="single" w:color="2E97D3"/>
        </w:rPr>
        <w:t>(3)</w:t>
        <w:tab/>
      </w:r>
      <w:r>
        <w:rPr>
          <w:strike w:val="0"/>
        </w:rPr>
        <w:t>Full description of the unanticipated</w:t>
      </w:r>
      <w:r>
        <w:rPr>
          <w:strike w:val="0"/>
          <w:spacing w:val="-36"/>
        </w:rPr>
        <w:t> </w:t>
      </w:r>
      <w:r>
        <w:rPr>
          <w:strike w:val="0"/>
        </w:rPr>
        <w:t>items;</w:t>
      </w:r>
    </w:p>
    <w:p>
      <w:pPr>
        <w:pStyle w:val="BodyText"/>
        <w:tabs>
          <w:tab w:pos="2080" w:val="left" w:leader="none"/>
        </w:tabs>
        <w:ind w:left="1101" w:right="933"/>
      </w:pPr>
      <w:r>
        <w:rPr>
          <w:strike/>
          <w:color w:val="2E97D3"/>
        </w:rPr>
        <w:t>b.</w:t>
      </w:r>
      <w:r>
        <w:rPr>
          <w:strike w:val="0"/>
          <w:color w:val="2E97D3"/>
          <w:u w:val="single" w:color="2E97D3"/>
        </w:rPr>
        <w:t>(4)</w:t>
        <w:tab/>
      </w:r>
      <w:r>
        <w:rPr>
          <w:strike w:val="0"/>
        </w:rPr>
        <w:t>Reasons why they were not included in the original</w:t>
      </w:r>
      <w:r>
        <w:rPr>
          <w:strike w:val="0"/>
          <w:spacing w:val="-33"/>
        </w:rPr>
        <w:t> </w:t>
      </w:r>
      <w:r>
        <w:rPr>
          <w:strike w:val="0"/>
        </w:rPr>
        <w:t>bidding</w:t>
      </w:r>
      <w:r>
        <w:rPr>
          <w:strike w:val="0"/>
          <w:spacing w:val="-32"/>
        </w:rPr>
        <w:t> </w:t>
      </w:r>
      <w:r>
        <w:rPr>
          <w:strike w:val="0"/>
        </w:rPr>
        <w:t>documents;</w:t>
      </w:r>
      <w:r>
        <w:rPr>
          <w:strike w:val="0"/>
          <w:w w:val="100"/>
        </w:rPr>
        <w:t> </w:t>
      </w:r>
      <w:r>
        <w:rPr>
          <w:strike/>
          <w:color w:val="2E97D3"/>
        </w:rPr>
        <w:t>c.</w:t>
      </w:r>
      <w:r>
        <w:rPr>
          <w:strike w:val="0"/>
          <w:color w:val="2E97D3"/>
          <w:u w:val="single" w:color="2E97D3"/>
        </w:rPr>
        <w:t>(5)</w:t>
        <w:tab/>
      </w:r>
      <w:r>
        <w:rPr>
          <w:strike w:val="0"/>
        </w:rPr>
        <w:t>Reasons why these items cannot be funded within the</w:t>
      </w:r>
      <w:r>
        <w:rPr>
          <w:strike w:val="0"/>
          <w:spacing w:val="-29"/>
        </w:rPr>
        <w:t> </w:t>
      </w:r>
      <w:r>
        <w:rPr>
          <w:strike w:val="0"/>
        </w:rPr>
        <w:t>construction</w:t>
      </w:r>
    </w:p>
    <w:p>
      <w:pPr>
        <w:pStyle w:val="BodyText"/>
        <w:ind w:left="1461"/>
      </w:pPr>
      <w:r>
        <w:rPr/>
        <w:t>contingency;</w:t>
      </w:r>
    </w:p>
    <w:p>
      <w:pPr>
        <w:pStyle w:val="BodyText"/>
        <w:tabs>
          <w:tab w:pos="2080" w:val="left" w:leader="none"/>
        </w:tabs>
        <w:ind w:left="1101"/>
      </w:pPr>
      <w:r>
        <w:rPr/>
        <w:pict>
          <v:line style="position:absolute;mso-position-horizontal-relative:page;mso-position-vertical-relative:paragraph;z-index:30304" from="26.76pt,14.015858pt" to="26.76pt,27.815858pt" stroked="true" strokeweight=".72pt" strokecolor="#000000">
            <v:stroke dashstyle="solid"/>
            <w10:wrap type="none"/>
          </v:line>
        </w:pict>
      </w:r>
      <w:r>
        <w:rPr>
          <w:strike/>
          <w:color w:val="2E97D3"/>
        </w:rPr>
        <w:t>d.</w:t>
      </w:r>
      <w:r>
        <w:rPr>
          <w:strike w:val="0"/>
          <w:color w:val="2E97D3"/>
          <w:u w:val="single" w:color="2E97D3"/>
        </w:rPr>
        <w:t>(6)</w:t>
        <w:tab/>
      </w:r>
      <w:r>
        <w:rPr>
          <w:strike w:val="0"/>
        </w:rPr>
        <w:t>Consequences if not approved;</w:t>
      </w:r>
      <w:r>
        <w:rPr>
          <w:strike w:val="0"/>
          <w:spacing w:val="-18"/>
        </w:rPr>
        <w:t> </w:t>
      </w:r>
      <w:r>
        <w:rPr>
          <w:strike w:val="0"/>
        </w:rPr>
        <w:t>and</w:t>
      </w:r>
    </w:p>
    <w:p>
      <w:pPr>
        <w:pStyle w:val="BodyText"/>
        <w:tabs>
          <w:tab w:pos="2080" w:val="left" w:leader="none"/>
        </w:tabs>
        <w:ind w:left="1101"/>
      </w:pPr>
      <w:r>
        <w:rPr/>
        <w:pict>
          <v:line style="position:absolute;mso-position-horizontal-relative:page;mso-position-vertical-relative:paragraph;z-index:-442480" from="538.679993pt,12.99537pt" to="541.919993pt,12.99537pt" stroked="true" strokeweight=".841pt" strokecolor="#2e97d3">
            <v:stroke dashstyle="solid"/>
            <w10:wrap type="none"/>
          </v:line>
        </w:pict>
      </w:r>
      <w:r>
        <w:rPr>
          <w:strike/>
          <w:color w:val="2E97D3"/>
        </w:rPr>
        <w:t>e.</w:t>
      </w:r>
      <w:r>
        <w:rPr>
          <w:strike w:val="0"/>
          <w:color w:val="2E97D3"/>
          <w:u w:val="single" w:color="2E97D3"/>
        </w:rPr>
        <w:t>(7)</w:t>
        <w:tab/>
      </w:r>
      <w:r>
        <w:rPr>
          <w:strike w:val="0"/>
        </w:rPr>
        <w:t>Whether the additional items are within the scope approved by the</w:t>
      </w:r>
      <w:r>
        <w:rPr>
          <w:strike w:val="0"/>
          <w:spacing w:val="-39"/>
        </w:rPr>
        <w:t> </w:t>
      </w:r>
      <w:r>
        <w:rPr>
          <w:strike w:val="0"/>
        </w:rPr>
        <w:t>Legislature</w:t>
      </w:r>
      <w:r>
        <w:rPr>
          <w:strike w:val="0"/>
          <w:color w:val="2E97D3"/>
        </w:rPr>
        <w:t>.</w:t>
      </w:r>
    </w:p>
    <w:p>
      <w:pPr>
        <w:spacing w:after="0"/>
        <w:sectPr>
          <w:pgSz w:w="12240" w:h="15840"/>
          <w:pgMar w:header="726" w:footer="858" w:top="1520" w:bottom="1040" w:left="420" w:right="1280"/>
        </w:sectPr>
      </w:pPr>
    </w:p>
    <w:p>
      <w:pPr>
        <w:tabs>
          <w:tab w:pos="9739" w:val="left" w:leader="none"/>
        </w:tabs>
        <w:spacing w:line="268" w:lineRule="exact" w:before="0"/>
        <w:ind w:left="732" w:right="0" w:firstLine="0"/>
        <w:jc w:val="left"/>
        <w:rPr>
          <w:b/>
          <w:sz w:val="24"/>
        </w:rPr>
      </w:pPr>
      <w:r>
        <w:rPr/>
        <w:pict>
          <v:line style="position:absolute;mso-position-horizontal-relative:page;mso-position-vertical-relative:paragraph;z-index:30568" from="26.76pt,13.623281pt" to="26.76pt,27.423281pt" stroked="true" strokeweight=".72pt" strokecolor="#000000">
            <v:stroke dashstyle="solid"/>
            <w10:wrap type="none"/>
          </v:line>
        </w:pict>
      </w:r>
      <w:bookmarkStart w:name="BID SAVINGS, PROJECT SAVINGS, AND REVERS" w:id="112"/>
      <w:bookmarkEnd w:id="112"/>
      <w:r>
        <w:rPr/>
      </w:r>
      <w:r>
        <w:rPr>
          <w:b/>
          <w:sz w:val="24"/>
        </w:rPr>
        <w:t>BID SAVINGS, PROJECT SAVINGS,</w:t>
      </w:r>
      <w:r>
        <w:rPr>
          <w:b/>
          <w:spacing w:val="-4"/>
          <w:sz w:val="24"/>
        </w:rPr>
        <w:t> </w:t>
      </w:r>
      <w:r>
        <w:rPr>
          <w:b/>
          <w:spacing w:val="-3"/>
          <w:sz w:val="24"/>
        </w:rPr>
        <w:t>AND</w:t>
      </w:r>
      <w:r>
        <w:rPr>
          <w:b/>
          <w:spacing w:val="-1"/>
          <w:sz w:val="24"/>
        </w:rPr>
        <w:t> </w:t>
      </w:r>
      <w:r>
        <w:rPr>
          <w:b/>
          <w:sz w:val="24"/>
        </w:rPr>
        <w:t>REVERSIONS</w:t>
        <w:tab/>
        <w:t>6862</w:t>
      </w:r>
    </w:p>
    <w:p>
      <w:pPr>
        <w:pStyle w:val="BodyText"/>
        <w:ind w:left="746"/>
      </w:pPr>
      <w:r>
        <w:rPr/>
        <w:t>(Revised </w:t>
      </w:r>
      <w:r>
        <w:rPr>
          <w:strike/>
          <w:color w:val="2E97D3"/>
        </w:rPr>
        <w:t>5/1998) </w:t>
      </w:r>
      <w:r>
        <w:rPr>
          <w:strike w:val="0"/>
          <w:color w:val="2E97D3"/>
          <w:u w:val="single" w:color="2E97D3"/>
        </w:rPr>
        <w:t>09/2017)</w:t>
      </w:r>
    </w:p>
    <w:p>
      <w:pPr>
        <w:pStyle w:val="BodyText"/>
        <w:spacing w:before="120"/>
        <w:ind w:left="746"/>
      </w:pPr>
      <w:r>
        <w:rPr/>
        <w:t>There are five potential reasons for project reversions:</w:t>
      </w:r>
    </w:p>
    <w:p>
      <w:pPr>
        <w:pStyle w:val="ListParagraph"/>
        <w:numPr>
          <w:ilvl w:val="0"/>
          <w:numId w:val="120"/>
        </w:numPr>
        <w:tabs>
          <w:tab w:pos="1001" w:val="left" w:leader="none"/>
        </w:tabs>
        <w:spacing w:line="240" w:lineRule="auto" w:before="120" w:after="0"/>
        <w:ind w:left="1000" w:right="385" w:hanging="360"/>
        <w:jc w:val="left"/>
        <w:rPr>
          <w:sz w:val="24"/>
        </w:rPr>
      </w:pPr>
      <w:r>
        <w:rPr/>
        <w:pict>
          <v:line style="position:absolute;mso-position-horizontal-relative:page;mso-position-vertical-relative:paragraph;z-index:-442336" from="271.200012pt,28.235847pt" to="274.561012pt,28.235847pt" stroked="true" strokeweight=".6pt" strokecolor="#2e97d3">
            <v:stroke dashstyle="solid"/>
            <w10:wrap type="none"/>
          </v:line>
        </w:pict>
      </w:r>
      <w:r>
        <w:rPr/>
        <w:pict>
          <v:line style="position:absolute;mso-position-horizontal-relative:page;mso-position-vertical-relative:paragraph;z-index:-442312" from="457.320007pt,42.035847pt" to="460.560007pt,42.035847pt" stroked="true" strokeweight=".6pt" strokecolor="#2e97d3">
            <v:stroke dashstyle="solid"/>
            <w10:wrap type="none"/>
          </v:line>
        </w:pict>
      </w:r>
      <w:r>
        <w:rPr/>
        <w:pict>
          <v:line style="position:absolute;mso-position-horizontal-relative:page;mso-position-vertical-relative:paragraph;z-index:30592" from="26.76pt,20.015846pt" to="26.76pt,61.415846pt" stroked="true" strokeweight=".72pt" strokecolor="#000000">
            <v:stroke dashstyle="solid"/>
            <w10:wrap type="none"/>
          </v:line>
        </w:pict>
      </w:r>
      <w:r>
        <w:rPr>
          <w:sz w:val="24"/>
        </w:rPr>
        <w:t>The construction bid came in lower than budget (i.e., experienced </w:t>
      </w:r>
      <w:r>
        <w:rPr>
          <w:b/>
          <w:sz w:val="24"/>
        </w:rPr>
        <w:t>bid savings</w:t>
      </w:r>
      <w:r>
        <w:rPr>
          <w:sz w:val="24"/>
        </w:rPr>
        <w:t>) permitting reversion of surplus funds. (Bid savings are reverted at time of award; any other use of bid savings requires </w:t>
      </w:r>
      <w:r>
        <w:rPr>
          <w:strike/>
          <w:color w:val="2E97D3"/>
          <w:sz w:val="24"/>
        </w:rPr>
        <w:t>DOF</w:t>
      </w:r>
      <w:r>
        <w:rPr>
          <w:strike w:val="0"/>
          <w:color w:val="2E97D3"/>
          <w:sz w:val="24"/>
          <w:u w:val="single" w:color="2E97D3"/>
        </w:rPr>
        <w:t>Finance </w:t>
      </w:r>
      <w:r>
        <w:rPr>
          <w:strike w:val="0"/>
          <w:sz w:val="24"/>
        </w:rPr>
        <w:t>review and concurrence.) This is a non-policy reversion delegated to </w:t>
      </w:r>
      <w:r>
        <w:rPr>
          <w:strike/>
          <w:color w:val="2E97D3"/>
          <w:sz w:val="24"/>
        </w:rPr>
        <w:t>DOF</w:t>
      </w:r>
      <w:r>
        <w:rPr>
          <w:strike w:val="0"/>
          <w:color w:val="2E97D3"/>
          <w:sz w:val="24"/>
          <w:u w:val="single" w:color="2E97D3"/>
        </w:rPr>
        <w:t>Finance </w:t>
      </w:r>
      <w:r>
        <w:rPr>
          <w:strike w:val="0"/>
          <w:sz w:val="24"/>
        </w:rPr>
        <w:t>for</w:t>
      </w:r>
      <w:r>
        <w:rPr>
          <w:strike w:val="0"/>
          <w:spacing w:val="-47"/>
          <w:sz w:val="24"/>
        </w:rPr>
        <w:t> </w:t>
      </w:r>
      <w:r>
        <w:rPr>
          <w:strike w:val="0"/>
          <w:sz w:val="24"/>
        </w:rPr>
        <w:t>approval.</w:t>
      </w:r>
    </w:p>
    <w:p>
      <w:pPr>
        <w:pStyle w:val="ListParagraph"/>
        <w:numPr>
          <w:ilvl w:val="0"/>
          <w:numId w:val="120"/>
        </w:numPr>
        <w:tabs>
          <w:tab w:pos="1001" w:val="left" w:leader="none"/>
        </w:tabs>
        <w:spacing w:line="240" w:lineRule="auto" w:before="197" w:after="0"/>
        <w:ind w:left="1000" w:right="192" w:hanging="360"/>
        <w:jc w:val="both"/>
        <w:rPr>
          <w:sz w:val="24"/>
        </w:rPr>
      </w:pPr>
      <w:r>
        <w:rPr/>
        <w:pict>
          <v:line style="position:absolute;mso-position-horizontal-relative:page;mso-position-vertical-relative:paragraph;z-index:-442288" from="241.199997pt,32.086369pt" to="249.239997pt,32.086369pt" stroked="true" strokeweight=".599pt" strokecolor="#2e97d3">
            <v:stroke dashstyle="solid"/>
            <w10:wrap type="none"/>
          </v:line>
        </w:pict>
      </w:r>
      <w:r>
        <w:rPr/>
        <w:pict>
          <v:line style="position:absolute;mso-position-horizontal-relative:page;mso-position-vertical-relative:paragraph;z-index:30616" from="26.76pt,23.866869pt" to="26.76pt,128.505869pt" stroked="true" strokeweight=".72pt" strokecolor="#000000">
            <v:stroke dashstyle="solid"/>
            <w10:wrap type="none"/>
          </v:line>
        </w:pict>
      </w:r>
      <w:r>
        <w:rPr>
          <w:sz w:val="24"/>
        </w:rPr>
        <w:t>The project is complete and there are </w:t>
      </w:r>
      <w:r>
        <w:rPr>
          <w:b/>
          <w:sz w:val="24"/>
        </w:rPr>
        <w:t>project savings </w:t>
      </w:r>
      <w:r>
        <w:rPr>
          <w:sz w:val="24"/>
        </w:rPr>
        <w:t>(which would be net of any bid savings previously reverted). This is also a non-policy reversion delegated to </w:t>
      </w:r>
      <w:r>
        <w:rPr>
          <w:strike/>
          <w:color w:val="2E97D3"/>
          <w:sz w:val="24"/>
        </w:rPr>
        <w:t>DOF</w:t>
      </w:r>
      <w:r>
        <w:rPr>
          <w:strike w:val="0"/>
          <w:color w:val="2E97D3"/>
          <w:sz w:val="24"/>
          <w:u w:val="single" w:color="2E97D3"/>
        </w:rPr>
        <w:t>Finance </w:t>
      </w:r>
      <w:r>
        <w:rPr>
          <w:strike w:val="0"/>
          <w:sz w:val="24"/>
        </w:rPr>
        <w:t>for</w:t>
      </w:r>
      <w:r>
        <w:rPr>
          <w:strike w:val="0"/>
          <w:spacing w:val="-16"/>
          <w:sz w:val="24"/>
        </w:rPr>
        <w:t> </w:t>
      </w:r>
      <w:r>
        <w:rPr>
          <w:strike w:val="0"/>
          <w:sz w:val="24"/>
        </w:rPr>
        <w:t>approval.</w:t>
      </w:r>
    </w:p>
    <w:p>
      <w:pPr>
        <w:pStyle w:val="ListParagraph"/>
        <w:numPr>
          <w:ilvl w:val="0"/>
          <w:numId w:val="120"/>
        </w:numPr>
        <w:tabs>
          <w:tab w:pos="1001" w:val="left" w:leader="none"/>
        </w:tabs>
        <w:spacing w:line="240" w:lineRule="auto" w:before="199" w:after="0"/>
        <w:ind w:left="1000" w:right="156" w:hanging="360"/>
        <w:jc w:val="left"/>
        <w:rPr>
          <w:sz w:val="24"/>
        </w:rPr>
      </w:pPr>
      <w:r>
        <w:rPr/>
        <w:pict>
          <v:line style="position:absolute;mso-position-horizontal-relative:page;mso-position-vertical-relative:paragraph;z-index:-442264" from="331.320007pt,32.065884pt" to="334.560007pt,32.065884pt" stroked="true" strokeweight=".6pt" strokecolor="#2e97d3">
            <v:stroke dashstyle="solid"/>
            <w10:wrap type="none"/>
          </v:line>
        </w:pict>
      </w:r>
      <w:r>
        <w:rPr>
          <w:sz w:val="24"/>
        </w:rPr>
        <w:t>The project failed to meet requirements of Section </w:t>
      </w:r>
      <w:r>
        <w:rPr>
          <w:strike/>
          <w:color w:val="2E97D3"/>
          <w:sz w:val="24"/>
        </w:rPr>
        <w:t>2.00 of</w:t>
      </w:r>
      <w:r>
        <w:rPr>
          <w:strike w:val="0"/>
          <w:color w:val="2E97D3"/>
          <w:sz w:val="24"/>
          <w:u w:val="single" w:color="2E97D3"/>
        </w:rPr>
        <w:t>1.80 or </w:t>
      </w:r>
      <w:r>
        <w:rPr>
          <w:strike w:val="0"/>
          <w:sz w:val="24"/>
        </w:rPr>
        <w:t>the </w:t>
      </w:r>
      <w:r>
        <w:rPr>
          <w:strike/>
          <w:color w:val="2E97D3"/>
          <w:sz w:val="24"/>
        </w:rPr>
        <w:t>annual </w:t>
      </w:r>
      <w:r>
        <w:rPr>
          <w:strike w:val="0"/>
          <w:color w:val="2E97D3"/>
          <w:sz w:val="24"/>
          <w:u w:val="single" w:color="2E97D3"/>
        </w:rPr>
        <w:t>provisional language attached to the Item in the </w:t>
      </w:r>
      <w:r>
        <w:rPr>
          <w:strike w:val="0"/>
          <w:sz w:val="24"/>
        </w:rPr>
        <w:t>Budget Act. This is a policy reversion </w:t>
      </w:r>
      <w:r>
        <w:rPr>
          <w:strike/>
          <w:color w:val="2E97D3"/>
          <w:sz w:val="24"/>
        </w:rPr>
        <w:t>which the board</w:t>
      </w:r>
      <w:r>
        <w:rPr>
          <w:strike w:val="0"/>
          <w:color w:val="2E97D3"/>
          <w:sz w:val="24"/>
          <w:u w:val="single" w:color="2E97D3"/>
        </w:rPr>
        <w:t>that Finance</w:t>
      </w:r>
      <w:r>
        <w:rPr>
          <w:strike w:val="0"/>
          <w:color w:val="2E97D3"/>
          <w:spacing w:val="-31"/>
          <w:sz w:val="24"/>
          <w:u w:val="single" w:color="2E97D3"/>
        </w:rPr>
        <w:t> </w:t>
      </w:r>
      <w:r>
        <w:rPr>
          <w:strike w:val="0"/>
          <w:sz w:val="24"/>
        </w:rPr>
        <w:t>considers.</w:t>
      </w:r>
    </w:p>
    <w:p>
      <w:pPr>
        <w:pStyle w:val="BodyText"/>
        <w:spacing w:before="9"/>
        <w:rPr>
          <w:sz w:val="20"/>
        </w:rPr>
      </w:pPr>
    </w:p>
    <w:p>
      <w:pPr>
        <w:pStyle w:val="BodyText"/>
        <w:ind w:left="1106" w:right="102"/>
      </w:pPr>
      <w:r>
        <w:rPr/>
        <w:pict>
          <v:line style="position:absolute;mso-position-horizontal-relative:page;mso-position-vertical-relative:paragraph;z-index:-442240" from="252.479996pt,36.036354pt" to="255.840996pt,36.036354pt" stroked="true" strokeweight=".599pt" strokecolor="#2e97d3">
            <v:stroke dashstyle="solid"/>
            <w10:wrap type="none"/>
          </v:line>
        </w:pict>
      </w:r>
      <w:r>
        <w:rPr/>
        <w:pict>
          <v:line style="position:absolute;mso-position-horizontal-relative:page;mso-position-vertical-relative:paragraph;z-index:-442216" from="221.160004pt,77.436356pt" to="224.521004pt,77.436356pt" stroked="true" strokeweight=".599pt" strokecolor="#2e97d3">
            <v:stroke dashstyle="solid"/>
            <w10:wrap type="none"/>
          </v:line>
        </w:pict>
      </w:r>
      <w:r>
        <w:rPr/>
        <w:pict>
          <v:line style="position:absolute;mso-position-horizontal-relative:page;mso-position-vertical-relative:paragraph;z-index:-442192" from="495.23999pt,91.235855pt" to="498.47999pt,91.235855pt" stroked="true" strokeweight=".6pt" strokecolor="#2e97d3">
            <v:stroke dashstyle="solid"/>
            <w10:wrap type="none"/>
          </v:line>
        </w:pict>
      </w:r>
      <w:r>
        <w:rPr/>
        <w:pict>
          <v:line style="position:absolute;mso-position-horizontal-relative:page;mso-position-vertical-relative:paragraph;z-index:30640" from="26.76pt,27.816854pt" to="26.76pt,55.415854pt" stroked="true" strokeweight=".72pt" strokecolor="#000000">
            <v:stroke dashstyle="solid"/>
            <w10:wrap type="none"/>
          </v:line>
        </w:pict>
      </w:r>
      <w:r>
        <w:rPr/>
        <w:pict>
          <v:line style="position:absolute;mso-position-horizontal-relative:page;mso-position-vertical-relative:paragraph;z-index:30664" from="26.76pt,69.215851pt" to="26.76pt,124.415851pt" stroked="true" strokeweight=".72pt" strokecolor="#000000">
            <v:stroke dashstyle="solid"/>
            <w10:wrap type="none"/>
          </v:line>
        </w:pict>
      </w:r>
      <w:r>
        <w:rPr/>
        <w:pict>
          <v:line style="position:absolute;mso-position-horizontal-relative:page;mso-position-vertical-relative:paragraph;z-index:30688" from="26.76pt,138.215851pt" to="26.76pt,177.695851pt" stroked="true" strokeweight=".72pt" strokecolor="#000000">
            <v:stroke dashstyle="solid"/>
            <w10:wrap type="none"/>
          </v:line>
        </w:pict>
      </w:r>
      <w:r>
        <w:rPr/>
        <w:t>Section </w:t>
      </w:r>
      <w:r>
        <w:rPr>
          <w:strike/>
          <w:color w:val="2E97D3"/>
        </w:rPr>
        <w:t>2.00</w:t>
      </w:r>
      <w:r>
        <w:rPr>
          <w:strike w:val="0"/>
          <w:color w:val="2E97D3"/>
          <w:u w:val="single" w:color="2E97D3"/>
        </w:rPr>
        <w:t>1.80 </w:t>
      </w:r>
      <w:r>
        <w:rPr>
          <w:strike w:val="0"/>
        </w:rPr>
        <w:t>provides that appropriated funds shall revert if </w:t>
      </w:r>
      <w:r>
        <w:rPr>
          <w:strike/>
          <w:color w:val="2E97D3"/>
        </w:rPr>
        <w:t>DOF</w:t>
      </w:r>
      <w:r>
        <w:rPr>
          <w:strike w:val="0"/>
          <w:color w:val="2E97D3"/>
          <w:u w:val="single" w:color="2E97D3"/>
        </w:rPr>
        <w:t>Finance </w:t>
      </w:r>
      <w:r>
        <w:rPr>
          <w:strike w:val="0"/>
        </w:rPr>
        <w:t>has not allocated them (either through a fund transfer or approval to proceed to bid) on or before June 30 of the fiscal year. This means that </w:t>
      </w:r>
      <w:r>
        <w:rPr>
          <w:strike/>
          <w:color w:val="2E97D3"/>
        </w:rPr>
        <w:t>DOF</w:t>
      </w:r>
      <w:r>
        <w:rPr>
          <w:strike w:val="0"/>
          <w:color w:val="2E97D3"/>
          <w:u w:val="single" w:color="2E97D3"/>
        </w:rPr>
        <w:t>Finance </w:t>
      </w:r>
      <w:r>
        <w:rPr>
          <w:strike w:val="0"/>
        </w:rPr>
        <w:t>must approve Form 22 </w:t>
      </w:r>
      <w:r>
        <w:rPr>
          <w:strike w:val="0"/>
          <w:color w:val="2E97D3"/>
          <w:u w:val="single" w:color="2E97D3"/>
        </w:rPr>
        <w:t>and Form 220 </w:t>
      </w:r>
      <w:r>
        <w:rPr>
          <w:strike w:val="0"/>
        </w:rPr>
        <w:t>requests for either the preliminary plan phase or the working drawing phase by June 30, or, in the case of construction, approve the Form DF-14D to proceed to bid by June 30. A </w:t>
      </w:r>
      <w:r>
        <w:rPr>
          <w:strike/>
          <w:color w:val="2E97D3"/>
        </w:rPr>
        <w:t>client </w:t>
      </w:r>
      <w:r>
        <w:rPr>
          <w:strike w:val="0"/>
        </w:rPr>
        <w:t>department must be familiar with these requirements and with the time-frames laid out in </w:t>
      </w:r>
      <w:r>
        <w:rPr>
          <w:strike/>
          <w:color w:val="2E97D3"/>
        </w:rPr>
        <w:t>DOF</w:t>
      </w:r>
      <w:r>
        <w:rPr>
          <w:strike w:val="0"/>
          <w:color w:val="2E97D3"/>
          <w:u w:val="single" w:color="2E97D3"/>
        </w:rPr>
        <w:t>Finance </w:t>
      </w:r>
      <w:r>
        <w:rPr>
          <w:strike w:val="0"/>
        </w:rPr>
        <w:t>Budget Letters. The </w:t>
      </w:r>
      <w:r>
        <w:rPr>
          <w:strike/>
          <w:color w:val="2E97D3"/>
        </w:rPr>
        <w:t>client </w:t>
      </w:r>
      <w:r>
        <w:rPr>
          <w:strike w:val="0"/>
        </w:rPr>
        <w:t>department is advised to discuss deadlines for submitting these forms with its </w:t>
      </w:r>
      <w:r>
        <w:rPr>
          <w:strike/>
          <w:color w:val="2E97D3"/>
        </w:rPr>
        <w:t>DOF</w:t>
      </w:r>
      <w:r>
        <w:rPr>
          <w:strike w:val="0"/>
          <w:color w:val="2E97D3"/>
          <w:u w:val="single" w:color="2E97D3"/>
        </w:rPr>
        <w:t>Finance </w:t>
      </w:r>
      <w:r>
        <w:rPr>
          <w:strike w:val="0"/>
        </w:rPr>
        <w:t>capital outlay analyst to determine whether there will be a need to reappropriate project funding.</w:t>
      </w:r>
    </w:p>
    <w:p>
      <w:pPr>
        <w:pStyle w:val="BodyText"/>
        <w:spacing w:before="7"/>
        <w:rPr>
          <w:sz w:val="20"/>
        </w:rPr>
      </w:pPr>
    </w:p>
    <w:p>
      <w:pPr>
        <w:pStyle w:val="ListParagraph"/>
        <w:numPr>
          <w:ilvl w:val="0"/>
          <w:numId w:val="120"/>
        </w:numPr>
        <w:tabs>
          <w:tab w:pos="1001" w:val="left" w:leader="none"/>
        </w:tabs>
        <w:spacing w:line="240" w:lineRule="auto" w:before="0" w:after="0"/>
        <w:ind w:left="1000" w:right="621" w:hanging="360"/>
        <w:jc w:val="left"/>
        <w:rPr>
          <w:sz w:val="24"/>
        </w:rPr>
      </w:pPr>
      <w:r>
        <w:rPr/>
        <w:pict>
          <v:line style="position:absolute;mso-position-horizontal-relative:page;mso-position-vertical-relative:paragraph;z-index:-442168" from="233.880005pt,22.236349pt" to="237.120005pt,22.236349pt" stroked="true" strokeweight=".599pt" strokecolor="#2e97d3">
            <v:stroke dashstyle="solid"/>
            <w10:wrap type="none"/>
          </v:line>
        </w:pict>
      </w:r>
      <w:r>
        <w:rPr/>
        <w:pict>
          <v:line style="position:absolute;mso-position-horizontal-relative:page;mso-position-vertical-relative:paragraph;z-index:30712" from="26.76pt,41.615849pt" to="26.76pt,120.695849pt" stroked="true" strokeweight=".72pt" strokecolor="#000000">
            <v:stroke dashstyle="solid"/>
            <w10:wrap type="none"/>
          </v:line>
        </w:pict>
      </w:r>
      <w:r>
        <w:rPr>
          <w:sz w:val="24"/>
        </w:rPr>
        <w:t>The project has a proposed scope change which will result in </w:t>
      </w:r>
      <w:r>
        <w:rPr>
          <w:color w:val="2E97D3"/>
          <w:sz w:val="24"/>
          <w:u w:val="single" w:color="2E97D3"/>
        </w:rPr>
        <w:t>project termination or project </w:t>
      </w:r>
      <w:r>
        <w:rPr>
          <w:sz w:val="24"/>
        </w:rPr>
        <w:t>savings to be reverted. This is a policy reversion </w:t>
      </w:r>
      <w:r>
        <w:rPr>
          <w:strike/>
          <w:color w:val="2E97D3"/>
          <w:sz w:val="24"/>
        </w:rPr>
        <w:t>which</w:t>
      </w:r>
      <w:r>
        <w:rPr>
          <w:strike w:val="0"/>
          <w:color w:val="2E97D3"/>
          <w:sz w:val="24"/>
          <w:u w:val="single" w:color="2E97D3"/>
        </w:rPr>
        <w:t>that </w:t>
      </w:r>
      <w:r>
        <w:rPr>
          <w:strike w:val="0"/>
          <w:sz w:val="24"/>
        </w:rPr>
        <w:t>the </w:t>
      </w:r>
      <w:r>
        <w:rPr>
          <w:strike/>
          <w:color w:val="2E97D3"/>
          <w:sz w:val="24"/>
        </w:rPr>
        <w:t>board</w:t>
      </w:r>
      <w:r>
        <w:rPr>
          <w:strike w:val="0"/>
          <w:color w:val="2E97D3"/>
          <w:sz w:val="24"/>
          <w:u w:val="single" w:color="2E97D3"/>
        </w:rPr>
        <w:t>PWB </w:t>
      </w:r>
      <w:r>
        <w:rPr>
          <w:strike w:val="0"/>
          <w:sz w:val="24"/>
        </w:rPr>
        <w:t>considers.</w:t>
      </w:r>
    </w:p>
    <w:p>
      <w:pPr>
        <w:pStyle w:val="BodyText"/>
        <w:spacing w:before="10"/>
        <w:rPr>
          <w:sz w:val="20"/>
        </w:rPr>
      </w:pPr>
    </w:p>
    <w:p>
      <w:pPr>
        <w:pStyle w:val="ListParagraph"/>
        <w:numPr>
          <w:ilvl w:val="0"/>
          <w:numId w:val="120"/>
        </w:numPr>
        <w:tabs>
          <w:tab w:pos="1001" w:val="left" w:leader="none"/>
        </w:tabs>
        <w:spacing w:line="240" w:lineRule="auto" w:before="0" w:after="0"/>
        <w:ind w:left="1000" w:right="1289" w:hanging="360"/>
        <w:jc w:val="both"/>
        <w:rPr>
          <w:sz w:val="24"/>
        </w:rPr>
      </w:pPr>
      <w:r>
        <w:rPr>
          <w:sz w:val="24"/>
        </w:rPr>
        <w:t>The project has been terminated by statute or for a policy reason</w:t>
      </w:r>
      <w:r>
        <w:rPr>
          <w:strike/>
          <w:color w:val="2E97D3"/>
          <w:sz w:val="24"/>
        </w:rPr>
        <w:t>. </w:t>
      </w:r>
      <w:r>
        <w:rPr>
          <w:strike w:val="0"/>
          <w:color w:val="2E97D3"/>
          <w:sz w:val="24"/>
          <w:u w:val="single" w:color="2E97D3"/>
        </w:rPr>
        <w:t>creating a scope change. </w:t>
      </w:r>
      <w:r>
        <w:rPr>
          <w:strike w:val="0"/>
          <w:sz w:val="24"/>
        </w:rPr>
        <w:t>This is a policy reversion </w:t>
      </w:r>
      <w:r>
        <w:rPr>
          <w:strike/>
          <w:color w:val="2E97D3"/>
          <w:sz w:val="24"/>
        </w:rPr>
        <w:t>which</w:t>
      </w:r>
      <w:r>
        <w:rPr>
          <w:strike w:val="0"/>
          <w:color w:val="2E97D3"/>
          <w:sz w:val="24"/>
          <w:u w:val="single" w:color="2E97D3"/>
        </w:rPr>
        <w:t>that </w:t>
      </w:r>
      <w:r>
        <w:rPr>
          <w:strike w:val="0"/>
          <w:sz w:val="24"/>
        </w:rPr>
        <w:t>the </w:t>
      </w:r>
      <w:r>
        <w:rPr>
          <w:strike/>
          <w:color w:val="2E97D3"/>
          <w:sz w:val="24"/>
        </w:rPr>
        <w:t>board</w:t>
      </w:r>
      <w:r>
        <w:rPr>
          <w:strike w:val="0"/>
          <w:color w:val="2E97D3"/>
          <w:sz w:val="24"/>
          <w:u w:val="single" w:color="2E97D3"/>
        </w:rPr>
        <w:t>PWB </w:t>
      </w:r>
      <w:r>
        <w:rPr>
          <w:strike w:val="0"/>
          <w:sz w:val="24"/>
        </w:rPr>
        <w:t>considers </w:t>
      </w:r>
      <w:r>
        <w:rPr>
          <w:strike w:val="0"/>
          <w:color w:val="2E97D3"/>
          <w:sz w:val="24"/>
          <w:u w:val="single" w:color="2E97D3"/>
        </w:rPr>
        <w:t>following legislative notification for a scope</w:t>
      </w:r>
      <w:r>
        <w:rPr>
          <w:strike w:val="0"/>
          <w:color w:val="2E97D3"/>
          <w:spacing w:val="-26"/>
          <w:sz w:val="24"/>
          <w:u w:val="single" w:color="2E97D3"/>
        </w:rPr>
        <w:t> </w:t>
      </w:r>
      <w:r>
        <w:rPr>
          <w:strike w:val="0"/>
          <w:color w:val="2E97D3"/>
          <w:sz w:val="24"/>
          <w:u w:val="single" w:color="2E97D3"/>
        </w:rPr>
        <w:t>change</w:t>
      </w:r>
      <w:r>
        <w:rPr>
          <w:strike w:val="0"/>
          <w:sz w:val="24"/>
        </w:rPr>
        <w:t>.</w:t>
      </w:r>
    </w:p>
    <w:p>
      <w:pPr>
        <w:pStyle w:val="BodyText"/>
        <w:spacing w:before="4"/>
        <w:rPr>
          <w:sz w:val="21"/>
        </w:rPr>
      </w:pPr>
    </w:p>
    <w:p>
      <w:pPr>
        <w:spacing w:line="274" w:lineRule="exact" w:before="0"/>
        <w:ind w:left="746" w:right="0" w:firstLine="0"/>
        <w:jc w:val="left"/>
        <w:rPr>
          <w:sz w:val="24"/>
        </w:rPr>
      </w:pPr>
      <w:r>
        <w:rPr/>
        <w:pict>
          <v:line style="position:absolute;mso-position-horizontal-relative:page;mso-position-vertical-relative:paragraph;z-index:-442144" from="275.279999pt,8.140002pt" to="278.519999pt,8.140002pt" stroked="true" strokeweight=".6pt" strokecolor="#2e97d3">
            <v:stroke dashstyle="solid"/>
            <w10:wrap type="none"/>
          </v:line>
        </w:pict>
      </w:r>
      <w:r>
        <w:rPr>
          <w:b/>
          <w:sz w:val="24"/>
        </w:rPr>
        <w:t>Agenda packages for reversion items. </w:t>
      </w:r>
      <w:r>
        <w:rPr>
          <w:sz w:val="24"/>
        </w:rPr>
        <w:t>Submit the following information for proposed reversions:</w:t>
      </w:r>
    </w:p>
    <w:p>
      <w:pPr>
        <w:pStyle w:val="BodyText"/>
      </w:pPr>
    </w:p>
    <w:p>
      <w:pPr>
        <w:pStyle w:val="ListParagraph"/>
        <w:numPr>
          <w:ilvl w:val="0"/>
          <w:numId w:val="121"/>
        </w:numPr>
        <w:tabs>
          <w:tab w:pos="1001" w:val="left" w:leader="none"/>
        </w:tabs>
        <w:spacing w:line="280" w:lineRule="auto" w:before="0" w:after="0"/>
        <w:ind w:left="1000" w:right="957" w:hanging="360"/>
        <w:jc w:val="left"/>
        <w:rPr>
          <w:sz w:val="24"/>
        </w:rPr>
      </w:pPr>
      <w:r>
        <w:rPr/>
        <w:pict>
          <v:line style="position:absolute;mso-position-horizontal-relative:page;mso-position-vertical-relative:paragraph;z-index:30736" from="26.76pt,16.175858pt" to="26.76pt,45.815858pt" stroked="true" strokeweight=".72pt" strokecolor="#000000">
            <v:stroke dashstyle="solid"/>
            <w10:wrap type="none"/>
          </v:line>
        </w:pict>
      </w:r>
      <w:r>
        <w:rPr>
          <w:sz w:val="24"/>
        </w:rPr>
        <w:t>All</w:t>
      </w:r>
      <w:r>
        <w:rPr>
          <w:spacing w:val="-4"/>
          <w:sz w:val="24"/>
        </w:rPr>
        <w:t> </w:t>
      </w:r>
      <w:r>
        <w:rPr>
          <w:sz w:val="24"/>
        </w:rPr>
        <w:t>information</w:t>
      </w:r>
      <w:r>
        <w:rPr>
          <w:spacing w:val="-5"/>
          <w:sz w:val="24"/>
        </w:rPr>
        <w:t> </w:t>
      </w:r>
      <w:r>
        <w:rPr>
          <w:sz w:val="24"/>
        </w:rPr>
        <w:t>requested</w:t>
      </w:r>
      <w:r>
        <w:rPr>
          <w:spacing w:val="-3"/>
          <w:sz w:val="24"/>
        </w:rPr>
        <w:t> </w:t>
      </w:r>
      <w:r>
        <w:rPr>
          <w:sz w:val="24"/>
        </w:rPr>
        <w:t>in</w:t>
      </w:r>
      <w:r>
        <w:rPr>
          <w:spacing w:val="-5"/>
          <w:sz w:val="24"/>
        </w:rPr>
        <w:t> </w:t>
      </w:r>
      <w:r>
        <w:rPr>
          <w:sz w:val="24"/>
        </w:rPr>
        <w:t>Section</w:t>
      </w:r>
      <w:r>
        <w:rPr>
          <w:spacing w:val="-3"/>
          <w:sz w:val="24"/>
        </w:rPr>
        <w:t> </w:t>
      </w:r>
      <w:r>
        <w:rPr>
          <w:sz w:val="24"/>
        </w:rPr>
        <w:t>6845,</w:t>
      </w:r>
      <w:r>
        <w:rPr>
          <w:spacing w:val="-3"/>
          <w:sz w:val="24"/>
        </w:rPr>
        <w:t> </w:t>
      </w:r>
      <w:r>
        <w:rPr>
          <w:sz w:val="24"/>
        </w:rPr>
        <w:t>including</w:t>
      </w:r>
      <w:r>
        <w:rPr>
          <w:spacing w:val="-5"/>
          <w:sz w:val="24"/>
        </w:rPr>
        <w:t> </w:t>
      </w:r>
      <w:r>
        <w:rPr>
          <w:sz w:val="24"/>
        </w:rPr>
        <w:t>the</w:t>
      </w:r>
      <w:r>
        <w:rPr>
          <w:spacing w:val="-3"/>
          <w:sz w:val="24"/>
        </w:rPr>
        <w:t> </w:t>
      </w:r>
      <w:r>
        <w:rPr>
          <w:sz w:val="24"/>
        </w:rPr>
        <w:t>standard</w:t>
      </w:r>
      <w:r>
        <w:rPr>
          <w:spacing w:val="-8"/>
          <w:sz w:val="24"/>
        </w:rPr>
        <w:t> </w:t>
      </w:r>
      <w:r>
        <w:rPr>
          <w:sz w:val="24"/>
        </w:rPr>
        <w:t>fiscal</w:t>
      </w:r>
      <w:r>
        <w:rPr>
          <w:spacing w:val="-30"/>
          <w:sz w:val="24"/>
        </w:rPr>
        <w:t> </w:t>
      </w:r>
      <w:r>
        <w:rPr>
          <w:sz w:val="24"/>
        </w:rPr>
        <w:t>reporting requirements and the agenda</w:t>
      </w:r>
      <w:r>
        <w:rPr>
          <w:spacing w:val="-38"/>
          <w:sz w:val="24"/>
        </w:rPr>
        <w:t> </w:t>
      </w:r>
      <w:r>
        <w:rPr>
          <w:sz w:val="24"/>
        </w:rPr>
        <w:t>package;</w:t>
      </w:r>
    </w:p>
    <w:p>
      <w:pPr>
        <w:pStyle w:val="ListParagraph"/>
        <w:numPr>
          <w:ilvl w:val="0"/>
          <w:numId w:val="121"/>
        </w:numPr>
        <w:tabs>
          <w:tab w:pos="1001" w:val="left" w:leader="none"/>
        </w:tabs>
        <w:spacing w:line="271" w:lineRule="exact" w:before="0" w:after="0"/>
        <w:ind w:left="1000" w:right="0" w:hanging="360"/>
        <w:jc w:val="left"/>
        <w:rPr>
          <w:sz w:val="24"/>
        </w:rPr>
      </w:pPr>
      <w:r>
        <w:rPr>
          <w:sz w:val="24"/>
        </w:rPr>
        <w:t>The type of reversion (see</w:t>
      </w:r>
      <w:r>
        <w:rPr>
          <w:spacing w:val="-27"/>
          <w:sz w:val="24"/>
        </w:rPr>
        <w:t> </w:t>
      </w:r>
      <w:r>
        <w:rPr>
          <w:sz w:val="24"/>
        </w:rPr>
        <w:t>preceding);</w:t>
      </w:r>
    </w:p>
    <w:p>
      <w:pPr>
        <w:pStyle w:val="ListParagraph"/>
        <w:numPr>
          <w:ilvl w:val="0"/>
          <w:numId w:val="121"/>
        </w:numPr>
        <w:tabs>
          <w:tab w:pos="1001" w:val="left" w:leader="none"/>
        </w:tabs>
        <w:spacing w:line="276" w:lineRule="auto" w:before="41" w:after="0"/>
        <w:ind w:left="1000" w:right="363" w:hanging="376"/>
        <w:jc w:val="left"/>
        <w:rPr>
          <w:sz w:val="24"/>
        </w:rPr>
      </w:pPr>
      <w:r>
        <w:rPr/>
        <w:pict>
          <v:line style="position:absolute;mso-position-horizontal-relative:page;mso-position-vertical-relative:paragraph;z-index:-442120" from="123.120003pt,26.325863pt" to="126.480003pt,26.325863pt" stroked="true" strokeweight=".6pt" strokecolor="#2e97d3">
            <v:stroke dashstyle="solid"/>
            <w10:wrap type="none"/>
          </v:line>
        </w:pict>
      </w:r>
      <w:r>
        <w:rPr/>
        <w:pict>
          <v:line style="position:absolute;mso-position-horizontal-relative:page;mso-position-vertical-relative:paragraph;z-index:30760" from="26.76pt,17.985863pt" to="26.76pt,33.825863pt" stroked="true" strokeweight=".72pt" strokecolor="#000000">
            <v:stroke dashstyle="solid"/>
            <w10:wrap type="none"/>
          </v:line>
        </w:pict>
      </w:r>
      <w:r>
        <w:rPr>
          <w:sz w:val="24"/>
        </w:rPr>
        <w:t>If</w:t>
      </w:r>
      <w:r>
        <w:rPr>
          <w:spacing w:val="-2"/>
          <w:sz w:val="24"/>
        </w:rPr>
        <w:t> </w:t>
      </w:r>
      <w:r>
        <w:rPr>
          <w:sz w:val="24"/>
        </w:rPr>
        <w:t>the</w:t>
      </w:r>
      <w:r>
        <w:rPr>
          <w:spacing w:val="-2"/>
          <w:sz w:val="24"/>
        </w:rPr>
        <w:t> </w:t>
      </w:r>
      <w:r>
        <w:rPr>
          <w:sz w:val="24"/>
        </w:rPr>
        <w:t>reversion</w:t>
      </w:r>
      <w:r>
        <w:rPr>
          <w:spacing w:val="-2"/>
          <w:sz w:val="24"/>
        </w:rPr>
        <w:t> </w:t>
      </w:r>
      <w:r>
        <w:rPr>
          <w:sz w:val="24"/>
        </w:rPr>
        <w:t>is</w:t>
      </w:r>
      <w:r>
        <w:rPr>
          <w:spacing w:val="-3"/>
          <w:sz w:val="24"/>
        </w:rPr>
        <w:t> </w:t>
      </w:r>
      <w:r>
        <w:rPr>
          <w:sz w:val="24"/>
        </w:rPr>
        <w:t>of</w:t>
      </w:r>
      <w:r>
        <w:rPr>
          <w:spacing w:val="-2"/>
          <w:sz w:val="24"/>
        </w:rPr>
        <w:t> </w:t>
      </w:r>
      <w:r>
        <w:rPr>
          <w:sz w:val="24"/>
        </w:rPr>
        <w:t>a</w:t>
      </w:r>
      <w:r>
        <w:rPr>
          <w:spacing w:val="-4"/>
          <w:sz w:val="24"/>
        </w:rPr>
        <w:t> </w:t>
      </w:r>
      <w:r>
        <w:rPr>
          <w:sz w:val="24"/>
        </w:rPr>
        <w:t>policy</w:t>
      </w:r>
      <w:r>
        <w:rPr>
          <w:spacing w:val="-5"/>
          <w:sz w:val="24"/>
        </w:rPr>
        <w:t> </w:t>
      </w:r>
      <w:r>
        <w:rPr>
          <w:sz w:val="24"/>
        </w:rPr>
        <w:t>nature</w:t>
      </w:r>
      <w:r>
        <w:rPr>
          <w:spacing w:val="-4"/>
          <w:sz w:val="24"/>
        </w:rPr>
        <w:t> </w:t>
      </w:r>
      <w:r>
        <w:rPr>
          <w:sz w:val="24"/>
        </w:rPr>
        <w:t>as</w:t>
      </w:r>
      <w:r>
        <w:rPr>
          <w:spacing w:val="-3"/>
          <w:sz w:val="24"/>
        </w:rPr>
        <w:t> </w:t>
      </w:r>
      <w:r>
        <w:rPr>
          <w:sz w:val="24"/>
        </w:rPr>
        <w:t>defined</w:t>
      </w:r>
      <w:r>
        <w:rPr>
          <w:spacing w:val="-2"/>
          <w:sz w:val="24"/>
        </w:rPr>
        <w:t> </w:t>
      </w:r>
      <w:r>
        <w:rPr>
          <w:sz w:val="24"/>
        </w:rPr>
        <w:t>in</w:t>
      </w:r>
      <w:r>
        <w:rPr>
          <w:spacing w:val="-2"/>
          <w:sz w:val="24"/>
        </w:rPr>
        <w:t> </w:t>
      </w:r>
      <w:r>
        <w:rPr>
          <w:sz w:val="24"/>
        </w:rPr>
        <w:t>the</w:t>
      </w:r>
      <w:r>
        <w:rPr>
          <w:spacing w:val="-4"/>
          <w:sz w:val="24"/>
        </w:rPr>
        <w:t> </w:t>
      </w:r>
      <w:r>
        <w:rPr>
          <w:sz w:val="24"/>
        </w:rPr>
        <w:t>preceding</w:t>
      </w:r>
      <w:r>
        <w:rPr>
          <w:spacing w:val="-4"/>
          <w:sz w:val="24"/>
        </w:rPr>
        <w:t> </w:t>
      </w:r>
      <w:r>
        <w:rPr>
          <w:sz w:val="24"/>
        </w:rPr>
        <w:t>text,</w:t>
      </w:r>
      <w:r>
        <w:rPr>
          <w:spacing w:val="-2"/>
          <w:sz w:val="24"/>
        </w:rPr>
        <w:t> </w:t>
      </w:r>
      <w:r>
        <w:rPr>
          <w:sz w:val="24"/>
        </w:rPr>
        <w:t>an</w:t>
      </w:r>
      <w:r>
        <w:rPr>
          <w:spacing w:val="-4"/>
          <w:sz w:val="24"/>
        </w:rPr>
        <w:t> </w:t>
      </w:r>
      <w:r>
        <w:rPr>
          <w:sz w:val="24"/>
        </w:rPr>
        <w:t>explanation</w:t>
      </w:r>
      <w:r>
        <w:rPr>
          <w:spacing w:val="-35"/>
          <w:sz w:val="24"/>
        </w:rPr>
        <w:t> </w:t>
      </w:r>
      <w:r>
        <w:rPr>
          <w:sz w:val="24"/>
        </w:rPr>
        <w:t>of the</w:t>
      </w:r>
      <w:r>
        <w:rPr>
          <w:spacing w:val="-3"/>
          <w:sz w:val="24"/>
        </w:rPr>
        <w:t> </w:t>
      </w:r>
      <w:r>
        <w:rPr>
          <w:sz w:val="24"/>
        </w:rPr>
        <w:t>cause</w:t>
      </w:r>
      <w:r>
        <w:rPr>
          <w:color w:val="2E97D3"/>
          <w:sz w:val="24"/>
        </w:rPr>
        <w:t>;</w:t>
      </w:r>
      <w:r>
        <w:rPr>
          <w:color w:val="2E97D3"/>
          <w:spacing w:val="-4"/>
          <w:sz w:val="24"/>
        </w:rPr>
        <w:t> </w:t>
      </w:r>
      <w:r>
        <w:rPr>
          <w:color w:val="2E97D3"/>
          <w:sz w:val="24"/>
          <w:u w:val="single" w:color="2E97D3"/>
        </w:rPr>
        <w:t>(including</w:t>
      </w:r>
      <w:r>
        <w:rPr>
          <w:color w:val="2E97D3"/>
          <w:spacing w:val="-5"/>
          <w:sz w:val="24"/>
          <w:u w:val="single" w:color="2E97D3"/>
        </w:rPr>
        <w:t> </w:t>
      </w:r>
      <w:r>
        <w:rPr>
          <w:color w:val="2E97D3"/>
          <w:sz w:val="24"/>
          <w:u w:val="single" w:color="2E97D3"/>
        </w:rPr>
        <w:t>a</w:t>
      </w:r>
      <w:r>
        <w:rPr>
          <w:color w:val="2E97D3"/>
          <w:spacing w:val="-5"/>
          <w:sz w:val="24"/>
          <w:u w:val="single" w:color="2E97D3"/>
        </w:rPr>
        <w:t> </w:t>
      </w:r>
      <w:r>
        <w:rPr>
          <w:color w:val="2E97D3"/>
          <w:sz w:val="24"/>
          <w:u w:val="single" w:color="2E97D3"/>
        </w:rPr>
        <w:t>20-day</w:t>
      </w:r>
      <w:r>
        <w:rPr>
          <w:color w:val="2E97D3"/>
          <w:spacing w:val="-6"/>
          <w:sz w:val="24"/>
          <w:u w:val="single" w:color="2E97D3"/>
        </w:rPr>
        <w:t> </w:t>
      </w:r>
      <w:r>
        <w:rPr>
          <w:color w:val="2E97D3"/>
          <w:sz w:val="24"/>
          <w:u w:val="single" w:color="2E97D3"/>
        </w:rPr>
        <w:t>notification</w:t>
      </w:r>
      <w:r>
        <w:rPr>
          <w:color w:val="2E97D3"/>
          <w:spacing w:val="-3"/>
          <w:sz w:val="24"/>
          <w:u w:val="single" w:color="2E97D3"/>
        </w:rPr>
        <w:t> </w:t>
      </w:r>
      <w:r>
        <w:rPr>
          <w:color w:val="2E97D3"/>
          <w:sz w:val="24"/>
          <w:u w:val="single" w:color="2E97D3"/>
        </w:rPr>
        <w:t>letter</w:t>
      </w:r>
      <w:r>
        <w:rPr>
          <w:color w:val="2E97D3"/>
          <w:spacing w:val="-5"/>
          <w:sz w:val="24"/>
          <w:u w:val="single" w:color="2E97D3"/>
        </w:rPr>
        <w:t> </w:t>
      </w:r>
      <w:r>
        <w:rPr>
          <w:color w:val="2E97D3"/>
          <w:sz w:val="24"/>
          <w:u w:val="single" w:color="2E97D3"/>
        </w:rPr>
        <w:t>if</w:t>
      </w:r>
      <w:r>
        <w:rPr>
          <w:color w:val="2E97D3"/>
          <w:spacing w:val="-3"/>
          <w:sz w:val="24"/>
          <w:u w:val="single" w:color="2E97D3"/>
        </w:rPr>
        <w:t> </w:t>
      </w:r>
      <w:r>
        <w:rPr>
          <w:color w:val="2E97D3"/>
          <w:sz w:val="24"/>
          <w:u w:val="single" w:color="2E97D3"/>
        </w:rPr>
        <w:t>a</w:t>
      </w:r>
      <w:r>
        <w:rPr>
          <w:color w:val="2E97D3"/>
          <w:spacing w:val="-3"/>
          <w:sz w:val="24"/>
          <w:u w:val="single" w:color="2E97D3"/>
        </w:rPr>
        <w:t> </w:t>
      </w:r>
      <w:r>
        <w:rPr>
          <w:color w:val="2E97D3"/>
          <w:sz w:val="24"/>
          <w:u w:val="single" w:color="2E97D3"/>
        </w:rPr>
        <w:t>proposed</w:t>
      </w:r>
      <w:r>
        <w:rPr>
          <w:color w:val="2E97D3"/>
          <w:spacing w:val="-3"/>
          <w:sz w:val="24"/>
          <w:u w:val="single" w:color="2E97D3"/>
        </w:rPr>
        <w:t> </w:t>
      </w:r>
      <w:r>
        <w:rPr>
          <w:color w:val="2E97D3"/>
          <w:sz w:val="24"/>
          <w:u w:val="single" w:color="2E97D3"/>
        </w:rPr>
        <w:t>scope</w:t>
      </w:r>
      <w:r>
        <w:rPr>
          <w:color w:val="2E97D3"/>
          <w:spacing w:val="-8"/>
          <w:sz w:val="24"/>
          <w:u w:val="single" w:color="2E97D3"/>
        </w:rPr>
        <w:t> </w:t>
      </w:r>
      <w:r>
        <w:rPr>
          <w:color w:val="2E97D3"/>
          <w:sz w:val="24"/>
          <w:u w:val="single" w:color="2E97D3"/>
        </w:rPr>
        <w:t>change);</w:t>
      </w:r>
      <w:r>
        <w:rPr>
          <w:color w:val="2E97D3"/>
          <w:spacing w:val="-10"/>
          <w:sz w:val="24"/>
          <w:u w:val="single" w:color="2E97D3"/>
        </w:rPr>
        <w:t> </w:t>
      </w:r>
      <w:r>
        <w:rPr>
          <w:sz w:val="24"/>
        </w:rPr>
        <w:t>and</w:t>
      </w:r>
    </w:p>
    <w:p>
      <w:pPr>
        <w:pStyle w:val="ListParagraph"/>
        <w:numPr>
          <w:ilvl w:val="0"/>
          <w:numId w:val="121"/>
        </w:numPr>
        <w:tabs>
          <w:tab w:pos="1001" w:val="left" w:leader="none"/>
        </w:tabs>
        <w:spacing w:line="240" w:lineRule="auto" w:before="0" w:after="0"/>
        <w:ind w:left="1000" w:right="0" w:hanging="360"/>
        <w:jc w:val="left"/>
        <w:rPr>
          <w:sz w:val="24"/>
        </w:rPr>
      </w:pPr>
      <w:r>
        <w:rPr>
          <w:sz w:val="24"/>
        </w:rPr>
        <w:t>The fund to which savings will be</w:t>
      </w:r>
      <w:r>
        <w:rPr>
          <w:spacing w:val="-32"/>
          <w:sz w:val="24"/>
        </w:rPr>
        <w:t> </w:t>
      </w:r>
      <w:r>
        <w:rPr>
          <w:sz w:val="24"/>
        </w:rPr>
        <w:t>reverted.</w:t>
      </w:r>
    </w:p>
    <w:p>
      <w:pPr>
        <w:spacing w:after="0" w:line="240" w:lineRule="auto"/>
        <w:jc w:val="left"/>
        <w:rPr>
          <w:sz w:val="24"/>
        </w:rPr>
        <w:sectPr>
          <w:headerReference w:type="default" r:id="rId321"/>
          <w:pgSz w:w="12240" w:h="15840"/>
          <w:pgMar w:header="726" w:footer="858" w:top="1240" w:bottom="1040" w:left="420" w:right="1400"/>
        </w:sectPr>
      </w:pPr>
    </w:p>
    <w:p>
      <w:pPr>
        <w:pStyle w:val="BodyText"/>
        <w:spacing w:before="9"/>
        <w:rPr>
          <w:sz w:val="11"/>
        </w:rPr>
      </w:pPr>
    </w:p>
    <w:p>
      <w:pPr>
        <w:pStyle w:val="Heading2"/>
        <w:tabs>
          <w:tab w:pos="9739" w:val="left" w:leader="none"/>
        </w:tabs>
        <w:spacing w:before="93"/>
        <w:ind w:left="732"/>
      </w:pPr>
      <w:r>
        <w:rPr/>
        <w:pict>
          <v:line style="position:absolute;mso-position-horizontal-relative:page;mso-position-vertical-relative:paragraph;z-index:31072" from="26.76pt,18.665871pt" to="26.76pt,52.145871pt" stroked="true" strokeweight=".72pt" strokecolor="#000000">
            <v:stroke dashstyle="solid"/>
            <w10:wrap type="none"/>
          </v:line>
        </w:pict>
      </w:r>
      <w:bookmarkStart w:name="SCOPE CHANGES  6863" w:id="113"/>
      <w:bookmarkEnd w:id="113"/>
      <w:r>
        <w:rPr>
          <w:b w:val="0"/>
        </w:rPr>
      </w:r>
      <w:r>
        <w:rPr/>
        <w:t>SCOPE</w:t>
      </w:r>
      <w:r>
        <w:rPr>
          <w:spacing w:val="-2"/>
        </w:rPr>
        <w:t> </w:t>
      </w:r>
      <w:r>
        <w:rPr/>
        <w:t>CHANGES</w:t>
        <w:tab/>
        <w:t>6863</w:t>
      </w:r>
    </w:p>
    <w:p>
      <w:pPr>
        <w:pStyle w:val="BodyText"/>
        <w:ind w:left="746"/>
      </w:pPr>
      <w:r>
        <w:rPr/>
        <w:t>(Revised </w:t>
      </w:r>
      <w:r>
        <w:rPr>
          <w:strike/>
          <w:color w:val="2E97D3"/>
        </w:rPr>
        <w:t>5/1998</w:t>
      </w:r>
      <w:r>
        <w:rPr>
          <w:strike w:val="0"/>
          <w:color w:val="2E97D3"/>
          <w:u w:val="single" w:color="2E97D3"/>
        </w:rPr>
        <w:t>09/2017</w:t>
      </w:r>
      <w:r>
        <w:rPr>
          <w:strike w:val="0"/>
        </w:rPr>
        <w:t>)</w:t>
      </w:r>
    </w:p>
    <w:p>
      <w:pPr>
        <w:pStyle w:val="BodyText"/>
        <w:spacing w:before="115"/>
        <w:ind w:left="746" w:right="101"/>
      </w:pPr>
      <w:r>
        <w:rPr/>
        <w:pict>
          <v:line style="position:absolute;mso-position-horizontal-relative:page;mso-position-vertical-relative:paragraph;z-index:-441880" from="149.759995pt,14.185886pt" to="152.999995pt,14.185886pt" stroked="true" strokeweight=".6pt" strokecolor="#2e97d3">
            <v:stroke dashstyle="solid"/>
            <w10:wrap type="none"/>
          </v:line>
        </w:pict>
      </w:r>
      <w:r>
        <w:rPr/>
        <w:pict>
          <v:line style="position:absolute;mso-position-horizontal-relative:page;mso-position-vertical-relative:paragraph;z-index:-441856" from="132.479996pt,41.905888pt" to="135.719996pt,41.905888pt" stroked="true" strokeweight=".6pt" strokecolor="#2e97d3">
            <v:stroke dashstyle="solid"/>
            <w10:wrap type="none"/>
          </v:line>
        </w:pict>
      </w:r>
      <w:r>
        <w:rPr/>
        <w:pict>
          <v:line style="position:absolute;mso-position-horizontal-relative:page;mso-position-vertical-relative:paragraph;z-index:-441832" from="354pt,55.706387pt" to="357.24pt,55.706387pt" stroked="true" strokeweight=".599pt" strokecolor="#2e97d3">
            <v:stroke dashstyle="solid"/>
            <w10:wrap type="none"/>
          </v:line>
        </w:pict>
      </w:r>
      <w:r>
        <w:rPr/>
        <w:pict>
          <v:line style="position:absolute;mso-position-horizontal-relative:page;mso-position-vertical-relative:paragraph;z-index:-441808" from="488.519989pt,83.305885pt" to="491.879989pt,83.305885pt" stroked="true" strokeweight=".6pt" strokecolor="#2e97d3">
            <v:stroke dashstyle="solid"/>
            <w10:wrap type="none"/>
          </v:line>
        </w:pict>
      </w:r>
      <w:r>
        <w:rPr/>
        <w:pict>
          <v:line style="position:absolute;mso-position-horizontal-relative:page;mso-position-vertical-relative:paragraph;z-index:31096" from="26.76pt,33.684887pt" to="26.76pt,88.885887pt" stroked="true" strokeweight=".72pt" strokecolor="#000000">
            <v:stroke dashstyle="solid"/>
            <w10:wrap type="none"/>
          </v:line>
        </w:pict>
      </w:r>
      <w:r>
        <w:rPr/>
        <w:pict>
          <v:line style="position:absolute;mso-position-horizontal-relative:page;mso-position-vertical-relative:paragraph;z-index:31120" from="26.76pt,116.485886pt" to="26.76pt,177.685886pt" stroked="true" strokeweight=".72pt" strokecolor="#000000">
            <v:stroke dashstyle="solid"/>
            <w10:wrap type="none"/>
          </v:line>
        </w:pict>
      </w:r>
      <w:r>
        <w:rPr>
          <w:b/>
        </w:rPr>
        <w:t>What is scope? </w:t>
      </w:r>
      <w:r>
        <w:rPr/>
        <w:t>The scope of a project is </w:t>
      </w:r>
      <w:r>
        <w:rPr>
          <w:i/>
        </w:rPr>
        <w:t>what </w:t>
      </w:r>
      <w:r>
        <w:rPr/>
        <w:t>will be constructed (or acquired) and </w:t>
      </w:r>
      <w:r>
        <w:rPr>
          <w:i/>
        </w:rPr>
        <w:t>why</w:t>
      </w:r>
      <w:r>
        <w:rPr/>
        <w:t>. Thus, scope encompasses both the physical characteristics of the project and the intended program use. Scope is established initially in the COBCP, with key elements reiterated (or restricted) in supplemental language to the Budget Act. The preliminary plans</w:t>
      </w:r>
      <w:r>
        <w:rPr>
          <w:strike/>
          <w:color w:val="2E97D3"/>
        </w:rPr>
        <w:t>—</w:t>
      </w:r>
      <w:r>
        <w:rPr>
          <w:strike w:val="0"/>
          <w:color w:val="2E97D3"/>
          <w:u w:val="single" w:color="2E97D3"/>
        </w:rPr>
        <w:t>, </w:t>
      </w:r>
      <w:r>
        <w:rPr>
          <w:strike w:val="0"/>
        </w:rPr>
        <w:t>and later the working drawings </w:t>
      </w:r>
      <w:r>
        <w:rPr>
          <w:strike w:val="0"/>
          <w:color w:val="2E97D3"/>
          <w:u w:val="single" w:color="2E97D3"/>
        </w:rPr>
        <w:t>for design-bid-build projects, and performance criteria for design- build projects</w:t>
      </w:r>
      <w:r>
        <w:rPr>
          <w:strike w:val="0"/>
        </w:rPr>
        <w:t>—refine scope in terms of the physical characteristics of the project. The various information sources for a project’s scope are discussed in more detail in the following text.</w:t>
      </w:r>
    </w:p>
    <w:p>
      <w:pPr>
        <w:pStyle w:val="BodyText"/>
        <w:spacing w:before="120"/>
        <w:ind w:left="746" w:right="342"/>
      </w:pPr>
      <w:r>
        <w:rPr/>
        <w:pict>
          <v:line style="position:absolute;mso-position-horizontal-relative:page;mso-position-vertical-relative:paragraph;z-index:-441784" from="324.359985pt,14.435866pt" to="327.719985pt,14.435866pt" stroked="true" strokeweight=".6pt" strokecolor="#2e97d3">
            <v:stroke dashstyle="solid"/>
            <w10:wrap type="none"/>
          </v:line>
        </w:pict>
      </w:r>
      <w:r>
        <w:rPr>
          <w:b/>
        </w:rPr>
        <w:t>Scope changes require </w:t>
      </w:r>
      <w:r>
        <w:rPr>
          <w:b/>
          <w:strike/>
          <w:color w:val="2E97D3"/>
        </w:rPr>
        <w:t>DOF</w:t>
      </w:r>
      <w:r>
        <w:rPr>
          <w:b/>
          <w:strike w:val="0"/>
          <w:color w:val="2E97D3"/>
          <w:u w:val="thick" w:color="2E97D3"/>
        </w:rPr>
        <w:t>Finance </w:t>
      </w:r>
      <w:r>
        <w:rPr>
          <w:b/>
          <w:strike w:val="0"/>
        </w:rPr>
        <w:t>approval.  </w:t>
      </w:r>
      <w:r>
        <w:rPr>
          <w:strike w:val="0"/>
        </w:rPr>
        <w:t>Section </w:t>
      </w:r>
      <w:r>
        <w:rPr>
          <w:strike/>
          <w:color w:val="2E97D3"/>
          <w:u w:val="single" w:color="2E97D3"/>
        </w:rPr>
        <w:t>13332.11 </w:t>
      </w:r>
      <w:r>
        <w:rPr>
          <w:strike/>
          <w:color w:val="2E97D3"/>
        </w:rPr>
        <w:t>(b</w:t>
      </w:r>
      <w:r>
        <w:rPr>
          <w:strike w:val="0"/>
          <w:color w:val="2E97D3"/>
          <w:u w:val="single" w:color="2E97D3"/>
        </w:rPr>
        <w:t>13332.11(c</w:t>
      </w:r>
      <w:r>
        <w:rPr>
          <w:strike w:val="0"/>
        </w:rPr>
        <w:t>) of the Government Code states that </w:t>
      </w:r>
      <w:r>
        <w:rPr>
          <w:strike/>
          <w:color w:val="2E97D3"/>
        </w:rPr>
        <w:t>“no</w:t>
      </w:r>
      <w:r>
        <w:rPr>
          <w:strike w:val="0"/>
          <w:color w:val="2E97D3"/>
          <w:u w:val="single" w:color="2E97D3"/>
        </w:rPr>
        <w:t>”a </w:t>
      </w:r>
      <w:r>
        <w:rPr>
          <w:strike w:val="0"/>
        </w:rPr>
        <w:t>substantial change shall </w:t>
      </w:r>
      <w:r>
        <w:rPr>
          <w:strike w:val="0"/>
          <w:color w:val="2E97D3"/>
          <w:u w:val="single" w:color="2E97D3"/>
        </w:rPr>
        <w:t>not </w:t>
      </w:r>
      <w:r>
        <w:rPr>
          <w:strike w:val="0"/>
        </w:rPr>
        <w:t>be made from the preliminary plans or working drawings </w:t>
      </w:r>
      <w:r>
        <w:rPr>
          <w:strike/>
          <w:color w:val="2E97D3"/>
        </w:rPr>
        <w:t>as approved by the State Public Works Board and the Department of Finance </w:t>
      </w:r>
      <w:r>
        <w:rPr>
          <w:strike w:val="0"/>
        </w:rPr>
        <w:t>without written approval by the Department of Finance</w:t>
      </w:r>
      <w:r>
        <w:rPr>
          <w:strike/>
          <w:color w:val="2E97D3"/>
        </w:rPr>
        <w:t>.” </w:t>
      </w:r>
      <w:r>
        <w:rPr>
          <w:strike w:val="0"/>
          <w:color w:val="2E97D3"/>
          <w:u w:val="single" w:color="2E97D3"/>
        </w:rPr>
        <w:t>”.</w:t>
      </w:r>
    </w:p>
    <w:p>
      <w:pPr>
        <w:pStyle w:val="BodyText"/>
        <w:ind w:left="746" w:right="582"/>
      </w:pPr>
      <w:r>
        <w:rPr/>
        <w:pict>
          <v:line style="position:absolute;mso-position-horizontal-relative:page;mso-position-vertical-relative:paragraph;z-index:31144" from="26.76pt,27.93585pt" to="26.76pt,75.21585pt" stroked="true" strokeweight=".72pt" strokecolor="#000000">
            <v:stroke dashstyle="solid"/>
            <w10:wrap type="none"/>
          </v:line>
        </w:pict>
      </w:r>
      <w:r>
        <w:rPr/>
        <w:t>This approval must be granted </w:t>
      </w:r>
      <w:r>
        <w:rPr>
          <w:i/>
        </w:rPr>
        <w:t>before </w:t>
      </w:r>
      <w:r>
        <w:rPr/>
        <w:t>the department can make any expenditures to redesign the project or to revise the plans, unless those revisions are authorized in the </w:t>
      </w:r>
      <w:r>
        <w:rPr>
          <w:strike/>
          <w:color w:val="2E97D3"/>
        </w:rPr>
        <w:t>budget act</w:t>
      </w:r>
      <w:r>
        <w:rPr>
          <w:strike w:val="0"/>
          <w:color w:val="2E97D3"/>
          <w:u w:val="single" w:color="2E97D3"/>
        </w:rPr>
        <w:t>Budget Act </w:t>
      </w:r>
      <w:r>
        <w:rPr>
          <w:strike w:val="0"/>
        </w:rPr>
        <w:t>or other subsequent legislation.</w:t>
      </w:r>
    </w:p>
    <w:p>
      <w:pPr>
        <w:pStyle w:val="BodyText"/>
        <w:spacing w:before="120"/>
        <w:ind w:left="746" w:right="342"/>
      </w:pPr>
      <w:r>
        <w:rPr/>
        <w:pict>
          <v:line style="position:absolute;mso-position-horizontal-relative:page;mso-position-vertical-relative:paragraph;z-index:-441760" from="508.799988pt,28.235855pt" to="512.160988pt,28.235855pt" stroked="true" strokeweight=".6pt" strokecolor="#2e97d3">
            <v:stroke dashstyle="solid"/>
            <w10:wrap type="none"/>
          </v:line>
        </w:pict>
      </w:r>
      <w:r>
        <w:rPr/>
        <w:pict>
          <v:line style="position:absolute;mso-position-horizontal-relative:page;mso-position-vertical-relative:paragraph;z-index:31168" from="26.76pt,47.616856pt" to="26.76pt,81.335856pt" stroked="true" strokeweight=".72pt" strokecolor="#000000">
            <v:stroke dashstyle="solid"/>
            <w10:wrap type="none"/>
          </v:line>
        </w:pict>
      </w:r>
      <w:r>
        <w:rPr>
          <w:strike/>
          <w:color w:val="2E97D3"/>
        </w:rPr>
        <w:t>Subparagraph (9) of Section</w:t>
      </w:r>
      <w:r>
        <w:rPr>
          <w:strike w:val="0"/>
          <w:color w:val="2E97D3"/>
          <w:u w:val="single" w:color="2E97D3"/>
        </w:rPr>
        <w:t>Sections </w:t>
      </w:r>
      <w:r>
        <w:rPr>
          <w:strike w:val="0"/>
        </w:rPr>
        <w:t>13332.11 </w:t>
      </w:r>
      <w:r>
        <w:rPr>
          <w:strike/>
          <w:color w:val="2E97D3"/>
        </w:rPr>
        <w:t>(b) requires DOF</w:t>
      </w:r>
      <w:r>
        <w:rPr>
          <w:strike w:val="0"/>
          <w:color w:val="2E97D3"/>
          <w:u w:val="single" w:color="2E97D3"/>
        </w:rPr>
        <w:t>(h)(2) and 13332.19(g)(2) require Finance </w:t>
      </w:r>
      <w:r>
        <w:rPr>
          <w:strike w:val="0"/>
        </w:rPr>
        <w:t>to report approved scope changes to the Legislature. In practice, this restriction and related notification requirement </w:t>
      </w:r>
      <w:r>
        <w:rPr>
          <w:i/>
          <w:strike w:val="0"/>
        </w:rPr>
        <w:t>begins with project </w:t>
      </w:r>
      <w:r>
        <w:rPr>
          <w:i/>
          <w:strike w:val="0"/>
        </w:rPr>
        <w:t>authorization</w:t>
      </w:r>
      <w:r>
        <w:rPr>
          <w:strike w:val="0"/>
        </w:rPr>
        <w:t>, even before preliminary plans are considered by PWB.</w:t>
      </w:r>
    </w:p>
    <w:p>
      <w:pPr>
        <w:pStyle w:val="BodyText"/>
        <w:spacing w:before="125"/>
        <w:ind w:left="746"/>
      </w:pPr>
      <w:r>
        <w:rPr/>
        <w:pict>
          <v:line style="position:absolute;mso-position-horizontal-relative:page;mso-position-vertical-relative:paragraph;z-index:-441736" from="175.800003pt,42.28635pt" to="179.040003pt,42.28635pt" stroked="true" strokeweight=".599pt" strokecolor="#2e97d3">
            <v:stroke dashstyle="solid"/>
            <w10:wrap type="none"/>
          </v:line>
        </w:pict>
      </w:r>
      <w:r>
        <w:rPr/>
        <w:pict>
          <v:line style="position:absolute;mso-position-horizontal-relative:page;mso-position-vertical-relative:paragraph;z-index:31192" from="26.76pt,34.065849pt" to="26.76pt,47.865849pt" stroked="true" strokeweight=".72pt" strokecolor="#000000">
            <v:stroke dashstyle="solid"/>
            <w10:wrap type="none"/>
          </v:line>
        </w:pict>
      </w:r>
      <w:r>
        <w:rPr/>
        <w:pict>
          <v:line style="position:absolute;mso-position-horizontal-relative:page;mso-position-vertical-relative:paragraph;z-index:31216" from="26.76pt,61.665848pt" to="26.76pt,81.465848pt" stroked="true" strokeweight=".72pt" strokecolor="#000000">
            <v:stroke dashstyle="solid"/>
            <w10:wrap type="none"/>
          </v:line>
        </w:pict>
      </w:r>
      <w:r>
        <w:rPr/>
        <w:t>After </w:t>
      </w:r>
      <w:r>
        <w:rPr>
          <w:strike/>
          <w:color w:val="2E97D3"/>
        </w:rPr>
        <w:t>DOF</w:t>
      </w:r>
      <w:r>
        <w:rPr>
          <w:strike w:val="0"/>
          <w:color w:val="2E97D3"/>
          <w:u w:val="single" w:color="2E97D3"/>
        </w:rPr>
        <w:t>Finance </w:t>
      </w:r>
      <w:r>
        <w:rPr>
          <w:strike w:val="0"/>
        </w:rPr>
        <w:t>approves a scope change and the Legislature has been noticed, PWB “recognizes” the scope change in a board item, incorporating it into the board’s official record for the project. As appropriate, PWB may also require that a formal revision to the preliminary plans be submitted for approval.</w:t>
      </w:r>
    </w:p>
    <w:p>
      <w:pPr>
        <w:pStyle w:val="BodyText"/>
        <w:spacing w:before="120"/>
        <w:ind w:left="746" w:right="147"/>
      </w:pPr>
      <w:r>
        <w:rPr/>
        <w:pict>
          <v:line style="position:absolute;mso-position-horizontal-relative:page;mso-position-vertical-relative:paragraph;z-index:-441712" from="380.640015pt,42.036366pt" to="383.880015pt,42.036366pt" stroked="true" strokeweight=".599pt" strokecolor="#2e97d3">
            <v:stroke dashstyle="solid"/>
            <w10:wrap type="none"/>
          </v:line>
        </w:pict>
      </w:r>
      <w:r>
        <w:rPr/>
        <w:pict>
          <v:line style="position:absolute;mso-position-horizontal-relative:page;mso-position-vertical-relative:paragraph;z-index:-441688" from="271.559998pt,55.835865pt" to="274.920998pt,55.835865pt" stroked="true" strokeweight=".6pt" strokecolor="#2e97d3">
            <v:stroke dashstyle="solid"/>
            <w10:wrap type="none"/>
          </v:line>
        </w:pict>
      </w:r>
      <w:r>
        <w:rPr/>
        <w:pict>
          <v:line style="position:absolute;mso-position-horizontal-relative:page;mso-position-vertical-relative:paragraph;z-index:31240" from="26.76pt,33.816868pt" to="26.76pt,164.015868pt" stroked="true" strokeweight=".72pt" strokecolor="#000000">
            <v:stroke dashstyle="solid"/>
            <w10:wrap type="none"/>
          </v:line>
        </w:pict>
      </w:r>
      <w:r>
        <w:rPr>
          <w:b/>
        </w:rPr>
        <w:t>When is a proposed change </w:t>
      </w:r>
      <w:r>
        <w:rPr>
          <w:b/>
          <w:i/>
        </w:rPr>
        <w:t>substantial</w:t>
      </w:r>
      <w:r>
        <w:rPr>
          <w:b/>
        </w:rPr>
        <w:t>? </w:t>
      </w:r>
      <w:r>
        <w:rPr>
          <w:strike/>
          <w:color w:val="2E97D3"/>
        </w:rPr>
        <w:t>DOF</w:t>
      </w:r>
      <w:r>
        <w:rPr>
          <w:strike w:val="0"/>
          <w:color w:val="2E97D3"/>
          <w:u w:val="single" w:color="2E97D3"/>
        </w:rPr>
        <w:t>Finance </w:t>
      </w:r>
      <w:r>
        <w:rPr>
          <w:strike w:val="0"/>
        </w:rPr>
        <w:t>determines whether a proposed change is substantial and therefore a scope change, based on a review of the facts on a case-by-case basis and in consideration of legislative intent.  Therefore, it is not practical to publish absolute definitions for scope. However, administrative guidelines follow for determining which project changes should be discussed with </w:t>
      </w:r>
      <w:r>
        <w:rPr>
          <w:strike/>
          <w:color w:val="2E97D3"/>
        </w:rPr>
        <w:t>DOF</w:t>
      </w:r>
      <w:r>
        <w:rPr>
          <w:strike w:val="0"/>
          <w:color w:val="2E97D3"/>
          <w:u w:val="single" w:color="2E97D3"/>
        </w:rPr>
        <w:t>Finance </w:t>
      </w:r>
      <w:r>
        <w:rPr>
          <w:strike w:val="0"/>
        </w:rPr>
        <w:t>to assess their significance.</w:t>
      </w:r>
    </w:p>
    <w:p>
      <w:pPr>
        <w:pStyle w:val="BodyText"/>
        <w:spacing w:before="120"/>
        <w:ind w:left="746" w:right="342"/>
      </w:pPr>
      <w:r>
        <w:rPr/>
        <w:pict>
          <v:line style="position:absolute;mso-position-horizontal-relative:page;mso-position-vertical-relative:paragraph;z-index:-441664" from="486.480011pt,14.436363pt" to="489.720011pt,14.436363pt" stroked="true" strokeweight=".599pt" strokecolor="#2e97d3">
            <v:stroke dashstyle="solid"/>
            <w10:wrap type="none"/>
          </v:line>
        </w:pict>
      </w:r>
      <w:r>
        <w:rPr/>
        <w:pict>
          <v:line style="position:absolute;mso-position-horizontal-relative:page;mso-position-vertical-relative:paragraph;z-index:-441640" from="360.600006pt,55.715862pt" to="363.960006pt,55.715862pt" stroked="true" strokeweight=".6pt" strokecolor="#2e97d3">
            <v:stroke dashstyle="solid"/>
            <w10:wrap type="none"/>
          </v:line>
        </w:pict>
      </w:r>
      <w:r>
        <w:rPr/>
        <w:pict>
          <v:line style="position:absolute;mso-position-horizontal-relative:page;mso-position-vertical-relative:paragraph;z-index:-441616" from="468.600006pt,69.635864pt" to="471.840006pt,69.635864pt" stroked="true" strokeweight=".6pt" strokecolor="#2e97d3">
            <v:stroke dashstyle="solid"/>
            <w10:wrap type="none"/>
          </v:line>
        </w:pict>
      </w:r>
      <w:r>
        <w:rPr>
          <w:b/>
        </w:rPr>
        <w:t>Guidelines to determine which project changes are </w:t>
      </w:r>
      <w:r>
        <w:rPr>
          <w:b/>
          <w:i/>
        </w:rPr>
        <w:t>potentially </w:t>
      </w:r>
      <w:r>
        <w:rPr>
          <w:b/>
        </w:rPr>
        <w:t>substantial: </w:t>
      </w:r>
      <w:r>
        <w:rPr/>
        <w:t>The </w:t>
      </w:r>
      <w:r>
        <w:rPr>
          <w:strike/>
          <w:color w:val="2E97D3"/>
        </w:rPr>
        <w:t>client </w:t>
      </w:r>
      <w:r>
        <w:rPr>
          <w:strike w:val="0"/>
        </w:rPr>
        <w:t>department is required to report to </w:t>
      </w:r>
      <w:r>
        <w:rPr>
          <w:strike/>
          <w:color w:val="2E97D3"/>
        </w:rPr>
        <w:t>DOF</w:t>
      </w:r>
      <w:r>
        <w:rPr>
          <w:strike w:val="0"/>
          <w:color w:val="2E97D3"/>
          <w:u w:val="single" w:color="2E97D3"/>
        </w:rPr>
        <w:t>Finance </w:t>
      </w:r>
      <w:r>
        <w:rPr>
          <w:strike w:val="0"/>
        </w:rPr>
        <w:t>any proposed project change as outlined in the following text. </w:t>
      </w:r>
      <w:r>
        <w:rPr>
          <w:strike/>
          <w:color w:val="2E97D3"/>
        </w:rPr>
        <w:t>DOF</w:t>
      </w:r>
      <w:r>
        <w:rPr>
          <w:strike w:val="0"/>
          <w:color w:val="2E97D3"/>
          <w:u w:val="single" w:color="2E97D3"/>
        </w:rPr>
        <w:t>Finance </w:t>
      </w:r>
      <w:r>
        <w:rPr>
          <w:strike w:val="0"/>
        </w:rPr>
        <w:t>will work with the </w:t>
      </w:r>
      <w:r>
        <w:rPr>
          <w:strike/>
          <w:color w:val="2E97D3"/>
        </w:rPr>
        <w:t>client </w:t>
      </w:r>
      <w:r>
        <w:rPr>
          <w:strike w:val="0"/>
        </w:rPr>
        <w:t>department to assess whether the change </w:t>
      </w:r>
      <w:r>
        <w:rPr>
          <w:strike/>
          <w:color w:val="2E97D3"/>
        </w:rPr>
        <w:t>meets the definition of</w:t>
      </w:r>
      <w:r>
        <w:rPr>
          <w:strike w:val="0"/>
          <w:color w:val="2E97D3"/>
          <w:u w:val="single" w:color="2E97D3"/>
        </w:rPr>
        <w:t>is </w:t>
      </w:r>
      <w:r>
        <w:rPr>
          <w:strike w:val="0"/>
        </w:rPr>
        <w:t>substantial</w:t>
      </w:r>
      <w:r>
        <w:rPr>
          <w:i/>
          <w:strike w:val="0"/>
        </w:rPr>
        <w:t>. </w:t>
      </w:r>
      <w:r>
        <w:rPr>
          <w:strike w:val="0"/>
        </w:rPr>
        <w:t>(The initial report can be made by phone or e-mail; </w:t>
      </w:r>
      <w:r>
        <w:rPr>
          <w:strike/>
          <w:color w:val="2E97D3"/>
        </w:rPr>
        <w:t>DOF</w:t>
      </w:r>
      <w:r>
        <w:rPr>
          <w:strike w:val="0"/>
          <w:color w:val="2E97D3"/>
          <w:u w:val="single" w:color="2E97D3"/>
        </w:rPr>
        <w:t>Finance </w:t>
      </w:r>
      <w:r>
        <w:rPr>
          <w:strike w:val="0"/>
        </w:rPr>
        <w:t>may require written follow-up for its records. For changes deemed to be scope adjustments, the client department must submit all information required at the end of this section.)</w:t>
      </w:r>
    </w:p>
    <w:p>
      <w:pPr>
        <w:pStyle w:val="BodyText"/>
        <w:rPr>
          <w:sz w:val="26"/>
        </w:rPr>
      </w:pPr>
    </w:p>
    <w:p>
      <w:pPr>
        <w:pStyle w:val="BodyText"/>
        <w:spacing w:before="217"/>
        <w:ind w:left="746"/>
      </w:pPr>
      <w:r>
        <w:rPr/>
        <w:pict>
          <v:line style="position:absolute;mso-position-horizontal-relative:page;mso-position-vertical-relative:paragraph;z-index:31264" from="26.76pt,24.865862pt" to="26.76pt,50.785862pt" stroked="true" strokeweight=".72pt" strokecolor="#000000">
            <v:stroke dashstyle="solid"/>
            <w10:wrap type="none"/>
          </v:line>
        </w:pict>
      </w:r>
      <w:r>
        <w:rPr/>
        <w:t>(Continued)</w:t>
      </w:r>
    </w:p>
    <w:p>
      <w:pPr>
        <w:spacing w:after="0"/>
        <w:sectPr>
          <w:pgSz w:w="12240" w:h="15840"/>
          <w:pgMar w:header="726" w:footer="858" w:top="1260" w:bottom="1040" w:left="420" w:right="1320"/>
        </w:sectPr>
      </w:pPr>
    </w:p>
    <w:p>
      <w:pPr>
        <w:pStyle w:val="BodyText"/>
        <w:spacing w:before="1"/>
        <w:rPr>
          <w:sz w:val="9"/>
        </w:rPr>
      </w:pPr>
    </w:p>
    <w:p>
      <w:pPr>
        <w:pStyle w:val="BodyText"/>
        <w:spacing w:line="275" w:lineRule="exact" w:before="92"/>
        <w:ind w:left="746"/>
      </w:pPr>
      <w:r>
        <w:rPr/>
        <w:pict>
          <v:line style="position:absolute;mso-position-horizontal-relative:page;mso-position-vertical-relative:paragraph;z-index:31504" from="26.76pt,18.495872pt" to="26.76pt,46.095872pt" stroked="true" strokeweight=".72pt" strokecolor="#000000">
            <v:stroke dashstyle="solid"/>
            <w10:wrap type="none"/>
          </v:line>
        </w:pict>
      </w:r>
      <w:r>
        <w:rPr/>
        <w:t>(Continued)</w:t>
      </w:r>
    </w:p>
    <w:p>
      <w:pPr>
        <w:tabs>
          <w:tab w:pos="8846" w:val="left" w:leader="none"/>
        </w:tabs>
        <w:spacing w:line="275" w:lineRule="exact" w:before="0"/>
        <w:ind w:left="746" w:right="0" w:firstLine="0"/>
        <w:jc w:val="left"/>
        <w:rPr>
          <w:sz w:val="24"/>
        </w:rPr>
      </w:pPr>
      <w:r>
        <w:rPr/>
        <w:pict>
          <v:line style="position:absolute;mso-position-horizontal-relative:page;mso-position-vertical-relative:paragraph;z-index:-441256" from="163.559998pt,8.376461pt" to="166.920998pt,8.376461pt" stroked="true" strokeweight=".6pt" strokecolor="#2e97d3">
            <v:stroke dashstyle="solid"/>
            <w10:wrap type="none"/>
          </v:line>
        </w:pict>
      </w:r>
      <w:r>
        <w:rPr>
          <w:b/>
          <w:sz w:val="24"/>
        </w:rPr>
        <w:t>SCOPE</w:t>
      </w:r>
      <w:r>
        <w:rPr>
          <w:b/>
          <w:spacing w:val="-5"/>
          <w:sz w:val="24"/>
        </w:rPr>
        <w:t> </w:t>
      </w:r>
      <w:r>
        <w:rPr>
          <w:b/>
          <w:sz w:val="24"/>
        </w:rPr>
        <w:t>CHANGES</w:t>
        <w:tab/>
        <w:t>6863 </w:t>
      </w:r>
      <w:r>
        <w:rPr>
          <w:sz w:val="24"/>
        </w:rPr>
        <w:t>(Cont.</w:t>
      </w:r>
      <w:r>
        <w:rPr>
          <w:spacing w:val="-11"/>
          <w:sz w:val="24"/>
        </w:rPr>
        <w:t> </w:t>
      </w:r>
      <w:r>
        <w:rPr>
          <w:sz w:val="24"/>
        </w:rPr>
        <w:t>1)</w:t>
      </w:r>
    </w:p>
    <w:p>
      <w:pPr>
        <w:pStyle w:val="BodyText"/>
        <w:ind w:left="746"/>
      </w:pPr>
      <w:r>
        <w:rPr/>
        <w:t>(Revised </w:t>
      </w:r>
      <w:r>
        <w:rPr>
          <w:strike/>
          <w:color w:val="2E97D3"/>
        </w:rPr>
        <w:t>5/1998</w:t>
      </w:r>
      <w:r>
        <w:rPr>
          <w:strike w:val="0"/>
          <w:color w:val="2E97D3"/>
          <w:u w:val="single" w:color="2E97D3"/>
        </w:rPr>
        <w:t>09/2017</w:t>
      </w:r>
      <w:r>
        <w:rPr>
          <w:strike w:val="0"/>
        </w:rPr>
        <w:t>)</w:t>
      </w:r>
    </w:p>
    <w:p>
      <w:pPr>
        <w:pStyle w:val="BodyText"/>
        <w:spacing w:before="6"/>
        <w:rPr>
          <w:sz w:val="16"/>
        </w:rPr>
      </w:pPr>
    </w:p>
    <w:p>
      <w:pPr>
        <w:pStyle w:val="BodyText"/>
        <w:spacing w:before="93"/>
        <w:ind w:left="746" w:right="1096"/>
      </w:pPr>
      <w:r>
        <w:rPr/>
        <w:pict>
          <v:line style="position:absolute;mso-position-horizontal-relative:page;mso-position-vertical-relative:paragraph;z-index:31528" from="26.76pt,4.865869pt" to="26.76pt,18.665869pt" stroked="true" strokeweight=".72pt" strokecolor="#000000">
            <v:stroke dashstyle="solid"/>
            <w10:wrap type="none"/>
          </v:line>
        </w:pict>
      </w:r>
      <w:r>
        <w:rPr/>
        <w:t>A </w:t>
      </w:r>
      <w:r>
        <w:rPr>
          <w:strike/>
          <w:color w:val="2E97D3"/>
        </w:rPr>
        <w:t>client </w:t>
      </w:r>
      <w:r>
        <w:rPr>
          <w:strike w:val="0"/>
        </w:rPr>
        <w:t>department must discuss the following with its </w:t>
      </w:r>
      <w:r>
        <w:rPr>
          <w:strike/>
          <w:color w:val="2E97D3"/>
        </w:rPr>
        <w:t>DOF</w:t>
      </w:r>
      <w:r>
        <w:rPr>
          <w:strike w:val="0"/>
          <w:color w:val="2E97D3"/>
          <w:u w:val="single" w:color="2E97D3"/>
        </w:rPr>
        <w:t>Finance </w:t>
      </w:r>
      <w:r>
        <w:rPr>
          <w:strike w:val="0"/>
        </w:rPr>
        <w:t>capital outlay analyst to determine whether a scope change would result:</w:t>
      </w:r>
    </w:p>
    <w:p>
      <w:pPr>
        <w:pStyle w:val="ListParagraph"/>
        <w:numPr>
          <w:ilvl w:val="1"/>
          <w:numId w:val="121"/>
        </w:numPr>
        <w:tabs>
          <w:tab w:pos="1107" w:val="left" w:leader="none"/>
        </w:tabs>
        <w:spacing w:line="240" w:lineRule="auto" w:before="120" w:after="0"/>
        <w:ind w:left="1106" w:right="0" w:hanging="360"/>
        <w:jc w:val="left"/>
        <w:rPr>
          <w:sz w:val="24"/>
        </w:rPr>
      </w:pPr>
      <w:r>
        <w:rPr/>
        <w:pict>
          <v:line style="position:absolute;mso-position-horizontal-relative:page;mso-position-vertical-relative:paragraph;z-index:31552" from="26.76pt,19.895832pt" to="26.76pt,59.495832pt" stroked="true" strokeweight=".72pt" strokecolor="#000000">
            <v:stroke dashstyle="solid"/>
            <w10:wrap type="none"/>
          </v:line>
        </w:pict>
      </w:r>
      <w:r>
        <w:rPr>
          <w:sz w:val="24"/>
        </w:rPr>
        <w:t>Changes to the </w:t>
      </w:r>
      <w:r>
        <w:rPr>
          <w:b/>
          <w:sz w:val="24"/>
        </w:rPr>
        <w:t>approved program use</w:t>
      </w:r>
      <w:r>
        <w:rPr>
          <w:sz w:val="24"/>
        </w:rPr>
        <w:t>, as defined</w:t>
      </w:r>
      <w:r>
        <w:rPr>
          <w:spacing w:val="-42"/>
          <w:sz w:val="24"/>
        </w:rPr>
        <w:t> </w:t>
      </w:r>
      <w:r>
        <w:rPr>
          <w:sz w:val="24"/>
        </w:rPr>
        <w:t>by:</w:t>
      </w:r>
    </w:p>
    <w:p>
      <w:pPr>
        <w:pStyle w:val="BodyText"/>
        <w:spacing w:before="7"/>
        <w:rPr>
          <w:sz w:val="20"/>
        </w:rPr>
      </w:pPr>
    </w:p>
    <w:p>
      <w:pPr>
        <w:pStyle w:val="ListParagraph"/>
        <w:numPr>
          <w:ilvl w:val="2"/>
          <w:numId w:val="121"/>
        </w:numPr>
        <w:tabs>
          <w:tab w:pos="1467" w:val="left" w:leader="none"/>
        </w:tabs>
        <w:spacing w:line="240" w:lineRule="auto" w:before="0" w:after="0"/>
        <w:ind w:left="1466" w:right="428" w:hanging="360"/>
        <w:jc w:val="left"/>
        <w:rPr>
          <w:sz w:val="24"/>
        </w:rPr>
      </w:pPr>
      <w:r>
        <w:rPr/>
        <w:pict>
          <v:line style="position:absolute;mso-position-horizontal-relative:page;mso-position-vertical-relative:paragraph;z-index:-441232" from="297.239990pt,8.436339pt" to="300.59999pt,8.436339pt" stroked="true" strokeweight=".599pt" strokecolor="#2e97d3">
            <v:stroke dashstyle="solid"/>
            <w10:wrap type="none"/>
          </v:line>
        </w:pict>
      </w:r>
      <w:r>
        <w:rPr/>
        <w:pict>
          <v:line style="position:absolute;mso-position-horizontal-relative:page;mso-position-vertical-relative:paragraph;z-index:31576" from="26.76pt,41.615841pt" to="26.76pt,55.415841pt" stroked="true" strokeweight=".72pt" strokecolor="#000000">
            <v:stroke dashstyle="solid"/>
            <w10:wrap type="none"/>
          </v:line>
        </w:pict>
      </w:r>
      <w:r>
        <w:rPr>
          <w:sz w:val="24"/>
        </w:rPr>
        <w:t>Assigned program space for facilities. Any change which would add </w:t>
      </w:r>
      <w:r>
        <w:rPr>
          <w:color w:val="2E97D3"/>
          <w:sz w:val="24"/>
          <w:u w:val="single" w:color="2E97D3"/>
        </w:rPr>
        <w:t>or lessen </w:t>
      </w:r>
      <w:r>
        <w:rPr>
          <w:sz w:val="24"/>
        </w:rPr>
        <w:t>space for a new function, </w:t>
      </w:r>
      <w:r>
        <w:rPr>
          <w:strike/>
          <w:color w:val="2E97D3"/>
          <w:sz w:val="24"/>
        </w:rPr>
        <w:t>increase</w:t>
      </w:r>
      <w:r>
        <w:rPr>
          <w:strike w:val="0"/>
          <w:color w:val="2E97D3"/>
          <w:sz w:val="24"/>
          <w:u w:val="single" w:color="2E97D3"/>
        </w:rPr>
        <w:t>change </w:t>
      </w:r>
      <w:r>
        <w:rPr>
          <w:strike w:val="0"/>
          <w:sz w:val="24"/>
        </w:rPr>
        <w:t>capacity for a program activity, use space for a function or activity different than originally intended, or alter the ratios in multi-use space, is reportable to </w:t>
      </w:r>
      <w:r>
        <w:rPr>
          <w:strike/>
          <w:color w:val="2E97D3"/>
          <w:sz w:val="24"/>
        </w:rPr>
        <w:t>DOF</w:t>
      </w:r>
      <w:r>
        <w:rPr>
          <w:strike w:val="0"/>
          <w:color w:val="2E97D3"/>
          <w:sz w:val="24"/>
          <w:u w:val="single" w:color="2E97D3"/>
        </w:rPr>
        <w:t>Finance </w:t>
      </w:r>
      <w:r>
        <w:rPr>
          <w:strike w:val="0"/>
          <w:sz w:val="24"/>
        </w:rPr>
        <w:t>for evaluation as a </w:t>
      </w:r>
      <w:r>
        <w:rPr>
          <w:i/>
          <w:strike w:val="0"/>
          <w:sz w:val="24"/>
        </w:rPr>
        <w:t>potential </w:t>
      </w:r>
      <w:r>
        <w:rPr>
          <w:strike w:val="0"/>
          <w:sz w:val="24"/>
        </w:rPr>
        <w:t>scope</w:t>
      </w:r>
      <w:r>
        <w:rPr>
          <w:strike w:val="0"/>
          <w:spacing w:val="-23"/>
          <w:sz w:val="24"/>
        </w:rPr>
        <w:t> </w:t>
      </w:r>
      <w:r>
        <w:rPr>
          <w:strike w:val="0"/>
          <w:sz w:val="24"/>
        </w:rPr>
        <w:t>change;</w:t>
      </w:r>
    </w:p>
    <w:p>
      <w:pPr>
        <w:pStyle w:val="BodyText"/>
        <w:ind w:left="107"/>
        <w:rPr>
          <w:sz w:val="20"/>
        </w:rPr>
      </w:pPr>
      <w:r>
        <w:rPr>
          <w:sz w:val="20"/>
        </w:rPr>
        <w:pict>
          <v:group style="width:.75pt;height:12.9pt;mso-position-horizontal-relative:char;mso-position-vertical-relative:line" coordorigin="0,0" coordsize="15,258">
            <v:line style="position:absolute" from="8,8" to="8,250" stroked="true" strokeweight=".72pt" strokecolor="#000000">
              <v:stroke dashstyle="solid"/>
            </v:line>
          </v:group>
        </w:pict>
      </w:r>
      <w:r>
        <w:rPr>
          <w:sz w:val="20"/>
        </w:rPr>
      </w:r>
    </w:p>
    <w:p>
      <w:pPr>
        <w:pStyle w:val="ListParagraph"/>
        <w:numPr>
          <w:ilvl w:val="2"/>
          <w:numId w:val="121"/>
        </w:numPr>
        <w:tabs>
          <w:tab w:pos="1467" w:val="left" w:leader="none"/>
        </w:tabs>
        <w:spacing w:line="240" w:lineRule="auto" w:before="0" w:after="0"/>
        <w:ind w:left="1466" w:right="0" w:hanging="360"/>
        <w:jc w:val="left"/>
        <w:rPr>
          <w:sz w:val="24"/>
        </w:rPr>
      </w:pPr>
      <w:r>
        <w:rPr>
          <w:sz w:val="24"/>
        </w:rPr>
        <w:t>Land use purpose for acquisition projects;</w:t>
      </w:r>
      <w:r>
        <w:rPr>
          <w:spacing w:val="-46"/>
          <w:sz w:val="24"/>
        </w:rPr>
        <w:t> </w:t>
      </w:r>
      <w:r>
        <w:rPr>
          <w:sz w:val="24"/>
        </w:rPr>
        <w:t>and</w:t>
      </w:r>
    </w:p>
    <w:p>
      <w:pPr>
        <w:pStyle w:val="BodyText"/>
        <w:ind w:left="107"/>
        <w:rPr>
          <w:sz w:val="20"/>
        </w:rPr>
      </w:pPr>
      <w:r>
        <w:rPr>
          <w:sz w:val="20"/>
        </w:rPr>
        <w:pict>
          <v:group style="width:.75pt;height:12.65pt;mso-position-horizontal-relative:char;mso-position-vertical-relative:line" coordorigin="0,0" coordsize="15,253">
            <v:line style="position:absolute" from="8,8" to="8,245" stroked="true" strokeweight=".72pt" strokecolor="#000000">
              <v:stroke dashstyle="solid"/>
            </v:line>
          </v:group>
        </w:pict>
      </w:r>
      <w:r>
        <w:rPr>
          <w:sz w:val="20"/>
        </w:rPr>
      </w:r>
    </w:p>
    <w:p>
      <w:pPr>
        <w:pStyle w:val="ListParagraph"/>
        <w:numPr>
          <w:ilvl w:val="2"/>
          <w:numId w:val="121"/>
        </w:numPr>
        <w:tabs>
          <w:tab w:pos="1467" w:val="left" w:leader="none"/>
        </w:tabs>
        <w:spacing w:line="240" w:lineRule="auto" w:before="0" w:after="0"/>
        <w:ind w:left="1466" w:right="1002" w:hanging="360"/>
        <w:jc w:val="left"/>
        <w:rPr>
          <w:sz w:val="24"/>
        </w:rPr>
      </w:pPr>
      <w:r>
        <w:rPr>
          <w:sz w:val="24"/>
        </w:rPr>
        <w:t>Any</w:t>
      </w:r>
      <w:r>
        <w:rPr>
          <w:spacing w:val="-5"/>
          <w:sz w:val="24"/>
        </w:rPr>
        <w:t> </w:t>
      </w:r>
      <w:r>
        <w:rPr>
          <w:sz w:val="24"/>
        </w:rPr>
        <w:t>other</w:t>
      </w:r>
      <w:r>
        <w:rPr>
          <w:spacing w:val="-6"/>
          <w:sz w:val="24"/>
        </w:rPr>
        <w:t> </w:t>
      </w:r>
      <w:r>
        <w:rPr>
          <w:sz w:val="24"/>
        </w:rPr>
        <w:t>expectations</w:t>
      </w:r>
      <w:r>
        <w:rPr>
          <w:spacing w:val="-5"/>
          <w:sz w:val="24"/>
        </w:rPr>
        <w:t> </w:t>
      </w:r>
      <w:r>
        <w:rPr>
          <w:sz w:val="24"/>
        </w:rPr>
        <w:t>or</w:t>
      </w:r>
      <w:r>
        <w:rPr>
          <w:spacing w:val="-4"/>
          <w:sz w:val="24"/>
        </w:rPr>
        <w:t> </w:t>
      </w:r>
      <w:r>
        <w:rPr>
          <w:sz w:val="24"/>
        </w:rPr>
        <w:t>restrictions</w:t>
      </w:r>
      <w:r>
        <w:rPr>
          <w:spacing w:val="-3"/>
          <w:sz w:val="24"/>
        </w:rPr>
        <w:t> </w:t>
      </w:r>
      <w:r>
        <w:rPr>
          <w:sz w:val="24"/>
        </w:rPr>
        <w:t>regarding</w:t>
      </w:r>
      <w:r>
        <w:rPr>
          <w:spacing w:val="-4"/>
          <w:sz w:val="24"/>
        </w:rPr>
        <w:t> </w:t>
      </w:r>
      <w:r>
        <w:rPr>
          <w:sz w:val="24"/>
        </w:rPr>
        <w:t>program</w:t>
      </w:r>
      <w:r>
        <w:rPr>
          <w:spacing w:val="-1"/>
          <w:sz w:val="24"/>
        </w:rPr>
        <w:t> </w:t>
      </w:r>
      <w:r>
        <w:rPr>
          <w:sz w:val="24"/>
        </w:rPr>
        <w:t>use</w:t>
      </w:r>
      <w:r>
        <w:rPr>
          <w:spacing w:val="-2"/>
          <w:sz w:val="24"/>
        </w:rPr>
        <w:t> </w:t>
      </w:r>
      <w:r>
        <w:rPr>
          <w:sz w:val="24"/>
        </w:rPr>
        <w:t>set</w:t>
      </w:r>
      <w:r>
        <w:rPr>
          <w:spacing w:val="-5"/>
          <w:sz w:val="24"/>
        </w:rPr>
        <w:t> </w:t>
      </w:r>
      <w:r>
        <w:rPr>
          <w:sz w:val="24"/>
        </w:rPr>
        <w:t>forth</w:t>
      </w:r>
      <w:r>
        <w:rPr>
          <w:spacing w:val="-2"/>
          <w:sz w:val="24"/>
        </w:rPr>
        <w:t> </w:t>
      </w:r>
      <w:r>
        <w:rPr>
          <w:sz w:val="24"/>
        </w:rPr>
        <w:t>in</w:t>
      </w:r>
      <w:r>
        <w:rPr>
          <w:spacing w:val="-25"/>
          <w:sz w:val="24"/>
        </w:rPr>
        <w:t> </w:t>
      </w:r>
      <w:r>
        <w:rPr>
          <w:sz w:val="24"/>
        </w:rPr>
        <w:t>the authorizing</w:t>
      </w:r>
      <w:r>
        <w:rPr>
          <w:spacing w:val="-15"/>
          <w:sz w:val="24"/>
        </w:rPr>
        <w:t> </w:t>
      </w:r>
      <w:r>
        <w:rPr>
          <w:sz w:val="24"/>
        </w:rPr>
        <w:t>statute.</w:t>
      </w:r>
    </w:p>
    <w:p>
      <w:pPr>
        <w:pStyle w:val="BodyText"/>
        <w:ind w:left="107"/>
        <w:rPr>
          <w:sz w:val="20"/>
        </w:rPr>
      </w:pPr>
      <w:r>
        <w:rPr>
          <w:sz w:val="20"/>
        </w:rPr>
        <w:pict>
          <v:group style="width:.75pt;height:12.55pt;mso-position-horizontal-relative:char;mso-position-vertical-relative:line" coordorigin="0,0" coordsize="15,251">
            <v:line style="position:absolute" from="8,8" to="8,243" stroked="true" strokeweight=".72pt" strokecolor="#000000">
              <v:stroke dashstyle="solid"/>
            </v:line>
          </v:group>
        </w:pict>
      </w:r>
      <w:r>
        <w:rPr>
          <w:sz w:val="20"/>
        </w:rPr>
      </w:r>
    </w:p>
    <w:p>
      <w:pPr>
        <w:pStyle w:val="BodyText"/>
        <w:spacing w:line="244" w:lineRule="auto"/>
        <w:ind w:left="1092" w:right="297"/>
      </w:pPr>
      <w:r>
        <w:rPr/>
        <w:pict>
          <v:line style="position:absolute;mso-position-horizontal-relative:page;mso-position-vertical-relative:paragraph;z-index:31600" from="26.76pt,14.256866pt" to="26.76pt,28.175866pt" stroked="true" strokeweight=".72pt" strokecolor="#000000">
            <v:stroke dashstyle="solid"/>
            <w10:wrap type="none"/>
          </v:line>
        </w:pict>
      </w:r>
      <w:r>
        <w:rPr/>
        <w:t>In this context, </w:t>
      </w:r>
      <w:r>
        <w:rPr>
          <w:i/>
        </w:rPr>
        <w:t>program </w:t>
      </w:r>
      <w:r>
        <w:rPr/>
        <w:t>is defined at the </w:t>
      </w:r>
      <w:r>
        <w:rPr>
          <w:i/>
        </w:rPr>
        <w:t>activity </w:t>
      </w:r>
      <w:r>
        <w:rPr/>
        <w:t>level (i.e., a more narrow definition of program than typically used in the Governor’s Budget or the </w:t>
      </w:r>
      <w:r>
        <w:rPr>
          <w:strike/>
          <w:color w:val="2E97D3"/>
        </w:rPr>
        <w:t>budget act</w:t>
      </w:r>
      <w:r>
        <w:rPr>
          <w:strike w:val="0"/>
          <w:color w:val="2E97D3"/>
          <w:u w:val="single" w:color="2E97D3"/>
        </w:rPr>
        <w:t>Budget Act</w:t>
      </w:r>
      <w:r>
        <w:rPr>
          <w:strike w:val="0"/>
        </w:rPr>
        <w:t>).</w:t>
      </w:r>
    </w:p>
    <w:p>
      <w:pPr>
        <w:pStyle w:val="ListParagraph"/>
        <w:numPr>
          <w:ilvl w:val="1"/>
          <w:numId w:val="121"/>
        </w:numPr>
        <w:tabs>
          <w:tab w:pos="1107" w:val="left" w:leader="none"/>
        </w:tabs>
        <w:spacing w:line="240" w:lineRule="auto" w:before="114" w:after="0"/>
        <w:ind w:left="1106" w:right="0" w:hanging="360"/>
        <w:jc w:val="left"/>
        <w:rPr>
          <w:sz w:val="24"/>
        </w:rPr>
      </w:pPr>
      <w:r>
        <w:rPr>
          <w:sz w:val="24"/>
        </w:rPr>
        <w:t>Changes</w:t>
      </w:r>
      <w:r>
        <w:rPr>
          <w:spacing w:val="-4"/>
          <w:sz w:val="24"/>
        </w:rPr>
        <w:t> </w:t>
      </w:r>
      <w:r>
        <w:rPr>
          <w:sz w:val="24"/>
        </w:rPr>
        <w:t>to</w:t>
      </w:r>
      <w:r>
        <w:rPr>
          <w:spacing w:val="-4"/>
          <w:sz w:val="24"/>
        </w:rPr>
        <w:t> </w:t>
      </w:r>
      <w:r>
        <w:rPr>
          <w:sz w:val="24"/>
        </w:rPr>
        <w:t>the</w:t>
      </w:r>
      <w:r>
        <w:rPr>
          <w:spacing w:val="-3"/>
          <w:sz w:val="24"/>
        </w:rPr>
        <w:t> </w:t>
      </w:r>
      <w:r>
        <w:rPr>
          <w:b/>
          <w:sz w:val="24"/>
        </w:rPr>
        <w:t>physical</w:t>
      </w:r>
      <w:r>
        <w:rPr>
          <w:b/>
          <w:spacing w:val="-3"/>
          <w:sz w:val="24"/>
        </w:rPr>
        <w:t> </w:t>
      </w:r>
      <w:r>
        <w:rPr>
          <w:b/>
          <w:sz w:val="24"/>
        </w:rPr>
        <w:t>characteristics</w:t>
      </w:r>
      <w:r>
        <w:rPr>
          <w:b/>
          <w:spacing w:val="-3"/>
          <w:sz w:val="24"/>
        </w:rPr>
        <w:t> </w:t>
      </w:r>
      <w:r>
        <w:rPr>
          <w:b/>
          <w:sz w:val="24"/>
        </w:rPr>
        <w:t>of</w:t>
      </w:r>
      <w:r>
        <w:rPr>
          <w:b/>
          <w:spacing w:val="-4"/>
          <w:sz w:val="24"/>
        </w:rPr>
        <w:t> </w:t>
      </w:r>
      <w:r>
        <w:rPr>
          <w:b/>
          <w:sz w:val="24"/>
        </w:rPr>
        <w:t>the</w:t>
      </w:r>
      <w:r>
        <w:rPr>
          <w:b/>
          <w:spacing w:val="-3"/>
          <w:sz w:val="24"/>
        </w:rPr>
        <w:t> </w:t>
      </w:r>
      <w:r>
        <w:rPr>
          <w:b/>
          <w:sz w:val="24"/>
        </w:rPr>
        <w:t>real</w:t>
      </w:r>
      <w:r>
        <w:rPr>
          <w:b/>
          <w:spacing w:val="-3"/>
          <w:sz w:val="24"/>
        </w:rPr>
        <w:t> </w:t>
      </w:r>
      <w:r>
        <w:rPr>
          <w:b/>
          <w:sz w:val="24"/>
        </w:rPr>
        <w:t>asset</w:t>
      </w:r>
      <w:r>
        <w:rPr>
          <w:b/>
          <w:spacing w:val="-6"/>
          <w:sz w:val="24"/>
        </w:rPr>
        <w:t> </w:t>
      </w:r>
      <w:r>
        <w:rPr>
          <w:sz w:val="24"/>
        </w:rPr>
        <w:t>as</w:t>
      </w:r>
      <w:r>
        <w:rPr>
          <w:spacing w:val="-4"/>
          <w:sz w:val="24"/>
        </w:rPr>
        <w:t> </w:t>
      </w:r>
      <w:r>
        <w:rPr>
          <w:sz w:val="24"/>
        </w:rPr>
        <w:t>it</w:t>
      </w:r>
      <w:r>
        <w:rPr>
          <w:spacing w:val="-3"/>
          <w:sz w:val="24"/>
        </w:rPr>
        <w:t> </w:t>
      </w:r>
      <w:r>
        <w:rPr>
          <w:sz w:val="24"/>
        </w:rPr>
        <w:t>relates</w:t>
      </w:r>
      <w:r>
        <w:rPr>
          <w:spacing w:val="-22"/>
          <w:sz w:val="24"/>
        </w:rPr>
        <w:t> </w:t>
      </w:r>
      <w:r>
        <w:rPr>
          <w:sz w:val="24"/>
        </w:rPr>
        <w:t>to:</w:t>
      </w:r>
    </w:p>
    <w:p>
      <w:pPr>
        <w:pStyle w:val="ListParagraph"/>
        <w:numPr>
          <w:ilvl w:val="2"/>
          <w:numId w:val="121"/>
        </w:numPr>
        <w:tabs>
          <w:tab w:pos="1467" w:val="left" w:leader="none"/>
        </w:tabs>
        <w:spacing w:line="240" w:lineRule="auto" w:before="119" w:after="0"/>
        <w:ind w:left="1466" w:right="0" w:hanging="360"/>
        <w:jc w:val="left"/>
        <w:rPr>
          <w:sz w:val="24"/>
        </w:rPr>
      </w:pPr>
      <w:r>
        <w:rPr>
          <w:sz w:val="24"/>
        </w:rPr>
        <w:t>Facility</w:t>
      </w:r>
      <w:r>
        <w:rPr>
          <w:spacing w:val="-7"/>
          <w:sz w:val="24"/>
        </w:rPr>
        <w:t> </w:t>
      </w:r>
      <w:r>
        <w:rPr>
          <w:sz w:val="24"/>
        </w:rPr>
        <w:t>size,</w:t>
      </w:r>
      <w:r>
        <w:rPr>
          <w:spacing w:val="-4"/>
          <w:sz w:val="24"/>
        </w:rPr>
        <w:t> </w:t>
      </w:r>
      <w:r>
        <w:rPr>
          <w:sz w:val="24"/>
        </w:rPr>
        <w:t>shape,</w:t>
      </w:r>
      <w:r>
        <w:rPr>
          <w:spacing w:val="-7"/>
          <w:sz w:val="24"/>
        </w:rPr>
        <w:t> </w:t>
      </w:r>
      <w:r>
        <w:rPr>
          <w:sz w:val="24"/>
        </w:rPr>
        <w:t>major</w:t>
      </w:r>
      <w:r>
        <w:rPr>
          <w:spacing w:val="-6"/>
          <w:sz w:val="24"/>
        </w:rPr>
        <w:t> </w:t>
      </w:r>
      <w:r>
        <w:rPr>
          <w:sz w:val="24"/>
        </w:rPr>
        <w:t>structural</w:t>
      </w:r>
      <w:r>
        <w:rPr>
          <w:spacing w:val="-5"/>
          <w:sz w:val="24"/>
        </w:rPr>
        <w:t> </w:t>
      </w:r>
      <w:r>
        <w:rPr>
          <w:sz w:val="24"/>
        </w:rPr>
        <w:t>characteristics,</w:t>
      </w:r>
      <w:r>
        <w:rPr>
          <w:spacing w:val="-4"/>
          <w:sz w:val="24"/>
        </w:rPr>
        <w:t> </w:t>
      </w:r>
      <w:r>
        <w:rPr>
          <w:sz w:val="24"/>
        </w:rPr>
        <w:t>and</w:t>
      </w:r>
      <w:r>
        <w:rPr>
          <w:spacing w:val="-24"/>
          <w:sz w:val="24"/>
        </w:rPr>
        <w:t> </w:t>
      </w:r>
      <w:r>
        <w:rPr>
          <w:sz w:val="24"/>
        </w:rPr>
        <w:t>location.</w:t>
      </w:r>
    </w:p>
    <w:p>
      <w:pPr>
        <w:pStyle w:val="BodyText"/>
        <w:ind w:left="107"/>
        <w:rPr>
          <w:sz w:val="20"/>
        </w:rPr>
      </w:pPr>
      <w:r>
        <w:rPr>
          <w:sz w:val="20"/>
        </w:rPr>
        <w:pict>
          <v:group style="width:.75pt;height:12.75pt;mso-position-horizontal-relative:char;mso-position-vertical-relative:line" coordorigin="0,0" coordsize="15,255">
            <v:line style="position:absolute" from="8,8" to="8,248" stroked="true" strokeweight=".72pt" strokecolor="#000000">
              <v:stroke dashstyle="solid"/>
            </v:line>
          </v:group>
        </w:pict>
      </w:r>
      <w:r>
        <w:rPr>
          <w:sz w:val="20"/>
        </w:rPr>
      </w:r>
    </w:p>
    <w:p>
      <w:pPr>
        <w:pStyle w:val="ListParagraph"/>
        <w:numPr>
          <w:ilvl w:val="3"/>
          <w:numId w:val="121"/>
        </w:numPr>
        <w:tabs>
          <w:tab w:pos="2331" w:val="left" w:leader="none"/>
        </w:tabs>
        <w:spacing w:line="240" w:lineRule="auto" w:before="0" w:after="0"/>
        <w:ind w:left="2330" w:right="338" w:hanging="432"/>
        <w:jc w:val="left"/>
        <w:rPr>
          <w:color w:val="2E97D3"/>
          <w:sz w:val="24"/>
        </w:rPr>
      </w:pPr>
      <w:r>
        <w:rPr/>
        <w:pict>
          <v:line style="position:absolute;mso-position-horizontal-relative:page;mso-position-vertical-relative:paragraph;z-index:-441208" from="204.360001pt,22.235859pt" to="207.720001pt,22.235859pt" stroked="true" strokeweight=".6pt" strokecolor="#2e97d3">
            <v:stroke dashstyle="solid"/>
            <w10:wrap type="none"/>
          </v:line>
        </w:pict>
      </w:r>
      <w:r>
        <w:rPr/>
        <w:pict>
          <v:line style="position:absolute;mso-position-horizontal-relative:page;mso-position-vertical-relative:paragraph;z-index:31624" from="26.76pt,14.01586pt" to="26.76pt,41.61586pt" stroked="true" strokeweight=".72pt" strokecolor="#000000">
            <v:stroke dashstyle="solid"/>
            <w10:wrap type="none"/>
          </v:line>
        </w:pict>
      </w:r>
      <w:r>
        <w:rPr>
          <w:sz w:val="24"/>
        </w:rPr>
        <w:t>Size generally may be described in either gross square feet or assignable square feet. For some projects, such as sewer, electrical or HVAC, size may be a function of</w:t>
      </w:r>
      <w:r>
        <w:rPr>
          <w:spacing w:val="-22"/>
          <w:sz w:val="24"/>
        </w:rPr>
        <w:t> </w:t>
      </w:r>
      <w:r>
        <w:rPr>
          <w:sz w:val="24"/>
        </w:rPr>
        <w:t>capacity.</w:t>
      </w:r>
    </w:p>
    <w:p>
      <w:pPr>
        <w:pStyle w:val="BodyText"/>
        <w:spacing w:line="269" w:lineRule="exact" w:before="9"/>
        <w:ind w:left="640"/>
      </w:pPr>
      <w:r>
        <w:rPr/>
        <w:pict>
          <v:line style="position:absolute;mso-position-horizontal-relative:page;mso-position-vertical-relative:paragraph;z-index:31648" from="26.76pt,13.865854pt" to="26.76pt,41.465854pt" stroked="true" strokeweight=".72pt" strokecolor="#000000">
            <v:stroke dashstyle="solid"/>
            <w10:wrap type="none"/>
          </v:line>
        </w:pict>
      </w:r>
      <w:r>
        <w:rPr>
          <w:strike/>
          <w:color w:val="2E97D3"/>
        </w:rPr>
        <w:t>(1)</w:t>
      </w:r>
    </w:p>
    <w:p>
      <w:pPr>
        <w:pStyle w:val="ListParagraph"/>
        <w:numPr>
          <w:ilvl w:val="3"/>
          <w:numId w:val="121"/>
        </w:numPr>
        <w:tabs>
          <w:tab w:pos="1755" w:val="left" w:leader="none"/>
        </w:tabs>
        <w:spacing w:line="269" w:lineRule="exact" w:before="0" w:after="0"/>
        <w:ind w:left="1754" w:right="0" w:hanging="360"/>
        <w:jc w:val="left"/>
        <w:rPr>
          <w:i/>
          <w:color w:val="2E97D3"/>
          <w:sz w:val="24"/>
        </w:rPr>
      </w:pPr>
      <w:r>
        <w:rPr/>
        <w:pict>
          <v:line style="position:absolute;mso-position-horizontal-relative:page;mso-position-vertical-relative:paragraph;z-index:-441184" from="474.720001pt,8.076947pt" to="478.080001pt,8.076947pt" stroked="true" strokeweight=".599pt" strokecolor="#2e97d3">
            <v:stroke dashstyle="solid"/>
            <w10:wrap type="none"/>
          </v:line>
        </w:pict>
      </w:r>
      <w:r>
        <w:rPr>
          <w:sz w:val="24"/>
        </w:rPr>
        <w:t>Shape is a function of both the footprint and elevation of a structure. </w:t>
      </w:r>
      <w:r>
        <w:rPr>
          <w:spacing w:val="9"/>
          <w:sz w:val="24"/>
        </w:rPr>
        <w:t> </w:t>
      </w:r>
      <w:r>
        <w:rPr>
          <w:i/>
          <w:sz w:val="24"/>
        </w:rPr>
        <w:t>Footprint</w:t>
      </w:r>
    </w:p>
    <w:p>
      <w:pPr>
        <w:pStyle w:val="BodyText"/>
        <w:ind w:left="1826"/>
        <w:rPr>
          <w:i/>
        </w:rPr>
      </w:pPr>
      <w:r>
        <w:rPr/>
        <w:t>includes the interior arrangement as well as the facility perimeter</w:t>
      </w:r>
      <w:r>
        <w:rPr>
          <w:i/>
        </w:rPr>
        <w:t>.</w:t>
      </w:r>
    </w:p>
    <w:p>
      <w:pPr>
        <w:pStyle w:val="BodyText"/>
        <w:spacing w:line="274" w:lineRule="exact" w:before="1"/>
        <w:ind w:left="640"/>
      </w:pPr>
      <w:r>
        <w:rPr>
          <w:strike/>
          <w:color w:val="2E97D3"/>
        </w:rPr>
        <w:t>(2)</w:t>
      </w:r>
    </w:p>
    <w:p>
      <w:pPr>
        <w:pStyle w:val="ListParagraph"/>
        <w:numPr>
          <w:ilvl w:val="3"/>
          <w:numId w:val="121"/>
        </w:numPr>
        <w:tabs>
          <w:tab w:pos="2331" w:val="left" w:leader="none"/>
        </w:tabs>
        <w:spacing w:line="240" w:lineRule="auto" w:before="0" w:after="0"/>
        <w:ind w:left="2330" w:right="649" w:hanging="432"/>
        <w:jc w:val="both"/>
        <w:rPr>
          <w:sz w:val="24"/>
        </w:rPr>
      </w:pPr>
      <w:r>
        <w:rPr>
          <w:sz w:val="24"/>
        </w:rPr>
        <w:t>Major structural characteristics will vary by project, but may include the structural system, architectural style, construction materials, and major mechanical, electrical or utility</w:t>
      </w:r>
      <w:r>
        <w:rPr>
          <w:spacing w:val="-26"/>
          <w:sz w:val="24"/>
        </w:rPr>
        <w:t> </w:t>
      </w:r>
      <w:r>
        <w:rPr>
          <w:sz w:val="24"/>
        </w:rPr>
        <w:t>systems.</w:t>
      </w:r>
    </w:p>
    <w:p>
      <w:pPr>
        <w:pStyle w:val="BodyText"/>
        <w:ind w:left="107"/>
        <w:rPr>
          <w:sz w:val="20"/>
        </w:rPr>
      </w:pPr>
      <w:r>
        <w:rPr>
          <w:sz w:val="20"/>
        </w:rPr>
        <w:pict>
          <v:group style="width:.75pt;height:12.8pt;mso-position-horizontal-relative:char;mso-position-vertical-relative:line" coordorigin="0,0" coordsize="15,256">
            <v:line style="position:absolute" from="8,8" to="8,248" stroked="true" strokeweight=".72pt" strokecolor="#000000">
              <v:stroke dashstyle="solid"/>
            </v:line>
          </v:group>
        </w:pict>
      </w:r>
      <w:r>
        <w:rPr>
          <w:sz w:val="20"/>
        </w:rPr>
      </w:r>
    </w:p>
    <w:p>
      <w:pPr>
        <w:pStyle w:val="ListParagraph"/>
        <w:numPr>
          <w:ilvl w:val="3"/>
          <w:numId w:val="121"/>
        </w:numPr>
        <w:tabs>
          <w:tab w:pos="2331" w:val="left" w:leader="none"/>
        </w:tabs>
        <w:spacing w:line="240" w:lineRule="auto" w:before="0" w:after="0"/>
        <w:ind w:left="2330" w:right="327" w:hanging="432"/>
        <w:jc w:val="left"/>
        <w:rPr>
          <w:sz w:val="24"/>
        </w:rPr>
      </w:pPr>
      <w:r>
        <w:rPr/>
        <w:pict>
          <v:line style="position:absolute;mso-position-horizontal-relative:page;mso-position-vertical-relative:paragraph;z-index:31672" from="26.76pt,27.815861pt" to="26.76pt,53.615861pt" stroked="true" strokeweight=".72pt" strokecolor="#000000">
            <v:stroke dashstyle="solid"/>
            <w10:wrap type="none"/>
          </v:line>
        </w:pict>
      </w:r>
      <w:r>
        <w:rPr>
          <w:sz w:val="24"/>
        </w:rPr>
        <w:t>Location may be as specific as parcel number, or more generally city, county</w:t>
      </w:r>
      <w:r>
        <w:rPr>
          <w:spacing w:val="-33"/>
          <w:sz w:val="24"/>
        </w:rPr>
        <w:t> </w:t>
      </w:r>
      <w:r>
        <w:rPr>
          <w:sz w:val="24"/>
        </w:rPr>
        <w:t>or</w:t>
      </w:r>
      <w:r>
        <w:rPr>
          <w:spacing w:val="-5"/>
          <w:sz w:val="24"/>
        </w:rPr>
        <w:t> </w:t>
      </w:r>
      <w:r>
        <w:rPr>
          <w:sz w:val="24"/>
        </w:rPr>
        <w:t>region,</w:t>
      </w:r>
      <w:r>
        <w:rPr>
          <w:spacing w:val="-3"/>
          <w:sz w:val="24"/>
        </w:rPr>
        <w:t> </w:t>
      </w:r>
      <w:r>
        <w:rPr>
          <w:sz w:val="24"/>
        </w:rPr>
        <w:t>depending</w:t>
      </w:r>
      <w:r>
        <w:rPr>
          <w:spacing w:val="-5"/>
          <w:sz w:val="24"/>
        </w:rPr>
        <w:t> </w:t>
      </w:r>
      <w:r>
        <w:rPr>
          <w:sz w:val="24"/>
        </w:rPr>
        <w:t>upon</w:t>
      </w:r>
      <w:r>
        <w:rPr>
          <w:spacing w:val="-3"/>
          <w:sz w:val="24"/>
        </w:rPr>
        <w:t> </w:t>
      </w:r>
      <w:r>
        <w:rPr>
          <w:sz w:val="24"/>
        </w:rPr>
        <w:t>initial</w:t>
      </w:r>
      <w:r>
        <w:rPr>
          <w:spacing w:val="-4"/>
          <w:sz w:val="24"/>
        </w:rPr>
        <w:t> </w:t>
      </w:r>
      <w:r>
        <w:rPr>
          <w:sz w:val="24"/>
        </w:rPr>
        <w:t>definition</w:t>
      </w:r>
      <w:r>
        <w:rPr>
          <w:spacing w:val="-3"/>
          <w:sz w:val="24"/>
        </w:rPr>
        <w:t> </w:t>
      </w:r>
      <w:r>
        <w:rPr>
          <w:sz w:val="24"/>
        </w:rPr>
        <w:t>in</w:t>
      </w:r>
      <w:r>
        <w:rPr>
          <w:spacing w:val="-5"/>
          <w:sz w:val="24"/>
        </w:rPr>
        <w:t> </w:t>
      </w:r>
      <w:r>
        <w:rPr>
          <w:sz w:val="24"/>
        </w:rPr>
        <w:t>the</w:t>
      </w:r>
      <w:r>
        <w:rPr>
          <w:spacing w:val="-5"/>
          <w:sz w:val="24"/>
        </w:rPr>
        <w:t> </w:t>
      </w:r>
      <w:r>
        <w:rPr>
          <w:sz w:val="24"/>
        </w:rPr>
        <w:t>COBCP,</w:t>
      </w:r>
      <w:r>
        <w:rPr>
          <w:spacing w:val="-3"/>
          <w:sz w:val="24"/>
        </w:rPr>
        <w:t> </w:t>
      </w:r>
      <w:r>
        <w:rPr>
          <w:sz w:val="24"/>
        </w:rPr>
        <w:t>statutory language, or supplemental</w:t>
      </w:r>
      <w:r>
        <w:rPr>
          <w:spacing w:val="-32"/>
          <w:sz w:val="24"/>
        </w:rPr>
        <w:t> </w:t>
      </w:r>
      <w:r>
        <w:rPr>
          <w:sz w:val="24"/>
        </w:rPr>
        <w:t>language.</w:t>
      </w:r>
    </w:p>
    <w:p>
      <w:pPr>
        <w:pStyle w:val="BodyText"/>
        <w:rPr>
          <w:sz w:val="20"/>
        </w:rPr>
      </w:pPr>
    </w:p>
    <w:p>
      <w:pPr>
        <w:pStyle w:val="BodyText"/>
        <w:spacing w:before="8"/>
        <w:rPr>
          <w:sz w:val="21"/>
        </w:rPr>
      </w:pPr>
    </w:p>
    <w:p>
      <w:pPr>
        <w:pStyle w:val="BodyText"/>
        <w:ind w:left="746"/>
      </w:pPr>
      <w:r>
        <w:rPr/>
        <w:t>(Continued)</w:t>
      </w:r>
    </w:p>
    <w:p>
      <w:pPr>
        <w:spacing w:after="0"/>
        <w:sectPr>
          <w:headerReference w:type="default" r:id="rId322"/>
          <w:pgSz w:w="12240" w:h="15840"/>
          <w:pgMar w:header="726" w:footer="858" w:top="980" w:bottom="1040" w:left="420" w:right="1340"/>
        </w:sectPr>
      </w:pPr>
    </w:p>
    <w:p>
      <w:pPr>
        <w:pStyle w:val="BodyText"/>
        <w:spacing w:before="1"/>
        <w:rPr>
          <w:sz w:val="29"/>
        </w:rPr>
      </w:pPr>
    </w:p>
    <w:p>
      <w:pPr>
        <w:pStyle w:val="BodyText"/>
        <w:spacing w:line="275" w:lineRule="exact" w:before="92"/>
        <w:ind w:left="746"/>
      </w:pPr>
      <w:r>
        <w:rPr/>
        <w:pict>
          <v:line style="position:absolute;mso-position-horizontal-relative:page;mso-position-vertical-relative:paragraph;z-index:31888" from="26.76pt,18.495852pt" to="26.76pt,59.895852pt" stroked="true" strokeweight=".72pt" strokecolor="#000000">
            <v:stroke dashstyle="solid"/>
            <w10:wrap type="none"/>
          </v:line>
        </w:pict>
      </w:r>
      <w:r>
        <w:rPr/>
        <w:t>(Continued)</w:t>
      </w:r>
    </w:p>
    <w:p>
      <w:pPr>
        <w:tabs>
          <w:tab w:pos="8846" w:val="left" w:leader="none"/>
        </w:tabs>
        <w:spacing w:line="275" w:lineRule="exact" w:before="0"/>
        <w:ind w:left="746" w:right="0" w:firstLine="0"/>
        <w:jc w:val="left"/>
        <w:rPr>
          <w:sz w:val="24"/>
        </w:rPr>
      </w:pPr>
      <w:r>
        <w:rPr/>
        <w:pict>
          <v:line style="position:absolute;mso-position-horizontal-relative:page;mso-position-vertical-relative:paragraph;z-index:-440944" from="163.559998pt,8.376442pt" to="166.920998pt,8.376442pt" stroked="true" strokeweight=".6pt" strokecolor="#2e97d3">
            <v:stroke dashstyle="solid"/>
            <w10:wrap type="none"/>
          </v:line>
        </w:pict>
      </w:r>
      <w:r>
        <w:rPr>
          <w:b/>
          <w:sz w:val="24"/>
        </w:rPr>
        <w:t>SCOPE</w:t>
      </w:r>
      <w:r>
        <w:rPr>
          <w:b/>
          <w:spacing w:val="-5"/>
          <w:sz w:val="24"/>
        </w:rPr>
        <w:t> </w:t>
      </w:r>
      <w:r>
        <w:rPr>
          <w:b/>
          <w:sz w:val="24"/>
        </w:rPr>
        <w:t>CHANGES</w:t>
        <w:tab/>
        <w:t>6863 </w:t>
      </w:r>
      <w:r>
        <w:rPr>
          <w:sz w:val="24"/>
        </w:rPr>
        <w:t>(Cont.</w:t>
      </w:r>
      <w:r>
        <w:rPr>
          <w:spacing w:val="-11"/>
          <w:sz w:val="24"/>
        </w:rPr>
        <w:t> </w:t>
      </w:r>
      <w:r>
        <w:rPr>
          <w:sz w:val="24"/>
        </w:rPr>
        <w:t>2)</w:t>
      </w:r>
    </w:p>
    <w:p>
      <w:pPr>
        <w:pStyle w:val="BodyText"/>
        <w:ind w:left="746"/>
      </w:pPr>
      <w:r>
        <w:rPr/>
        <w:t>(Revised </w:t>
      </w:r>
      <w:r>
        <w:rPr>
          <w:strike/>
          <w:color w:val="2E97D3"/>
        </w:rPr>
        <w:t>5/1998</w:t>
      </w:r>
      <w:r>
        <w:rPr>
          <w:strike w:val="0"/>
          <w:color w:val="2E97D3"/>
          <w:u w:val="single" w:color="2E97D3"/>
        </w:rPr>
        <w:t>09/2017</w:t>
      </w:r>
      <w:r>
        <w:rPr>
          <w:strike w:val="0"/>
        </w:rPr>
        <w:t>)</w:t>
      </w:r>
    </w:p>
    <w:p>
      <w:pPr>
        <w:pStyle w:val="BodyText"/>
        <w:spacing w:before="4"/>
        <w:rPr>
          <w:sz w:val="26"/>
        </w:rPr>
      </w:pPr>
    </w:p>
    <w:p>
      <w:pPr>
        <w:pStyle w:val="ListParagraph"/>
        <w:numPr>
          <w:ilvl w:val="2"/>
          <w:numId w:val="121"/>
        </w:numPr>
        <w:tabs>
          <w:tab w:pos="1467" w:val="left" w:leader="none"/>
        </w:tabs>
        <w:spacing w:line="240" w:lineRule="auto" w:before="92" w:after="0"/>
        <w:ind w:left="1466" w:right="0" w:hanging="360"/>
        <w:jc w:val="left"/>
        <w:rPr>
          <w:sz w:val="24"/>
        </w:rPr>
      </w:pPr>
      <w:r>
        <w:rPr>
          <w:sz w:val="24"/>
        </w:rPr>
        <w:t>Acreage size, land type, and location;</w:t>
      </w:r>
      <w:r>
        <w:rPr>
          <w:spacing w:val="-39"/>
          <w:sz w:val="24"/>
        </w:rPr>
        <w:t> </w:t>
      </w:r>
      <w:r>
        <w:rPr>
          <w:sz w:val="24"/>
        </w:rPr>
        <w:t>and</w:t>
      </w:r>
    </w:p>
    <w:p>
      <w:pPr>
        <w:pStyle w:val="BodyText"/>
        <w:ind w:left="107"/>
        <w:rPr>
          <w:sz w:val="20"/>
        </w:rPr>
      </w:pPr>
      <w:r>
        <w:rPr>
          <w:sz w:val="20"/>
        </w:rPr>
        <w:pict>
          <v:group style="width:.75pt;height:12.75pt;mso-position-horizontal-relative:char;mso-position-vertical-relative:line" coordorigin="0,0" coordsize="15,255">
            <v:line style="position:absolute" from="8,8" to="8,248" stroked="true" strokeweight=".72pt" strokecolor="#000000">
              <v:stroke dashstyle="solid"/>
            </v:line>
          </v:group>
        </w:pict>
      </w:r>
      <w:r>
        <w:rPr>
          <w:sz w:val="20"/>
        </w:rPr>
      </w:r>
    </w:p>
    <w:p>
      <w:pPr>
        <w:pStyle w:val="ListParagraph"/>
        <w:numPr>
          <w:ilvl w:val="2"/>
          <w:numId w:val="121"/>
        </w:numPr>
        <w:tabs>
          <w:tab w:pos="1467" w:val="left" w:leader="none"/>
        </w:tabs>
        <w:spacing w:line="240" w:lineRule="auto" w:before="0" w:after="0"/>
        <w:ind w:left="1466" w:right="376" w:hanging="360"/>
        <w:jc w:val="left"/>
        <w:rPr>
          <w:sz w:val="24"/>
        </w:rPr>
      </w:pPr>
      <w:r>
        <w:rPr/>
        <w:pict>
          <v:line style="position:absolute;mso-position-horizontal-relative:page;mso-position-vertical-relative:paragraph;z-index:31912" from="26.76pt,27.815847pt" to="26.76pt,81.095847pt" stroked="true" strokeweight=".72pt" strokecolor="#000000">
            <v:stroke dashstyle="solid"/>
            <w10:wrap type="none"/>
          </v:line>
        </w:pict>
      </w:r>
      <w:r>
        <w:rPr>
          <w:sz w:val="24"/>
        </w:rPr>
        <w:t>Any other expectations or restrictions regarding the physical characteristics of the real asset as set forth by authorizing</w:t>
      </w:r>
      <w:r>
        <w:rPr>
          <w:spacing w:val="-35"/>
          <w:sz w:val="24"/>
        </w:rPr>
        <w:t> </w:t>
      </w:r>
      <w:r>
        <w:rPr>
          <w:sz w:val="24"/>
        </w:rPr>
        <w:t>statute.</w:t>
      </w:r>
    </w:p>
    <w:p>
      <w:pPr>
        <w:pStyle w:val="BodyText"/>
        <w:spacing w:before="7"/>
        <w:rPr>
          <w:sz w:val="20"/>
        </w:rPr>
      </w:pPr>
    </w:p>
    <w:p>
      <w:pPr>
        <w:pStyle w:val="BodyText"/>
        <w:ind w:left="640" w:right="521"/>
      </w:pPr>
      <w:r>
        <w:rPr/>
        <w:pict>
          <v:line style="position:absolute;mso-position-horizontal-relative:page;mso-position-vertical-relative:paragraph;z-index:31936" from="26.76pt,55.415867pt" to="26.76pt,102.815867pt" stroked="true" strokeweight=".72pt" strokecolor="#000000">
            <v:stroke dashstyle="solid"/>
            <w10:wrap type="none"/>
          </v:line>
        </w:pict>
      </w:r>
      <w:r>
        <w:rPr/>
        <w:t>Changes which meet the reporting requirements to </w:t>
      </w:r>
      <w:r>
        <w:rPr>
          <w:strike/>
          <w:color w:val="2E97D3"/>
        </w:rPr>
        <w:t>DOF</w:t>
      </w:r>
      <w:r>
        <w:rPr>
          <w:strike w:val="0"/>
          <w:color w:val="2E97D3"/>
          <w:u w:val="single" w:color="2E97D3"/>
        </w:rPr>
        <w:t>Finance</w:t>
      </w:r>
      <w:r>
        <w:rPr>
          <w:strike w:val="0"/>
        </w:rPr>
        <w:t>, as described in the preceding text, are not necessarily scope changes unless </w:t>
      </w:r>
      <w:r>
        <w:rPr>
          <w:strike/>
          <w:color w:val="2E97D3"/>
        </w:rPr>
        <w:t>DOF</w:t>
      </w:r>
      <w:r>
        <w:rPr>
          <w:strike w:val="0"/>
          <w:color w:val="2E97D3"/>
          <w:u w:val="single" w:color="2E97D3"/>
        </w:rPr>
        <w:t>Finance </w:t>
      </w:r>
      <w:r>
        <w:rPr>
          <w:strike w:val="0"/>
        </w:rPr>
        <w:t>so determines. Reasonable judgment is required in contacting </w:t>
      </w:r>
      <w:r>
        <w:rPr>
          <w:strike/>
          <w:color w:val="2E97D3"/>
        </w:rPr>
        <w:t>DOF</w:t>
      </w:r>
      <w:r>
        <w:rPr>
          <w:strike w:val="0"/>
          <w:color w:val="2E97D3"/>
          <w:u w:val="single" w:color="2E97D3"/>
        </w:rPr>
        <w:t>Finance</w:t>
      </w:r>
      <w:r>
        <w:rPr>
          <w:strike w:val="0"/>
        </w:rPr>
        <w:t>; however, because the consequences of unapproved scope changes can be severe (including project termination), </w:t>
      </w:r>
      <w:r>
        <w:rPr>
          <w:strike/>
          <w:color w:val="2E97D3"/>
        </w:rPr>
        <w:t>client </w:t>
      </w:r>
      <w:r>
        <w:rPr>
          <w:strike w:val="0"/>
        </w:rPr>
        <w:t>departments and project managers should err on the side of caution.</w:t>
      </w:r>
    </w:p>
    <w:p>
      <w:pPr>
        <w:pStyle w:val="Heading2"/>
        <w:spacing w:before="119"/>
        <w:ind w:left="746" w:right="805"/>
      </w:pPr>
      <w:bookmarkStart w:name="Generally, the following project changes" w:id="114"/>
      <w:bookmarkEnd w:id="114"/>
      <w:r>
        <w:rPr>
          <w:b w:val="0"/>
        </w:rPr>
      </w:r>
      <w:r>
        <w:rPr/>
        <w:t>Generally, the following project changes are not reportable to </w:t>
      </w:r>
      <w:r>
        <w:rPr>
          <w:strike/>
          <w:color w:val="2E97D3"/>
        </w:rPr>
        <w:t>DOF</w:t>
      </w:r>
      <w:r>
        <w:rPr>
          <w:strike w:val="0"/>
          <w:color w:val="2E97D3"/>
          <w:u w:val="thick" w:color="2E97D3"/>
        </w:rPr>
        <w:t>Finance </w:t>
      </w:r>
      <w:r>
        <w:rPr>
          <w:strike w:val="0"/>
        </w:rPr>
        <w:t>(as potential</w:t>
      </w:r>
    </w:p>
    <w:p>
      <w:pPr>
        <w:spacing w:before="0"/>
        <w:ind w:left="1106" w:right="0" w:firstLine="0"/>
        <w:jc w:val="left"/>
        <w:rPr>
          <w:b/>
          <w:sz w:val="24"/>
        </w:rPr>
      </w:pPr>
      <w:r>
        <w:rPr>
          <w:b/>
          <w:i/>
          <w:sz w:val="24"/>
        </w:rPr>
        <w:t>scope </w:t>
      </w:r>
      <w:r>
        <w:rPr>
          <w:b/>
          <w:sz w:val="24"/>
        </w:rPr>
        <w:t>changes):</w:t>
      </w:r>
    </w:p>
    <w:p>
      <w:pPr>
        <w:pStyle w:val="ListParagraph"/>
        <w:numPr>
          <w:ilvl w:val="0"/>
          <w:numId w:val="122"/>
        </w:numPr>
        <w:tabs>
          <w:tab w:pos="1107" w:val="left" w:leader="none"/>
        </w:tabs>
        <w:spacing w:line="240" w:lineRule="auto" w:before="120" w:after="0"/>
        <w:ind w:left="1106" w:right="312" w:hanging="360"/>
        <w:jc w:val="both"/>
        <w:rPr>
          <w:sz w:val="24"/>
        </w:rPr>
      </w:pPr>
      <w:r>
        <w:rPr/>
        <w:pict>
          <v:line style="position:absolute;mso-position-horizontal-relative:page;mso-position-vertical-relative:paragraph;z-index:-440920" from="500.76001pt,42.036373pt" to="504.36001pt,42.036373pt" stroked="true" strokeweight=".599pt" strokecolor="#2e97d3">
            <v:stroke dashstyle="solid"/>
            <w10:wrap type="none"/>
          </v:line>
        </w:pict>
      </w:r>
      <w:r>
        <w:rPr/>
        <w:pict>
          <v:line style="position:absolute;mso-position-horizontal-relative:page;mso-position-vertical-relative:paragraph;z-index:31960" from="26.76pt,20.015873pt" to="26.76pt,47.615873pt" stroked="true" strokeweight=".72pt" strokecolor="#000000">
            <v:stroke dashstyle="solid"/>
            <w10:wrap type="none"/>
          </v:line>
        </w:pict>
      </w:r>
      <w:r>
        <w:rPr>
          <w:b/>
          <w:sz w:val="24"/>
        </w:rPr>
        <w:t>Cost</w:t>
      </w:r>
      <w:r>
        <w:rPr>
          <w:sz w:val="24"/>
        </w:rPr>
        <w:t>, although the impact of a scope change on project and related operational costs must be carefully considered (cost changes may or may not result in scope changes; conversely, scope changes can occur with or without associated cost changes). See Section</w:t>
      </w:r>
      <w:r>
        <w:rPr>
          <w:spacing w:val="-4"/>
          <w:sz w:val="24"/>
        </w:rPr>
        <w:t> </w:t>
      </w:r>
      <w:r>
        <w:rPr>
          <w:sz w:val="24"/>
        </w:rPr>
        <w:t>6861</w:t>
      </w:r>
      <w:r>
        <w:rPr>
          <w:spacing w:val="-4"/>
          <w:sz w:val="24"/>
        </w:rPr>
        <w:t> </w:t>
      </w:r>
      <w:r>
        <w:rPr>
          <w:sz w:val="24"/>
        </w:rPr>
        <w:t>for</w:t>
      </w:r>
      <w:r>
        <w:rPr>
          <w:spacing w:val="-4"/>
          <w:sz w:val="24"/>
        </w:rPr>
        <w:t> </w:t>
      </w:r>
      <w:r>
        <w:rPr>
          <w:sz w:val="24"/>
        </w:rPr>
        <w:t>instructions</w:t>
      </w:r>
      <w:r>
        <w:rPr>
          <w:spacing w:val="-3"/>
          <w:sz w:val="24"/>
        </w:rPr>
        <w:t> </w:t>
      </w:r>
      <w:r>
        <w:rPr>
          <w:sz w:val="24"/>
        </w:rPr>
        <w:t>on</w:t>
      </w:r>
      <w:r>
        <w:rPr>
          <w:spacing w:val="-2"/>
          <w:sz w:val="24"/>
        </w:rPr>
        <w:t> </w:t>
      </w:r>
      <w:r>
        <w:rPr>
          <w:sz w:val="24"/>
        </w:rPr>
        <w:t>approval</w:t>
      </w:r>
      <w:r>
        <w:rPr>
          <w:spacing w:val="-3"/>
          <w:sz w:val="24"/>
        </w:rPr>
        <w:t> </w:t>
      </w:r>
      <w:r>
        <w:rPr>
          <w:sz w:val="24"/>
        </w:rPr>
        <w:t>processes</w:t>
      </w:r>
      <w:r>
        <w:rPr>
          <w:spacing w:val="-5"/>
          <w:sz w:val="24"/>
        </w:rPr>
        <w:t> </w:t>
      </w:r>
      <w:r>
        <w:rPr>
          <w:sz w:val="24"/>
        </w:rPr>
        <w:t>for</w:t>
      </w:r>
      <w:r>
        <w:rPr>
          <w:spacing w:val="-4"/>
          <w:sz w:val="24"/>
        </w:rPr>
        <w:t> </w:t>
      </w:r>
      <w:r>
        <w:rPr>
          <w:sz w:val="24"/>
        </w:rPr>
        <w:t>project</w:t>
      </w:r>
      <w:r>
        <w:rPr>
          <w:spacing w:val="-5"/>
          <w:sz w:val="24"/>
        </w:rPr>
        <w:t> </w:t>
      </w:r>
      <w:r>
        <w:rPr>
          <w:sz w:val="24"/>
        </w:rPr>
        <w:t>cost</w:t>
      </w:r>
      <w:r>
        <w:rPr>
          <w:spacing w:val="-28"/>
          <w:sz w:val="24"/>
        </w:rPr>
        <w:t> </w:t>
      </w:r>
      <w:r>
        <w:rPr>
          <w:sz w:val="24"/>
        </w:rPr>
        <w:t>changes.</w:t>
      </w:r>
    </w:p>
    <w:p>
      <w:pPr>
        <w:pStyle w:val="ListParagraph"/>
        <w:numPr>
          <w:ilvl w:val="0"/>
          <w:numId w:val="122"/>
        </w:numPr>
        <w:tabs>
          <w:tab w:pos="1107" w:val="left" w:leader="none"/>
        </w:tabs>
        <w:spacing w:line="240" w:lineRule="auto" w:before="196" w:after="0"/>
        <w:ind w:left="1106" w:right="165" w:hanging="360"/>
        <w:jc w:val="left"/>
        <w:rPr>
          <w:sz w:val="24"/>
        </w:rPr>
      </w:pPr>
      <w:r>
        <w:rPr/>
        <w:pict>
          <v:line style="position:absolute;mso-position-horizontal-relative:page;mso-position-vertical-relative:paragraph;z-index:31984" from="26.76pt,51.415863pt" to="26.76pt,65.215863pt" stroked="true" strokeweight=".72pt" strokecolor="#000000">
            <v:stroke dashstyle="solid"/>
            <w10:wrap type="none"/>
          </v:line>
        </w:pict>
      </w:r>
      <w:r>
        <w:rPr/>
        <w:pict>
          <v:line style="position:absolute;mso-position-horizontal-relative:page;mso-position-vertical-relative:paragraph;z-index:32008" from="26.76pt,92.815865pt" to="26.76pt,106.615865pt" stroked="true" strokeweight=".72pt" strokecolor="#000000">
            <v:stroke dashstyle="solid"/>
            <w10:wrap type="none"/>
          </v:line>
        </w:pict>
      </w:r>
      <w:r>
        <w:rPr>
          <w:b/>
          <w:sz w:val="24"/>
        </w:rPr>
        <w:t>Changes </w:t>
      </w:r>
      <w:r>
        <w:rPr>
          <w:sz w:val="24"/>
        </w:rPr>
        <w:t>to correct minor errors and omissions in the construction documents or to respond to minor unforeseen site conditions (i.e., substitution of fixtures when products are no longer manufactured, corrections required by code authorities, minor demolition of materials not foreseen during design, addition of electric services to motors, etc.). However, when such changes cannot reasonably be categorized as minor, or if they alter programmatic capability or requirements, the matter must be discussed with </w:t>
      </w:r>
      <w:r>
        <w:rPr>
          <w:strike/>
          <w:color w:val="2E97D3"/>
          <w:sz w:val="24"/>
        </w:rPr>
        <w:t>DOF</w:t>
      </w:r>
      <w:r>
        <w:rPr>
          <w:strike w:val="0"/>
          <w:color w:val="2E97D3"/>
          <w:sz w:val="22"/>
          <w:u w:val="single" w:color="2E97D3"/>
        </w:rPr>
        <w:t>Finance </w:t>
      </w:r>
      <w:r>
        <w:rPr>
          <w:strike w:val="0"/>
          <w:sz w:val="24"/>
        </w:rPr>
        <w:t>to assess impact on project</w:t>
      </w:r>
      <w:r>
        <w:rPr>
          <w:strike w:val="0"/>
          <w:spacing w:val="-28"/>
          <w:sz w:val="24"/>
        </w:rPr>
        <w:t> </w:t>
      </w:r>
      <w:r>
        <w:rPr>
          <w:strike w:val="0"/>
          <w:sz w:val="24"/>
        </w:rPr>
        <w:t>scope.</w:t>
      </w:r>
    </w:p>
    <w:p>
      <w:pPr>
        <w:pStyle w:val="BodyText"/>
        <w:spacing w:before="10"/>
        <w:rPr>
          <w:sz w:val="15"/>
        </w:rPr>
      </w:pPr>
    </w:p>
    <w:p>
      <w:pPr>
        <w:spacing w:before="93"/>
        <w:ind w:left="746" w:right="309" w:firstLine="0"/>
        <w:jc w:val="left"/>
        <w:rPr>
          <w:sz w:val="24"/>
        </w:rPr>
      </w:pPr>
      <w:r>
        <w:rPr/>
        <w:pict>
          <v:line style="position:absolute;mso-position-horizontal-relative:page;mso-position-vertical-relative:paragraph;z-index:-440896" from="216.600006pt,68.286369pt" to="219.960006pt,68.286369pt" stroked="true" strokeweight=".599pt" strokecolor="#2e97d3">
            <v:stroke dashstyle="solid"/>
            <w10:wrap type="none"/>
          </v:line>
        </w:pict>
      </w:r>
      <w:r>
        <w:rPr/>
        <w:pict>
          <v:line style="position:absolute;mso-position-horizontal-relative:page;mso-position-vertical-relative:paragraph;z-index:32032" from="26.76pt,60.065872pt" to="26.76pt,73.865872pt" stroked="true" strokeweight=".72pt" strokecolor="#000000">
            <v:stroke dashstyle="solid"/>
            <w10:wrap type="none"/>
          </v:line>
        </w:pict>
      </w:r>
      <w:r>
        <w:rPr>
          <w:b/>
          <w:sz w:val="24"/>
        </w:rPr>
        <w:t>Construction contingency funds should be reserved for correcting problems in achieving approved scope and for essential scope changes. </w:t>
      </w:r>
      <w:r>
        <w:rPr>
          <w:sz w:val="24"/>
        </w:rPr>
        <w:t>Construction contingency funds should be used to pay for the cost of resolving problems arising from design errors/oversights, unforeseen conditions, code requirements, and the cost (if any) for approved scope changes.  Non-essential client change orders should be avoided.</w:t>
      </w:r>
    </w:p>
    <w:p>
      <w:pPr>
        <w:pStyle w:val="BodyText"/>
        <w:ind w:left="746"/>
      </w:pPr>
      <w:r>
        <w:rPr/>
        <w:pict>
          <v:line style="position:absolute;mso-position-horizontal-relative:page;mso-position-vertical-relative:paragraph;z-index:32056" from="26.76pt,14.015855pt" to="26.76pt,33.815855pt" stroked="true" strokeweight=".72pt" strokecolor="#000000">
            <v:stroke dashstyle="solid"/>
            <w10:wrap type="none"/>
          </v:line>
        </w:pict>
      </w:r>
      <w:r>
        <w:rPr/>
        <w:t>See Section 6854.</w:t>
      </w:r>
    </w:p>
    <w:p>
      <w:pPr>
        <w:spacing w:before="120"/>
        <w:ind w:left="746" w:right="253" w:firstLine="0"/>
        <w:jc w:val="left"/>
        <w:rPr>
          <w:sz w:val="24"/>
        </w:rPr>
      </w:pPr>
      <w:r>
        <w:rPr/>
        <w:pict>
          <v:line style="position:absolute;mso-position-horizontal-relative:page;mso-position-vertical-relative:paragraph;z-index:-440872" from="267.839996pt,14.435852pt" to="271.199996pt,14.435852pt" stroked="true" strokeweight=".6pt" strokecolor="#2e97d3">
            <v:stroke dashstyle="solid"/>
            <w10:wrap type="none"/>
          </v:line>
        </w:pict>
      </w:r>
      <w:r>
        <w:rPr/>
        <w:pict>
          <v:line style="position:absolute;mso-position-horizontal-relative:page;mso-position-vertical-relative:paragraph;z-index:32080" from="26.76pt,33.816853pt" to="26.76pt,67.535853pt" stroked="true" strokeweight=".72pt" strokecolor="#000000">
            <v:stroke dashstyle="solid"/>
            <w10:wrap type="none"/>
          </v:line>
        </w:pict>
      </w:r>
      <w:r>
        <w:rPr>
          <w:b/>
          <w:sz w:val="24"/>
        </w:rPr>
        <w:t>Source references for project scope: </w:t>
      </w:r>
      <w:r>
        <w:rPr>
          <w:sz w:val="24"/>
        </w:rPr>
        <w:t>As noted in the preceding text, a project’s scope is defined in several source documents.</w:t>
      </w:r>
    </w:p>
    <w:p>
      <w:pPr>
        <w:pStyle w:val="ListParagraph"/>
        <w:numPr>
          <w:ilvl w:val="0"/>
          <w:numId w:val="123"/>
        </w:numPr>
        <w:tabs>
          <w:tab w:pos="1107" w:val="left" w:leader="none"/>
        </w:tabs>
        <w:spacing w:line="240" w:lineRule="auto" w:before="120" w:after="0"/>
        <w:ind w:left="1106" w:right="364" w:hanging="360"/>
        <w:jc w:val="left"/>
        <w:rPr>
          <w:sz w:val="24"/>
        </w:rPr>
      </w:pPr>
      <w:r>
        <w:rPr/>
        <w:pict>
          <v:line style="position:absolute;mso-position-horizontal-relative:page;mso-position-vertical-relative:paragraph;z-index:-440848" from="275.880005pt,14.435862pt" to="279.241005pt,14.435862pt" stroked="true" strokeweight=".6pt" strokecolor="#2e97d3">
            <v:stroke dashstyle="solid"/>
            <w10:wrap type="none"/>
          </v:line>
        </w:pict>
      </w:r>
      <w:r>
        <w:rPr/>
        <w:pict>
          <v:line style="position:absolute;mso-position-horizontal-relative:page;mso-position-vertical-relative:paragraph;z-index:-440824" from="283.920013pt,28.355862pt" to="287.280013pt,28.355862pt" stroked="true" strokeweight=".6pt" strokecolor="#2e97d3">
            <v:stroke dashstyle="solid"/>
            <w10:wrap type="none"/>
          </v:line>
        </w:pict>
      </w:r>
      <w:r>
        <w:rPr/>
        <w:pict>
          <v:line style="position:absolute;mso-position-horizontal-relative:page;mso-position-vertical-relative:paragraph;z-index:32104" from="26.76pt,47.855862pt" to="26.76pt,82.895862pt" stroked="true" strokeweight=".72pt" strokecolor="#000000">
            <v:stroke dashstyle="solid"/>
            <w10:wrap type="none"/>
          </v:line>
        </w:pict>
      </w:r>
      <w:r>
        <w:rPr>
          <w:sz w:val="24"/>
        </w:rPr>
        <w:t>For budget act projects, the </w:t>
      </w:r>
      <w:r>
        <w:rPr>
          <w:b/>
          <w:sz w:val="24"/>
        </w:rPr>
        <w:t>COBCP</w:t>
      </w:r>
      <w:r>
        <w:rPr>
          <w:sz w:val="24"/>
        </w:rPr>
        <w:t>: A detailed description of project scope is required in the COBCP (Section 6818). This description becomes one of the primary references for later interpretation of potential scope</w:t>
      </w:r>
      <w:r>
        <w:rPr>
          <w:spacing w:val="-52"/>
          <w:sz w:val="24"/>
        </w:rPr>
        <w:t> </w:t>
      </w:r>
      <w:r>
        <w:rPr>
          <w:sz w:val="24"/>
        </w:rPr>
        <w:t>changes.</w:t>
      </w:r>
    </w:p>
    <w:p>
      <w:pPr>
        <w:pStyle w:val="BodyText"/>
        <w:spacing w:before="197"/>
        <w:ind w:left="880"/>
      </w:pPr>
      <w:r>
        <w:rPr/>
        <w:pict>
          <v:line style="position:absolute;mso-position-horizontal-relative:page;mso-position-vertical-relative:paragraph;z-index:-440800" from="61.68pt,18.28586pt" to="65.041pt,18.28586pt" stroked="true" strokeweight=".6pt" strokecolor="#2e97d3">
            <v:stroke dashstyle="solid"/>
            <w10:wrap type="none"/>
          </v:line>
        </w:pict>
      </w:r>
      <w:r>
        <w:rPr/>
        <w:t>(Continued)</w:t>
      </w:r>
    </w:p>
    <w:p>
      <w:pPr>
        <w:spacing w:after="0"/>
        <w:sectPr>
          <w:pgSz w:w="12240" w:h="15840"/>
          <w:pgMar w:header="726" w:footer="858" w:top="980" w:bottom="1040" w:left="420" w:right="1340"/>
        </w:sectPr>
      </w:pPr>
    </w:p>
    <w:p>
      <w:pPr>
        <w:pStyle w:val="BodyText"/>
        <w:spacing w:line="275" w:lineRule="exact" w:before="173"/>
        <w:ind w:left="792"/>
      </w:pPr>
      <w:r>
        <w:rPr/>
        <w:pict>
          <v:line style="position:absolute;mso-position-horizontal-relative:page;mso-position-vertical-relative:paragraph;z-index:32320" from="29.4pt,22.545883pt" to="29.4pt,75.945883pt" stroked="true" strokeweight=".72pt" strokecolor="#000000">
            <v:stroke dashstyle="solid"/>
            <w10:wrap type="none"/>
          </v:line>
        </w:pict>
      </w:r>
      <w:r>
        <w:rPr/>
        <w:t>(Continued)</w:t>
      </w:r>
    </w:p>
    <w:p>
      <w:pPr>
        <w:tabs>
          <w:tab w:pos="8786" w:val="left" w:leader="none"/>
        </w:tabs>
        <w:spacing w:line="275" w:lineRule="exact" w:before="0"/>
        <w:ind w:left="792" w:right="0" w:firstLine="0"/>
        <w:jc w:val="left"/>
        <w:rPr>
          <w:sz w:val="24"/>
        </w:rPr>
      </w:pPr>
      <w:r>
        <w:rPr/>
        <w:pict>
          <v:line style="position:absolute;mso-position-horizontal-relative:page;mso-position-vertical-relative:paragraph;z-index:-440464" from="168.839996pt,8.376943pt" to="172.199996pt,8.376943pt" stroked="true" strokeweight=".599pt" strokecolor="#2e97d3">
            <v:stroke dashstyle="solid"/>
            <w10:wrap type="none"/>
          </v:line>
        </w:pict>
      </w:r>
      <w:r>
        <w:rPr>
          <w:b/>
          <w:sz w:val="24"/>
        </w:rPr>
        <w:t>SCOPE</w:t>
      </w:r>
      <w:r>
        <w:rPr>
          <w:b/>
          <w:spacing w:val="-5"/>
          <w:sz w:val="24"/>
        </w:rPr>
        <w:t> </w:t>
      </w:r>
      <w:r>
        <w:rPr>
          <w:b/>
          <w:sz w:val="24"/>
        </w:rPr>
        <w:t>CHANGES</w:t>
        <w:tab/>
        <w:t>6863 </w:t>
      </w:r>
      <w:r>
        <w:rPr>
          <w:sz w:val="24"/>
        </w:rPr>
        <w:t>(Cont.</w:t>
      </w:r>
      <w:r>
        <w:rPr>
          <w:spacing w:val="-11"/>
          <w:sz w:val="24"/>
        </w:rPr>
        <w:t> </w:t>
      </w:r>
      <w:r>
        <w:rPr>
          <w:sz w:val="24"/>
        </w:rPr>
        <w:t>3)</w:t>
      </w:r>
    </w:p>
    <w:p>
      <w:pPr>
        <w:pStyle w:val="BodyText"/>
        <w:ind w:left="792"/>
      </w:pPr>
      <w:r>
        <w:rPr/>
        <w:t>(Revised </w:t>
      </w:r>
      <w:r>
        <w:rPr>
          <w:strike/>
          <w:color w:val="2E97D3"/>
        </w:rPr>
        <w:t>5/1998</w:t>
      </w:r>
      <w:r>
        <w:rPr>
          <w:strike w:val="0"/>
          <w:color w:val="2E97D3"/>
          <w:u w:val="single" w:color="2E97D3"/>
        </w:rPr>
        <w:t>09/2017</w:t>
      </w:r>
      <w:r>
        <w:rPr>
          <w:strike w:val="0"/>
        </w:rPr>
        <w:t>)</w:t>
      </w:r>
    </w:p>
    <w:p>
      <w:pPr>
        <w:pStyle w:val="BodyText"/>
        <w:spacing w:before="10"/>
        <w:rPr>
          <w:sz w:val="20"/>
        </w:rPr>
      </w:pPr>
    </w:p>
    <w:p>
      <w:pPr>
        <w:pStyle w:val="ListParagraph"/>
        <w:numPr>
          <w:ilvl w:val="0"/>
          <w:numId w:val="123"/>
        </w:numPr>
        <w:tabs>
          <w:tab w:pos="1152" w:val="left" w:leader="none"/>
        </w:tabs>
        <w:spacing w:line="240" w:lineRule="auto" w:before="0" w:after="0"/>
        <w:ind w:left="1152" w:right="432" w:hanging="360"/>
        <w:jc w:val="left"/>
        <w:rPr>
          <w:b/>
          <w:sz w:val="24"/>
        </w:rPr>
      </w:pPr>
      <w:r>
        <w:rPr/>
        <w:pict>
          <v:line style="position:absolute;mso-position-horizontal-relative:page;mso-position-vertical-relative:paragraph;z-index:-440440" from="479.880005pt,63.516354pt" to="483.000005pt,63.516354pt" stroked="true" strokeweight=".599pt" strokecolor="#2e97d3">
            <v:stroke dashstyle="solid"/>
            <w10:wrap type="none"/>
          </v:line>
        </w:pict>
      </w:r>
      <w:r>
        <w:rPr/>
        <w:pict>
          <v:line style="position:absolute;mso-position-horizontal-relative:page;mso-position-vertical-relative:paragraph;z-index:32344" from="29.4pt,55.415855pt" to="29.4pt,69.215855pt" stroked="true" strokeweight=".72pt" strokecolor="#000000">
            <v:stroke dashstyle="solid"/>
            <w10:wrap type="none"/>
          </v:line>
        </w:pict>
      </w:r>
      <w:r>
        <w:rPr/>
        <w:pict>
          <v:line style="position:absolute;mso-position-horizontal-relative:page;mso-position-vertical-relative:paragraph;z-index:32368" from="29.4pt,110.615852pt" to="29.4pt,136.415852pt" stroked="true" strokeweight=".72pt" strokecolor="#000000">
            <v:stroke dashstyle="solid"/>
            <w10:wrap type="none"/>
          </v:line>
        </w:pict>
      </w:r>
      <w:r>
        <w:rPr>
          <w:sz w:val="24"/>
        </w:rPr>
        <w:t>For budget act projects, the </w:t>
      </w:r>
      <w:r>
        <w:rPr>
          <w:b/>
          <w:sz w:val="24"/>
        </w:rPr>
        <w:t>supplemental language report of the Legislature</w:t>
      </w:r>
      <w:r>
        <w:rPr>
          <w:sz w:val="24"/>
        </w:rPr>
        <w:t>: This language summarizes the COBCP for each specific project and outlines costs for studies, acquisition, preliminary plans, working drawings, construction and equipment using the California Construction Cost Index (CCCI) as published in </w:t>
      </w:r>
      <w:r>
        <w:rPr>
          <w:i/>
          <w:sz w:val="24"/>
        </w:rPr>
        <w:t>Engineering News Record </w:t>
      </w:r>
      <w:r>
        <w:rPr>
          <w:sz w:val="24"/>
        </w:rPr>
        <w:t>for the year of the original project appropriation. While a proposed schedule for the commencement and completion of various phases of each project is contained in the scope language, this project schedule is not considered part of the project scope for purposes of scope</w:t>
      </w:r>
      <w:r>
        <w:rPr>
          <w:spacing w:val="-32"/>
          <w:sz w:val="24"/>
        </w:rPr>
        <w:t> </w:t>
      </w:r>
      <w:r>
        <w:rPr>
          <w:sz w:val="24"/>
        </w:rPr>
        <w:t>changes</w:t>
      </w:r>
      <w:r>
        <w:rPr>
          <w:b/>
          <w:sz w:val="24"/>
        </w:rPr>
        <w:t>.</w:t>
      </w:r>
    </w:p>
    <w:p>
      <w:pPr>
        <w:pStyle w:val="BodyText"/>
        <w:spacing w:before="9"/>
        <w:rPr>
          <w:b/>
          <w:sz w:val="20"/>
        </w:rPr>
      </w:pPr>
    </w:p>
    <w:p>
      <w:pPr>
        <w:pStyle w:val="ListParagraph"/>
        <w:numPr>
          <w:ilvl w:val="0"/>
          <w:numId w:val="123"/>
        </w:numPr>
        <w:tabs>
          <w:tab w:pos="1152" w:val="left" w:leader="none"/>
        </w:tabs>
        <w:spacing w:line="240" w:lineRule="auto" w:before="1" w:after="0"/>
        <w:ind w:left="1152" w:right="443" w:hanging="360"/>
        <w:jc w:val="left"/>
        <w:rPr>
          <w:sz w:val="24"/>
        </w:rPr>
      </w:pPr>
      <w:r>
        <w:rPr/>
        <w:pict>
          <v:line style="position:absolute;mso-position-horizontal-relative:page;mso-position-vertical-relative:paragraph;z-index:-440416" from="341.76001pt,8.486330pt" to="345.12101pt,8.486330pt" stroked="true" strokeweight=".599pt" strokecolor="#2e97d3">
            <v:stroke dashstyle="solid"/>
            <w10:wrap type="none"/>
          </v:line>
        </w:pict>
      </w:r>
      <w:r>
        <w:rPr/>
        <w:pict>
          <v:line style="position:absolute;mso-position-horizontal-relative:page;mso-position-vertical-relative:paragraph;z-index:-440392" from="120.360001pt,49.88633pt" to="123.721001pt,49.88633pt" stroked="true" strokeweight=".599pt" strokecolor="#2e97d3">
            <v:stroke dashstyle="solid"/>
            <w10:wrap type="none"/>
          </v:line>
        </w:pict>
      </w:r>
      <w:r>
        <w:rPr/>
        <w:pict>
          <v:line style="position:absolute;mso-position-horizontal-relative:page;mso-position-vertical-relative:paragraph;z-index:32392" from="29.4pt,41.665829pt" to="29.4pt,55.465829pt" stroked="true" strokeweight=".72pt" strokecolor="#000000">
            <v:stroke dashstyle="solid"/>
            <w10:wrap type="none"/>
          </v:line>
        </w:pict>
      </w:r>
      <w:r>
        <w:rPr/>
        <w:pict>
          <v:line style="position:absolute;mso-position-horizontal-relative:page;mso-position-vertical-relative:paragraph;z-index:32416" from="29.4pt,69.264832pt" to="29.4pt,83.065832pt" stroked="true" strokeweight=".72pt" strokecolor="#000000">
            <v:stroke dashstyle="solid"/>
            <w10:wrap type="none"/>
          </v:line>
        </w:pict>
      </w:r>
      <w:r>
        <w:rPr/>
        <w:pict>
          <v:line style="position:absolute;mso-position-horizontal-relative:page;mso-position-vertical-relative:paragraph;z-index:32440" from="29.4pt,110.665833pt" to="29.4pt,150.145833pt" stroked="true" strokeweight=".72pt" strokecolor="#000000">
            <v:stroke dashstyle="solid"/>
            <w10:wrap type="none"/>
          </v:line>
        </w:pict>
      </w:r>
      <w:r>
        <w:rPr>
          <w:sz w:val="24"/>
        </w:rPr>
        <w:t>For non-budget act projects, </w:t>
      </w:r>
      <w:r>
        <w:rPr>
          <w:b/>
          <w:sz w:val="24"/>
        </w:rPr>
        <w:t>special legislation</w:t>
      </w:r>
      <w:r>
        <w:rPr>
          <w:sz w:val="24"/>
        </w:rPr>
        <w:t>: For projects approved through special legislation, where preliminary program guides and budget packages are not available, the language in the legislation may provide initial definition of approved scope. Other documents used to support the need for the legislation, such as project descriptions, which may be included or supplemented in master plans, special reports, and costs estimates, may provide more detailed scope definition. Also, subsequent documents submitted to and approved by the Legislature (if applicable), further define legislatively approved</w:t>
      </w:r>
      <w:r>
        <w:rPr>
          <w:spacing w:val="-39"/>
          <w:sz w:val="24"/>
        </w:rPr>
        <w:t> </w:t>
      </w:r>
      <w:r>
        <w:rPr>
          <w:sz w:val="24"/>
        </w:rPr>
        <w:t>scope.</w:t>
      </w:r>
    </w:p>
    <w:p>
      <w:pPr>
        <w:pStyle w:val="BodyText"/>
        <w:spacing w:before="7"/>
        <w:rPr>
          <w:sz w:val="20"/>
        </w:rPr>
      </w:pPr>
    </w:p>
    <w:p>
      <w:pPr>
        <w:pStyle w:val="ListParagraph"/>
        <w:numPr>
          <w:ilvl w:val="0"/>
          <w:numId w:val="123"/>
        </w:numPr>
        <w:tabs>
          <w:tab w:pos="1152" w:val="left" w:leader="none"/>
        </w:tabs>
        <w:spacing w:line="240" w:lineRule="auto" w:before="0" w:after="0"/>
        <w:ind w:left="1152" w:right="644" w:hanging="360"/>
        <w:jc w:val="left"/>
        <w:rPr>
          <w:sz w:val="24"/>
        </w:rPr>
      </w:pPr>
      <w:r>
        <w:rPr/>
        <w:pict>
          <v:line style="position:absolute;mso-position-horizontal-relative:page;mso-position-vertical-relative:paragraph;z-index:-440368" from="112.32pt,22.236362pt" to="115.68pt,22.236362pt" stroked="true" strokeweight=".599pt" strokecolor="#2e97d3">
            <v:stroke dashstyle="solid"/>
            <w10:wrap type="none"/>
          </v:line>
        </w:pict>
      </w:r>
      <w:r>
        <w:rPr>
          <w:b/>
          <w:sz w:val="24"/>
        </w:rPr>
        <w:t>Preliminary plans and working drawings </w:t>
      </w:r>
      <w:r>
        <w:rPr>
          <w:sz w:val="24"/>
        </w:rPr>
        <w:t>as approved by </w:t>
      </w:r>
      <w:r>
        <w:rPr>
          <w:strike/>
          <w:color w:val="2E97D3"/>
          <w:sz w:val="24"/>
        </w:rPr>
        <w:t>DOF</w:t>
      </w:r>
      <w:r>
        <w:rPr>
          <w:strike w:val="0"/>
          <w:color w:val="2E97D3"/>
          <w:sz w:val="22"/>
          <w:u w:val="single" w:color="2E97D3"/>
        </w:rPr>
        <w:t>Finance </w:t>
      </w:r>
      <w:r>
        <w:rPr>
          <w:strike w:val="0"/>
          <w:sz w:val="24"/>
        </w:rPr>
        <w:t>and PWB. Once preliminary plans have been approved by the board, the specific plans and specifications become the final definition of the scope of the project, as it pertains</w:t>
      </w:r>
      <w:r>
        <w:rPr>
          <w:strike w:val="0"/>
          <w:spacing w:val="-52"/>
          <w:sz w:val="24"/>
        </w:rPr>
        <w:t> </w:t>
      </w:r>
      <w:r>
        <w:rPr>
          <w:strike w:val="0"/>
          <w:sz w:val="24"/>
        </w:rPr>
        <w:t>to physical characteristics.</w:t>
      </w:r>
    </w:p>
    <w:p>
      <w:pPr>
        <w:pStyle w:val="BodyText"/>
        <w:ind w:left="100"/>
        <w:rPr>
          <w:sz w:val="20"/>
        </w:rPr>
      </w:pPr>
      <w:r>
        <w:rPr>
          <w:sz w:val="20"/>
        </w:rPr>
        <w:pict>
          <v:group style="width:.75pt;height:12.75pt;mso-position-horizontal-relative:char;mso-position-vertical-relative:line" coordorigin="0,0" coordsize="15,255">
            <v:line style="position:absolute" from="8,8" to="8,248" stroked="true" strokeweight=".72pt" strokecolor="#000000">
              <v:stroke dashstyle="solid"/>
            </v:line>
          </v:group>
        </w:pict>
      </w:r>
      <w:r>
        <w:rPr>
          <w:sz w:val="20"/>
        </w:rPr>
      </w:r>
    </w:p>
    <w:p>
      <w:pPr>
        <w:spacing w:before="0"/>
        <w:ind w:left="792" w:right="0" w:firstLine="0"/>
        <w:jc w:val="left"/>
        <w:rPr>
          <w:sz w:val="24"/>
        </w:rPr>
      </w:pPr>
      <w:r>
        <w:rPr>
          <w:b/>
          <w:sz w:val="24"/>
        </w:rPr>
        <w:t>Agenda packages for scope changes</w:t>
      </w:r>
      <w:r>
        <w:rPr>
          <w:sz w:val="24"/>
        </w:rPr>
        <w:t>:  Provide the following information:</w:t>
      </w:r>
    </w:p>
    <w:p>
      <w:pPr>
        <w:pStyle w:val="BodyText"/>
        <w:tabs>
          <w:tab w:pos="4286" w:val="left" w:leader="none"/>
        </w:tabs>
        <w:spacing w:before="120"/>
        <w:ind w:left="3667" w:right="1075" w:hanging="360"/>
      </w:pPr>
      <w:r>
        <w:rPr>
          <w:strike/>
          <w:color w:val="2E97D3"/>
        </w:rPr>
        <w:t>2.</w:t>
      </w:r>
      <w:r>
        <w:rPr>
          <w:strike w:val="0"/>
          <w:color w:val="2E97D3"/>
          <w:u w:val="single" w:color="2E97D3"/>
        </w:rPr>
        <w:t>1.</w:t>
        <w:tab/>
      </w:r>
      <w:r>
        <w:rPr>
          <w:strike w:val="0"/>
        </w:rPr>
        <w:t>All information requested in</w:t>
      </w:r>
      <w:r>
        <w:rPr>
          <w:strike w:val="0"/>
          <w:spacing w:val="-16"/>
        </w:rPr>
        <w:t> </w:t>
      </w:r>
      <w:r>
        <w:rPr>
          <w:strike w:val="0"/>
        </w:rPr>
        <w:t>Section</w:t>
      </w:r>
      <w:r>
        <w:rPr>
          <w:strike w:val="0"/>
          <w:spacing w:val="-3"/>
        </w:rPr>
        <w:t> </w:t>
      </w:r>
      <w:r>
        <w:rPr>
          <w:strike w:val="0"/>
        </w:rPr>
        <w:t>6845,</w:t>
      </w:r>
      <w:r>
        <w:rPr>
          <w:strike w:val="0"/>
          <w:w w:val="100"/>
        </w:rPr>
        <w:t> </w:t>
      </w:r>
      <w:r>
        <w:rPr>
          <w:strike w:val="0"/>
        </w:rPr>
        <w:t>including the standard fiscal reporting requirements and the agenda package; and the following additional information:</w:t>
      </w:r>
    </w:p>
    <w:p>
      <w:pPr>
        <w:pStyle w:val="BodyText"/>
        <w:spacing w:before="120"/>
        <w:ind w:left="4579" w:right="880" w:hanging="360"/>
      </w:pPr>
      <w:r>
        <w:rPr>
          <w:strike/>
          <w:color w:val="2E97D3"/>
        </w:rPr>
        <w:t>a.</w:t>
      </w:r>
      <w:r>
        <w:rPr>
          <w:strike w:val="0"/>
          <w:color w:val="2E97D3"/>
          <w:u w:val="single" w:color="2E97D3"/>
        </w:rPr>
        <w:t>• </w:t>
      </w:r>
      <w:r>
        <w:rPr>
          <w:strike w:val="0"/>
        </w:rPr>
        <w:t>Any mandated reviews and approvals required related to the project change;</w:t>
      </w:r>
    </w:p>
    <w:p>
      <w:pPr>
        <w:pStyle w:val="BodyText"/>
        <w:ind w:left="100"/>
        <w:rPr>
          <w:sz w:val="20"/>
        </w:rPr>
      </w:pPr>
      <w:r>
        <w:rPr>
          <w:sz w:val="20"/>
        </w:rPr>
        <w:pict>
          <v:group style="width:.75pt;height:12.75pt;mso-position-horizontal-relative:char;mso-position-vertical-relative:line" coordorigin="0,0" coordsize="15,255">
            <v:line style="position:absolute" from="8,8" to="8,248" stroked="true" strokeweight=".72pt" strokecolor="#000000">
              <v:stroke dashstyle="solid"/>
            </v:line>
          </v:group>
        </w:pict>
      </w:r>
      <w:r>
        <w:rPr>
          <w:sz w:val="20"/>
        </w:rPr>
      </w:r>
    </w:p>
    <w:p>
      <w:pPr>
        <w:pStyle w:val="BodyText"/>
        <w:ind w:left="4579" w:right="974" w:hanging="360"/>
      </w:pPr>
      <w:r>
        <w:rPr/>
        <w:pict>
          <v:line style="position:absolute;mso-position-horizontal-relative:page;mso-position-vertical-relative:paragraph;z-index:32464" from="29.4pt,27.815859pt" to="29.4pt,39.815859pt" stroked="true" strokeweight=".72pt" strokecolor="#000000">
            <v:stroke dashstyle="solid"/>
            <w10:wrap type="none"/>
          </v:line>
        </w:pict>
      </w:r>
      <w:r>
        <w:rPr>
          <w:strike/>
          <w:color w:val="2E97D3"/>
        </w:rPr>
        <w:t>b.</w:t>
      </w:r>
      <w:r>
        <w:rPr>
          <w:strike w:val="0"/>
          <w:color w:val="2E97D3"/>
          <w:u w:val="single" w:color="2E97D3"/>
        </w:rPr>
        <w:t>• </w:t>
      </w:r>
      <w:r>
        <w:rPr>
          <w:strike w:val="0"/>
        </w:rPr>
        <w:t>Any required CEQA compliance related to the change;</w:t>
      </w:r>
    </w:p>
    <w:p>
      <w:pPr>
        <w:pStyle w:val="BodyText"/>
        <w:spacing w:line="510" w:lineRule="atLeast" w:before="6"/>
        <w:ind w:left="4219" w:right="601"/>
      </w:pPr>
      <w:r>
        <w:rPr/>
        <w:pict>
          <v:line style="position:absolute;mso-position-horizontal-relative:page;mso-position-vertical-relative:paragraph;z-index:32488" from="29.4pt,26.017025pt" to="29.4pt,37.897025pt" stroked="true" strokeweight=".72pt" strokecolor="#000000">
            <v:stroke dashstyle="solid"/>
            <w10:wrap type="none"/>
          </v:line>
        </w:pict>
      </w:r>
      <w:r>
        <w:rPr>
          <w:strike/>
          <w:color w:val="2E97D3"/>
        </w:rPr>
        <w:t>c.</w:t>
      </w:r>
      <w:r>
        <w:rPr>
          <w:strike w:val="0"/>
          <w:color w:val="2E97D3"/>
          <w:u w:val="single" w:color="2E97D3"/>
        </w:rPr>
        <w:t>• </w:t>
      </w:r>
      <w:r>
        <w:rPr>
          <w:strike w:val="0"/>
        </w:rPr>
        <w:t>What design corrections were required, and why; </w:t>
      </w:r>
      <w:r>
        <w:rPr>
          <w:strike/>
          <w:color w:val="2E97D3"/>
        </w:rPr>
        <w:t>d.</w:t>
      </w:r>
      <w:r>
        <w:rPr>
          <w:strike w:val="0"/>
          <w:color w:val="2E97D3"/>
          <w:u w:val="single" w:color="2E97D3"/>
        </w:rPr>
        <w:t>• </w:t>
      </w:r>
      <w:r>
        <w:rPr>
          <w:i/>
          <w:strike w:val="0"/>
        </w:rPr>
        <w:t>What </w:t>
      </w:r>
      <w:r>
        <w:rPr>
          <w:strike w:val="0"/>
        </w:rPr>
        <w:t>programmatic changes were required, </w:t>
      </w:r>
      <w:r>
        <w:rPr>
          <w:i/>
          <w:strike w:val="0"/>
        </w:rPr>
        <w:t>why</w:t>
      </w:r>
      <w:r>
        <w:rPr>
          <w:strike w:val="0"/>
        </w:rPr>
        <w:t>,</w:t>
      </w:r>
    </w:p>
    <w:p>
      <w:pPr>
        <w:pStyle w:val="BodyText"/>
        <w:spacing w:line="244" w:lineRule="auto" w:before="2"/>
        <w:ind w:left="4579" w:right="777"/>
      </w:pPr>
      <w:r>
        <w:rPr/>
        <w:pict>
          <v:line style="position:absolute;mso-position-horizontal-relative:page;mso-position-vertical-relative:paragraph;z-index:32512" from="29.4pt,14.356857pt" to="29.4pt,40.155857pt" stroked="true" strokeweight=".72pt" strokecolor="#000000">
            <v:stroke dashstyle="solid"/>
            <w10:wrap type="none"/>
          </v:line>
        </w:pict>
      </w:r>
      <w:r>
        <w:rPr/>
        <w:t>and </w:t>
      </w:r>
      <w:r>
        <w:rPr>
          <w:i/>
        </w:rPr>
        <w:t>when </w:t>
      </w:r>
      <w:r>
        <w:rPr/>
        <w:t>those changes were approved by the </w:t>
      </w:r>
      <w:r>
        <w:rPr>
          <w:strike/>
          <w:color w:val="2E97D3"/>
        </w:rPr>
        <w:t>DOF</w:t>
      </w:r>
      <w:r>
        <w:rPr>
          <w:strike w:val="0"/>
          <w:color w:val="2E97D3"/>
          <w:sz w:val="22"/>
          <w:u w:val="single" w:color="2E97D3"/>
        </w:rPr>
        <w:t>Finance </w:t>
      </w:r>
      <w:r>
        <w:rPr>
          <w:strike w:val="0"/>
        </w:rPr>
        <w:t>support analyst; and</w:t>
      </w:r>
    </w:p>
    <w:p>
      <w:pPr>
        <w:pStyle w:val="BodyText"/>
        <w:spacing w:before="4"/>
        <w:rPr>
          <w:sz w:val="20"/>
        </w:rPr>
      </w:pPr>
    </w:p>
    <w:p>
      <w:pPr>
        <w:pStyle w:val="BodyText"/>
        <w:ind w:left="4579" w:right="374" w:hanging="360"/>
      </w:pPr>
      <w:r>
        <w:rPr>
          <w:strike/>
          <w:color w:val="2E97D3"/>
        </w:rPr>
        <w:t>e.</w:t>
      </w:r>
      <w:r>
        <w:rPr>
          <w:strike w:val="0"/>
          <w:color w:val="2E97D3"/>
          <w:u w:val="single" w:color="2E97D3"/>
        </w:rPr>
        <w:t>• </w:t>
      </w:r>
      <w:r>
        <w:rPr>
          <w:strike w:val="0"/>
        </w:rPr>
        <w:t>What the change’s savings or cost implications are, and why.</w:t>
      </w:r>
    </w:p>
    <w:p>
      <w:pPr>
        <w:pStyle w:val="BodyText"/>
        <w:ind w:left="100"/>
        <w:rPr>
          <w:sz w:val="20"/>
        </w:rPr>
      </w:pPr>
      <w:r>
        <w:rPr>
          <w:sz w:val="20"/>
        </w:rPr>
        <w:pict>
          <v:group style="width:.75pt;height:12.65pt;mso-position-horizontal-relative:char;mso-position-vertical-relative:line" coordorigin="0,0" coordsize="15,253">
            <v:line style="position:absolute" from="8,7" to="8,245" stroked="true" strokeweight=".72pt" strokecolor="#000000">
              <v:stroke dashstyle="solid"/>
            </v:line>
          </v:group>
        </w:pict>
      </w:r>
      <w:r>
        <w:rPr>
          <w:sz w:val="20"/>
        </w:rPr>
      </w:r>
    </w:p>
    <w:p>
      <w:pPr>
        <w:pStyle w:val="BodyText"/>
        <w:tabs>
          <w:tab w:pos="1406" w:val="left" w:leader="none"/>
        </w:tabs>
        <w:ind w:left="1046" w:right="552" w:hanging="360"/>
      </w:pPr>
      <w:r>
        <w:rPr>
          <w:strike/>
          <w:color w:val="2E97D3"/>
        </w:rPr>
        <w:t>2.</w:t>
      </w:r>
      <w:r>
        <w:rPr>
          <w:strike w:val="0"/>
          <w:color w:val="2E97D3"/>
          <w:u w:val="single" w:color="2E97D3"/>
        </w:rPr>
        <w:t>1.</w:t>
        <w:tab/>
      </w:r>
      <w:r>
        <w:rPr>
          <w:strike w:val="0"/>
        </w:rPr>
        <w:t>If an augmentation is also required, a sub-item must be attached</w:t>
      </w:r>
      <w:r>
        <w:rPr>
          <w:strike w:val="0"/>
          <w:spacing w:val="-33"/>
        </w:rPr>
        <w:t> </w:t>
      </w:r>
      <w:r>
        <w:rPr>
          <w:strike w:val="0"/>
        </w:rPr>
        <w:t>consistent</w:t>
      </w:r>
      <w:r>
        <w:rPr>
          <w:strike w:val="0"/>
          <w:spacing w:val="-30"/>
        </w:rPr>
        <w:t> </w:t>
      </w:r>
      <w:r>
        <w:rPr>
          <w:strike w:val="0"/>
        </w:rPr>
        <w:t>with</w:t>
      </w:r>
      <w:r>
        <w:rPr>
          <w:strike w:val="0"/>
          <w:w w:val="99"/>
        </w:rPr>
        <w:t> </w:t>
      </w:r>
      <w:r>
        <w:rPr>
          <w:strike w:val="0"/>
        </w:rPr>
        <w:t>Section</w:t>
      </w:r>
      <w:r>
        <w:rPr>
          <w:strike w:val="0"/>
          <w:spacing w:val="-5"/>
        </w:rPr>
        <w:t> </w:t>
      </w:r>
      <w:r>
        <w:rPr>
          <w:strike w:val="0"/>
        </w:rPr>
        <w:t>6861</w:t>
      </w:r>
      <w:r>
        <w:rPr>
          <w:strike w:val="0"/>
          <w:spacing w:val="-3"/>
        </w:rPr>
        <w:t> </w:t>
      </w:r>
      <w:r>
        <w:rPr>
          <w:strike w:val="0"/>
        </w:rPr>
        <w:t>(and</w:t>
      </w:r>
      <w:r>
        <w:rPr>
          <w:strike w:val="0"/>
          <w:spacing w:val="-5"/>
        </w:rPr>
        <w:t> </w:t>
      </w:r>
      <w:r>
        <w:rPr>
          <w:strike w:val="0"/>
        </w:rPr>
        <w:t>also</w:t>
      </w:r>
      <w:r>
        <w:rPr>
          <w:strike w:val="0"/>
          <w:spacing w:val="-5"/>
        </w:rPr>
        <w:t> </w:t>
      </w:r>
      <w:r>
        <w:rPr>
          <w:strike w:val="0"/>
        </w:rPr>
        <w:t>noticed</w:t>
      </w:r>
      <w:r>
        <w:rPr>
          <w:strike w:val="0"/>
          <w:spacing w:val="-3"/>
        </w:rPr>
        <w:t> </w:t>
      </w:r>
      <w:r>
        <w:rPr>
          <w:strike w:val="0"/>
        </w:rPr>
        <w:t>to</w:t>
      </w:r>
      <w:r>
        <w:rPr>
          <w:strike w:val="0"/>
          <w:spacing w:val="-3"/>
        </w:rPr>
        <w:t> </w:t>
      </w:r>
      <w:r>
        <w:rPr>
          <w:strike w:val="0"/>
        </w:rPr>
        <w:t>the</w:t>
      </w:r>
      <w:r>
        <w:rPr>
          <w:strike w:val="0"/>
          <w:spacing w:val="-3"/>
        </w:rPr>
        <w:t> </w:t>
      </w:r>
      <w:r>
        <w:rPr>
          <w:strike w:val="0"/>
        </w:rPr>
        <w:t>Legislature,</w:t>
      </w:r>
      <w:r>
        <w:rPr>
          <w:strike w:val="0"/>
          <w:spacing w:val="-3"/>
        </w:rPr>
        <w:t> </w:t>
      </w:r>
      <w:r>
        <w:rPr>
          <w:strike w:val="0"/>
        </w:rPr>
        <w:t>if</w:t>
      </w:r>
      <w:r>
        <w:rPr>
          <w:strike w:val="0"/>
          <w:spacing w:val="-27"/>
        </w:rPr>
        <w:t> </w:t>
      </w:r>
      <w:r>
        <w:rPr>
          <w:strike w:val="0"/>
        </w:rPr>
        <w:t>necessary).</w:t>
      </w:r>
    </w:p>
    <w:p>
      <w:pPr>
        <w:spacing w:after="0"/>
        <w:sectPr>
          <w:footerReference w:type="default" r:id="rId323"/>
          <w:pgSz w:w="12240" w:h="15840"/>
          <w:pgMar w:footer="792" w:header="726" w:top="980" w:bottom="980" w:left="480" w:right="1340"/>
        </w:sectPr>
      </w:pPr>
    </w:p>
    <w:p>
      <w:pPr>
        <w:pStyle w:val="BodyText"/>
        <w:spacing w:before="4"/>
        <w:rPr>
          <w:rFonts w:ascii="Times New Roman"/>
          <w:sz w:val="17"/>
        </w:rPr>
      </w:pPr>
      <w:r>
        <w:rPr/>
        <w:pict>
          <v:line style="position:absolute;mso-position-horizontal-relative:page;mso-position-vertical-relative:page;z-index:32536" from="29.4pt,58.561001pt" to="29.4pt,84.360001pt" stroked="true" strokeweight=".72pt" strokecolor="#000000">
            <v:stroke dashstyle="solid"/>
            <w10:wrap type="none"/>
          </v:line>
        </w:pict>
      </w:r>
    </w:p>
    <w:p>
      <w:pPr>
        <w:spacing w:after="0"/>
        <w:rPr>
          <w:rFonts w:ascii="Times New Roman"/>
          <w:sz w:val="17"/>
        </w:rPr>
        <w:sectPr>
          <w:pgSz w:w="12240" w:h="15840"/>
          <w:pgMar w:header="726" w:footer="792" w:top="980" w:bottom="980" w:left="480" w:right="1720"/>
        </w:sectPr>
      </w:pPr>
    </w:p>
    <w:p>
      <w:pPr>
        <w:pStyle w:val="BodyText"/>
        <w:spacing w:before="6"/>
        <w:rPr>
          <w:rFonts w:ascii="Times New Roman"/>
          <w:sz w:val="10"/>
        </w:rPr>
      </w:pPr>
    </w:p>
    <w:p>
      <w:pPr>
        <w:tabs>
          <w:tab w:pos="9784" w:val="left" w:leader="none"/>
        </w:tabs>
        <w:spacing w:line="275" w:lineRule="exact" w:before="92"/>
        <w:ind w:left="686" w:right="0" w:firstLine="0"/>
        <w:jc w:val="left"/>
        <w:rPr>
          <w:b/>
          <w:sz w:val="24"/>
        </w:rPr>
      </w:pPr>
      <w:bookmarkStart w:name="QUARTERLY REPORT  6864" w:id="115"/>
      <w:bookmarkEnd w:id="115"/>
      <w:r>
        <w:rPr/>
      </w:r>
      <w:r>
        <w:rPr>
          <w:b/>
          <w:sz w:val="24"/>
        </w:rPr>
        <w:t>QUARTERLY</w:t>
      </w:r>
      <w:r>
        <w:rPr>
          <w:b/>
          <w:spacing w:val="-5"/>
          <w:sz w:val="24"/>
        </w:rPr>
        <w:t> </w:t>
      </w:r>
      <w:r>
        <w:rPr>
          <w:b/>
          <w:sz w:val="24"/>
        </w:rPr>
        <w:t>REPORT</w:t>
        <w:tab/>
        <w:t>6864</w:t>
      </w:r>
    </w:p>
    <w:p>
      <w:pPr>
        <w:pStyle w:val="BodyText"/>
        <w:spacing w:line="275" w:lineRule="exact"/>
        <w:ind w:left="686"/>
      </w:pPr>
      <w:r>
        <w:rPr/>
        <w:t>(Revised 5/1998)</w:t>
      </w:r>
    </w:p>
    <w:p>
      <w:pPr>
        <w:pStyle w:val="BodyText"/>
        <w:spacing w:before="120"/>
        <w:ind w:left="686" w:right="175"/>
      </w:pPr>
      <w:r>
        <w:rPr/>
        <w:t>Each department with an active capital outlay appropriation must submit a quarterly report to DOF no later than April 15, July 15, October 15, and January 15 of each calendar year as shown in </w:t>
      </w:r>
      <w:r>
        <w:rPr>
          <w:color w:val="0000FF"/>
          <w:u w:val="single" w:color="0000FF"/>
        </w:rPr>
        <w:t>6864 Illustration 1</w:t>
      </w:r>
      <w:r>
        <w:rPr/>
        <w:t>.</w:t>
      </w:r>
    </w:p>
    <w:p>
      <w:pPr>
        <w:pStyle w:val="BodyText"/>
        <w:spacing w:before="119"/>
        <w:ind w:left="686" w:right="215"/>
      </w:pPr>
      <w:r>
        <w:rPr/>
        <w:t>The fiscal data should include all funding (appropriations and executive orders) related to the project plus any transfers related to each appropriation. Comments should describe the status of the current phase. Detail of change orders should recap any scope changes and construction change orders issued or pending. The schedule, at a minimum, should reflect the original dates (at time of project funding approval), and the latest revised dates and actual dates.  In addition, it is helpful to enter into a history of schedule changes.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Heading2"/>
        <w:spacing w:before="93"/>
        <w:ind w:left="2106" w:right="1520"/>
        <w:jc w:val="center"/>
      </w:pPr>
      <w:r>
        <w:rPr/>
        <w:pict>
          <v:line style="position:absolute;mso-position-horizontal-relative:page;mso-position-vertical-relative:paragraph;z-index:32560" from="29.4pt,4.865861pt" to="29.4pt,32.465861pt" stroked="true" strokeweight=".72pt" strokecolor="#000000">
            <v:stroke dashstyle="solid"/>
            <w10:wrap type="none"/>
          </v:line>
        </w:pict>
      </w:r>
      <w:r>
        <w:rPr/>
        <w:t>Rev. 364</w:t>
      </w:r>
    </w:p>
    <w:p>
      <w:pPr>
        <w:spacing w:before="0"/>
        <w:ind w:left="2106" w:right="1519" w:firstLine="0"/>
        <w:jc w:val="center"/>
        <w:rPr>
          <w:b/>
          <w:i/>
          <w:sz w:val="24"/>
        </w:rPr>
      </w:pPr>
      <w:r>
        <w:rPr>
          <w:b/>
          <w:i/>
          <w:strike/>
          <w:color w:val="2E97D3"/>
          <w:sz w:val="24"/>
        </w:rPr>
        <w:t>(6886 Illustration)</w:t>
      </w:r>
    </w:p>
    <w:p>
      <w:pPr>
        <w:spacing w:after="0"/>
        <w:jc w:val="center"/>
        <w:rPr>
          <w:sz w:val="24"/>
        </w:rPr>
        <w:sectPr>
          <w:headerReference w:type="default" r:id="rId324"/>
          <w:footerReference w:type="default" r:id="rId325"/>
          <w:pgSz w:w="12240" w:h="15840"/>
          <w:pgMar w:header="726" w:footer="0" w:top="980" w:bottom="280" w:left="480" w:right="1340"/>
        </w:sectPr>
      </w:pPr>
    </w:p>
    <w:p>
      <w:pPr>
        <w:spacing w:before="78"/>
        <w:ind w:left="2033" w:right="4147" w:firstLine="0"/>
        <w:jc w:val="center"/>
        <w:rPr>
          <w:b/>
          <w:sz w:val="24"/>
        </w:rPr>
      </w:pPr>
      <w:r>
        <w:rPr>
          <w:b/>
          <w:sz w:val="24"/>
        </w:rPr>
        <w:t>SAM - BUDGETING</w:t>
      </w:r>
    </w:p>
    <w:p>
      <w:pPr>
        <w:pStyle w:val="BodyText"/>
        <w:spacing w:before="6"/>
        <w:rPr>
          <w:b/>
          <w:sz w:val="11"/>
        </w:rPr>
      </w:pPr>
      <w:r>
        <w:rPr/>
        <w:drawing>
          <wp:anchor distT="0" distB="0" distL="0" distR="0" allowOverlap="1" layoutInCell="1" locked="0" behindDoc="0" simplePos="0" relativeHeight="32584">
            <wp:simplePos x="0" y="0"/>
            <wp:positionH relativeFrom="page">
              <wp:posOffset>1237488</wp:posOffset>
            </wp:positionH>
            <wp:positionV relativeFrom="paragraph">
              <wp:posOffset>109384</wp:posOffset>
            </wp:positionV>
            <wp:extent cx="7356855" cy="5518404"/>
            <wp:effectExtent l="0" t="0" r="0" b="0"/>
            <wp:wrapTopAndBottom/>
            <wp:docPr id="5" name="image3.png" descr="capital outlay project reporting"/>
            <wp:cNvGraphicFramePr>
              <a:graphicFrameLocks noChangeAspect="1"/>
            </wp:cNvGraphicFramePr>
            <a:graphic>
              <a:graphicData uri="http://schemas.openxmlformats.org/drawingml/2006/picture">
                <pic:pic>
                  <pic:nvPicPr>
                    <pic:cNvPr id="6" name="image3.png"/>
                    <pic:cNvPicPr/>
                  </pic:nvPicPr>
                  <pic:blipFill>
                    <a:blip r:embed="rId328" cstate="print"/>
                    <a:stretch>
                      <a:fillRect/>
                    </a:stretch>
                  </pic:blipFill>
                  <pic:spPr>
                    <a:xfrm>
                      <a:off x="0" y="0"/>
                      <a:ext cx="7356855" cy="5518404"/>
                    </a:xfrm>
                    <a:prstGeom prst="rect">
                      <a:avLst/>
                    </a:prstGeom>
                  </pic:spPr>
                </pic:pic>
              </a:graphicData>
            </a:graphic>
          </wp:anchor>
        </w:drawing>
      </w:r>
    </w:p>
    <w:p>
      <w:pPr>
        <w:pStyle w:val="BodyText"/>
        <w:rPr>
          <w:b/>
          <w:sz w:val="26"/>
        </w:rPr>
      </w:pPr>
    </w:p>
    <w:p>
      <w:pPr>
        <w:pStyle w:val="BodyText"/>
        <w:rPr>
          <w:b/>
          <w:sz w:val="26"/>
        </w:rPr>
      </w:pPr>
    </w:p>
    <w:p>
      <w:pPr>
        <w:pStyle w:val="BodyText"/>
        <w:rPr>
          <w:b/>
          <w:sz w:val="26"/>
        </w:rPr>
      </w:pPr>
    </w:p>
    <w:p>
      <w:pPr>
        <w:spacing w:before="181"/>
        <w:ind w:left="4429" w:right="3029" w:firstLine="0"/>
        <w:jc w:val="center"/>
        <w:rPr>
          <w:b/>
          <w:sz w:val="24"/>
        </w:rPr>
      </w:pPr>
      <w:r>
        <w:rPr/>
        <w:pict>
          <v:line style="position:absolute;mso-position-horizontal-relative:page;mso-position-vertical-relative:paragraph;z-index:32608" from="27.360001pt,23.065861pt" to="27.360001pt,36.865861pt" stroked="true" strokeweight=".72pt" strokecolor="#000000">
            <v:stroke dashstyle="solid"/>
            <w10:wrap type="none"/>
          </v:line>
        </w:pict>
      </w:r>
      <w:r>
        <w:rPr>
          <w:b/>
          <w:sz w:val="24"/>
        </w:rPr>
        <w:t>Rev. 364</w:t>
      </w:r>
    </w:p>
    <w:p>
      <w:pPr>
        <w:spacing w:before="0"/>
        <w:ind w:left="4429" w:right="3031" w:firstLine="0"/>
        <w:jc w:val="center"/>
        <w:rPr>
          <w:b/>
          <w:i/>
          <w:sz w:val="24"/>
        </w:rPr>
      </w:pPr>
      <w:r>
        <w:rPr>
          <w:b/>
          <w:i/>
          <w:sz w:val="24"/>
        </w:rPr>
        <w:t>(</w:t>
      </w:r>
      <w:r>
        <w:rPr>
          <w:b/>
          <w:i/>
          <w:strike/>
          <w:color w:val="2E97D3"/>
          <w:sz w:val="24"/>
        </w:rPr>
        <w:t>6886</w:t>
      </w:r>
      <w:r>
        <w:rPr>
          <w:b/>
          <w:i/>
          <w:strike w:val="0"/>
          <w:color w:val="2E97D3"/>
          <w:sz w:val="24"/>
          <w:u w:val="thick" w:color="2E97D3"/>
        </w:rPr>
        <w:t>6864 </w:t>
      </w:r>
      <w:r>
        <w:rPr>
          <w:b/>
          <w:i/>
          <w:strike w:val="0"/>
          <w:sz w:val="24"/>
        </w:rPr>
        <w:t>Illustration</w:t>
      </w:r>
      <w:r>
        <w:rPr>
          <w:b/>
          <w:i/>
          <w:strike/>
          <w:color w:val="2E97D3"/>
          <w:sz w:val="24"/>
        </w:rPr>
        <w:t>, Cont. 1</w:t>
      </w:r>
      <w:r>
        <w:rPr>
          <w:b/>
          <w:i/>
          <w:strike w:val="0"/>
          <w:sz w:val="24"/>
        </w:rPr>
        <w:t>)</w:t>
      </w:r>
    </w:p>
    <w:p>
      <w:pPr>
        <w:spacing w:after="0"/>
        <w:jc w:val="center"/>
        <w:rPr>
          <w:sz w:val="24"/>
        </w:rPr>
        <w:sectPr>
          <w:headerReference w:type="default" r:id="rId326"/>
          <w:footerReference w:type="default" r:id="rId327"/>
          <w:pgSz w:w="15840" w:h="12240" w:orient="landscape"/>
          <w:pgMar w:header="0" w:footer="0" w:top="640" w:bottom="280" w:left="440" w:right="2200"/>
        </w:sectPr>
      </w:pPr>
    </w:p>
    <w:p>
      <w:pPr>
        <w:pStyle w:val="BodyText"/>
        <w:rPr>
          <w:b/>
          <w:i/>
          <w:sz w:val="20"/>
        </w:rPr>
      </w:pPr>
    </w:p>
    <w:p>
      <w:pPr>
        <w:tabs>
          <w:tab w:pos="9784" w:val="left" w:leader="none"/>
        </w:tabs>
        <w:spacing w:before="211"/>
        <w:ind w:left="686" w:right="0" w:firstLine="0"/>
        <w:jc w:val="left"/>
        <w:rPr>
          <w:b/>
          <w:sz w:val="24"/>
        </w:rPr>
      </w:pPr>
      <w:r>
        <w:rPr/>
        <w:pict>
          <v:line style="position:absolute;mso-position-horizontal-relative:page;mso-position-vertical-relative:paragraph;z-index:32728" from="29.4pt,10.765882pt" to="29.4pt,91.765882pt" stroked="true" strokeweight=".72pt" strokecolor="#000000">
            <v:stroke dashstyle="solid"/>
            <w10:wrap type="none"/>
          </v:line>
        </w:pict>
      </w:r>
      <w:bookmarkStart w:name="INMATE DAY/WARD LABOR       6865" w:id="116"/>
      <w:bookmarkEnd w:id="116"/>
      <w:r>
        <w:rPr/>
      </w:r>
      <w:r>
        <w:rPr>
          <w:b/>
          <w:sz w:val="24"/>
        </w:rPr>
        <w:t>INMATE</w:t>
      </w:r>
      <w:r>
        <w:rPr>
          <w:b/>
          <w:spacing w:val="-3"/>
          <w:sz w:val="24"/>
        </w:rPr>
        <w:t> </w:t>
      </w:r>
      <w:r>
        <w:rPr>
          <w:b/>
          <w:strike/>
          <w:color w:val="2E97D3"/>
          <w:sz w:val="24"/>
        </w:rPr>
        <w:t>DAY</w:t>
      </w:r>
      <w:r>
        <w:rPr>
          <w:b/>
          <w:strike w:val="0"/>
          <w:color w:val="2E97D3"/>
          <w:sz w:val="24"/>
          <w:u w:val="thick" w:color="2E97D3"/>
        </w:rPr>
        <w:t>/WARD</w:t>
      </w:r>
      <w:r>
        <w:rPr>
          <w:b/>
          <w:strike w:val="0"/>
          <w:color w:val="2E97D3"/>
          <w:spacing w:val="-2"/>
          <w:sz w:val="24"/>
          <w:u w:val="thick" w:color="2E97D3"/>
        </w:rPr>
        <w:t> </w:t>
      </w:r>
      <w:r>
        <w:rPr>
          <w:b/>
          <w:strike w:val="0"/>
          <w:sz w:val="24"/>
        </w:rPr>
        <w:t>LABOR</w:t>
        <w:tab/>
        <w:t>6865</w:t>
      </w:r>
    </w:p>
    <w:p>
      <w:pPr>
        <w:pStyle w:val="BodyText"/>
        <w:ind w:left="686"/>
      </w:pPr>
      <w:bookmarkStart w:name="(New 5/1998)" w:id="117"/>
      <w:bookmarkEnd w:id="117"/>
      <w:r>
        <w:rPr/>
      </w:r>
      <w:r>
        <w:rPr>
          <w:strike/>
          <w:color w:val="2E97D3"/>
        </w:rPr>
        <w:t>(New 5/1998)</w:t>
      </w:r>
    </w:p>
    <w:p>
      <w:pPr>
        <w:pStyle w:val="BodyText"/>
        <w:spacing w:before="5"/>
        <w:rPr>
          <w:sz w:val="26"/>
        </w:rPr>
      </w:pPr>
    </w:p>
    <w:p>
      <w:pPr>
        <w:pStyle w:val="BodyText"/>
        <w:spacing w:before="92"/>
        <w:ind w:left="686"/>
        <w:jc w:val="both"/>
      </w:pPr>
      <w:r>
        <w:rPr>
          <w:color w:val="2E97D3"/>
          <w:u w:val="single" w:color="2E97D3"/>
        </w:rPr>
        <w:t>(Revised 09/2017)</w:t>
      </w:r>
    </w:p>
    <w:p>
      <w:pPr>
        <w:pStyle w:val="BodyText"/>
        <w:spacing w:before="119"/>
        <w:ind w:left="686" w:right="207"/>
        <w:jc w:val="both"/>
      </w:pPr>
      <w:r>
        <w:rPr/>
        <w:pict>
          <v:line style="position:absolute;mso-position-horizontal-relative:page;mso-position-vertical-relative:paragraph;z-index:-440032" from="146.160004pt,42.945869pt" to="150.720004pt,42.945869pt" stroked="true" strokeweight=".36pt" strokecolor="#2e97d3">
            <v:stroke dashstyle="solid"/>
            <w10:wrap type="none"/>
          </v:line>
        </w:pict>
      </w:r>
      <w:r>
        <w:rPr/>
        <w:pict>
          <v:line style="position:absolute;mso-position-horizontal-relative:page;mso-position-vertical-relative:paragraph;z-index:32752" from="29.4pt,33.76487pt" to="29.4pt,47.56587pt" stroked="true" strokeweight=".72pt" strokecolor="#000000">
            <v:stroke dashstyle="solid"/>
            <w10:wrap type="none"/>
          </v:line>
        </w:pict>
      </w:r>
      <w:r>
        <w:rPr/>
        <w:pict>
          <v:line style="position:absolute;mso-position-horizontal-relative:page;mso-position-vertical-relative:paragraph;z-index:32776" from="29.4pt,61.365868pt" to="29.4pt,108.765868pt" stroked="true" strokeweight=".72pt" strokecolor="#000000">
            <v:stroke dashstyle="solid"/>
            <w10:wrap type="none"/>
          </v:line>
        </w:pict>
      </w:r>
      <w:r>
        <w:rPr/>
        <w:t>Public Contract Code Section </w:t>
      </w:r>
      <w:r>
        <w:rPr>
          <w:rFonts w:ascii="Times New Roman"/>
          <w:b/>
          <w:strike/>
          <w:color w:val="2E97D3"/>
          <w:sz w:val="16"/>
          <w:u w:val="single" w:color="2E97D3"/>
        </w:rPr>
        <w:t>10103.5 </w:t>
      </w:r>
      <w:hyperlink r:id="rId331">
        <w:r>
          <w:rPr>
            <w:strike w:val="0"/>
            <w:color w:val="2E97D3"/>
            <w:u w:val="single" w:color="2E97D3"/>
          </w:rPr>
          <w:t>10103.5</w:t>
        </w:r>
      </w:hyperlink>
      <w:r>
        <w:rPr>
          <w:strike w:val="0"/>
          <w:color w:val="2E97D3"/>
          <w:u w:val="single" w:color="2E97D3"/>
        </w:rPr>
        <w:t> </w:t>
      </w:r>
      <w:r>
        <w:rPr>
          <w:strike w:val="0"/>
        </w:rPr>
        <w:t>provides an exclusion to the State Contract Act</w:t>
      </w:r>
      <w:r>
        <w:rPr>
          <w:strike w:val="0"/>
          <w:spacing w:val="-12"/>
        </w:rPr>
        <w:t> </w:t>
      </w:r>
      <w:r>
        <w:rPr>
          <w:strike w:val="0"/>
        </w:rPr>
        <w:t>for</w:t>
      </w:r>
      <w:r>
        <w:rPr>
          <w:strike w:val="0"/>
          <w:spacing w:val="-11"/>
        </w:rPr>
        <w:t> </w:t>
      </w:r>
      <w:r>
        <w:rPr>
          <w:strike w:val="0"/>
        </w:rPr>
        <w:t>work</w:t>
      </w:r>
      <w:r>
        <w:rPr>
          <w:strike w:val="0"/>
          <w:spacing w:val="-10"/>
        </w:rPr>
        <w:t> </w:t>
      </w:r>
      <w:r>
        <w:rPr>
          <w:strike w:val="0"/>
        </w:rPr>
        <w:t>performed</w:t>
      </w:r>
      <w:r>
        <w:rPr>
          <w:strike w:val="0"/>
          <w:spacing w:val="-12"/>
        </w:rPr>
        <w:t> </w:t>
      </w:r>
      <w:r>
        <w:rPr>
          <w:strike w:val="0"/>
        </w:rPr>
        <w:t>by</w:t>
      </w:r>
      <w:r>
        <w:rPr>
          <w:strike w:val="0"/>
          <w:spacing w:val="-13"/>
        </w:rPr>
        <w:t> </w:t>
      </w:r>
      <w:r>
        <w:rPr>
          <w:strike w:val="0"/>
        </w:rPr>
        <w:t>prisoners</w:t>
      </w:r>
      <w:r>
        <w:rPr>
          <w:strike w:val="0"/>
          <w:spacing w:val="-13"/>
        </w:rPr>
        <w:t> </w:t>
      </w:r>
      <w:r>
        <w:rPr>
          <w:strike w:val="0"/>
        </w:rPr>
        <w:t>pursuant</w:t>
      </w:r>
      <w:r>
        <w:rPr>
          <w:strike w:val="0"/>
          <w:spacing w:val="-14"/>
        </w:rPr>
        <w:t> </w:t>
      </w:r>
      <w:r>
        <w:rPr>
          <w:strike w:val="0"/>
        </w:rPr>
        <w:t>to</w:t>
      </w:r>
      <w:r>
        <w:rPr>
          <w:strike w:val="0"/>
          <w:spacing w:val="-12"/>
        </w:rPr>
        <w:t> </w:t>
      </w:r>
      <w:r>
        <w:rPr>
          <w:strike w:val="0"/>
        </w:rPr>
        <w:t>an</w:t>
      </w:r>
      <w:r>
        <w:rPr>
          <w:strike w:val="0"/>
          <w:spacing w:val="-12"/>
        </w:rPr>
        <w:t> </w:t>
      </w:r>
      <w:r>
        <w:rPr>
          <w:strike w:val="0"/>
        </w:rPr>
        <w:t>order</w:t>
      </w:r>
      <w:r>
        <w:rPr>
          <w:strike w:val="0"/>
          <w:spacing w:val="-11"/>
        </w:rPr>
        <w:t> </w:t>
      </w:r>
      <w:r>
        <w:rPr>
          <w:strike w:val="0"/>
        </w:rPr>
        <w:t>by</w:t>
      </w:r>
      <w:r>
        <w:rPr>
          <w:strike w:val="0"/>
          <w:spacing w:val="-13"/>
        </w:rPr>
        <w:t> </w:t>
      </w:r>
      <w:r>
        <w:rPr>
          <w:strike w:val="0"/>
        </w:rPr>
        <w:t>the</w:t>
      </w:r>
      <w:r>
        <w:rPr>
          <w:strike w:val="0"/>
          <w:spacing w:val="-12"/>
        </w:rPr>
        <w:t> </w:t>
      </w:r>
      <w:r>
        <w:rPr>
          <w:strike w:val="0"/>
        </w:rPr>
        <w:t>Director</w:t>
      </w:r>
      <w:r>
        <w:rPr>
          <w:strike w:val="0"/>
          <w:spacing w:val="-11"/>
        </w:rPr>
        <w:t> </w:t>
      </w:r>
      <w:r>
        <w:rPr>
          <w:strike w:val="0"/>
        </w:rPr>
        <w:t>of</w:t>
      </w:r>
      <w:r>
        <w:rPr>
          <w:strike w:val="0"/>
          <w:spacing w:val="-10"/>
        </w:rPr>
        <w:t> </w:t>
      </w:r>
      <w:r>
        <w:rPr>
          <w:strike w:val="0"/>
        </w:rPr>
        <w:t>the</w:t>
      </w:r>
      <w:r>
        <w:rPr>
          <w:strike w:val="0"/>
          <w:spacing w:val="-12"/>
        </w:rPr>
        <w:t> </w:t>
      </w:r>
      <w:r>
        <w:rPr>
          <w:strike w:val="0"/>
        </w:rPr>
        <w:t>Department of Corrections. If the total cost of a project for the construction of new, previously unoccupied prison facilities or additions to an existing facility exceeds $50,000, use of inmate</w:t>
      </w:r>
      <w:r>
        <w:rPr>
          <w:strike w:val="0"/>
          <w:spacing w:val="-51"/>
        </w:rPr>
        <w:t> </w:t>
      </w:r>
      <w:r>
        <w:rPr>
          <w:rFonts w:ascii="Times New Roman"/>
          <w:b/>
          <w:strike/>
          <w:color w:val="2E97D3"/>
          <w:sz w:val="16"/>
        </w:rPr>
        <w:t>day</w:t>
      </w:r>
      <w:r>
        <w:rPr>
          <w:strike w:val="0"/>
          <w:color w:val="2E97D3"/>
          <w:u w:val="single" w:color="2E97D3"/>
        </w:rPr>
        <w:t>/ward </w:t>
      </w:r>
      <w:r>
        <w:rPr>
          <w:strike w:val="0"/>
        </w:rPr>
        <w:t>labor must first be approved by PWB.</w:t>
      </w:r>
    </w:p>
    <w:p>
      <w:pPr>
        <w:pStyle w:val="BodyText"/>
        <w:spacing w:before="119"/>
        <w:ind w:left="686" w:right="436"/>
        <w:jc w:val="both"/>
      </w:pPr>
      <w:r>
        <w:rPr/>
        <w:t>If the project budget was not estimated using inmate </w:t>
      </w:r>
      <w:r>
        <w:rPr>
          <w:rFonts w:ascii="Times New Roman" w:hAnsi="Times New Roman"/>
          <w:b/>
          <w:strike/>
          <w:color w:val="2E97D3"/>
          <w:sz w:val="16"/>
        </w:rPr>
        <w:t>day</w:t>
      </w:r>
      <w:r>
        <w:rPr>
          <w:strike w:val="0"/>
          <w:color w:val="2E97D3"/>
          <w:u w:val="single" w:color="2E97D3"/>
        </w:rPr>
        <w:t>/ward </w:t>
      </w:r>
      <w:r>
        <w:rPr>
          <w:strike w:val="0"/>
        </w:rPr>
        <w:t>labor, there should be bid savings. </w:t>
      </w:r>
      <w:r>
        <w:rPr>
          <w:rFonts w:ascii="Times New Roman" w:hAnsi="Times New Roman"/>
          <w:b/>
          <w:strike/>
          <w:color w:val="2E97D3"/>
          <w:sz w:val="16"/>
        </w:rPr>
        <w:t>This</w:t>
      </w:r>
      <w:r>
        <w:rPr>
          <w:strike w:val="0"/>
          <w:color w:val="2E97D3"/>
          <w:u w:val="single" w:color="2E97D3"/>
        </w:rPr>
        <w:t>These </w:t>
      </w:r>
      <w:r>
        <w:rPr>
          <w:strike w:val="0"/>
        </w:rPr>
        <w:t>savings should either be reverted, or—if proposed for redirection within the contract—be approved by DOF.</w:t>
      </w:r>
    </w:p>
    <w:p>
      <w:pPr>
        <w:pStyle w:val="BodyText"/>
        <w:spacing w:before="119"/>
        <w:ind w:left="686" w:right="206"/>
        <w:jc w:val="both"/>
      </w:pPr>
      <w:r>
        <w:rPr/>
        <w:pict>
          <v:line style="position:absolute;mso-position-horizontal-relative:page;mso-position-vertical-relative:paragraph;z-index:-440008" from="292.799988pt,15.345844pt" to="295.440988pt,15.345844pt" stroked="true" strokeweight=".36pt" strokecolor="#2e97d3">
            <v:stroke dashstyle="solid"/>
            <w10:wrap type="none"/>
          </v:line>
        </w:pict>
      </w:r>
      <w:r>
        <w:rPr/>
        <w:pict>
          <v:line style="position:absolute;mso-position-horizontal-relative:page;mso-position-vertical-relative:paragraph;z-index:-439984" from="405.959991pt,42.945847pt" to="408.119991pt,42.945847pt" stroked="true" strokeweight=".36pt" strokecolor="#2e97d3">
            <v:stroke dashstyle="solid"/>
            <w10:wrap type="none"/>
          </v:line>
        </w:pict>
      </w:r>
      <w:r>
        <w:rPr/>
        <w:pict>
          <v:line style="position:absolute;mso-position-horizontal-relative:page;mso-position-vertical-relative:paragraph;z-index:32800" from="29.4pt,6.165845pt" to="29.4pt,19.965845pt" stroked="true" strokeweight=".72pt" strokecolor="#000000">
            <v:stroke dashstyle="solid"/>
            <w10:wrap type="none"/>
          </v:line>
        </w:pict>
      </w:r>
      <w:r>
        <w:rPr/>
        <w:pict>
          <v:line style="position:absolute;mso-position-horizontal-relative:page;mso-position-vertical-relative:paragraph;z-index:32824" from="29.4pt,33.764843pt" to="29.4pt,47.565843pt" stroked="true" strokeweight=".72pt" strokecolor="#000000">
            <v:stroke dashstyle="solid"/>
            <w10:wrap type="none"/>
          </v:line>
        </w:pict>
      </w:r>
      <w:r>
        <w:rPr/>
        <w:t>Agenda package for inmate </w:t>
      </w:r>
      <w:r>
        <w:rPr>
          <w:rFonts w:ascii="Times New Roman"/>
          <w:b/>
          <w:strike/>
          <w:color w:val="2E97D3"/>
          <w:sz w:val="16"/>
        </w:rPr>
        <w:t>day</w:t>
      </w:r>
      <w:r>
        <w:rPr>
          <w:strike w:val="0"/>
          <w:color w:val="2E97D3"/>
          <w:u w:val="single" w:color="2E97D3"/>
        </w:rPr>
        <w:t>/ward </w:t>
      </w:r>
      <w:r>
        <w:rPr>
          <w:strike w:val="0"/>
        </w:rPr>
        <w:t>labor: The request to use inmate </w:t>
      </w:r>
      <w:r>
        <w:rPr>
          <w:rFonts w:ascii="Times New Roman"/>
          <w:b/>
          <w:strike/>
          <w:color w:val="2E97D3"/>
          <w:sz w:val="16"/>
        </w:rPr>
        <w:t>day</w:t>
      </w:r>
      <w:r>
        <w:rPr>
          <w:strike w:val="0"/>
          <w:color w:val="2E97D3"/>
          <w:u w:val="single" w:color="2E97D3"/>
        </w:rPr>
        <w:t>/ward </w:t>
      </w:r>
      <w:r>
        <w:rPr>
          <w:strike w:val="0"/>
        </w:rPr>
        <w:t>labor for services exceeding $50,000 is normally presented as a sub-item under the request for approval of preliminary plans, although it can be presented later. Assuming that the main item (approval of preliminary plans) has been prepared with all the information requirements specified in Section 6845, the only additional information required is:</w:t>
      </w:r>
    </w:p>
    <w:p>
      <w:pPr>
        <w:pStyle w:val="BodyText"/>
        <w:spacing w:before="8"/>
        <w:rPr>
          <w:sz w:val="36"/>
        </w:rPr>
      </w:pPr>
    </w:p>
    <w:p>
      <w:pPr>
        <w:pStyle w:val="ListParagraph"/>
        <w:numPr>
          <w:ilvl w:val="0"/>
          <w:numId w:val="124"/>
        </w:numPr>
        <w:tabs>
          <w:tab w:pos="1047" w:val="left" w:leader="none"/>
        </w:tabs>
        <w:spacing w:line="240" w:lineRule="auto" w:before="0" w:after="0"/>
        <w:ind w:left="1046" w:right="0" w:hanging="360"/>
        <w:jc w:val="both"/>
        <w:rPr>
          <w:sz w:val="24"/>
        </w:rPr>
      </w:pPr>
      <w:r>
        <w:rPr/>
        <w:pict>
          <v:line style="position:absolute;mso-position-horizontal-relative:page;mso-position-vertical-relative:paragraph;z-index:-439960" from="112.800003pt,8.435849pt" to="116.760003pt,8.435849pt" stroked="true" strokeweight=".6pt" strokecolor="#2e97d3">
            <v:stroke dashstyle="solid"/>
            <w10:wrap type="none"/>
          </v:line>
        </w:pict>
      </w:r>
      <w:r>
        <w:rPr/>
        <w:pict>
          <v:line style="position:absolute;mso-position-horizontal-relative:page;mso-position-vertical-relative:paragraph;z-index:32848" from="29.4pt,.21585pt" to="29.4pt,33.815850pt" stroked="true" strokeweight=".72pt" strokecolor="#000000">
            <v:stroke dashstyle="solid"/>
            <w10:wrap type="none"/>
          </v:line>
        </w:pict>
      </w:r>
      <w:r>
        <w:rPr>
          <w:sz w:val="24"/>
        </w:rPr>
        <w:t>Check </w:t>
      </w:r>
      <w:r>
        <w:rPr>
          <w:color w:val="2E97D3"/>
          <w:sz w:val="24"/>
        </w:rPr>
        <w:t>“</w:t>
      </w:r>
      <w:r>
        <w:rPr>
          <w:color w:val="2E97D3"/>
          <w:sz w:val="24"/>
          <w:u w:val="single" w:color="2E97D3"/>
        </w:rPr>
        <w:t>―”</w:t>
      </w:r>
      <w:r>
        <w:rPr>
          <w:sz w:val="24"/>
        </w:rPr>
        <w:t>other” on the DF-14D</w:t>
      </w:r>
      <w:r>
        <w:rPr>
          <w:spacing w:val="-52"/>
          <w:sz w:val="24"/>
        </w:rPr>
        <w:t> </w:t>
      </w:r>
      <w:r>
        <w:rPr>
          <w:sz w:val="24"/>
        </w:rPr>
        <w:t>and write: </w:t>
      </w:r>
      <w:r>
        <w:rPr>
          <w:color w:val="2E97D3"/>
          <w:spacing w:val="18"/>
          <w:sz w:val="24"/>
          <w:u w:val="single" w:color="2E97D3"/>
        </w:rPr>
        <w:t>use </w:t>
      </w:r>
      <w:r>
        <w:rPr>
          <w:color w:val="2E97D3"/>
          <w:spacing w:val="13"/>
          <w:sz w:val="24"/>
          <w:u w:val="single" w:color="2E97D3"/>
        </w:rPr>
        <w:t>of </w:t>
      </w:r>
      <w:r>
        <w:rPr>
          <w:sz w:val="24"/>
        </w:rPr>
        <w:t>inmate </w:t>
      </w:r>
      <w:r>
        <w:rPr>
          <w:strike/>
          <w:color w:val="2E97D3"/>
          <w:sz w:val="24"/>
        </w:rPr>
        <w:t>day</w:t>
      </w:r>
      <w:r>
        <w:rPr>
          <w:strike w:val="0"/>
          <w:color w:val="2E97D3"/>
          <w:sz w:val="24"/>
          <w:u w:val="single" w:color="2E97D3"/>
        </w:rPr>
        <w:t>/ward </w:t>
      </w:r>
      <w:r>
        <w:rPr>
          <w:strike w:val="0"/>
          <w:sz w:val="24"/>
        </w:rPr>
        <w:t>labor;</w:t>
      </w:r>
    </w:p>
    <w:p>
      <w:pPr>
        <w:pStyle w:val="ListParagraph"/>
        <w:numPr>
          <w:ilvl w:val="0"/>
          <w:numId w:val="124"/>
        </w:numPr>
        <w:tabs>
          <w:tab w:pos="1047" w:val="left" w:leader="none"/>
        </w:tabs>
        <w:spacing w:line="240" w:lineRule="auto" w:before="120" w:after="0"/>
        <w:ind w:left="1046" w:right="1031" w:hanging="360"/>
        <w:jc w:val="left"/>
        <w:rPr>
          <w:sz w:val="24"/>
        </w:rPr>
      </w:pPr>
      <w:r>
        <w:rPr>
          <w:sz w:val="24"/>
        </w:rPr>
        <w:t>Indicate whether the use of inmate </w:t>
      </w:r>
      <w:r>
        <w:rPr>
          <w:strike/>
          <w:color w:val="2E97D3"/>
          <w:sz w:val="24"/>
        </w:rPr>
        <w:t>day</w:t>
      </w:r>
      <w:r>
        <w:rPr>
          <w:strike w:val="0"/>
          <w:color w:val="2E97D3"/>
          <w:sz w:val="24"/>
          <w:u w:val="single" w:color="2E97D3"/>
        </w:rPr>
        <w:t>/ward </w:t>
      </w:r>
      <w:r>
        <w:rPr>
          <w:strike w:val="0"/>
          <w:sz w:val="24"/>
        </w:rPr>
        <w:t>labor was assumed in the original project</w:t>
      </w:r>
      <w:r>
        <w:rPr>
          <w:strike w:val="0"/>
          <w:spacing w:val="-50"/>
          <w:sz w:val="24"/>
        </w:rPr>
        <w:t> </w:t>
      </w:r>
      <w:r>
        <w:rPr>
          <w:strike w:val="0"/>
          <w:sz w:val="24"/>
        </w:rPr>
        <w:t>cost estimate; and</w:t>
      </w:r>
    </w:p>
    <w:p>
      <w:pPr>
        <w:pStyle w:val="ListParagraph"/>
        <w:numPr>
          <w:ilvl w:val="0"/>
          <w:numId w:val="124"/>
        </w:numPr>
        <w:tabs>
          <w:tab w:pos="1047" w:val="left" w:leader="none"/>
        </w:tabs>
        <w:spacing w:line="240" w:lineRule="auto" w:before="120" w:after="0"/>
        <w:ind w:left="1046" w:right="886" w:hanging="360"/>
        <w:jc w:val="left"/>
        <w:rPr>
          <w:sz w:val="24"/>
        </w:rPr>
      </w:pPr>
      <w:r>
        <w:rPr/>
        <w:pict>
          <v:line style="position:absolute;mso-position-horizontal-relative:page;mso-position-vertical-relative:paragraph;z-index:32872" from="29.4pt,47.615856pt" to="29.4pt,73.535856pt" stroked="true" strokeweight=".72pt" strokecolor="#000000">
            <v:stroke dashstyle="solid"/>
            <w10:wrap type="none"/>
          </v:line>
        </w:pict>
      </w:r>
      <w:r>
        <w:rPr>
          <w:sz w:val="24"/>
        </w:rPr>
        <w:t>If not, indicate the anticipated savings, and whether it is to be reverted or redirected contingent upon DOF approval. If no savings are anticipated, explain why.</w:t>
      </w:r>
    </w:p>
    <w:p>
      <w:pPr>
        <w:spacing w:after="0" w:line="240" w:lineRule="auto"/>
        <w:jc w:val="left"/>
        <w:rPr>
          <w:sz w:val="24"/>
        </w:rPr>
        <w:sectPr>
          <w:headerReference w:type="default" r:id="rId329"/>
          <w:footerReference w:type="default" r:id="rId330"/>
          <w:pgSz w:w="12240" w:h="15840"/>
          <w:pgMar w:header="726" w:footer="792" w:top="980" w:bottom="980" w:left="480" w:right="1340"/>
        </w:sectPr>
      </w:pPr>
    </w:p>
    <w:p>
      <w:pPr>
        <w:pStyle w:val="BodyText"/>
        <w:rPr>
          <w:sz w:val="20"/>
        </w:rPr>
      </w:pPr>
    </w:p>
    <w:p>
      <w:pPr>
        <w:pStyle w:val="BodyText"/>
        <w:spacing w:before="211"/>
        <w:ind w:left="686" w:right="155"/>
      </w:pPr>
      <w:r>
        <w:rPr/>
        <w:pict>
          <v:line style="position:absolute;mso-position-horizontal-relative:page;mso-position-vertical-relative:paragraph;z-index:32896" from="29.4pt,10.765882pt" to="29.4pt,78.085882pt" stroked="true" strokeweight=".72pt" strokecolor="#000000">
            <v:stroke dashstyle="solid"/>
            <w10:wrap type="none"/>
          </v:line>
        </w:pict>
      </w:r>
      <w:r>
        <w:rPr>
          <w:color w:val="2E97D3"/>
          <w:u w:val="single" w:color="2E97D3"/>
        </w:rPr>
        <w:t>These rules also apply if the use of inmate/ward labor is needed for a minor capital outlay project. In this case, PWB approval is needed if the minor project or projects exceed $50,000.  A PWB agenda item needs to be submitted as well as a DF-14D.</w:t>
      </w:r>
    </w:p>
    <w:p>
      <w:pPr>
        <w:spacing w:after="0"/>
        <w:sectPr>
          <w:pgSz w:w="12240" w:h="15840"/>
          <w:pgMar w:header="726" w:footer="792" w:top="980" w:bottom="980" w:left="480" w:right="1720"/>
        </w:sectPr>
      </w:pPr>
    </w:p>
    <w:p>
      <w:pPr>
        <w:pStyle w:val="BodyText"/>
        <w:rPr>
          <w:sz w:val="20"/>
        </w:rPr>
      </w:pPr>
    </w:p>
    <w:p>
      <w:pPr>
        <w:pStyle w:val="BodyText"/>
        <w:spacing w:before="10"/>
        <w:rPr>
          <w:sz w:val="21"/>
        </w:rPr>
      </w:pPr>
    </w:p>
    <w:p>
      <w:pPr>
        <w:tabs>
          <w:tab w:pos="9204" w:val="left" w:leader="none"/>
        </w:tabs>
        <w:spacing w:before="1"/>
        <w:ind w:left="106" w:right="0" w:firstLine="0"/>
        <w:jc w:val="left"/>
        <w:rPr>
          <w:b/>
          <w:sz w:val="24"/>
        </w:rPr>
      </w:pPr>
      <w:bookmarkStart w:name="CONDEMNATIONS (EXERCISE OF EMINENT DOMAI" w:id="118"/>
      <w:bookmarkEnd w:id="118"/>
      <w:r>
        <w:rPr/>
      </w:r>
      <w:r>
        <w:rPr>
          <w:b/>
          <w:sz w:val="24"/>
        </w:rPr>
        <w:t>CONDEMNATIONS (EXERCISE OF</w:t>
      </w:r>
      <w:r>
        <w:rPr>
          <w:b/>
          <w:spacing w:val="-12"/>
          <w:sz w:val="24"/>
        </w:rPr>
        <w:t> </w:t>
      </w:r>
      <w:r>
        <w:rPr>
          <w:b/>
          <w:sz w:val="24"/>
        </w:rPr>
        <w:t>EMINENT</w:t>
      </w:r>
      <w:r>
        <w:rPr>
          <w:b/>
          <w:spacing w:val="-4"/>
          <w:sz w:val="24"/>
        </w:rPr>
        <w:t> </w:t>
      </w:r>
      <w:r>
        <w:rPr>
          <w:b/>
          <w:sz w:val="24"/>
        </w:rPr>
        <w:t>DOMAIN)</w:t>
        <w:tab/>
        <w:t>6866</w:t>
      </w:r>
    </w:p>
    <w:p>
      <w:pPr>
        <w:pStyle w:val="BodyText"/>
        <w:spacing w:before="60"/>
        <w:ind w:left="106"/>
      </w:pPr>
      <w:r>
        <w:rPr/>
        <w:t>(New 5/1998)</w:t>
      </w:r>
    </w:p>
    <w:p>
      <w:pPr>
        <w:pStyle w:val="BodyText"/>
        <w:spacing w:before="120"/>
        <w:ind w:left="106"/>
      </w:pPr>
      <w:r>
        <w:rPr/>
        <w:t>PWB holds the power of eminent domain under property acquisition law. Prior to commencing condemnation proceedings, PWB must first adopt a resolution of necessity authorizing condemnation in accordance with the Code of Civil Procedure (CCP) Sections </w:t>
      </w:r>
      <w:hyperlink r:id="rId333">
        <w:r>
          <w:rPr>
            <w:color w:val="0000FF"/>
            <w:u w:val="single" w:color="0000FF"/>
          </w:rPr>
          <w:t>1245.220 </w:t>
        </w:r>
      </w:hyperlink>
      <w:r>
        <w:rPr/>
        <w:t>and </w:t>
      </w:r>
      <w:hyperlink r:id="rId334">
        <w:r>
          <w:rPr>
            <w:color w:val="0000FF"/>
            <w:u w:val="single" w:color="0000FF"/>
          </w:rPr>
          <w:t>1245.230</w:t>
        </w:r>
      </w:hyperlink>
      <w:r>
        <w:rPr/>
        <w:t>. At least 15 days notice of the board hearing is given in writing to the property owner (CCP </w:t>
      </w:r>
      <w:hyperlink r:id="rId335">
        <w:r>
          <w:rPr>
            <w:color w:val="0000FF"/>
            <w:u w:val="single" w:color="0000FF"/>
          </w:rPr>
          <w:t>1245.235</w:t>
        </w:r>
      </w:hyperlink>
      <w:r>
        <w:rPr/>
        <w:t>). Also, the board must have made a good faith offer to purchase the property or, if an offer has not been made, must determine that the property owner cannot be located (Government Code Section </w:t>
      </w:r>
      <w:hyperlink r:id="rId237">
        <w:r>
          <w:rPr>
            <w:color w:val="0000FF"/>
            <w:u w:val="single" w:color="0000FF"/>
          </w:rPr>
          <w:t>7267.2</w:t>
        </w:r>
      </w:hyperlink>
      <w:r>
        <w:rPr/>
        <w:t>).</w:t>
      </w:r>
    </w:p>
    <w:p>
      <w:pPr>
        <w:pStyle w:val="BodyText"/>
        <w:spacing w:before="120"/>
        <w:ind w:left="106" w:right="228"/>
      </w:pPr>
      <w:r>
        <w:rPr/>
        <w:t>PWB may reach agreement with the owner of part or all of the property being condemned on the price to be paid, and may incorporate the agreement in a stipulation in the condemnation proceeding (Government Code Section </w:t>
      </w:r>
      <w:hyperlink r:id="rId336">
        <w:r>
          <w:rPr>
            <w:color w:val="0000FF"/>
            <w:u w:val="single" w:color="0000FF"/>
          </w:rPr>
          <w:t>15857</w:t>
        </w:r>
      </w:hyperlink>
      <w:r>
        <w:rPr/>
        <w:t>). PWB may abandon a condemnation proceeding (CCP Section </w:t>
      </w:r>
      <w:hyperlink r:id="rId337">
        <w:r>
          <w:rPr>
            <w:color w:val="0000FF"/>
            <w:u w:val="single" w:color="0000FF"/>
          </w:rPr>
          <w:t>1268.510</w:t>
        </w:r>
      </w:hyperlink>
      <w:r>
        <w:rPr/>
        <w:t>). Upon completion of condemnation proceedings, PWB has the right to immediate possession (CCP </w:t>
      </w:r>
      <w:hyperlink r:id="rId338">
        <w:r>
          <w:rPr>
            <w:color w:val="0000FF"/>
            <w:u w:val="single" w:color="0000FF"/>
          </w:rPr>
          <w:t>1255.010</w:t>
        </w:r>
      </w:hyperlink>
      <w:r>
        <w:rPr/>
        <w:t>).</w:t>
      </w:r>
    </w:p>
    <w:p>
      <w:pPr>
        <w:spacing w:before="120"/>
        <w:ind w:left="106" w:right="496" w:firstLine="0"/>
        <w:jc w:val="left"/>
        <w:rPr>
          <w:sz w:val="24"/>
        </w:rPr>
      </w:pPr>
      <w:r>
        <w:rPr>
          <w:b/>
          <w:sz w:val="24"/>
        </w:rPr>
        <w:t>Agenda packages for proposed condemnations</w:t>
      </w:r>
      <w:r>
        <w:rPr>
          <w:sz w:val="24"/>
        </w:rPr>
        <w:t>: When requesting that the board condemn a property, the client department (and/or DGS) must provide all the following:</w:t>
      </w:r>
    </w:p>
    <w:p>
      <w:pPr>
        <w:pStyle w:val="ListParagraph"/>
        <w:numPr>
          <w:ilvl w:val="0"/>
          <w:numId w:val="125"/>
        </w:numPr>
        <w:tabs>
          <w:tab w:pos="467" w:val="left" w:leader="none"/>
        </w:tabs>
        <w:spacing w:line="240" w:lineRule="auto" w:before="120" w:after="0"/>
        <w:ind w:left="466" w:right="882" w:hanging="360"/>
        <w:jc w:val="left"/>
        <w:rPr>
          <w:sz w:val="24"/>
        </w:rPr>
      </w:pPr>
      <w:r>
        <w:rPr>
          <w:sz w:val="24"/>
        </w:rPr>
        <w:t>All information requested in Section 6845, including the standard fiscal reporting requirements and the agenda</w:t>
      </w:r>
      <w:r>
        <w:rPr>
          <w:spacing w:val="-19"/>
          <w:sz w:val="24"/>
        </w:rPr>
        <w:t> </w:t>
      </w:r>
      <w:r>
        <w:rPr>
          <w:sz w:val="24"/>
        </w:rPr>
        <w:t>package;</w:t>
      </w:r>
    </w:p>
    <w:p>
      <w:pPr>
        <w:pStyle w:val="ListParagraph"/>
        <w:numPr>
          <w:ilvl w:val="0"/>
          <w:numId w:val="125"/>
        </w:numPr>
        <w:tabs>
          <w:tab w:pos="467" w:val="left" w:leader="none"/>
        </w:tabs>
        <w:spacing w:line="240" w:lineRule="auto" w:before="117" w:after="0"/>
        <w:ind w:left="466" w:right="0" w:hanging="360"/>
        <w:jc w:val="left"/>
        <w:rPr>
          <w:sz w:val="24"/>
        </w:rPr>
      </w:pPr>
      <w:r>
        <w:rPr>
          <w:sz w:val="24"/>
        </w:rPr>
        <w:t>A statement of the property’s proposed public</w:t>
      </w:r>
      <w:r>
        <w:rPr>
          <w:spacing w:val="-23"/>
          <w:sz w:val="24"/>
        </w:rPr>
        <w:t> </w:t>
      </w:r>
      <w:r>
        <w:rPr>
          <w:sz w:val="24"/>
        </w:rPr>
        <w:t>use;</w:t>
      </w:r>
    </w:p>
    <w:p>
      <w:pPr>
        <w:pStyle w:val="BodyText"/>
        <w:spacing w:before="9"/>
        <w:rPr>
          <w:sz w:val="20"/>
        </w:rPr>
      </w:pPr>
    </w:p>
    <w:p>
      <w:pPr>
        <w:pStyle w:val="ListParagraph"/>
        <w:numPr>
          <w:ilvl w:val="0"/>
          <w:numId w:val="125"/>
        </w:numPr>
        <w:tabs>
          <w:tab w:pos="467" w:val="left" w:leader="none"/>
        </w:tabs>
        <w:spacing w:line="240" w:lineRule="auto" w:before="0" w:after="0"/>
        <w:ind w:left="466" w:right="941" w:hanging="360"/>
        <w:jc w:val="left"/>
        <w:rPr>
          <w:sz w:val="24"/>
        </w:rPr>
      </w:pPr>
      <w:r>
        <w:rPr>
          <w:sz w:val="24"/>
        </w:rPr>
        <w:t>A description of the general location and extent of the property to be taken,</w:t>
      </w:r>
      <w:r>
        <w:rPr>
          <w:spacing w:val="-35"/>
          <w:sz w:val="24"/>
        </w:rPr>
        <w:t> </w:t>
      </w:r>
      <w:r>
        <w:rPr>
          <w:sz w:val="24"/>
        </w:rPr>
        <w:t>with sufficient detail for reasonable</w:t>
      </w:r>
      <w:r>
        <w:rPr>
          <w:spacing w:val="-25"/>
          <w:sz w:val="24"/>
        </w:rPr>
        <w:t> </w:t>
      </w:r>
      <w:r>
        <w:rPr>
          <w:sz w:val="24"/>
        </w:rPr>
        <w:t>identification;</w:t>
      </w:r>
    </w:p>
    <w:p>
      <w:pPr>
        <w:pStyle w:val="ListParagraph"/>
        <w:numPr>
          <w:ilvl w:val="0"/>
          <w:numId w:val="125"/>
        </w:numPr>
        <w:tabs>
          <w:tab w:pos="467" w:val="left" w:leader="none"/>
        </w:tabs>
        <w:spacing w:line="240" w:lineRule="auto" w:before="119" w:after="0"/>
        <w:ind w:left="466" w:right="0" w:hanging="360"/>
        <w:jc w:val="left"/>
        <w:rPr>
          <w:sz w:val="24"/>
        </w:rPr>
      </w:pPr>
      <w:r>
        <w:rPr>
          <w:sz w:val="24"/>
        </w:rPr>
        <w:t>An analysis of necessity showing</w:t>
      </w:r>
      <w:r>
        <w:rPr>
          <w:spacing w:val="-17"/>
          <w:sz w:val="24"/>
        </w:rPr>
        <w:t> </w:t>
      </w:r>
      <w:r>
        <w:rPr>
          <w:sz w:val="24"/>
        </w:rPr>
        <w:t>that:</w:t>
      </w:r>
    </w:p>
    <w:p>
      <w:pPr>
        <w:pStyle w:val="BodyText"/>
        <w:spacing w:before="119"/>
        <w:ind w:left="106"/>
      </w:pPr>
      <w:r>
        <w:rPr>
          <w:strike/>
          <w:color w:val="2E97D3"/>
        </w:rPr>
        <w:t>a.</w:t>
      </w:r>
      <w:r>
        <w:rPr>
          <w:strike w:val="0"/>
          <w:color w:val="2E97D3"/>
          <w:u w:val="single" w:color="2E97D3"/>
        </w:rPr>
        <w:t>1. .................................................................................................................................... </w:t>
      </w:r>
      <w:r>
        <w:rPr>
          <w:strike w:val="0"/>
        </w:rPr>
        <w:t>T</w:t>
      </w:r>
    </w:p>
    <w:p>
      <w:pPr>
        <w:pStyle w:val="BodyText"/>
        <w:ind w:left="466"/>
      </w:pPr>
      <w:r>
        <w:rPr/>
        <w:t>he public interest and necessity require the proposed project;</w:t>
      </w:r>
    </w:p>
    <w:p>
      <w:pPr>
        <w:pStyle w:val="BodyText"/>
        <w:spacing w:before="120"/>
        <w:ind w:left="106"/>
      </w:pPr>
      <w:r>
        <w:rPr>
          <w:strike/>
          <w:color w:val="2E97D3"/>
        </w:rPr>
        <w:t>b.</w:t>
      </w:r>
      <w:r>
        <w:rPr>
          <w:strike w:val="0"/>
          <w:color w:val="2E97D3"/>
          <w:u w:val="single" w:color="2E97D3"/>
        </w:rPr>
        <w:t>2. .................................................................................................................................... </w:t>
      </w:r>
      <w:r>
        <w:rPr>
          <w:strike w:val="0"/>
        </w:rPr>
        <w:t>T</w:t>
      </w:r>
    </w:p>
    <w:p>
      <w:pPr>
        <w:pStyle w:val="BodyText"/>
        <w:ind w:left="466" w:right="402"/>
      </w:pPr>
      <w:r>
        <w:rPr/>
        <w:t>he proposed project is planned or located in the manner that will be most compatible with the greatest public good and the least private injury; and</w:t>
      </w:r>
    </w:p>
    <w:p>
      <w:pPr>
        <w:pStyle w:val="BodyText"/>
        <w:spacing w:before="120"/>
        <w:ind w:left="106"/>
      </w:pPr>
      <w:r>
        <w:rPr>
          <w:strike/>
          <w:color w:val="2E97D3"/>
        </w:rPr>
        <w:t>c.</w:t>
      </w:r>
      <w:r>
        <w:rPr>
          <w:strike w:val="0"/>
          <w:color w:val="2E97D3"/>
          <w:u w:val="single" w:color="2E97D3"/>
        </w:rPr>
        <w:t>3. .................................................................................................................................... </w:t>
      </w:r>
      <w:r>
        <w:rPr>
          <w:strike w:val="0"/>
        </w:rPr>
        <w:t>T</w:t>
      </w:r>
    </w:p>
    <w:p>
      <w:pPr>
        <w:pStyle w:val="BodyText"/>
        <w:ind w:left="466"/>
      </w:pPr>
      <w:r>
        <w:rPr/>
        <w:t>he property is necessary for the public good;</w:t>
      </w:r>
    </w:p>
    <w:p>
      <w:pPr>
        <w:pStyle w:val="BodyText"/>
        <w:spacing w:before="120"/>
        <w:ind w:left="106"/>
      </w:pPr>
      <w:r>
        <w:rPr>
          <w:strike/>
          <w:color w:val="2E97D3"/>
        </w:rPr>
        <w:t>5.</w:t>
      </w:r>
      <w:r>
        <w:rPr>
          <w:strike w:val="0"/>
          <w:color w:val="2E97D3"/>
          <w:u w:val="single" w:color="2E97D3"/>
        </w:rPr>
        <w:t>1. .................................................................................................................................... </w:t>
      </w:r>
      <w:r>
        <w:rPr>
          <w:strike w:val="0"/>
        </w:rPr>
        <w:t>C</w:t>
      </w:r>
    </w:p>
    <w:p>
      <w:pPr>
        <w:pStyle w:val="BodyText"/>
        <w:ind w:left="466"/>
      </w:pPr>
      <w:r>
        <w:rPr/>
        <w:t>hronology of attempts to purchase the property and/or contact the owner; and</w:t>
      </w:r>
    </w:p>
    <w:p>
      <w:pPr>
        <w:pStyle w:val="BodyText"/>
        <w:spacing w:before="120"/>
        <w:ind w:left="106"/>
      </w:pPr>
      <w:r>
        <w:rPr>
          <w:strike/>
          <w:color w:val="2E97D3"/>
        </w:rPr>
        <w:t>6.</w:t>
      </w:r>
      <w:r>
        <w:rPr>
          <w:strike w:val="0"/>
          <w:color w:val="2E97D3"/>
          <w:u w:val="single" w:color="2E97D3"/>
        </w:rPr>
        <w:t>2. .................................................................................................................................... </w:t>
      </w:r>
      <w:r>
        <w:rPr>
          <w:strike w:val="0"/>
        </w:rPr>
        <w:t>C</w:t>
      </w:r>
    </w:p>
    <w:p>
      <w:pPr>
        <w:pStyle w:val="BodyText"/>
        <w:ind w:left="466"/>
      </w:pPr>
      <w:r>
        <w:rPr/>
        <w:t>ertification that 15 days advance notice has been provided the owner.</w:t>
      </w:r>
    </w:p>
    <w:p>
      <w:pPr>
        <w:pStyle w:val="BodyText"/>
        <w:spacing w:before="120"/>
        <w:ind w:left="106"/>
      </w:pPr>
      <w:r>
        <w:rPr/>
        <w:t>PWB’s resolution is conclusive evidence that the elements of necessity have been met.</w:t>
      </w:r>
    </w:p>
    <w:p>
      <w:pPr>
        <w:spacing w:after="0"/>
        <w:sectPr>
          <w:footerReference w:type="default" r:id="rId332"/>
          <w:pgSz w:w="12240" w:h="15840"/>
          <w:pgMar w:footer="792" w:header="726" w:top="980" w:bottom="980" w:left="1060" w:right="1340"/>
        </w:sectPr>
      </w:pPr>
    </w:p>
    <w:p>
      <w:pPr>
        <w:pStyle w:val="BodyText"/>
        <w:rPr>
          <w:sz w:val="20"/>
        </w:rPr>
      </w:pPr>
    </w:p>
    <w:p>
      <w:pPr>
        <w:pStyle w:val="Heading2"/>
        <w:spacing w:before="211"/>
        <w:ind w:left="106"/>
      </w:pPr>
      <w:bookmarkStart w:name="TRANSFER OF FUNDS TO THE ARCHITECTURE" w:id="119"/>
      <w:bookmarkEnd w:id="119"/>
      <w:r>
        <w:rPr>
          <w:b w:val="0"/>
        </w:rPr>
      </w:r>
      <w:r>
        <w:rPr/>
        <w:t>TRANSFER OF FUNDS TO THE ARCHITECTURE</w:t>
      </w:r>
    </w:p>
    <w:p>
      <w:pPr>
        <w:tabs>
          <w:tab w:pos="9175" w:val="left" w:leader="none"/>
        </w:tabs>
        <w:spacing w:before="0"/>
        <w:ind w:left="106" w:right="0" w:firstLine="0"/>
        <w:jc w:val="left"/>
        <w:rPr>
          <w:b/>
          <w:sz w:val="24"/>
        </w:rPr>
      </w:pPr>
      <w:bookmarkStart w:name="REVOLVING FUND (ARF)                    " w:id="120"/>
      <w:bookmarkEnd w:id="120"/>
      <w:r>
        <w:rPr/>
      </w:r>
      <w:r>
        <w:rPr>
          <w:b/>
          <w:sz w:val="24"/>
        </w:rPr>
        <w:t>REVOLVING</w:t>
      </w:r>
      <w:r>
        <w:rPr>
          <w:b/>
          <w:spacing w:val="-2"/>
          <w:sz w:val="24"/>
        </w:rPr>
        <w:t> </w:t>
      </w:r>
      <w:r>
        <w:rPr>
          <w:b/>
          <w:sz w:val="24"/>
        </w:rPr>
        <w:t>FUND</w:t>
      </w:r>
      <w:r>
        <w:rPr>
          <w:b/>
          <w:spacing w:val="-3"/>
          <w:sz w:val="24"/>
        </w:rPr>
        <w:t> </w:t>
      </w:r>
      <w:r>
        <w:rPr>
          <w:b/>
          <w:sz w:val="24"/>
        </w:rPr>
        <w:t>(ARF)</w:t>
        <w:tab/>
        <w:t>6868</w:t>
      </w:r>
    </w:p>
    <w:p>
      <w:pPr>
        <w:pStyle w:val="BodyText"/>
        <w:ind w:left="106"/>
      </w:pPr>
      <w:r>
        <w:rPr/>
        <w:t>(New 5/1998)</w:t>
      </w:r>
    </w:p>
    <w:p>
      <w:pPr>
        <w:pStyle w:val="BodyText"/>
        <w:spacing w:before="119"/>
        <w:ind w:left="106" w:right="155"/>
      </w:pPr>
      <w:r>
        <w:rPr/>
        <w:t>Section </w:t>
      </w:r>
      <w:hyperlink r:id="rId339">
        <w:r>
          <w:rPr>
            <w:color w:val="0000FF"/>
            <w:u w:val="single" w:color="0000FF"/>
          </w:rPr>
          <w:t>14957 </w:t>
        </w:r>
      </w:hyperlink>
      <w:r>
        <w:rPr/>
        <w:t>of the Government Code establishes ARF which receives, through transfer, funds for the construction, alteration, repair, and improvement of state buildings, including:</w:t>
      </w:r>
    </w:p>
    <w:p>
      <w:pPr>
        <w:pStyle w:val="BodyText"/>
        <w:spacing w:before="11"/>
        <w:rPr>
          <w:sz w:val="23"/>
        </w:rPr>
      </w:pPr>
    </w:p>
    <w:p>
      <w:pPr>
        <w:pStyle w:val="BodyText"/>
        <w:ind w:left="286"/>
      </w:pPr>
      <w:r>
        <w:rPr/>
        <w:t>Studies,</w:t>
      </w:r>
    </w:p>
    <w:p>
      <w:pPr>
        <w:pStyle w:val="BodyText"/>
        <w:spacing w:before="120"/>
        <w:ind w:left="286"/>
      </w:pPr>
      <w:r>
        <w:rPr/>
        <w:t>New construction,</w:t>
      </w:r>
    </w:p>
    <w:p>
      <w:pPr>
        <w:pStyle w:val="BodyText"/>
        <w:spacing w:line="343" w:lineRule="auto" w:before="120"/>
        <w:ind w:left="286" w:right="5871"/>
      </w:pPr>
      <w:r>
        <w:rPr/>
        <w:t>Major construction and equipment, Minor construction,</w:t>
      </w:r>
    </w:p>
    <w:p>
      <w:pPr>
        <w:pStyle w:val="BodyText"/>
        <w:spacing w:line="343" w:lineRule="auto" w:before="4"/>
        <w:ind w:left="286" w:right="7872"/>
      </w:pPr>
      <w:r>
        <w:rPr/>
        <w:t>Maintenance, Improvements, Equipment, and</w:t>
      </w:r>
    </w:p>
    <w:p>
      <w:pPr>
        <w:pStyle w:val="BodyText"/>
        <w:spacing w:before="6"/>
        <w:ind w:left="293"/>
      </w:pPr>
      <w:r>
        <w:rPr/>
        <w:t>Other building and improvement projects.</w:t>
      </w:r>
    </w:p>
    <w:p>
      <w:pPr>
        <w:pStyle w:val="BodyText"/>
        <w:spacing w:before="196"/>
        <w:ind w:left="106" w:right="116"/>
      </w:pPr>
      <w:r>
        <w:rPr/>
        <w:t>Transfers require approval from DOF. Construction funds transferred for major capital outlay projects may not exceed the amount necessary based on competitive bids. Any excess amounts must be transferred immediately back to the source fund through the reversion process. DOF also approves the use of ARF to advance the cost of federally or locally reimbursed projects, provided assurances specified in statute are received from the federal government.  Money in ARF is available for the purposes transferred without regard to fiscal year; however, funds in ARF will revert to the originating fund source if they are not encumbered within three years of being placed in ARF or within three months of a project's completion (see Section 6856) in accordance with Government Code Section </w:t>
      </w:r>
      <w:hyperlink r:id="rId312">
        <w:r>
          <w:rPr>
            <w:color w:val="0000FF"/>
            <w:u w:val="single" w:color="0000FF"/>
          </w:rPr>
          <w:t>14959</w:t>
        </w:r>
      </w:hyperlink>
      <w:r>
        <w:rPr/>
        <w:t>. DGS tracks expenditures in the ARF and generates a Return of Funds Transfer for any unencumbered balance that remains beyond the earlier of these time frames. Time extensions may be approved by DOF. DGS estimates upon receipt of bids are considered valid encumbrances for determination of the amount of an unencumbered</w:t>
      </w:r>
      <w:r>
        <w:rPr>
          <w:spacing w:val="-39"/>
        </w:rPr>
        <w:t> </w:t>
      </w:r>
      <w:r>
        <w:rPr/>
        <w:t>balance.</w:t>
      </w:r>
    </w:p>
    <w:p>
      <w:pPr>
        <w:pStyle w:val="BodyText"/>
        <w:rPr>
          <w:sz w:val="26"/>
        </w:rPr>
      </w:pPr>
    </w:p>
    <w:p>
      <w:pPr>
        <w:pStyle w:val="BodyText"/>
        <w:spacing w:before="8"/>
        <w:rPr>
          <w:sz w:val="25"/>
        </w:rPr>
      </w:pPr>
    </w:p>
    <w:p>
      <w:pPr>
        <w:pStyle w:val="BodyText"/>
        <w:ind w:left="106"/>
      </w:pPr>
      <w:r>
        <w:rPr/>
        <w:t>(Continued)</w:t>
      </w:r>
    </w:p>
    <w:p>
      <w:pPr>
        <w:spacing w:after="0"/>
        <w:sectPr>
          <w:pgSz w:w="12240" w:h="15840"/>
          <w:pgMar w:header="726" w:footer="792" w:top="980" w:bottom="980" w:left="1060" w:right="1320"/>
        </w:sectPr>
      </w:pPr>
    </w:p>
    <w:p>
      <w:pPr>
        <w:pStyle w:val="BodyText"/>
        <w:rPr>
          <w:sz w:val="20"/>
        </w:rPr>
      </w:pPr>
    </w:p>
    <w:p>
      <w:pPr>
        <w:pStyle w:val="BodyText"/>
        <w:spacing w:before="211"/>
        <w:ind w:left="106"/>
      </w:pPr>
      <w:r>
        <w:rPr/>
        <w:t>(Continued)</w:t>
      </w:r>
    </w:p>
    <w:p>
      <w:pPr>
        <w:pStyle w:val="Heading2"/>
        <w:ind w:left="106"/>
      </w:pPr>
      <w:bookmarkStart w:name="TRANSFER OF FUNDS TO THE ARCHITECTURE" w:id="121"/>
      <w:bookmarkEnd w:id="121"/>
      <w:r>
        <w:rPr>
          <w:b w:val="0"/>
        </w:rPr>
      </w:r>
      <w:r>
        <w:rPr/>
        <w:t>TRANSFER OF FUNDS TO THE ARCHITECTURE</w:t>
      </w:r>
    </w:p>
    <w:p>
      <w:pPr>
        <w:tabs>
          <w:tab w:pos="8187" w:val="left" w:leader="none"/>
        </w:tabs>
        <w:spacing w:before="0"/>
        <w:ind w:left="106" w:right="0" w:firstLine="0"/>
        <w:jc w:val="left"/>
        <w:rPr>
          <w:sz w:val="24"/>
        </w:rPr>
      </w:pPr>
      <w:bookmarkStart w:name="REVOLVING FUND (ARF)                    " w:id="122"/>
      <w:bookmarkEnd w:id="122"/>
      <w:r>
        <w:rPr/>
      </w:r>
      <w:r>
        <w:rPr>
          <w:b/>
          <w:sz w:val="24"/>
        </w:rPr>
        <w:t>REVOLVING</w:t>
      </w:r>
      <w:r>
        <w:rPr>
          <w:b/>
          <w:spacing w:val="-2"/>
          <w:sz w:val="24"/>
        </w:rPr>
        <w:t> </w:t>
      </w:r>
      <w:r>
        <w:rPr>
          <w:b/>
          <w:sz w:val="24"/>
        </w:rPr>
        <w:t>FUND</w:t>
      </w:r>
      <w:r>
        <w:rPr>
          <w:b/>
          <w:spacing w:val="-3"/>
          <w:sz w:val="24"/>
        </w:rPr>
        <w:t> </w:t>
      </w:r>
      <w:r>
        <w:rPr>
          <w:b/>
          <w:sz w:val="24"/>
        </w:rPr>
        <w:t>(ARF)</w:t>
        <w:tab/>
        <w:t>6868 </w:t>
      </w:r>
      <w:r>
        <w:rPr>
          <w:sz w:val="24"/>
        </w:rPr>
        <w:t>(Cont.</w:t>
      </w:r>
      <w:r>
        <w:rPr>
          <w:spacing w:val="-7"/>
          <w:sz w:val="24"/>
        </w:rPr>
        <w:t> </w:t>
      </w:r>
      <w:r>
        <w:rPr>
          <w:sz w:val="24"/>
        </w:rPr>
        <w:t>1)</w:t>
      </w:r>
    </w:p>
    <w:p>
      <w:pPr>
        <w:pStyle w:val="BodyText"/>
        <w:ind w:left="106"/>
      </w:pPr>
      <w:r>
        <w:rPr/>
        <w:t>(New 5/1998)</w:t>
      </w:r>
    </w:p>
    <w:p>
      <w:pPr>
        <w:pStyle w:val="BodyText"/>
        <w:spacing w:before="120"/>
        <w:ind w:left="106"/>
      </w:pPr>
      <w:r>
        <w:rPr/>
        <w:t>Forms used to transfer funds to ARF:</w:t>
      </w:r>
    </w:p>
    <w:p>
      <w:pPr>
        <w:tabs>
          <w:tab w:pos="6497" w:val="left" w:leader="none"/>
        </w:tabs>
        <w:spacing w:line="240" w:lineRule="auto" w:before="119"/>
        <w:ind w:left="826" w:right="242" w:hanging="360"/>
        <w:jc w:val="left"/>
        <w:rPr>
          <w:sz w:val="24"/>
        </w:rPr>
      </w:pPr>
      <w:r>
        <w:rPr>
          <w:strike/>
          <w:color w:val="2E97D3"/>
          <w:sz w:val="24"/>
        </w:rPr>
        <w:t>1.</w:t>
      </w:r>
      <w:r>
        <w:rPr>
          <w:strike w:val="0"/>
          <w:color w:val="2E97D3"/>
          <w:sz w:val="24"/>
          <w:u w:val="single" w:color="2E97D3"/>
        </w:rPr>
        <w:t>a.</w:t>
        <w:tab/>
      </w:r>
      <w:r>
        <w:rPr>
          <w:strike w:val="0"/>
          <w:sz w:val="24"/>
        </w:rPr>
        <w:t>Transfer of</w:t>
      </w:r>
      <w:r>
        <w:rPr>
          <w:strike w:val="0"/>
          <w:spacing w:val="-7"/>
          <w:sz w:val="24"/>
        </w:rPr>
        <w:t> </w:t>
      </w:r>
      <w:r>
        <w:rPr>
          <w:strike w:val="0"/>
          <w:sz w:val="24"/>
        </w:rPr>
        <w:t>non-bond</w:t>
      </w:r>
      <w:r>
        <w:rPr>
          <w:strike w:val="0"/>
          <w:spacing w:val="-5"/>
          <w:sz w:val="24"/>
        </w:rPr>
        <w:t> </w:t>
      </w:r>
      <w:r>
        <w:rPr>
          <w:strike w:val="0"/>
          <w:sz w:val="24"/>
        </w:rPr>
        <w:t>funds:</w:t>
      </w:r>
      <w:r>
        <w:rPr>
          <w:strike w:val="0"/>
          <w:w w:val="100"/>
          <w:sz w:val="24"/>
        </w:rPr>
        <w:t> </w:t>
      </w:r>
      <w:r>
        <w:rPr>
          <w:strike w:val="0"/>
          <w:sz w:val="24"/>
        </w:rPr>
        <w:t>Client departments use </w:t>
      </w:r>
      <w:r>
        <w:rPr>
          <w:i/>
          <w:strike w:val="0"/>
          <w:sz w:val="24"/>
        </w:rPr>
        <w:t>Public Works Board Authorization and Transfer Request </w:t>
      </w:r>
      <w:r>
        <w:rPr>
          <w:strike w:val="0"/>
          <w:sz w:val="24"/>
        </w:rPr>
        <w:t>form, STD. 22,</w:t>
      </w:r>
      <w:r>
        <w:rPr>
          <w:i/>
          <w:strike w:val="0"/>
          <w:sz w:val="24"/>
        </w:rPr>
        <w:t>, </w:t>
      </w:r>
      <w:r>
        <w:rPr>
          <w:strike w:val="0"/>
          <w:sz w:val="24"/>
        </w:rPr>
        <w:t>to move </w:t>
      </w:r>
      <w:r>
        <w:rPr>
          <w:i/>
          <w:strike w:val="0"/>
          <w:sz w:val="24"/>
        </w:rPr>
        <w:t>non-bond </w:t>
      </w:r>
      <w:r>
        <w:rPr>
          <w:strike w:val="0"/>
          <w:sz w:val="24"/>
        </w:rPr>
        <w:t>funds into of ARF. This form is initiated by DGS when it serves as project manager.   This form is available from</w:t>
      </w:r>
      <w:r>
        <w:rPr>
          <w:strike w:val="0"/>
          <w:spacing w:val="-34"/>
          <w:sz w:val="24"/>
        </w:rPr>
        <w:t> </w:t>
      </w:r>
      <w:r>
        <w:rPr>
          <w:strike w:val="0"/>
          <w:sz w:val="24"/>
        </w:rPr>
        <w:t>DGS.</w:t>
      </w:r>
    </w:p>
    <w:p>
      <w:pPr>
        <w:pStyle w:val="ListParagraph"/>
        <w:numPr>
          <w:ilvl w:val="0"/>
          <w:numId w:val="126"/>
        </w:numPr>
        <w:tabs>
          <w:tab w:pos="827" w:val="left" w:leader="none"/>
        </w:tabs>
        <w:spacing w:line="240" w:lineRule="auto" w:before="119" w:after="0"/>
        <w:ind w:left="826" w:right="432" w:hanging="360"/>
        <w:jc w:val="left"/>
        <w:rPr>
          <w:sz w:val="24"/>
        </w:rPr>
      </w:pPr>
      <w:r>
        <w:rPr>
          <w:sz w:val="24"/>
        </w:rPr>
        <w:t>Departments use STD. 22 to transfer funds to ARF for each budgeted phase of a capital outlay project. This type of transaction is approved by the </w:t>
      </w:r>
      <w:r>
        <w:rPr>
          <w:i/>
          <w:sz w:val="24"/>
        </w:rPr>
        <w:t>DOF capital </w:t>
      </w:r>
      <w:r>
        <w:rPr>
          <w:i/>
          <w:sz w:val="24"/>
        </w:rPr>
        <w:t>outlay analyst </w:t>
      </w:r>
      <w:r>
        <w:rPr>
          <w:sz w:val="24"/>
        </w:rPr>
        <w:t>for the</w:t>
      </w:r>
      <w:r>
        <w:rPr>
          <w:spacing w:val="-17"/>
          <w:sz w:val="24"/>
        </w:rPr>
        <w:t> </w:t>
      </w:r>
      <w:r>
        <w:rPr>
          <w:sz w:val="24"/>
        </w:rPr>
        <w:t>department.</w:t>
      </w:r>
    </w:p>
    <w:p>
      <w:pPr>
        <w:pStyle w:val="ListParagraph"/>
        <w:numPr>
          <w:ilvl w:val="0"/>
          <w:numId w:val="126"/>
        </w:numPr>
        <w:tabs>
          <w:tab w:pos="827" w:val="left" w:leader="none"/>
        </w:tabs>
        <w:spacing w:line="240" w:lineRule="auto" w:before="102" w:after="0"/>
        <w:ind w:left="826" w:right="162" w:hanging="360"/>
        <w:jc w:val="left"/>
        <w:rPr>
          <w:sz w:val="24"/>
        </w:rPr>
      </w:pPr>
      <w:r>
        <w:rPr>
          <w:sz w:val="24"/>
        </w:rPr>
        <w:t>Departments also use STD. 22 to transfer support funding for those facilities expenses (such as carpeting or modular furniture) which are classified as state operations. This type of transaction is approved by the DOF </w:t>
      </w:r>
      <w:r>
        <w:rPr>
          <w:i/>
          <w:sz w:val="24"/>
        </w:rPr>
        <w:t>support analyst </w:t>
      </w:r>
      <w:r>
        <w:rPr>
          <w:sz w:val="24"/>
        </w:rPr>
        <w:t>for the client</w:t>
      </w:r>
      <w:r>
        <w:rPr>
          <w:spacing w:val="-8"/>
          <w:sz w:val="24"/>
        </w:rPr>
        <w:t> </w:t>
      </w:r>
      <w:r>
        <w:rPr>
          <w:sz w:val="24"/>
        </w:rPr>
        <w:t>department.</w:t>
      </w:r>
    </w:p>
    <w:p>
      <w:pPr>
        <w:pStyle w:val="ListParagraph"/>
        <w:numPr>
          <w:ilvl w:val="0"/>
          <w:numId w:val="126"/>
        </w:numPr>
        <w:tabs>
          <w:tab w:pos="827" w:val="left" w:leader="none"/>
        </w:tabs>
        <w:spacing w:line="240" w:lineRule="auto" w:before="98" w:after="0"/>
        <w:ind w:left="826" w:right="242" w:hanging="360"/>
        <w:jc w:val="left"/>
        <w:rPr>
          <w:sz w:val="24"/>
        </w:rPr>
      </w:pPr>
      <w:r>
        <w:rPr>
          <w:sz w:val="24"/>
        </w:rPr>
        <w:t>Since the same form is used to transfer either support funds or capital outlay funds into ARF, the client department must correctly identify the nature of the transaction—i.e., support or capital outlay. Section 6806 identifies how facilities expenses are classified by character of</w:t>
      </w:r>
      <w:r>
        <w:rPr>
          <w:spacing w:val="-27"/>
          <w:sz w:val="24"/>
        </w:rPr>
        <w:t> </w:t>
      </w:r>
      <w:r>
        <w:rPr>
          <w:sz w:val="24"/>
        </w:rPr>
        <w:t>appropriation.</w:t>
      </w:r>
    </w:p>
    <w:p>
      <w:pPr>
        <w:pStyle w:val="ListParagraph"/>
        <w:numPr>
          <w:ilvl w:val="0"/>
          <w:numId w:val="126"/>
        </w:numPr>
        <w:tabs>
          <w:tab w:pos="827" w:val="left" w:leader="none"/>
        </w:tabs>
        <w:spacing w:line="240" w:lineRule="auto" w:before="98" w:after="0"/>
        <w:ind w:left="826" w:right="228" w:hanging="360"/>
        <w:jc w:val="left"/>
        <w:rPr>
          <w:sz w:val="24"/>
        </w:rPr>
      </w:pPr>
      <w:r>
        <w:rPr>
          <w:sz w:val="24"/>
        </w:rPr>
        <w:t>Except as allowed in Section 6.00 of the Budget Act, transfer of s</w:t>
      </w:r>
      <w:r>
        <w:rPr>
          <w:i/>
          <w:sz w:val="24"/>
        </w:rPr>
        <w:t>upport </w:t>
      </w:r>
      <w:r>
        <w:rPr>
          <w:sz w:val="24"/>
        </w:rPr>
        <w:t>funds to ARF for </w:t>
      </w:r>
      <w:r>
        <w:rPr>
          <w:i/>
          <w:sz w:val="24"/>
        </w:rPr>
        <w:t>capital outlay purposes </w:t>
      </w:r>
      <w:r>
        <w:rPr>
          <w:sz w:val="24"/>
        </w:rPr>
        <w:t>is not allowed. See Section 6806 and 6807 of this chapter. Section 6.00 transfers of support funds to ARF must be approved by </w:t>
      </w:r>
      <w:r>
        <w:rPr>
          <w:i/>
          <w:sz w:val="24"/>
        </w:rPr>
        <w:t>both </w:t>
      </w:r>
      <w:r>
        <w:rPr>
          <w:sz w:val="24"/>
        </w:rPr>
        <w:t>the DOF support analyst and the DOF capital outlay analyst. Submit the original STD. 22 to the support analyst, with a copy to the capital outlay analyst. The last day to submit a STD. 22 for a Section 6.00 purpose is April 30. Allow 30 days for DOF review and 30 days for review by JLBC, as</w:t>
      </w:r>
      <w:r>
        <w:rPr>
          <w:spacing w:val="-22"/>
          <w:sz w:val="24"/>
        </w:rPr>
        <w:t> </w:t>
      </w:r>
      <w:r>
        <w:rPr>
          <w:sz w:val="24"/>
        </w:rPr>
        <w:t>needed.</w:t>
      </w:r>
    </w:p>
    <w:p>
      <w:pPr>
        <w:pStyle w:val="ListParagraph"/>
        <w:numPr>
          <w:ilvl w:val="0"/>
          <w:numId w:val="126"/>
        </w:numPr>
        <w:tabs>
          <w:tab w:pos="827" w:val="left" w:leader="none"/>
        </w:tabs>
        <w:spacing w:line="240" w:lineRule="auto" w:before="98" w:after="0"/>
        <w:ind w:left="826" w:right="203" w:hanging="360"/>
        <w:jc w:val="left"/>
        <w:rPr>
          <w:sz w:val="24"/>
        </w:rPr>
      </w:pPr>
      <w:r>
        <w:rPr>
          <w:sz w:val="24"/>
        </w:rPr>
        <w:t>Due to the volume of proposed STD. 22s at the end of the fiscal year, and the potential for incorrect classification of the request, departments must allow extra time for verification by DOF of the nature of—and need for—the transaction. Proposed transfers to ARF which cannot be verified in the time available will not be approved.</w:t>
      </w:r>
    </w:p>
    <w:p>
      <w:pPr>
        <w:pStyle w:val="BodyText"/>
        <w:rPr>
          <w:sz w:val="26"/>
        </w:rPr>
      </w:pPr>
    </w:p>
    <w:p>
      <w:pPr>
        <w:pStyle w:val="BodyText"/>
        <w:spacing w:before="181"/>
        <w:ind w:left="106"/>
      </w:pPr>
      <w:r>
        <w:rPr/>
        <w:t>(Continued)</w:t>
      </w:r>
    </w:p>
    <w:p>
      <w:pPr>
        <w:spacing w:after="0"/>
        <w:sectPr>
          <w:pgSz w:w="12240" w:h="15840"/>
          <w:pgMar w:header="726" w:footer="792" w:top="980" w:bottom="980" w:left="1060" w:right="1340"/>
        </w:sectPr>
      </w:pPr>
    </w:p>
    <w:p>
      <w:pPr>
        <w:pStyle w:val="BodyText"/>
        <w:rPr>
          <w:sz w:val="20"/>
        </w:rPr>
      </w:pPr>
    </w:p>
    <w:p>
      <w:pPr>
        <w:pStyle w:val="BodyText"/>
        <w:spacing w:before="211"/>
        <w:ind w:left="106"/>
      </w:pPr>
      <w:r>
        <w:rPr/>
        <w:t>(Continued)</w:t>
      </w:r>
    </w:p>
    <w:p>
      <w:pPr>
        <w:pStyle w:val="Heading2"/>
        <w:ind w:left="106"/>
      </w:pPr>
      <w:bookmarkStart w:name="TRANSFER OF FUNDS TO THE ARCHITECTURE" w:id="123"/>
      <w:bookmarkEnd w:id="123"/>
      <w:r>
        <w:rPr>
          <w:b w:val="0"/>
        </w:rPr>
      </w:r>
      <w:r>
        <w:rPr/>
        <w:t>TRANSFER OF FUNDS TO THE ARCHITECTURE</w:t>
      </w:r>
    </w:p>
    <w:p>
      <w:pPr>
        <w:tabs>
          <w:tab w:pos="8187" w:val="left" w:leader="none"/>
        </w:tabs>
        <w:spacing w:before="0"/>
        <w:ind w:left="106" w:right="0" w:firstLine="0"/>
        <w:jc w:val="left"/>
        <w:rPr>
          <w:sz w:val="24"/>
        </w:rPr>
      </w:pPr>
      <w:bookmarkStart w:name="REVOLVING FUND (ARF)                    " w:id="124"/>
      <w:bookmarkEnd w:id="124"/>
      <w:r>
        <w:rPr/>
      </w:r>
      <w:r>
        <w:rPr>
          <w:b/>
          <w:sz w:val="24"/>
        </w:rPr>
        <w:t>REVOLVING</w:t>
      </w:r>
      <w:r>
        <w:rPr>
          <w:b/>
          <w:spacing w:val="-2"/>
          <w:sz w:val="24"/>
        </w:rPr>
        <w:t> </w:t>
      </w:r>
      <w:r>
        <w:rPr>
          <w:b/>
          <w:sz w:val="24"/>
        </w:rPr>
        <w:t>FUND</w:t>
      </w:r>
      <w:r>
        <w:rPr>
          <w:b/>
          <w:spacing w:val="-3"/>
          <w:sz w:val="24"/>
        </w:rPr>
        <w:t> </w:t>
      </w:r>
      <w:r>
        <w:rPr>
          <w:b/>
          <w:sz w:val="24"/>
        </w:rPr>
        <w:t>(ARF)</w:t>
        <w:tab/>
        <w:t>6868 </w:t>
      </w:r>
      <w:r>
        <w:rPr>
          <w:sz w:val="24"/>
        </w:rPr>
        <w:t>(Cont.</w:t>
      </w:r>
      <w:r>
        <w:rPr>
          <w:spacing w:val="-7"/>
          <w:sz w:val="24"/>
        </w:rPr>
        <w:t> </w:t>
      </w:r>
      <w:r>
        <w:rPr>
          <w:sz w:val="24"/>
        </w:rPr>
        <w:t>2)</w:t>
      </w:r>
    </w:p>
    <w:p>
      <w:pPr>
        <w:pStyle w:val="BodyText"/>
        <w:ind w:left="106"/>
      </w:pPr>
      <w:r>
        <w:rPr/>
        <w:t>(New 5/1998)</w:t>
      </w:r>
    </w:p>
    <w:p>
      <w:pPr>
        <w:pStyle w:val="BodyText"/>
      </w:pPr>
    </w:p>
    <w:p>
      <w:pPr>
        <w:pStyle w:val="BodyText"/>
        <w:tabs>
          <w:tab w:pos="826" w:val="left" w:leader="none"/>
        </w:tabs>
        <w:ind w:left="106"/>
      </w:pPr>
      <w:r>
        <w:rPr>
          <w:strike/>
          <w:color w:val="2E97D3"/>
        </w:rPr>
        <w:t>2.</w:t>
      </w:r>
      <w:r>
        <w:rPr>
          <w:strike w:val="0"/>
          <w:color w:val="2E97D3"/>
          <w:u w:val="single" w:color="2E97D3"/>
        </w:rPr>
        <w:t>1.</w:t>
        <w:tab/>
      </w:r>
      <w:r>
        <w:rPr>
          <w:strike w:val="0"/>
        </w:rPr>
        <w:t>STD Form 22 Instructions Related to Capital Outlay Transfer</w:t>
      </w:r>
      <w:r>
        <w:rPr>
          <w:strike w:val="0"/>
          <w:spacing w:val="-31"/>
        </w:rPr>
        <w:t> </w:t>
      </w:r>
      <w:r>
        <w:rPr>
          <w:strike w:val="0"/>
        </w:rPr>
        <w:t>Requests:</w:t>
      </w:r>
    </w:p>
    <w:p>
      <w:pPr>
        <w:pStyle w:val="BodyText"/>
        <w:spacing w:before="10"/>
        <w:rPr>
          <w:sz w:val="15"/>
        </w:rPr>
      </w:pPr>
    </w:p>
    <w:p>
      <w:pPr>
        <w:pStyle w:val="BodyText"/>
        <w:spacing w:before="93"/>
        <w:ind w:left="466" w:right="1016"/>
      </w:pPr>
      <w:r>
        <w:rPr/>
        <w:t>To complete STD. 22 related to Capital Outlay transfers, provide the described information for each of the following fields:</w:t>
      </w:r>
    </w:p>
    <w:p>
      <w:pPr>
        <w:pStyle w:val="BodyText"/>
        <w:tabs>
          <w:tab w:pos="826" w:val="left" w:leader="none"/>
        </w:tabs>
        <w:spacing w:before="120"/>
        <w:ind w:left="106"/>
      </w:pPr>
      <w:r>
        <w:rPr>
          <w:strike/>
          <w:color w:val="2E97D3"/>
        </w:rPr>
        <w:t>a.</w:t>
      </w:r>
      <w:r>
        <w:rPr>
          <w:strike w:val="0"/>
          <w:color w:val="2E97D3"/>
          <w:u w:val="single" w:color="2E97D3"/>
        </w:rPr>
        <w:t>1.</w:t>
        <w:tab/>
      </w:r>
      <w:r>
        <w:rPr>
          <w:strike w:val="0"/>
        </w:rPr>
        <w:t>Work Order Number - The DGS/RESD work order</w:t>
      </w:r>
      <w:r>
        <w:rPr>
          <w:strike w:val="0"/>
          <w:spacing w:val="-24"/>
        </w:rPr>
        <w:t> </w:t>
      </w:r>
      <w:r>
        <w:rPr>
          <w:strike w:val="0"/>
        </w:rPr>
        <w:t>number.</w:t>
      </w:r>
    </w:p>
    <w:p>
      <w:pPr>
        <w:pStyle w:val="BodyText"/>
        <w:tabs>
          <w:tab w:pos="826" w:val="left" w:leader="none"/>
          <w:tab w:pos="9219" w:val="left" w:leader="none"/>
        </w:tabs>
        <w:spacing w:before="120"/>
        <w:ind w:left="106"/>
      </w:pPr>
      <w:r>
        <w:rPr>
          <w:strike/>
          <w:color w:val="2E97D3"/>
        </w:rPr>
        <w:t>b.</w:t>
      </w:r>
      <w:r>
        <w:rPr>
          <w:strike w:val="0"/>
          <w:color w:val="2E97D3"/>
          <w:u w:val="single" w:color="2E97D3"/>
        </w:rPr>
        <w:t>2.</w:t>
        <w:tab/>
      </w:r>
      <w:r>
        <w:rPr>
          <w:strike w:val="0"/>
        </w:rPr>
        <w:t>Description of  Project - “Request transfer of  $_ _ _ _ _ _ _  to</w:t>
      </w:r>
      <w:r>
        <w:rPr>
          <w:strike w:val="0"/>
          <w:spacing w:val="-22"/>
        </w:rPr>
        <w:t> </w:t>
      </w:r>
      <w:r>
        <w:rPr>
          <w:strike w:val="0"/>
        </w:rPr>
        <w:t>complete the</w:t>
      </w:r>
      <w:r>
        <w:rPr>
          <w:strike w:val="0"/>
          <w:u w:val="single"/>
        </w:rPr>
        <w:tab/>
      </w:r>
      <w:r>
        <w:rPr>
          <w:strike w:val="0"/>
        </w:rPr>
        <w:t>_</w:t>
      </w:r>
      <w:r>
        <w:rPr>
          <w:strike w:val="0"/>
          <w:spacing w:val="66"/>
        </w:rPr>
        <w:t> </w:t>
      </w:r>
      <w:r>
        <w:rPr>
          <w:strike w:val="0"/>
        </w:rPr>
        <w:t>_</w:t>
      </w:r>
    </w:p>
    <w:p>
      <w:pPr>
        <w:pStyle w:val="BodyText"/>
        <w:ind w:left="466" w:right="349"/>
      </w:pPr>
      <w:r>
        <w:rPr/>
        <w:t>_ _ _ _ _ _ Phase for the following project:” followed by a brief project description. This block may also contain any restrictions and or qualifications on the use of funds,</w:t>
      </w:r>
    </w:p>
    <w:p>
      <w:pPr>
        <w:pStyle w:val="BodyText"/>
        <w:ind w:left="466"/>
      </w:pPr>
      <w:r>
        <w:rPr/>
        <w:t>i.e. “these funds will not be utilized prior to  _ _ _ _ _ _ _.”  (Note:  departments cannot</w:t>
      </w:r>
    </w:p>
    <w:p>
      <w:pPr>
        <w:pStyle w:val="BodyText"/>
        <w:ind w:left="466"/>
      </w:pPr>
      <w:r>
        <w:rPr/>
        <w:t>request transfer of funds for more than one phase at a time.)</w:t>
      </w:r>
    </w:p>
    <w:p>
      <w:pPr>
        <w:pStyle w:val="BodyText"/>
        <w:tabs>
          <w:tab w:pos="826" w:val="left" w:leader="none"/>
        </w:tabs>
        <w:spacing w:before="120"/>
        <w:ind w:left="466" w:right="124" w:hanging="360"/>
      </w:pPr>
      <w:r>
        <w:rPr>
          <w:strike/>
          <w:color w:val="2E97D3"/>
        </w:rPr>
        <w:t>c.</w:t>
      </w:r>
      <w:r>
        <w:rPr>
          <w:strike w:val="0"/>
          <w:color w:val="2E97D3"/>
          <w:u w:val="single" w:color="2E97D3"/>
        </w:rPr>
        <w:t>3.</w:t>
        <w:tab/>
      </w:r>
      <w:r>
        <w:rPr>
          <w:strike w:val="0"/>
        </w:rPr>
        <w:t>Date of Public Works Board Approval - The intended date of PWB approval</w:t>
      </w:r>
      <w:r>
        <w:rPr>
          <w:strike w:val="0"/>
          <w:spacing w:val="-35"/>
        </w:rPr>
        <w:t> </w:t>
      </w:r>
      <w:r>
        <w:rPr>
          <w:strike w:val="0"/>
        </w:rPr>
        <w:t>(blank</w:t>
      </w:r>
      <w:r>
        <w:rPr>
          <w:strike w:val="0"/>
          <w:spacing w:val="-2"/>
        </w:rPr>
        <w:t> </w:t>
      </w:r>
      <w:r>
        <w:rPr>
          <w:strike w:val="0"/>
        </w:rPr>
        <w:t>if</w:t>
      </w:r>
      <w:r>
        <w:rPr>
          <w:strike w:val="0"/>
          <w:w w:val="100"/>
        </w:rPr>
        <w:t> </w:t>
      </w:r>
      <w:r>
        <w:rPr>
          <w:strike w:val="0"/>
        </w:rPr>
        <w:t>prior action did not require PWB</w:t>
      </w:r>
      <w:r>
        <w:rPr>
          <w:strike w:val="0"/>
          <w:spacing w:val="-23"/>
        </w:rPr>
        <w:t> </w:t>
      </w:r>
      <w:r>
        <w:rPr>
          <w:strike w:val="0"/>
        </w:rPr>
        <w:t>approval).</w:t>
      </w:r>
    </w:p>
    <w:p>
      <w:pPr>
        <w:pStyle w:val="BodyText"/>
        <w:tabs>
          <w:tab w:pos="826" w:val="left" w:leader="none"/>
        </w:tabs>
        <w:spacing w:before="120"/>
        <w:ind w:left="106"/>
      </w:pPr>
      <w:r>
        <w:rPr>
          <w:strike/>
          <w:color w:val="2E97D3"/>
        </w:rPr>
        <w:t>d.</w:t>
      </w:r>
      <w:r>
        <w:rPr>
          <w:strike w:val="0"/>
          <w:color w:val="2E97D3"/>
          <w:u w:val="single" w:color="2E97D3"/>
        </w:rPr>
        <w:t>4.</w:t>
        <w:tab/>
      </w:r>
      <w:r>
        <w:rPr>
          <w:strike w:val="0"/>
        </w:rPr>
        <w:t>Prior Expenditures for Preliminary Plans</w:t>
      </w:r>
      <w:r>
        <w:rPr>
          <w:strike w:val="0"/>
          <w:spacing w:val="46"/>
        </w:rPr>
        <w:t> </w:t>
      </w:r>
      <w:r>
        <w:rPr>
          <w:strike w:val="0"/>
        </w:rPr>
        <w:t>-</w:t>
      </w:r>
    </w:p>
    <w:p>
      <w:pPr>
        <w:pStyle w:val="BodyText"/>
        <w:tabs>
          <w:tab w:pos="826" w:val="left" w:leader="none"/>
        </w:tabs>
        <w:spacing w:before="98"/>
        <w:ind w:left="106"/>
      </w:pPr>
      <w:r>
        <w:rPr>
          <w:strike/>
          <w:color w:val="2E97D3"/>
        </w:rPr>
        <w:t>e.</w:t>
      </w:r>
      <w:r>
        <w:rPr>
          <w:strike w:val="0"/>
          <w:color w:val="2E97D3"/>
          <w:u w:val="single" w:color="2E97D3"/>
        </w:rPr>
        <w:t>5.</w:t>
        <w:tab/>
      </w:r>
      <w:r>
        <w:rPr>
          <w:strike w:val="0"/>
        </w:rPr>
        <w:t>Fund - Title of  fund(s) from which the preliminary plans were funded;</w:t>
      </w:r>
      <w:r>
        <w:rPr>
          <w:strike w:val="0"/>
          <w:spacing w:val="-31"/>
        </w:rPr>
        <w:t> </w:t>
      </w:r>
      <w:r>
        <w:rPr>
          <w:strike w:val="0"/>
        </w:rPr>
        <w:t>and</w:t>
      </w:r>
    </w:p>
    <w:p>
      <w:pPr>
        <w:pStyle w:val="BodyText"/>
        <w:spacing w:before="100"/>
        <w:ind w:left="106"/>
      </w:pPr>
      <w:r>
        <w:rPr>
          <w:strike/>
          <w:color w:val="2E97D3"/>
        </w:rPr>
        <w:t>f.</w:t>
      </w:r>
      <w:r>
        <w:rPr>
          <w:strike w:val="0"/>
          <w:color w:val="2E97D3"/>
          <w:u w:val="single" w:color="2E97D3"/>
        </w:rPr>
        <w:t>6. </w:t>
      </w:r>
      <w:r>
        <w:rPr>
          <w:strike w:val="0"/>
        </w:rPr>
        <w:t>Amount - Total amount of the preliminary plans.</w:t>
      </w:r>
    </w:p>
    <w:p>
      <w:pPr>
        <w:pStyle w:val="BodyText"/>
        <w:tabs>
          <w:tab w:pos="826" w:val="left" w:leader="none"/>
        </w:tabs>
        <w:spacing w:before="100"/>
        <w:ind w:left="466" w:right="390" w:hanging="360"/>
      </w:pPr>
      <w:r>
        <w:rPr>
          <w:strike/>
          <w:color w:val="2E97D3"/>
        </w:rPr>
        <w:t>g.</w:t>
      </w:r>
      <w:r>
        <w:rPr>
          <w:strike w:val="0"/>
          <w:color w:val="2E97D3"/>
          <w:u w:val="single" w:color="2E97D3"/>
        </w:rPr>
        <w:t>7.</w:t>
        <w:tab/>
      </w:r>
      <w:r>
        <w:rPr>
          <w:strike w:val="0"/>
        </w:rPr>
        <w:t>Total Estimated Project Cost - Latest reported and approved total project</w:t>
      </w:r>
      <w:r>
        <w:rPr>
          <w:strike w:val="0"/>
          <w:spacing w:val="-35"/>
        </w:rPr>
        <w:t> </w:t>
      </w:r>
      <w:r>
        <w:rPr>
          <w:strike w:val="0"/>
        </w:rPr>
        <w:t>cost</w:t>
      </w:r>
      <w:r>
        <w:rPr>
          <w:strike w:val="0"/>
          <w:spacing w:val="-2"/>
        </w:rPr>
        <w:t> </w:t>
      </w:r>
      <w:r>
        <w:rPr>
          <w:strike w:val="0"/>
        </w:rPr>
        <w:t>(as displayed on the Project Cost, Funding, and Schedule</w:t>
      </w:r>
      <w:r>
        <w:rPr>
          <w:strike w:val="0"/>
          <w:spacing w:val="-34"/>
        </w:rPr>
        <w:t> </w:t>
      </w:r>
      <w:r>
        <w:rPr>
          <w:strike w:val="0"/>
        </w:rPr>
        <w:t>Summary).</w:t>
      </w:r>
    </w:p>
    <w:p>
      <w:pPr>
        <w:pStyle w:val="BodyText"/>
        <w:tabs>
          <w:tab w:pos="826" w:val="left" w:leader="none"/>
        </w:tabs>
        <w:spacing w:before="119"/>
        <w:ind w:left="106"/>
      </w:pPr>
      <w:r>
        <w:rPr>
          <w:strike/>
          <w:color w:val="2E97D3"/>
        </w:rPr>
        <w:t>h.</w:t>
      </w:r>
      <w:r>
        <w:rPr>
          <w:strike w:val="0"/>
          <w:color w:val="2E97D3"/>
          <w:u w:val="single" w:color="2E97D3"/>
        </w:rPr>
        <w:t>8.</w:t>
        <w:tab/>
      </w:r>
      <w:r>
        <w:rPr>
          <w:strike w:val="0"/>
        </w:rPr>
        <w:t>Source of Funds</w:t>
      </w:r>
      <w:r>
        <w:rPr>
          <w:strike w:val="0"/>
          <w:spacing w:val="-5"/>
        </w:rPr>
        <w:t> </w:t>
      </w:r>
      <w:r>
        <w:rPr>
          <w:strike w:val="0"/>
        </w:rPr>
        <w:t>-</w:t>
      </w:r>
    </w:p>
    <w:p>
      <w:pPr>
        <w:pStyle w:val="BodyText"/>
        <w:spacing w:before="119"/>
        <w:ind w:left="106"/>
      </w:pPr>
      <w:r>
        <w:rPr>
          <w:strike/>
          <w:color w:val="2E97D3"/>
        </w:rPr>
        <w:t>i.</w:t>
      </w:r>
      <w:r>
        <w:rPr>
          <w:strike w:val="0"/>
          <w:color w:val="2E97D3"/>
          <w:u w:val="single" w:color="2E97D3"/>
        </w:rPr>
        <w:t>9.</w:t>
      </w:r>
      <w:r>
        <w:rPr>
          <w:strike w:val="0"/>
          <w:color w:val="2E97D3"/>
          <w:spacing w:val="-54"/>
          <w:u w:val="single" w:color="2E97D3"/>
        </w:rPr>
        <w:t> </w:t>
      </w:r>
      <w:r>
        <w:rPr>
          <w:strike w:val="0"/>
        </w:rPr>
        <w:t>Fund - Title of fund(s) from which the transfer will occur;</w:t>
      </w:r>
    </w:p>
    <w:p>
      <w:pPr>
        <w:pStyle w:val="BodyText"/>
        <w:tabs>
          <w:tab w:pos="826" w:val="left" w:leader="none"/>
        </w:tabs>
        <w:spacing w:line="343" w:lineRule="auto" w:before="119"/>
        <w:ind w:left="106" w:right="1061"/>
      </w:pPr>
      <w:r>
        <w:rPr>
          <w:strike/>
          <w:color w:val="2E97D3"/>
        </w:rPr>
        <w:t>j.</w:t>
      </w:r>
      <w:r>
        <w:rPr>
          <w:strike w:val="0"/>
          <w:color w:val="2E97D3"/>
          <w:u w:val="single" w:color="2E97D3"/>
        </w:rPr>
        <w:t>10.</w:t>
        <w:tab/>
      </w:r>
      <w:r>
        <w:rPr>
          <w:strike w:val="0"/>
        </w:rPr>
        <w:t>Appropriation - Appropriation authority related to each source of</w:t>
      </w:r>
      <w:r>
        <w:rPr>
          <w:strike w:val="0"/>
          <w:spacing w:val="-36"/>
        </w:rPr>
        <w:t> </w:t>
      </w:r>
      <w:r>
        <w:rPr>
          <w:strike w:val="0"/>
        </w:rPr>
        <w:t>funds;</w:t>
      </w:r>
      <w:r>
        <w:rPr>
          <w:strike w:val="0"/>
          <w:spacing w:val="-3"/>
        </w:rPr>
        <w:t> </w:t>
      </w:r>
      <w:r>
        <w:rPr>
          <w:strike w:val="0"/>
        </w:rPr>
        <w:t>and</w:t>
      </w:r>
      <w:r>
        <w:rPr>
          <w:strike w:val="0"/>
          <w:w w:val="99"/>
        </w:rPr>
        <w:t> </w:t>
      </w:r>
      <w:r>
        <w:rPr>
          <w:strike/>
          <w:color w:val="2E97D3"/>
        </w:rPr>
        <w:t>k.</w:t>
      </w:r>
      <w:r>
        <w:rPr>
          <w:strike w:val="0"/>
          <w:color w:val="2E97D3"/>
          <w:u w:val="single" w:color="2E97D3"/>
        </w:rPr>
        <w:t>11.   </w:t>
      </w:r>
      <w:r>
        <w:rPr>
          <w:strike w:val="0"/>
        </w:rPr>
        <w:t>Dollar Amount - Amount to be</w:t>
      </w:r>
      <w:r>
        <w:rPr>
          <w:strike w:val="0"/>
          <w:spacing w:val="-22"/>
        </w:rPr>
        <w:t> </w:t>
      </w:r>
      <w:r>
        <w:rPr>
          <w:strike w:val="0"/>
        </w:rPr>
        <w:t>transferred.</w:t>
      </w:r>
    </w:p>
    <w:p>
      <w:pPr>
        <w:pStyle w:val="BodyText"/>
        <w:tabs>
          <w:tab w:pos="826" w:val="left" w:leader="none"/>
        </w:tabs>
        <w:spacing w:before="4"/>
        <w:ind w:left="466" w:right="390" w:hanging="360"/>
      </w:pPr>
      <w:r>
        <w:rPr>
          <w:strike/>
          <w:color w:val="2E97D3"/>
        </w:rPr>
        <w:t>l.</w:t>
      </w:r>
      <w:r>
        <w:rPr>
          <w:strike w:val="0"/>
          <w:color w:val="2E97D3"/>
          <w:u w:val="single" w:color="2E97D3"/>
        </w:rPr>
        <w:t>12.</w:t>
        <w:tab/>
      </w:r>
      <w:r>
        <w:rPr>
          <w:strike w:val="0"/>
        </w:rPr>
        <w:t>Unencumbered Balance Before Posting This Estimate - Funding available</w:t>
      </w:r>
      <w:r>
        <w:rPr>
          <w:strike w:val="0"/>
          <w:spacing w:val="-35"/>
        </w:rPr>
        <w:t> </w:t>
      </w:r>
      <w:r>
        <w:rPr>
          <w:strike w:val="0"/>
        </w:rPr>
        <w:t>for</w:t>
      </w:r>
      <w:r>
        <w:rPr>
          <w:strike w:val="0"/>
          <w:spacing w:val="-4"/>
        </w:rPr>
        <w:t> </w:t>
      </w:r>
      <w:r>
        <w:rPr>
          <w:strike w:val="0"/>
        </w:rPr>
        <w:t>this project from prior</w:t>
      </w:r>
      <w:r>
        <w:rPr>
          <w:strike w:val="0"/>
          <w:spacing w:val="-15"/>
        </w:rPr>
        <w:t> </w:t>
      </w:r>
      <w:r>
        <w:rPr>
          <w:strike w:val="0"/>
        </w:rPr>
        <w:t>transfers.</w:t>
      </w:r>
    </w:p>
    <w:p>
      <w:pPr>
        <w:pStyle w:val="BodyText"/>
        <w:spacing w:before="120"/>
        <w:ind w:left="466" w:right="136" w:hanging="360"/>
      </w:pPr>
      <w:r>
        <w:rPr>
          <w:strike/>
          <w:color w:val="2E97D3"/>
        </w:rPr>
        <w:t>m.</w:t>
      </w:r>
      <w:r>
        <w:rPr>
          <w:strike w:val="0"/>
          <w:color w:val="2E97D3"/>
          <w:u w:val="single" w:color="2E97D3"/>
        </w:rPr>
        <w:t>13. </w:t>
      </w:r>
      <w:r>
        <w:rPr>
          <w:strike w:val="0"/>
        </w:rPr>
        <w:t>Amount to be Transferred - Dollar amount to be transferred. This amount must match the request in the Description of Project.</w:t>
      </w:r>
    </w:p>
    <w:p>
      <w:pPr>
        <w:pStyle w:val="BodyText"/>
        <w:spacing w:before="120"/>
        <w:ind w:left="106"/>
      </w:pPr>
      <w:r>
        <w:rPr>
          <w:strike/>
          <w:color w:val="2E97D3"/>
        </w:rPr>
        <w:t>n.</w:t>
      </w:r>
      <w:r>
        <w:rPr>
          <w:strike w:val="0"/>
          <w:color w:val="2E97D3"/>
          <w:u w:val="single" w:color="2E97D3"/>
        </w:rPr>
        <w:t>14.  </w:t>
      </w:r>
      <w:r>
        <w:rPr>
          <w:strike w:val="0"/>
        </w:rPr>
        <w:t>Approved By  - The signature of the client department’s project manager.</w:t>
      </w:r>
    </w:p>
    <w:p>
      <w:pPr>
        <w:pStyle w:val="BodyText"/>
        <w:spacing w:line="343" w:lineRule="auto" w:before="120"/>
        <w:ind w:left="106"/>
      </w:pPr>
      <w:r>
        <w:rPr>
          <w:strike/>
          <w:color w:val="2E97D3"/>
        </w:rPr>
        <w:t>o.</w:t>
      </w:r>
      <w:r>
        <w:rPr>
          <w:strike w:val="0"/>
          <w:color w:val="2E97D3"/>
          <w:u w:val="single" w:color="2E97D3"/>
        </w:rPr>
        <w:t>15. </w:t>
      </w:r>
      <w:r>
        <w:rPr>
          <w:strike w:val="0"/>
        </w:rPr>
        <w:t>Funding Certification - The signature of the client department’s Accounting Officer. </w:t>
      </w:r>
      <w:r>
        <w:rPr>
          <w:strike/>
          <w:color w:val="2E97D3"/>
        </w:rPr>
        <w:t>p.</w:t>
      </w:r>
      <w:r>
        <w:rPr>
          <w:strike w:val="0"/>
          <w:color w:val="2E97D3"/>
          <w:u w:val="single" w:color="2E97D3"/>
        </w:rPr>
        <w:t>16.  </w:t>
      </w:r>
      <w:r>
        <w:rPr>
          <w:strike w:val="0"/>
        </w:rPr>
        <w:t>Approved By - The signature of the client department’s Director or designee.</w:t>
      </w:r>
    </w:p>
    <w:p>
      <w:pPr>
        <w:pStyle w:val="BodyText"/>
        <w:spacing w:before="6"/>
        <w:rPr>
          <w:sz w:val="16"/>
        </w:rPr>
      </w:pPr>
    </w:p>
    <w:p>
      <w:pPr>
        <w:pStyle w:val="BodyText"/>
        <w:spacing w:before="93"/>
        <w:ind w:left="106"/>
      </w:pPr>
      <w:r>
        <w:rPr/>
        <w:t>(Continued)</w:t>
      </w:r>
    </w:p>
    <w:p>
      <w:pPr>
        <w:spacing w:after="0"/>
        <w:sectPr>
          <w:pgSz w:w="12240" w:h="15840"/>
          <w:pgMar w:header="726" w:footer="792" w:top="980" w:bottom="980" w:left="1060" w:right="1340"/>
        </w:sectPr>
      </w:pPr>
    </w:p>
    <w:p>
      <w:pPr>
        <w:pStyle w:val="BodyText"/>
        <w:rPr>
          <w:sz w:val="20"/>
        </w:rPr>
      </w:pPr>
    </w:p>
    <w:p>
      <w:pPr>
        <w:pStyle w:val="BodyText"/>
        <w:spacing w:before="211"/>
        <w:ind w:left="686"/>
      </w:pPr>
      <w:r>
        <w:rPr/>
        <w:t>(Continued)</w:t>
      </w:r>
    </w:p>
    <w:p>
      <w:pPr>
        <w:pStyle w:val="Heading2"/>
        <w:ind w:left="686"/>
      </w:pPr>
      <w:bookmarkStart w:name="TRANSFER OF FUNDS TO THE ARCHITECTURE" w:id="125"/>
      <w:bookmarkEnd w:id="125"/>
      <w:r>
        <w:rPr>
          <w:b w:val="0"/>
        </w:rPr>
      </w:r>
      <w:r>
        <w:rPr/>
        <w:t>TRANSFER OF FUNDS TO THE ARCHITECTURE</w:t>
      </w:r>
    </w:p>
    <w:p>
      <w:pPr>
        <w:tabs>
          <w:tab w:pos="8767" w:val="left" w:leader="none"/>
        </w:tabs>
        <w:spacing w:before="0"/>
        <w:ind w:left="686" w:right="0" w:firstLine="0"/>
        <w:jc w:val="left"/>
        <w:rPr>
          <w:sz w:val="24"/>
        </w:rPr>
      </w:pPr>
      <w:bookmarkStart w:name="REVOLVING FUND (ARF)                    " w:id="126"/>
      <w:bookmarkEnd w:id="126"/>
      <w:r>
        <w:rPr/>
      </w:r>
      <w:r>
        <w:rPr>
          <w:b/>
          <w:sz w:val="24"/>
        </w:rPr>
        <w:t>REVOLVING</w:t>
      </w:r>
      <w:r>
        <w:rPr>
          <w:b/>
          <w:spacing w:val="-2"/>
          <w:sz w:val="24"/>
        </w:rPr>
        <w:t> </w:t>
      </w:r>
      <w:r>
        <w:rPr>
          <w:b/>
          <w:sz w:val="24"/>
        </w:rPr>
        <w:t>FUND</w:t>
      </w:r>
      <w:r>
        <w:rPr>
          <w:b/>
          <w:spacing w:val="-3"/>
          <w:sz w:val="24"/>
        </w:rPr>
        <w:t> </w:t>
      </w:r>
      <w:r>
        <w:rPr>
          <w:b/>
          <w:sz w:val="24"/>
        </w:rPr>
        <w:t>(ARF)</w:t>
        <w:tab/>
        <w:t>6868 </w:t>
      </w:r>
      <w:r>
        <w:rPr>
          <w:sz w:val="24"/>
        </w:rPr>
        <w:t>(Cont.</w:t>
      </w:r>
      <w:r>
        <w:rPr>
          <w:spacing w:val="-7"/>
          <w:sz w:val="24"/>
        </w:rPr>
        <w:t> </w:t>
      </w:r>
      <w:r>
        <w:rPr>
          <w:sz w:val="24"/>
        </w:rPr>
        <w:t>3)</w:t>
      </w:r>
    </w:p>
    <w:p>
      <w:pPr>
        <w:pStyle w:val="BodyText"/>
        <w:ind w:left="686"/>
      </w:pPr>
      <w:r>
        <w:rPr/>
        <w:t>(New 5/1998)</w:t>
      </w:r>
    </w:p>
    <w:p>
      <w:pPr>
        <w:pStyle w:val="BodyText"/>
        <w:spacing w:before="10"/>
        <w:rPr>
          <w:sz w:val="20"/>
        </w:rPr>
      </w:pPr>
    </w:p>
    <w:p>
      <w:pPr>
        <w:pStyle w:val="Heading2"/>
        <w:numPr>
          <w:ilvl w:val="1"/>
          <w:numId w:val="127"/>
        </w:numPr>
        <w:tabs>
          <w:tab w:pos="7077" w:val="left" w:leader="none"/>
          <w:tab w:pos="7078" w:val="left" w:leader="none"/>
        </w:tabs>
        <w:spacing w:line="275" w:lineRule="exact" w:before="0" w:after="0"/>
        <w:ind w:left="7077" w:right="0" w:hanging="6391"/>
        <w:jc w:val="left"/>
        <w:rPr>
          <w:b w:val="0"/>
        </w:rPr>
      </w:pPr>
      <w:r>
        <w:rPr/>
        <w:pict>
          <v:line style="position:absolute;mso-position-horizontal-relative:page;mso-position-vertical-relative:paragraph;z-index:-439744" from="68.400002pt,12.995869pt" to="377.880002pt,12.995869pt" stroked="true" strokeweight=".84pt" strokecolor="#2e97d3">
            <v:stroke dashstyle="solid"/>
            <w10:wrap type="none"/>
          </v:line>
        </w:pict>
      </w:r>
      <w:r>
        <w:rPr>
          <w:strike w:val="0"/>
        </w:rPr>
        <w:t>Transfer of bond funds</w:t>
      </w:r>
      <w:r>
        <w:rPr>
          <w:b w:val="0"/>
          <w:strike w:val="0"/>
        </w:rPr>
        <w:t>:</w:t>
      </w:r>
      <w:r>
        <w:rPr>
          <w:b w:val="0"/>
          <w:strike w:val="0"/>
          <w:spacing w:val="55"/>
        </w:rPr>
        <w:t> </w:t>
      </w:r>
      <w:r>
        <w:rPr>
          <w:b w:val="0"/>
          <w:strike w:val="0"/>
        </w:rPr>
        <w:t>For</w:t>
      </w:r>
    </w:p>
    <w:p>
      <w:pPr>
        <w:pStyle w:val="BodyText"/>
        <w:ind w:left="1046" w:right="149"/>
      </w:pPr>
      <w:r>
        <w:rPr/>
        <w:t>bond-funded projects, a </w:t>
      </w:r>
      <w:r>
        <w:rPr>
          <w:i/>
        </w:rPr>
        <w:t>Public Works Project Authorization Bond Proceeds Funded </w:t>
      </w:r>
      <w:r>
        <w:rPr>
          <w:i/>
        </w:rPr>
        <w:t>Projects </w:t>
      </w:r>
      <w:r>
        <w:rPr/>
        <w:t>(GS–OSA 220) accomplishes the same purpose as a STD. 22 This form is available from DGS. The form is used to request SCO to reserve a portion of the department’s project appropriation authority in a separate account within the appropriate bond fund.  This reserve is used to reimburse ARF for actual expenditures.</w:t>
      </w:r>
    </w:p>
    <w:p>
      <w:pPr>
        <w:pStyle w:val="ListParagraph"/>
        <w:numPr>
          <w:ilvl w:val="2"/>
          <w:numId w:val="127"/>
        </w:numPr>
        <w:tabs>
          <w:tab w:pos="1407" w:val="left" w:leader="none"/>
        </w:tabs>
        <w:spacing w:line="240" w:lineRule="auto" w:before="119" w:after="0"/>
        <w:ind w:left="1406" w:right="134" w:hanging="360"/>
        <w:jc w:val="left"/>
        <w:rPr>
          <w:sz w:val="24"/>
        </w:rPr>
      </w:pPr>
      <w:r>
        <w:rPr>
          <w:i/>
          <w:sz w:val="24"/>
        </w:rPr>
        <w:t>All transfer requests from lease-revenue bond funds must be submitted first to </w:t>
      </w:r>
      <w:r>
        <w:rPr>
          <w:i/>
          <w:sz w:val="24"/>
        </w:rPr>
        <w:t>DOF’s Capital Outlay unit to determine whether the purpose of expenditure is lawful under the bond indenture and state/federal tax law. </w:t>
      </w:r>
      <w:r>
        <w:rPr>
          <w:sz w:val="24"/>
        </w:rPr>
        <w:t>This applies whether or not the transfer is for a support purpose. The Capital Outlay unit will then coordinate the request with the appropriate support unit in</w:t>
      </w:r>
      <w:r>
        <w:rPr>
          <w:spacing w:val="-22"/>
          <w:sz w:val="24"/>
        </w:rPr>
        <w:t> </w:t>
      </w:r>
      <w:r>
        <w:rPr>
          <w:sz w:val="24"/>
        </w:rPr>
        <w:t>DOF.</w:t>
      </w:r>
    </w:p>
    <w:p>
      <w:pPr>
        <w:pStyle w:val="ListParagraph"/>
        <w:numPr>
          <w:ilvl w:val="2"/>
          <w:numId w:val="127"/>
        </w:numPr>
        <w:tabs>
          <w:tab w:pos="1407" w:val="left" w:leader="none"/>
        </w:tabs>
        <w:spacing w:line="240" w:lineRule="auto" w:before="119" w:after="0"/>
        <w:ind w:left="1406" w:right="312" w:hanging="360"/>
        <w:jc w:val="left"/>
        <w:rPr>
          <w:sz w:val="24"/>
        </w:rPr>
      </w:pPr>
      <w:r>
        <w:rPr>
          <w:sz w:val="24"/>
        </w:rPr>
        <w:t>For budgetary purposes (as distinguished from cash flow purposes), GS-OSA 220 is treated as an encumbrance recorded in the fiscal year in which approved by DOF. Departments which manage their own projects—such as the higher education segments and the Department of Corrections for the new prison construction program—do not use GS-OSA</w:t>
      </w:r>
      <w:r>
        <w:rPr>
          <w:spacing w:val="-18"/>
          <w:sz w:val="24"/>
        </w:rPr>
        <w:t> </w:t>
      </w:r>
      <w:r>
        <w:rPr>
          <w:sz w:val="24"/>
        </w:rPr>
        <w:t>220.</w:t>
      </w:r>
    </w:p>
    <w:p>
      <w:pPr>
        <w:pStyle w:val="BodyText"/>
        <w:spacing w:before="11"/>
        <w:rPr>
          <w:sz w:val="23"/>
        </w:rPr>
      </w:pPr>
    </w:p>
    <w:p>
      <w:pPr>
        <w:tabs>
          <w:tab w:pos="7077" w:val="left" w:leader="none"/>
        </w:tabs>
        <w:spacing w:before="0"/>
        <w:ind w:left="686" w:right="0" w:firstLine="0"/>
        <w:jc w:val="left"/>
        <w:rPr>
          <w:b/>
          <w:sz w:val="24"/>
        </w:rPr>
      </w:pPr>
      <w:r>
        <w:rPr/>
        <w:pict>
          <v:line style="position:absolute;mso-position-horizontal-relative:page;mso-position-vertical-relative:paragraph;z-index:-439720" from="68.400002pt,12.995863pt" to="377.880002pt,12.995863pt" stroked="true" strokeweight=".84pt" strokecolor="#2e97d3">
            <v:stroke dashstyle="solid"/>
            <w10:wrap type="none"/>
          </v:line>
        </w:pict>
      </w:r>
      <w:r>
        <w:rPr>
          <w:strike/>
          <w:color w:val="2E97D3"/>
          <w:sz w:val="24"/>
        </w:rPr>
        <w:t>4.</w:t>
      </w:r>
      <w:r>
        <w:rPr>
          <w:strike w:val="0"/>
          <w:color w:val="2E97D3"/>
          <w:sz w:val="24"/>
        </w:rPr>
        <w:t>2.</w:t>
        <w:tab/>
      </w:r>
      <w:r>
        <w:rPr>
          <w:b/>
          <w:strike w:val="0"/>
          <w:sz w:val="24"/>
        </w:rPr>
        <w:t>Form</w:t>
      </w:r>
      <w:r>
        <w:rPr>
          <w:b/>
          <w:strike w:val="0"/>
          <w:spacing w:val="-9"/>
          <w:sz w:val="24"/>
        </w:rPr>
        <w:t> </w:t>
      </w:r>
      <w:r>
        <w:rPr>
          <w:b/>
          <w:strike w:val="0"/>
          <w:sz w:val="24"/>
        </w:rPr>
        <w:t>GSA-OSA-220</w:t>
      </w:r>
    </w:p>
    <w:p>
      <w:pPr>
        <w:pStyle w:val="Heading2"/>
        <w:ind w:left="1046"/>
      </w:pPr>
      <w:r>
        <w:rPr/>
        <w:t>Instructions Related to Capital Outlay Bond Transfer Requests</w:t>
      </w:r>
    </w:p>
    <w:p>
      <w:pPr>
        <w:pStyle w:val="BodyText"/>
        <w:spacing w:before="120"/>
        <w:ind w:left="1046" w:right="802"/>
      </w:pPr>
      <w:r>
        <w:rPr/>
        <w:t>To complete form GSA-0SA-220 related to bond transfers, provide the described information for each of the following fields:</w:t>
      </w:r>
    </w:p>
    <w:p>
      <w:pPr>
        <w:pStyle w:val="BodyText"/>
        <w:tabs>
          <w:tab w:pos="1406" w:val="left" w:leader="none"/>
        </w:tabs>
        <w:ind w:left="686"/>
      </w:pPr>
      <w:r>
        <w:rPr>
          <w:strike/>
          <w:color w:val="2E97D3"/>
        </w:rPr>
        <w:t>a.</w:t>
      </w:r>
      <w:r>
        <w:rPr>
          <w:strike w:val="0"/>
          <w:color w:val="2E97D3"/>
          <w:u w:val="single" w:color="2E97D3"/>
        </w:rPr>
        <w:t>1.</w:t>
        <w:tab/>
      </w:r>
      <w:r>
        <w:rPr>
          <w:strike w:val="0"/>
        </w:rPr>
        <w:t>Work Order Number - The DGS/RESD work order</w:t>
      </w:r>
      <w:r>
        <w:rPr>
          <w:strike w:val="0"/>
          <w:spacing w:val="-24"/>
        </w:rPr>
        <w:t> </w:t>
      </w:r>
      <w:r>
        <w:rPr>
          <w:strike w:val="0"/>
        </w:rPr>
        <w:t>number.</w:t>
      </w:r>
    </w:p>
    <w:p>
      <w:pPr>
        <w:pStyle w:val="BodyText"/>
        <w:tabs>
          <w:tab w:pos="1406" w:val="left" w:leader="none"/>
          <w:tab w:pos="9799" w:val="left" w:leader="none"/>
        </w:tabs>
        <w:spacing w:before="120"/>
        <w:ind w:left="686"/>
      </w:pPr>
      <w:r>
        <w:rPr/>
        <w:pict>
          <v:line style="position:absolute;mso-position-horizontal-relative:page;mso-position-vertical-relative:paragraph;z-index:-439696" from="167.759995pt,14.436363pt" to="171.119995pt,14.436363pt" stroked="true" strokeweight=".599pt" strokecolor="#2e97d3">
            <v:stroke dashstyle="solid"/>
            <w10:wrap type="none"/>
          </v:line>
        </w:pict>
      </w:r>
      <w:r>
        <w:rPr/>
        <w:pict>
          <v:line style="position:absolute;mso-position-horizontal-relative:page;mso-position-vertical-relative:paragraph;z-index:32992" from="29.4pt,6.215863pt" to="29.4pt,20.015863pt" stroked="true" strokeweight=".72pt" strokecolor="#000000">
            <v:stroke dashstyle="solid"/>
            <w10:wrap type="none"/>
          </v:line>
        </w:pict>
      </w:r>
      <w:r>
        <w:rPr>
          <w:strike/>
          <w:color w:val="2E97D3"/>
        </w:rPr>
        <w:t>b.</w:t>
      </w:r>
      <w:r>
        <w:rPr>
          <w:strike w:val="0"/>
          <w:color w:val="2E97D3"/>
          <w:u w:val="single" w:color="2E97D3"/>
        </w:rPr>
        <w:t>2.</w:t>
        <w:tab/>
      </w:r>
      <w:r>
        <w:rPr>
          <w:strike w:val="0"/>
        </w:rPr>
        <w:t>Description of  Project - “Request transfer of  $_ _ _ _ _ _ _  to</w:t>
      </w:r>
      <w:r>
        <w:rPr>
          <w:strike w:val="0"/>
          <w:spacing w:val="-22"/>
        </w:rPr>
        <w:t> </w:t>
      </w:r>
      <w:r>
        <w:rPr>
          <w:strike w:val="0"/>
        </w:rPr>
        <w:t>complete the</w:t>
      </w:r>
      <w:r>
        <w:rPr>
          <w:strike w:val="0"/>
          <w:u w:val="single"/>
        </w:rPr>
        <w:tab/>
      </w:r>
      <w:r>
        <w:rPr>
          <w:strike w:val="0"/>
        </w:rPr>
        <w:t>_</w:t>
      </w:r>
      <w:r>
        <w:rPr>
          <w:strike w:val="0"/>
          <w:spacing w:val="66"/>
        </w:rPr>
        <w:t> </w:t>
      </w:r>
      <w:r>
        <w:rPr>
          <w:strike w:val="0"/>
        </w:rPr>
        <w:t>_</w:t>
      </w:r>
    </w:p>
    <w:p>
      <w:pPr>
        <w:pStyle w:val="BodyText"/>
        <w:ind w:left="1046" w:right="349"/>
      </w:pPr>
      <w:r>
        <w:rPr/>
        <w:t>_ _ _ _ _ _ Phase for the following project:” followed by a brief project description. This block may also contain any restrictions and or qualifications on the use of funds,</w:t>
      </w:r>
    </w:p>
    <w:p>
      <w:pPr>
        <w:pStyle w:val="BodyText"/>
        <w:ind w:left="1046"/>
      </w:pPr>
      <w:r>
        <w:rPr/>
        <w:t>i.e. “these funds will not be utilized prior to  _ _ _ _ _ _ _.”  (Note:  departments cannot</w:t>
      </w:r>
    </w:p>
    <w:p>
      <w:pPr>
        <w:pStyle w:val="BodyText"/>
        <w:ind w:left="1046"/>
      </w:pPr>
      <w:r>
        <w:rPr/>
        <w:t>request transfer of funds for more than one phase at a time.)</w:t>
      </w:r>
    </w:p>
    <w:p>
      <w:pPr>
        <w:pStyle w:val="BodyText"/>
        <w:tabs>
          <w:tab w:pos="1406" w:val="left" w:leader="none"/>
        </w:tabs>
        <w:spacing w:before="120"/>
        <w:ind w:left="1046" w:right="126" w:hanging="360"/>
      </w:pPr>
      <w:r>
        <w:rPr>
          <w:strike/>
          <w:color w:val="2E97D3"/>
        </w:rPr>
        <w:t>c.</w:t>
      </w:r>
      <w:r>
        <w:rPr>
          <w:strike w:val="0"/>
          <w:color w:val="2E97D3"/>
          <w:u w:val="single" w:color="2E97D3"/>
        </w:rPr>
        <w:t>3.</w:t>
        <w:tab/>
      </w:r>
      <w:r>
        <w:rPr>
          <w:strike w:val="0"/>
        </w:rPr>
        <w:t>Date of Public Works Board Approval - The intended date of PWB approval</w:t>
      </w:r>
      <w:r>
        <w:rPr>
          <w:strike w:val="0"/>
          <w:spacing w:val="-35"/>
        </w:rPr>
        <w:t> </w:t>
      </w:r>
      <w:r>
        <w:rPr>
          <w:strike w:val="0"/>
        </w:rPr>
        <w:t>(blank</w:t>
      </w:r>
      <w:r>
        <w:rPr>
          <w:strike w:val="0"/>
          <w:spacing w:val="-2"/>
        </w:rPr>
        <w:t> </w:t>
      </w:r>
      <w:r>
        <w:rPr>
          <w:strike w:val="0"/>
        </w:rPr>
        <w:t>if</w:t>
      </w:r>
      <w:r>
        <w:rPr>
          <w:strike w:val="0"/>
          <w:w w:val="100"/>
        </w:rPr>
        <w:t> </w:t>
      </w:r>
      <w:r>
        <w:rPr>
          <w:strike w:val="0"/>
        </w:rPr>
        <w:t>prior action did not require PWB</w:t>
      </w:r>
      <w:r>
        <w:rPr>
          <w:strike w:val="0"/>
          <w:spacing w:val="-23"/>
        </w:rPr>
        <w:t> </w:t>
      </w:r>
      <w:r>
        <w:rPr>
          <w:strike w:val="0"/>
        </w:rPr>
        <w:t>approval).</w:t>
      </w:r>
    </w:p>
    <w:p>
      <w:pPr>
        <w:pStyle w:val="BodyText"/>
        <w:tabs>
          <w:tab w:pos="1406" w:val="left" w:leader="none"/>
        </w:tabs>
        <w:spacing w:before="120"/>
        <w:ind w:left="686"/>
      </w:pPr>
      <w:r>
        <w:rPr>
          <w:strike/>
          <w:color w:val="2E97D3"/>
        </w:rPr>
        <w:t>d.</w:t>
      </w:r>
      <w:r>
        <w:rPr>
          <w:strike w:val="0"/>
          <w:color w:val="2E97D3"/>
          <w:u w:val="single" w:color="2E97D3"/>
        </w:rPr>
        <w:t>4.</w:t>
        <w:tab/>
      </w:r>
      <w:r>
        <w:rPr>
          <w:strike w:val="0"/>
        </w:rPr>
        <w:t>Amount Requested - Total amount to be</w:t>
      </w:r>
      <w:r>
        <w:rPr>
          <w:strike w:val="0"/>
          <w:spacing w:val="-25"/>
        </w:rPr>
        <w:t> </w:t>
      </w:r>
      <w:r>
        <w:rPr>
          <w:strike w:val="0"/>
        </w:rPr>
        <w:t>transferred.</w:t>
      </w:r>
    </w:p>
    <w:p>
      <w:pPr>
        <w:pStyle w:val="BodyText"/>
        <w:tabs>
          <w:tab w:pos="1406" w:val="left" w:leader="none"/>
        </w:tabs>
        <w:spacing w:before="120"/>
        <w:ind w:left="1046" w:right="683" w:hanging="360"/>
      </w:pPr>
      <w:r>
        <w:rPr>
          <w:strike/>
          <w:color w:val="2E97D3"/>
        </w:rPr>
        <w:t>e.</w:t>
      </w:r>
      <w:r>
        <w:rPr>
          <w:strike w:val="0"/>
          <w:color w:val="2E97D3"/>
          <w:u w:val="single" w:color="2E97D3"/>
        </w:rPr>
        <w:t>5.</w:t>
        <w:tab/>
      </w:r>
      <w:r>
        <w:rPr>
          <w:strike w:val="0"/>
        </w:rPr>
        <w:t>Cumulative Authorization - Total (net) amount transferred to date</w:t>
      </w:r>
      <w:r>
        <w:rPr>
          <w:strike w:val="0"/>
          <w:spacing w:val="-34"/>
        </w:rPr>
        <w:t> </w:t>
      </w:r>
      <w:r>
        <w:rPr>
          <w:strike w:val="0"/>
        </w:rPr>
        <w:t>including</w:t>
      </w:r>
      <w:r>
        <w:rPr>
          <w:strike w:val="0"/>
          <w:spacing w:val="-5"/>
        </w:rPr>
        <w:t> </w:t>
      </w:r>
      <w:r>
        <w:rPr>
          <w:strike w:val="0"/>
        </w:rPr>
        <w:t>this request.</w:t>
      </w:r>
    </w:p>
    <w:p>
      <w:pPr>
        <w:pStyle w:val="BodyText"/>
        <w:tabs>
          <w:tab w:pos="2702" w:val="left" w:leader="none"/>
        </w:tabs>
        <w:spacing w:line="345" w:lineRule="auto" w:before="120"/>
        <w:ind w:left="686" w:right="883"/>
      </w:pPr>
      <w:r>
        <w:rPr>
          <w:strike/>
          <w:color w:val="2E97D3"/>
        </w:rPr>
        <w:t>f.</w:t>
      </w:r>
      <w:r>
        <w:rPr>
          <w:strike w:val="0"/>
          <w:color w:val="2E97D3"/>
          <w:u w:val="single" w:color="2E97D3"/>
        </w:rPr>
        <w:t>6. </w:t>
      </w:r>
      <w:r>
        <w:rPr>
          <w:strike w:val="0"/>
        </w:rPr>
        <w:t>Signature/Title/Date - The signature of the client department’s project manager. (Continued)</w:t>
      </w:r>
      <w:r>
        <w:rPr>
          <w:strike w:val="0"/>
          <w:w w:val="100"/>
          <w:u w:val="single" w:color="2E97D3"/>
        </w:rPr>
        <w:t> </w:t>
      </w:r>
      <w:r>
        <w:rPr>
          <w:strike w:val="0"/>
          <w:u w:val="single" w:color="2E97D3"/>
        </w:rPr>
        <w:tab/>
      </w:r>
    </w:p>
    <w:p>
      <w:pPr>
        <w:spacing w:after="0" w:line="345" w:lineRule="auto"/>
        <w:sectPr>
          <w:pgSz w:w="12240" w:h="15840"/>
          <w:pgMar w:header="726" w:footer="792" w:top="980" w:bottom="980" w:left="480" w:right="1340"/>
        </w:sectPr>
      </w:pPr>
    </w:p>
    <w:p>
      <w:pPr>
        <w:pStyle w:val="BodyText"/>
        <w:rPr>
          <w:sz w:val="20"/>
        </w:rPr>
      </w:pPr>
    </w:p>
    <w:p>
      <w:pPr>
        <w:pStyle w:val="BodyText"/>
        <w:spacing w:before="211"/>
        <w:ind w:left="686"/>
      </w:pPr>
      <w:r>
        <w:rPr/>
        <w:t>(Continued)</w:t>
      </w:r>
    </w:p>
    <w:p>
      <w:pPr>
        <w:pStyle w:val="Heading2"/>
        <w:ind w:left="686"/>
      </w:pPr>
      <w:bookmarkStart w:name="TRANSFER OF FUNDS TO THE ARCHITECTURE" w:id="127"/>
      <w:bookmarkEnd w:id="127"/>
      <w:r>
        <w:rPr>
          <w:b w:val="0"/>
        </w:rPr>
      </w:r>
      <w:r>
        <w:rPr/>
        <w:t>TRANSFER OF FUNDS TO THE ARCHITECTURE</w:t>
      </w:r>
    </w:p>
    <w:p>
      <w:pPr>
        <w:tabs>
          <w:tab w:pos="8767" w:val="left" w:leader="none"/>
        </w:tabs>
        <w:spacing w:before="0"/>
        <w:ind w:left="686" w:right="0" w:firstLine="0"/>
        <w:jc w:val="left"/>
        <w:rPr>
          <w:sz w:val="24"/>
        </w:rPr>
      </w:pPr>
      <w:bookmarkStart w:name="REVOLVING FUND (ARF)                    " w:id="128"/>
      <w:bookmarkEnd w:id="128"/>
      <w:r>
        <w:rPr/>
      </w:r>
      <w:r>
        <w:rPr>
          <w:b/>
          <w:sz w:val="24"/>
        </w:rPr>
        <w:t>REVOLVING</w:t>
      </w:r>
      <w:r>
        <w:rPr>
          <w:b/>
          <w:spacing w:val="-2"/>
          <w:sz w:val="24"/>
        </w:rPr>
        <w:t> </w:t>
      </w:r>
      <w:r>
        <w:rPr>
          <w:b/>
          <w:sz w:val="24"/>
        </w:rPr>
        <w:t>FUND</w:t>
      </w:r>
      <w:r>
        <w:rPr>
          <w:b/>
          <w:spacing w:val="-3"/>
          <w:sz w:val="24"/>
        </w:rPr>
        <w:t> </w:t>
      </w:r>
      <w:r>
        <w:rPr>
          <w:b/>
          <w:sz w:val="24"/>
        </w:rPr>
        <w:t>(ARF)</w:t>
        <w:tab/>
        <w:t>6868 </w:t>
      </w:r>
      <w:r>
        <w:rPr>
          <w:sz w:val="24"/>
        </w:rPr>
        <w:t>(Cont.</w:t>
      </w:r>
      <w:r>
        <w:rPr>
          <w:spacing w:val="-7"/>
          <w:sz w:val="24"/>
        </w:rPr>
        <w:t> </w:t>
      </w:r>
      <w:r>
        <w:rPr>
          <w:sz w:val="24"/>
        </w:rPr>
        <w:t>4)</w:t>
      </w:r>
    </w:p>
    <w:p>
      <w:pPr>
        <w:pStyle w:val="BodyText"/>
        <w:ind w:left="686"/>
      </w:pPr>
      <w:r>
        <w:rPr/>
        <w:t>(New 5/1998)</w:t>
      </w:r>
    </w:p>
    <w:p>
      <w:pPr>
        <w:pStyle w:val="BodyText"/>
        <w:spacing w:before="10"/>
        <w:rPr>
          <w:sz w:val="20"/>
        </w:rPr>
      </w:pPr>
    </w:p>
    <w:p>
      <w:pPr>
        <w:pStyle w:val="BodyText"/>
        <w:tabs>
          <w:tab w:pos="1406" w:val="left" w:leader="none"/>
        </w:tabs>
        <w:ind w:left="1046" w:right="636" w:hanging="360"/>
      </w:pPr>
      <w:r>
        <w:rPr>
          <w:strike/>
          <w:color w:val="2E97D3"/>
        </w:rPr>
        <w:t>g.</w:t>
      </w:r>
      <w:r>
        <w:rPr>
          <w:strike w:val="0"/>
          <w:color w:val="2E97D3"/>
          <w:u w:val="single" w:color="2E97D3"/>
        </w:rPr>
        <w:t>7.</w:t>
        <w:tab/>
      </w:r>
      <w:r>
        <w:rPr>
          <w:strike w:val="0"/>
        </w:rPr>
        <w:t>Amount to be Transferred - Dollar amount to be transferred.  This</w:t>
      </w:r>
      <w:r>
        <w:rPr>
          <w:strike w:val="0"/>
          <w:spacing w:val="-37"/>
        </w:rPr>
        <w:t> </w:t>
      </w:r>
      <w:r>
        <w:rPr>
          <w:strike w:val="0"/>
        </w:rPr>
        <w:t>amount</w:t>
      </w:r>
      <w:r>
        <w:rPr>
          <w:strike w:val="0"/>
          <w:spacing w:val="-5"/>
        </w:rPr>
        <w:t> </w:t>
      </w:r>
      <w:r>
        <w:rPr>
          <w:strike w:val="0"/>
        </w:rPr>
        <w:t>must</w:t>
      </w:r>
      <w:r>
        <w:rPr>
          <w:strike w:val="0"/>
          <w:spacing w:val="-3"/>
          <w:w w:val="100"/>
        </w:rPr>
        <w:t> </w:t>
      </w:r>
      <w:r>
        <w:rPr>
          <w:strike w:val="0"/>
        </w:rPr>
        <w:t>match the request in the Description of Project and the Amount Requested</w:t>
      </w:r>
      <w:r>
        <w:rPr>
          <w:strike w:val="0"/>
          <w:spacing w:val="-38"/>
        </w:rPr>
        <w:t> </w:t>
      </w:r>
      <w:r>
        <w:rPr>
          <w:strike w:val="0"/>
        </w:rPr>
        <w:t>fields.</w:t>
      </w:r>
    </w:p>
    <w:p>
      <w:pPr>
        <w:pStyle w:val="BodyText"/>
        <w:tabs>
          <w:tab w:pos="1406" w:val="left" w:leader="none"/>
        </w:tabs>
        <w:spacing w:before="119"/>
        <w:ind w:left="1046" w:right="672" w:hanging="360"/>
      </w:pPr>
      <w:r>
        <w:rPr>
          <w:strike/>
          <w:color w:val="2E97D3"/>
        </w:rPr>
        <w:t>h.</w:t>
      </w:r>
      <w:r>
        <w:rPr>
          <w:strike w:val="0"/>
          <w:color w:val="2E97D3"/>
          <w:u w:val="single" w:color="2E97D3"/>
        </w:rPr>
        <w:t>8.</w:t>
        <w:tab/>
      </w:r>
      <w:r>
        <w:rPr>
          <w:strike w:val="0"/>
        </w:rPr>
        <w:t>PMIA Loan No.  - Loan Number of the loan from the Pooled</w:t>
      </w:r>
      <w:r>
        <w:rPr>
          <w:strike w:val="0"/>
          <w:spacing w:val="-28"/>
        </w:rPr>
        <w:t> </w:t>
      </w:r>
      <w:r>
        <w:rPr>
          <w:strike w:val="0"/>
        </w:rPr>
        <w:t>Money</w:t>
      </w:r>
      <w:r>
        <w:rPr>
          <w:strike w:val="0"/>
          <w:spacing w:val="-5"/>
        </w:rPr>
        <w:t> </w:t>
      </w:r>
      <w:r>
        <w:rPr>
          <w:strike w:val="0"/>
        </w:rPr>
        <w:t>Investment</w:t>
      </w:r>
      <w:r>
        <w:rPr>
          <w:strike w:val="0"/>
          <w:w w:val="100"/>
        </w:rPr>
        <w:t> </w:t>
      </w:r>
      <w:r>
        <w:rPr>
          <w:strike w:val="0"/>
        </w:rPr>
        <w:t>Account prior to bond</w:t>
      </w:r>
      <w:r>
        <w:rPr>
          <w:strike w:val="0"/>
          <w:spacing w:val="-13"/>
        </w:rPr>
        <w:t> </w:t>
      </w:r>
      <w:r>
        <w:rPr>
          <w:strike w:val="0"/>
        </w:rPr>
        <w:t>sale.</w:t>
      </w:r>
    </w:p>
    <w:p>
      <w:pPr>
        <w:pStyle w:val="BodyText"/>
        <w:tabs>
          <w:tab w:pos="1406" w:val="left" w:leader="none"/>
        </w:tabs>
        <w:spacing w:line="390" w:lineRule="atLeast" w:before="5"/>
        <w:ind w:left="1046" w:right="509" w:hanging="360"/>
      </w:pPr>
      <w:r>
        <w:rPr/>
        <w:pict>
          <v:line style="position:absolute;mso-position-horizontal-relative:page;mso-position-vertical-relative:paragraph;z-index:-439648" from="193.800003pt,14.387029pt" to="197.040003pt,14.387029pt" stroked="true" strokeweight=".6pt" strokecolor="#2e97d3">
            <v:stroke dashstyle="solid"/>
            <w10:wrap type="none"/>
          </v:line>
        </w:pict>
      </w:r>
      <w:r>
        <w:rPr/>
        <w:pict>
          <v:line style="position:absolute;mso-position-horizontal-relative:page;mso-position-vertical-relative:paragraph;z-index:-439624" from="238.559998pt,34.187027pt" to="241.919998pt,34.187027pt" stroked="true" strokeweight=".6pt" strokecolor="#2e97d3">
            <v:stroke dashstyle="solid"/>
            <w10:wrap type="none"/>
          </v:line>
        </w:pict>
      </w:r>
      <w:r>
        <w:rPr/>
        <w:pict>
          <v:line style="position:absolute;mso-position-horizontal-relative:page;mso-position-vertical-relative:paragraph;z-index:33064" from="29.4pt,6.167029pt" to="29.4pt,85.367029pt" stroked="true" strokeweight=".72pt" strokecolor="#000000">
            <v:stroke dashstyle="solid"/>
            <w10:wrap type="none"/>
          </v:line>
        </w:pict>
      </w:r>
      <w:r>
        <w:rPr>
          <w:strike/>
          <w:color w:val="2E97D3"/>
        </w:rPr>
        <w:t>i.</w:t>
      </w:r>
      <w:r>
        <w:rPr>
          <w:strike w:val="0"/>
          <w:color w:val="2E97D3"/>
          <w:u w:val="single" w:color="2E97D3"/>
        </w:rPr>
        <w:t>9. </w:t>
      </w:r>
      <w:r>
        <w:rPr>
          <w:strike w:val="0"/>
        </w:rPr>
        <w:t>Agency Certification -  The signature of the client department’s Accounting Officer. </w:t>
      </w:r>
      <w:r>
        <w:rPr>
          <w:strike/>
          <w:color w:val="2E97D3"/>
        </w:rPr>
        <w:t>j.</w:t>
        <w:tab/>
      </w:r>
      <w:r>
        <w:rPr>
          <w:strike w:val="0"/>
        </w:rPr>
        <w:t>Authorized Signature/Date  - The signature of the client department’s Director</w:t>
      </w:r>
      <w:r>
        <w:rPr>
          <w:strike w:val="0"/>
          <w:spacing w:val="-37"/>
        </w:rPr>
        <w:t> </w:t>
      </w:r>
      <w:r>
        <w:rPr>
          <w:strike w:val="0"/>
        </w:rPr>
        <w:t>or</w:t>
      </w:r>
    </w:p>
    <w:p>
      <w:pPr>
        <w:pStyle w:val="BodyText"/>
        <w:ind w:left="1406"/>
      </w:pPr>
      <w:r>
        <w:rPr/>
        <w:t>designee.</w:t>
      </w:r>
    </w:p>
    <w:p>
      <w:pPr>
        <w:spacing w:after="0"/>
        <w:sectPr>
          <w:footerReference w:type="default" r:id="rId340"/>
          <w:pgSz w:w="12240" w:h="15840"/>
          <w:pgMar w:footer="792" w:header="726" w:top="980" w:bottom="980" w:left="480" w:right="1340"/>
        </w:sectPr>
      </w:pPr>
    </w:p>
    <w:p>
      <w:pPr>
        <w:tabs>
          <w:tab w:pos="9784" w:val="left" w:leader="none"/>
        </w:tabs>
        <w:spacing w:line="275" w:lineRule="exact" w:before="31"/>
        <w:ind w:left="686" w:right="0" w:firstLine="0"/>
        <w:jc w:val="left"/>
        <w:rPr>
          <w:b/>
          <w:sz w:val="24"/>
        </w:rPr>
      </w:pPr>
      <w:r>
        <w:rPr/>
        <w:pict>
          <v:line style="position:absolute;mso-position-horizontal-relative:page;mso-position-vertical-relative:paragraph;z-index:33184" from="29.4pt,15.446859pt" to="29.4pt,62.845859pt" stroked="true" strokeweight=".72pt" strokecolor="#000000">
            <v:stroke dashstyle="solid"/>
            <w10:wrap type="none"/>
          </v:line>
        </w:pict>
      </w:r>
      <w:bookmarkStart w:name="CAPITALIZED ASSETS FINANCING  6870" w:id="129"/>
      <w:bookmarkEnd w:id="129"/>
      <w:r>
        <w:rPr/>
      </w:r>
      <w:r>
        <w:rPr>
          <w:b/>
          <w:sz w:val="24"/>
        </w:rPr>
        <w:t>CAPITALIZED</w:t>
      </w:r>
      <w:r>
        <w:rPr>
          <w:b/>
          <w:spacing w:val="-3"/>
          <w:sz w:val="24"/>
        </w:rPr>
        <w:t> </w:t>
      </w:r>
      <w:r>
        <w:rPr>
          <w:b/>
          <w:sz w:val="24"/>
        </w:rPr>
        <w:t>ASSETS</w:t>
      </w:r>
      <w:r>
        <w:rPr>
          <w:b/>
          <w:spacing w:val="-6"/>
          <w:sz w:val="24"/>
        </w:rPr>
        <w:t> </w:t>
      </w:r>
      <w:r>
        <w:rPr>
          <w:b/>
          <w:sz w:val="24"/>
        </w:rPr>
        <w:t>FINANCING</w:t>
        <w:tab/>
        <w:t>6870</w:t>
      </w:r>
    </w:p>
    <w:p>
      <w:pPr>
        <w:pStyle w:val="BodyText"/>
        <w:spacing w:line="275" w:lineRule="exact"/>
        <w:ind w:left="686"/>
      </w:pPr>
      <w:r>
        <w:rPr/>
        <w:t>(</w:t>
      </w:r>
      <w:r>
        <w:rPr>
          <w:strike/>
          <w:color w:val="2E97D3"/>
        </w:rPr>
        <w:t>New 5/1998</w:t>
      </w:r>
      <w:r>
        <w:rPr>
          <w:strike w:val="0"/>
          <w:color w:val="2E97D3"/>
          <w:u w:val="single" w:color="2E97D3"/>
        </w:rPr>
        <w:t>Revised 09/2017</w:t>
      </w:r>
      <w:r>
        <w:rPr>
          <w:strike w:val="0"/>
        </w:rPr>
        <w:t>)</w:t>
      </w:r>
    </w:p>
    <w:p>
      <w:pPr>
        <w:spacing w:before="120"/>
        <w:ind w:left="686" w:right="242" w:firstLine="0"/>
        <w:jc w:val="left"/>
        <w:rPr>
          <w:sz w:val="24"/>
        </w:rPr>
      </w:pPr>
      <w:r>
        <w:rPr/>
        <w:pict>
          <v:line style="position:absolute;mso-position-horizontal-relative:page;mso-position-vertical-relative:paragraph;z-index:-439576" from="225.839996pt,74.375877pt" to="229.799996pt,74.375877pt" stroked="true" strokeweight="1.2pt" strokecolor="#2e97d3">
            <v:stroke dashstyle="solid"/>
            <w10:wrap type="none"/>
          </v:line>
        </w:pict>
      </w:r>
      <w:r>
        <w:rPr/>
        <w:pict>
          <v:line style="position:absolute;mso-position-horizontal-relative:page;mso-position-vertical-relative:paragraph;z-index:-439552" from="413.76001pt,74.375877pt" to="417.72001pt,74.375877pt" stroked="true" strokeweight="1.2pt" strokecolor="#2e97d3">
            <v:stroke dashstyle="solid"/>
            <w10:wrap type="none"/>
          </v:line>
        </w:pict>
      </w:r>
      <w:r>
        <w:rPr/>
        <w:pict>
          <v:line style="position:absolute;mso-position-horizontal-relative:page;mso-position-vertical-relative:paragraph;z-index:33208" from="29.4pt,61.415878pt" to="29.4pt,75.215878pt" stroked="true" strokeweight=".72pt" strokecolor="#000000">
            <v:stroke dashstyle="solid"/>
            <w10:wrap type="none"/>
          </v:line>
        </w:pict>
      </w:r>
      <w:r>
        <w:rPr>
          <w:sz w:val="24"/>
        </w:rPr>
        <w:t>This portion of the Capitalized Assets chapter addresses the methods </w:t>
      </w:r>
      <w:r>
        <w:rPr>
          <w:strike/>
          <w:color w:val="2E97D3"/>
          <w:sz w:val="24"/>
        </w:rPr>
        <w:t>used by most state departments for</w:t>
      </w:r>
      <w:r>
        <w:rPr>
          <w:strike w:val="0"/>
          <w:color w:val="2E97D3"/>
          <w:sz w:val="24"/>
          <w:u w:val="single" w:color="2E97D3"/>
        </w:rPr>
        <w:t>to secure </w:t>
      </w:r>
      <w:r>
        <w:rPr>
          <w:strike w:val="0"/>
          <w:sz w:val="24"/>
        </w:rPr>
        <w:t>long-term financing </w:t>
      </w:r>
      <w:r>
        <w:rPr>
          <w:strike/>
          <w:color w:val="2E97D3"/>
          <w:sz w:val="24"/>
        </w:rPr>
        <w:t>of</w:t>
      </w:r>
      <w:r>
        <w:rPr>
          <w:strike w:val="0"/>
          <w:color w:val="2E97D3"/>
          <w:sz w:val="24"/>
          <w:u w:val="single" w:color="2E97D3"/>
        </w:rPr>
        <w:t>for </w:t>
      </w:r>
      <w:r>
        <w:rPr>
          <w:strike w:val="0"/>
          <w:sz w:val="24"/>
        </w:rPr>
        <w:t>the ownership and/or use of infrastructure. In addition, this chapter addresses interim (short-term) financing needs for projects. </w:t>
      </w:r>
      <w:r>
        <w:rPr>
          <w:b/>
          <w:i/>
          <w:strike w:val="0"/>
          <w:sz w:val="24"/>
        </w:rPr>
        <w:t>Please note that nothing in this chapter is intended to commit either the </w:t>
      </w:r>
      <w:r>
        <w:rPr>
          <w:b/>
          <w:i/>
          <w:strike w:val="0"/>
          <w:color w:val="2E97D3"/>
          <w:sz w:val="24"/>
          <w:u w:val="thick" w:color="2E97D3"/>
        </w:rPr>
        <w:t>State Treasurer’s Office (</w:t>
      </w:r>
      <w:r>
        <w:rPr>
          <w:b/>
          <w:i/>
          <w:strike w:val="0"/>
          <w:sz w:val="24"/>
        </w:rPr>
        <w:t>STO</w:t>
      </w:r>
      <w:r>
        <w:rPr>
          <w:b/>
          <w:i/>
          <w:strike w:val="0"/>
          <w:color w:val="2E97D3"/>
          <w:sz w:val="24"/>
        </w:rPr>
        <w:t>) </w:t>
      </w:r>
      <w:r>
        <w:rPr>
          <w:b/>
          <w:i/>
          <w:strike w:val="0"/>
          <w:sz w:val="24"/>
        </w:rPr>
        <w:t>or </w:t>
      </w:r>
      <w:r>
        <w:rPr>
          <w:b/>
          <w:i/>
          <w:strike w:val="0"/>
          <w:color w:val="2E97D3"/>
          <w:sz w:val="24"/>
          <w:u w:val="thick" w:color="2E97D3"/>
        </w:rPr>
        <w:t>the State Public Works (</w:t>
      </w:r>
      <w:r>
        <w:rPr>
          <w:b/>
          <w:i/>
          <w:strike w:val="0"/>
          <w:sz w:val="24"/>
        </w:rPr>
        <w:t>PWB</w:t>
      </w:r>
      <w:r>
        <w:rPr>
          <w:b/>
          <w:i/>
          <w:strike w:val="0"/>
          <w:color w:val="2E97D3"/>
          <w:sz w:val="24"/>
        </w:rPr>
        <w:t>) </w:t>
      </w:r>
      <w:r>
        <w:rPr>
          <w:b/>
          <w:i/>
          <w:strike w:val="0"/>
          <w:sz w:val="24"/>
        </w:rPr>
        <w:t>to policies or practices</w:t>
      </w:r>
      <w:r>
        <w:rPr>
          <w:strike w:val="0"/>
          <w:sz w:val="24"/>
        </w:rPr>
        <w:t>.</w:t>
      </w:r>
    </w:p>
    <w:p>
      <w:pPr>
        <w:pStyle w:val="BodyText"/>
        <w:spacing w:before="119"/>
        <w:ind w:left="686" w:right="443"/>
      </w:pPr>
      <w:r>
        <w:rPr/>
        <w:pict>
          <v:line style="position:absolute;mso-position-horizontal-relative:page;mso-position-vertical-relative:paragraph;z-index:33232" from="29.4pt,19.966829pt" to="29.4pt,531.765829pt" stroked="true" strokeweight=".72pt" strokecolor="#000000">
            <v:stroke dashstyle="solid"/>
            <w10:wrap type="none"/>
          </v:line>
        </w:pict>
      </w:r>
      <w:r>
        <w:rPr/>
        <w:t>Capitalized assets may be paid by direct appropriation—sometimes called “pay-as-you- go”—or financed over multiple years. Long-term financing </w:t>
      </w:r>
      <w:r>
        <w:rPr>
          <w:color w:val="2E97D3"/>
          <w:u w:val="single" w:color="2E97D3"/>
        </w:rPr>
        <w:t>generally </w:t>
      </w:r>
      <w:r>
        <w:rPr/>
        <w:t>follows one of </w:t>
      </w:r>
      <w:r>
        <w:rPr>
          <w:strike/>
          <w:color w:val="2E97D3"/>
        </w:rPr>
        <w:t>five</w:t>
      </w:r>
      <w:r>
        <w:rPr>
          <w:strike w:val="0"/>
          <w:color w:val="2E97D3"/>
          <w:u w:val="single" w:color="2E97D3"/>
        </w:rPr>
        <w:t>three </w:t>
      </w:r>
      <w:r>
        <w:rPr>
          <w:strike w:val="0"/>
        </w:rPr>
        <w:t>paths:</w:t>
      </w:r>
    </w:p>
    <w:p>
      <w:pPr>
        <w:pStyle w:val="ListParagraph"/>
        <w:numPr>
          <w:ilvl w:val="0"/>
          <w:numId w:val="128"/>
        </w:numPr>
        <w:tabs>
          <w:tab w:pos="1047" w:val="left" w:leader="none"/>
        </w:tabs>
        <w:spacing w:line="240" w:lineRule="auto" w:before="119" w:after="0"/>
        <w:ind w:left="1046" w:right="187" w:hanging="360"/>
        <w:jc w:val="left"/>
        <w:rPr>
          <w:sz w:val="24"/>
        </w:rPr>
      </w:pPr>
      <w:r>
        <w:rPr/>
        <w:pict>
          <v:line style="position:absolute;mso-position-horizontal-relative:page;mso-position-vertical-relative:paragraph;z-index:-439528" from="205.800003pt,60.345367pt" to="209.160003pt,60.345367pt" stroked="true" strokeweight=".841pt" strokecolor="#2e97d3">
            <v:stroke dashstyle="solid"/>
            <w10:wrap type="none"/>
          </v:line>
        </w:pict>
      </w:r>
      <w:r>
        <w:rPr>
          <w:sz w:val="24"/>
        </w:rPr>
        <w:t>If the </w:t>
      </w:r>
      <w:r>
        <w:rPr>
          <w:strike/>
          <w:color w:val="2E97D3"/>
          <w:sz w:val="24"/>
        </w:rPr>
        <w:t>client department has </w:t>
      </w:r>
      <w:r>
        <w:rPr>
          <w:strike w:val="0"/>
          <w:sz w:val="24"/>
        </w:rPr>
        <w:t>project authority </w:t>
      </w:r>
      <w:r>
        <w:rPr>
          <w:strike/>
          <w:color w:val="2E97D3"/>
          <w:sz w:val="24"/>
        </w:rPr>
        <w:t>with</w:t>
      </w:r>
      <w:r>
        <w:rPr>
          <w:strike w:val="0"/>
          <w:color w:val="2E97D3"/>
          <w:sz w:val="24"/>
          <w:u w:val="single" w:color="2E97D3"/>
        </w:rPr>
        <w:t>is </w:t>
      </w:r>
      <w:r>
        <w:rPr>
          <w:strike w:val="0"/>
          <w:sz w:val="24"/>
        </w:rPr>
        <w:t>a GO bond appropriation, the state issues GO bonds to finance the project. Debt service is paid </w:t>
      </w:r>
      <w:r>
        <w:rPr>
          <w:strike/>
          <w:color w:val="2E97D3"/>
          <w:sz w:val="24"/>
        </w:rPr>
        <w:t>automatically by</w:t>
      </w:r>
      <w:r>
        <w:rPr>
          <w:strike w:val="0"/>
          <w:color w:val="2E97D3"/>
          <w:sz w:val="24"/>
          <w:u w:val="single" w:color="2E97D3"/>
        </w:rPr>
        <w:t>through an appropriation in the applicable bond act from </w:t>
      </w:r>
      <w:r>
        <w:rPr>
          <w:strike w:val="0"/>
          <w:sz w:val="24"/>
        </w:rPr>
        <w:t>the General Fund </w:t>
      </w:r>
      <w:r>
        <w:rPr>
          <w:strike/>
          <w:color w:val="2E97D3"/>
          <w:sz w:val="24"/>
        </w:rPr>
        <w:t>without the need for an annual</w:t>
      </w:r>
      <w:r>
        <w:rPr>
          <w:strike/>
          <w:color w:val="2E97D3"/>
          <w:spacing w:val="-14"/>
          <w:sz w:val="24"/>
        </w:rPr>
        <w:t> </w:t>
      </w:r>
      <w:r>
        <w:rPr>
          <w:strike/>
          <w:color w:val="2E97D3"/>
          <w:sz w:val="24"/>
        </w:rPr>
        <w:t>appropriation.</w:t>
      </w:r>
      <w:r>
        <w:rPr>
          <w:strike w:val="0"/>
          <w:color w:val="2E97D3"/>
          <w:sz w:val="24"/>
        </w:rPr>
        <w:t>.</w:t>
      </w:r>
    </w:p>
    <w:p>
      <w:pPr>
        <w:pStyle w:val="BodyText"/>
        <w:spacing w:before="9"/>
        <w:rPr>
          <w:sz w:val="20"/>
        </w:rPr>
      </w:pPr>
    </w:p>
    <w:p>
      <w:pPr>
        <w:pStyle w:val="ListParagraph"/>
        <w:numPr>
          <w:ilvl w:val="0"/>
          <w:numId w:val="128"/>
        </w:numPr>
        <w:tabs>
          <w:tab w:pos="1047" w:val="left" w:leader="none"/>
        </w:tabs>
        <w:spacing w:line="240" w:lineRule="auto" w:before="0" w:after="0"/>
        <w:ind w:left="1046" w:right="164" w:hanging="360"/>
        <w:jc w:val="left"/>
        <w:rPr>
          <w:sz w:val="24"/>
        </w:rPr>
      </w:pPr>
      <w:r>
        <w:rPr/>
        <w:pict>
          <v:line style="position:absolute;mso-position-horizontal-relative:page;mso-position-vertical-relative:paragraph;z-index:-439504" from="295.799988pt,40.595856pt" to="299.159988pt,40.595856pt" stroked="true" strokeweight=".84pt" strokecolor="#2e97d3">
            <v:stroke dashstyle="solid"/>
            <w10:wrap type="none"/>
          </v:line>
        </w:pict>
      </w:r>
      <w:r>
        <w:rPr>
          <w:sz w:val="24"/>
        </w:rPr>
        <w:t>If the </w:t>
      </w:r>
      <w:r>
        <w:rPr>
          <w:strike/>
          <w:color w:val="2E97D3"/>
          <w:sz w:val="24"/>
        </w:rPr>
        <w:t>client department has </w:t>
      </w:r>
      <w:r>
        <w:rPr>
          <w:strike w:val="0"/>
          <w:sz w:val="24"/>
        </w:rPr>
        <w:t>project authority </w:t>
      </w:r>
      <w:r>
        <w:rPr>
          <w:strike/>
          <w:color w:val="2E97D3"/>
          <w:sz w:val="24"/>
        </w:rPr>
        <w:t>with</w:t>
      </w:r>
      <w:r>
        <w:rPr>
          <w:strike w:val="0"/>
          <w:color w:val="2E97D3"/>
          <w:sz w:val="24"/>
          <w:u w:val="single" w:color="2E97D3"/>
        </w:rPr>
        <w:t>is </w:t>
      </w:r>
      <w:r>
        <w:rPr>
          <w:strike w:val="0"/>
          <w:sz w:val="24"/>
        </w:rPr>
        <w:t>a lease-revenue appropriation, lease-revenue bonds are </w:t>
      </w:r>
      <w:r>
        <w:rPr>
          <w:strike w:val="0"/>
          <w:color w:val="2E97D3"/>
          <w:sz w:val="24"/>
          <w:u w:val="single" w:color="2E97D3"/>
        </w:rPr>
        <w:t>generally </w:t>
      </w:r>
      <w:r>
        <w:rPr>
          <w:strike w:val="0"/>
          <w:sz w:val="24"/>
        </w:rPr>
        <w:t>issued by </w:t>
      </w:r>
      <w:r>
        <w:rPr>
          <w:strike w:val="0"/>
          <w:color w:val="2E97D3"/>
          <w:sz w:val="24"/>
          <w:u w:val="single" w:color="2E97D3"/>
        </w:rPr>
        <w:t>the </w:t>
      </w:r>
      <w:r>
        <w:rPr>
          <w:strike w:val="0"/>
          <w:sz w:val="24"/>
        </w:rPr>
        <w:t>PWB </w:t>
      </w:r>
      <w:r>
        <w:rPr>
          <w:strike/>
          <w:color w:val="2E97D3"/>
          <w:sz w:val="24"/>
        </w:rPr>
        <w:t>or—in some cases—by a state- membership joint powers authority (JPA).</w:t>
      </w:r>
      <w:r>
        <w:rPr>
          <w:strike w:val="0"/>
          <w:color w:val="2E97D3"/>
          <w:sz w:val="24"/>
        </w:rPr>
        <w:t>. </w:t>
      </w:r>
      <w:r>
        <w:rPr>
          <w:strike w:val="0"/>
          <w:sz w:val="24"/>
        </w:rPr>
        <w:t>A separate lease rental payment item is included in the annual Budget Act under the </w:t>
      </w:r>
      <w:r>
        <w:rPr>
          <w:strike/>
          <w:color w:val="2E97D3"/>
          <w:sz w:val="24"/>
        </w:rPr>
        <w:t>client </w:t>
      </w:r>
      <w:r>
        <w:rPr>
          <w:strike w:val="0"/>
          <w:sz w:val="24"/>
        </w:rPr>
        <w:t>department’s </w:t>
      </w:r>
      <w:r>
        <w:rPr>
          <w:strike/>
          <w:color w:val="2E97D3"/>
          <w:sz w:val="24"/>
        </w:rPr>
        <w:t>organization code.</w:t>
      </w:r>
      <w:r>
        <w:rPr>
          <w:strike w:val="0"/>
          <w:color w:val="2E97D3"/>
          <w:sz w:val="24"/>
          <w:u w:val="single" w:color="2E97D3"/>
        </w:rPr>
        <w:t>business</w:t>
      </w:r>
      <w:r>
        <w:rPr>
          <w:strike w:val="0"/>
          <w:color w:val="2E97D3"/>
          <w:spacing w:val="-9"/>
          <w:sz w:val="24"/>
          <w:u w:val="single" w:color="2E97D3"/>
        </w:rPr>
        <w:t> </w:t>
      </w:r>
      <w:r>
        <w:rPr>
          <w:strike w:val="0"/>
          <w:color w:val="2E97D3"/>
          <w:sz w:val="24"/>
          <w:u w:val="single" w:color="2E97D3"/>
        </w:rPr>
        <w:t>unit.</w:t>
      </w:r>
    </w:p>
    <w:p>
      <w:pPr>
        <w:pStyle w:val="BodyText"/>
        <w:spacing w:before="7"/>
        <w:rPr>
          <w:sz w:val="20"/>
        </w:rPr>
      </w:pPr>
    </w:p>
    <w:p>
      <w:pPr>
        <w:pStyle w:val="ListParagraph"/>
        <w:numPr>
          <w:ilvl w:val="0"/>
          <w:numId w:val="128"/>
        </w:numPr>
        <w:tabs>
          <w:tab w:pos="1047" w:val="left" w:leader="none"/>
        </w:tabs>
        <w:spacing w:line="240" w:lineRule="auto" w:before="0" w:after="0"/>
        <w:ind w:left="1046" w:right="294" w:hanging="360"/>
        <w:jc w:val="left"/>
        <w:rPr>
          <w:color w:val="2E97D3"/>
          <w:sz w:val="24"/>
        </w:rPr>
      </w:pPr>
      <w:r>
        <w:rPr>
          <w:strike w:val="0"/>
          <w:sz w:val="24"/>
        </w:rPr>
        <w:t>When the </w:t>
      </w:r>
      <w:r>
        <w:rPr>
          <w:strike/>
          <w:color w:val="2E97D3"/>
          <w:sz w:val="24"/>
        </w:rPr>
        <w:t>client </w:t>
      </w:r>
      <w:r>
        <w:rPr>
          <w:strike w:val="0"/>
          <w:sz w:val="24"/>
        </w:rPr>
        <w:t>department has obtained authority to </w:t>
      </w:r>
      <w:r>
        <w:rPr>
          <w:i/>
          <w:strike w:val="0"/>
          <w:sz w:val="24"/>
        </w:rPr>
        <w:t>acquire </w:t>
      </w:r>
      <w:r>
        <w:rPr>
          <w:strike w:val="0"/>
          <w:sz w:val="24"/>
        </w:rPr>
        <w:t>real assets through leasing, it may execute a </w:t>
      </w:r>
      <w:r>
        <w:rPr>
          <w:strike/>
          <w:color w:val="2E97D3"/>
          <w:sz w:val="24"/>
        </w:rPr>
        <w:t>tax-exempt </w:t>
      </w:r>
      <w:r>
        <w:rPr>
          <w:strike w:val="0"/>
          <w:sz w:val="24"/>
        </w:rPr>
        <w:t>financing lease using an installment sale agreement or lease-purchase agreement. Payments </w:t>
      </w:r>
      <w:r>
        <w:rPr>
          <w:strike/>
          <w:color w:val="2E97D3"/>
          <w:sz w:val="24"/>
        </w:rPr>
        <w:t>may be budgeted as a separate appropriation or in some cases in the rent line-item of</w:t>
      </w:r>
      <w:r>
        <w:rPr>
          <w:strike w:val="0"/>
          <w:color w:val="2E97D3"/>
          <w:sz w:val="24"/>
          <w:u w:val="single" w:color="2E97D3"/>
        </w:rPr>
        <w:t>are made from </w:t>
      </w:r>
      <w:r>
        <w:rPr>
          <w:strike w:val="0"/>
          <w:sz w:val="24"/>
        </w:rPr>
        <w:t>the department’s support</w:t>
      </w:r>
      <w:r>
        <w:rPr>
          <w:strike w:val="0"/>
          <w:spacing w:val="-11"/>
          <w:sz w:val="24"/>
        </w:rPr>
        <w:t> </w:t>
      </w:r>
      <w:r>
        <w:rPr>
          <w:strike w:val="0"/>
          <w:sz w:val="24"/>
        </w:rPr>
        <w:t>appropriation.</w:t>
      </w:r>
    </w:p>
    <w:p>
      <w:pPr>
        <w:pStyle w:val="BodyText"/>
        <w:spacing w:before="9"/>
        <w:rPr>
          <w:sz w:val="20"/>
        </w:rPr>
      </w:pPr>
    </w:p>
    <w:p>
      <w:pPr>
        <w:pStyle w:val="ListParagraph"/>
        <w:numPr>
          <w:ilvl w:val="0"/>
          <w:numId w:val="128"/>
        </w:numPr>
        <w:tabs>
          <w:tab w:pos="1047" w:val="left" w:leader="none"/>
        </w:tabs>
        <w:spacing w:line="240" w:lineRule="auto" w:before="0" w:after="0"/>
        <w:ind w:left="1046" w:right="658" w:hanging="360"/>
        <w:jc w:val="left"/>
        <w:rPr>
          <w:color w:val="2E97D3"/>
          <w:sz w:val="24"/>
        </w:rPr>
      </w:pPr>
      <w:r>
        <w:rPr>
          <w:strike/>
          <w:color w:val="2E97D3"/>
          <w:sz w:val="24"/>
        </w:rPr>
        <w:t>If the client department has only </w:t>
      </w:r>
      <w:r>
        <w:rPr>
          <w:b/>
          <w:i/>
          <w:strike/>
          <w:color w:val="2E97D3"/>
          <w:sz w:val="24"/>
        </w:rPr>
        <w:t>operating lease </w:t>
      </w:r>
      <w:r>
        <w:rPr>
          <w:strike/>
          <w:color w:val="2E97D3"/>
          <w:sz w:val="24"/>
        </w:rPr>
        <w:t>authority, a vendor or other third party provides the facility and </w:t>
      </w:r>
      <w:r>
        <w:rPr>
          <w:i/>
          <w:strike/>
          <w:color w:val="2E97D3"/>
          <w:sz w:val="24"/>
        </w:rPr>
        <w:t>may </w:t>
      </w:r>
      <w:r>
        <w:rPr>
          <w:strike/>
          <w:color w:val="2E97D3"/>
          <w:sz w:val="24"/>
        </w:rPr>
        <w:t>finance it on a taxable basis using the client department’s lease as the security for a debt offering. Payments will normally be budgeted in the rent or contract line of the department’s support</w:t>
      </w:r>
      <w:r>
        <w:rPr>
          <w:strike/>
          <w:color w:val="2E97D3"/>
          <w:spacing w:val="-40"/>
          <w:sz w:val="24"/>
        </w:rPr>
        <w:t> </w:t>
      </w:r>
      <w:r>
        <w:rPr>
          <w:strike/>
          <w:color w:val="2E97D3"/>
          <w:sz w:val="24"/>
        </w:rPr>
        <w:t>appropriation.</w:t>
      </w:r>
    </w:p>
    <w:p>
      <w:pPr>
        <w:pStyle w:val="BodyText"/>
        <w:spacing w:before="9"/>
        <w:rPr>
          <w:sz w:val="20"/>
        </w:rPr>
      </w:pPr>
    </w:p>
    <w:p>
      <w:pPr>
        <w:pStyle w:val="ListParagraph"/>
        <w:numPr>
          <w:ilvl w:val="0"/>
          <w:numId w:val="128"/>
        </w:numPr>
        <w:tabs>
          <w:tab w:pos="1047" w:val="left" w:leader="none"/>
        </w:tabs>
        <w:spacing w:line="240" w:lineRule="auto" w:before="0" w:after="0"/>
        <w:ind w:left="1046" w:right="352" w:hanging="360"/>
        <w:jc w:val="left"/>
        <w:rPr>
          <w:color w:val="2E97D3"/>
          <w:sz w:val="24"/>
        </w:rPr>
      </w:pPr>
      <w:r>
        <w:rPr>
          <w:strike/>
          <w:color w:val="2E97D3"/>
          <w:sz w:val="24"/>
        </w:rPr>
        <w:t>For departments with projects which generate their own enterprise fund revenue streams, projects may be financed with tax-exempt </w:t>
      </w:r>
      <w:r>
        <w:rPr>
          <w:b/>
          <w:strike/>
          <w:color w:val="2E97D3"/>
          <w:sz w:val="24"/>
        </w:rPr>
        <w:t>enterprise revenue bonds </w:t>
      </w:r>
      <w:r>
        <w:rPr>
          <w:strike/>
          <w:color w:val="2E97D3"/>
          <w:sz w:val="24"/>
        </w:rPr>
        <w:t>(e.g., the Department of Transportation’s toll bridges and the Department of Water Resources’ State Water</w:t>
      </w:r>
      <w:r>
        <w:rPr>
          <w:strike/>
          <w:color w:val="2E97D3"/>
          <w:spacing w:val="-13"/>
          <w:sz w:val="24"/>
        </w:rPr>
        <w:t> </w:t>
      </w:r>
      <w:r>
        <w:rPr>
          <w:strike/>
          <w:color w:val="2E97D3"/>
          <w:sz w:val="24"/>
        </w:rPr>
        <w:t>Project).</w:t>
      </w:r>
    </w:p>
    <w:p>
      <w:pPr>
        <w:pStyle w:val="BodyText"/>
        <w:spacing w:before="9"/>
        <w:rPr>
          <w:sz w:val="20"/>
        </w:rPr>
      </w:pPr>
    </w:p>
    <w:p>
      <w:pPr>
        <w:pStyle w:val="BodyText"/>
        <w:ind w:left="686" w:right="101"/>
      </w:pPr>
      <w:r>
        <w:rPr>
          <w:strike/>
          <w:color w:val="2E97D3"/>
        </w:rPr>
        <w:t>Because most departments do not use enterprise revenue bonds, this type of financing is not discussed in detail in this chapter. Debt instruments other than those referenced in the preceding text may be used, but the principles will be similar. Acronyms and terminology are defined and indexed in Section 6899.</w:t>
      </w:r>
    </w:p>
    <w:p>
      <w:pPr>
        <w:spacing w:line="240" w:lineRule="auto" w:before="119"/>
        <w:ind w:left="686" w:right="0" w:firstLine="0"/>
        <w:jc w:val="left"/>
        <w:rPr>
          <w:sz w:val="24"/>
        </w:rPr>
      </w:pPr>
      <w:r>
        <w:rPr>
          <w:strike/>
          <w:color w:val="2E97D3"/>
          <w:sz w:val="24"/>
        </w:rPr>
        <w:t>For an understanding of other forms of debt financing, refer to the California Debt and Investment Advisory Commission’s </w:t>
      </w:r>
      <w:r>
        <w:rPr>
          <w:i/>
          <w:strike/>
          <w:color w:val="2E97D3"/>
          <w:sz w:val="24"/>
        </w:rPr>
        <w:t>Debt Issuance Primer. </w:t>
      </w:r>
      <w:r>
        <w:rPr>
          <w:strike/>
          <w:color w:val="2E97D3"/>
          <w:sz w:val="24"/>
        </w:rPr>
        <w:t>The Commission also offers a course entitled </w:t>
      </w:r>
      <w:r>
        <w:rPr>
          <w:i/>
          <w:strike/>
          <w:color w:val="2E97D3"/>
          <w:sz w:val="24"/>
        </w:rPr>
        <w:t>Fundamentals of Debt Financing</w:t>
      </w:r>
      <w:r>
        <w:rPr>
          <w:strike/>
          <w:color w:val="2E97D3"/>
          <w:sz w:val="24"/>
        </w:rPr>
        <w:t>.</w:t>
      </w:r>
    </w:p>
    <w:p>
      <w:pPr>
        <w:spacing w:after="0" w:line="240" w:lineRule="auto"/>
        <w:jc w:val="left"/>
        <w:rPr>
          <w:sz w:val="24"/>
        </w:rPr>
        <w:sectPr>
          <w:headerReference w:type="default" r:id="rId341"/>
          <w:footerReference w:type="default" r:id="rId342"/>
          <w:pgSz w:w="12240" w:h="15840"/>
          <w:pgMar w:header="726" w:footer="792" w:top="1960" w:bottom="980" w:left="480" w:right="1340"/>
        </w:sectPr>
      </w:pPr>
    </w:p>
    <w:p>
      <w:pPr>
        <w:pStyle w:val="BodyText"/>
        <w:spacing w:before="4"/>
        <w:rPr>
          <w:rFonts w:ascii="Times New Roman"/>
          <w:sz w:val="17"/>
        </w:rPr>
      </w:pPr>
    </w:p>
    <w:p>
      <w:pPr>
        <w:spacing w:after="0"/>
        <w:rPr>
          <w:rFonts w:ascii="Times New Roman"/>
          <w:sz w:val="17"/>
        </w:rPr>
        <w:sectPr>
          <w:footerReference w:type="default" r:id="rId343"/>
          <w:pgSz w:w="12240" w:h="15840"/>
          <w:pgMar w:footer="792" w:header="726" w:top="1960" w:bottom="980" w:left="480" w:right="1720"/>
        </w:sectPr>
      </w:pPr>
    </w:p>
    <w:p>
      <w:pPr>
        <w:pStyle w:val="BodyText"/>
        <w:rPr>
          <w:rFonts w:ascii="Times New Roman"/>
          <w:sz w:val="20"/>
        </w:rPr>
      </w:pPr>
    </w:p>
    <w:p>
      <w:pPr>
        <w:tabs>
          <w:tab w:pos="9784" w:val="left" w:leader="none"/>
        </w:tabs>
        <w:spacing w:before="211"/>
        <w:ind w:left="686" w:right="0" w:firstLine="0"/>
        <w:jc w:val="left"/>
        <w:rPr>
          <w:b/>
          <w:sz w:val="24"/>
        </w:rPr>
      </w:pPr>
      <w:r>
        <w:rPr/>
        <w:pict>
          <v:line style="position:absolute;mso-position-horizontal-relative:page;mso-position-vertical-relative:paragraph;z-index:33400" from="29.4pt,24.565882pt" to="29.4pt,85.765882pt" stroked="true" strokeweight=".72pt" strokecolor="#000000">
            <v:stroke dashstyle="solid"/>
            <w10:wrap type="none"/>
          </v:line>
        </w:pict>
      </w:r>
      <w:bookmarkStart w:name="GENERAL OBLIGATION (GO) BONDS  6871" w:id="130"/>
      <w:bookmarkEnd w:id="130"/>
      <w:r>
        <w:rPr/>
      </w:r>
      <w:r>
        <w:rPr>
          <w:b/>
          <w:sz w:val="24"/>
        </w:rPr>
        <w:t>GENERAL OBLIGATION</w:t>
      </w:r>
      <w:r>
        <w:rPr>
          <w:b/>
          <w:spacing w:val="-5"/>
          <w:sz w:val="24"/>
        </w:rPr>
        <w:t> </w:t>
      </w:r>
      <w:r>
        <w:rPr>
          <w:b/>
          <w:sz w:val="24"/>
        </w:rPr>
        <w:t>(GO)</w:t>
      </w:r>
      <w:r>
        <w:rPr>
          <w:b/>
          <w:spacing w:val="-4"/>
          <w:sz w:val="24"/>
        </w:rPr>
        <w:t> </w:t>
      </w:r>
      <w:r>
        <w:rPr>
          <w:b/>
          <w:sz w:val="24"/>
        </w:rPr>
        <w:t>BONDS</w:t>
        <w:tab/>
        <w:t>6871</w:t>
      </w:r>
    </w:p>
    <w:p>
      <w:pPr>
        <w:pStyle w:val="BodyText"/>
        <w:ind w:left="686"/>
      </w:pPr>
      <w:r>
        <w:rPr/>
        <w:t>(</w:t>
      </w:r>
      <w:r>
        <w:rPr>
          <w:strike/>
          <w:color w:val="2E97D3"/>
        </w:rPr>
        <w:t>New 5/1998</w:t>
      </w:r>
      <w:r>
        <w:rPr>
          <w:strike w:val="0"/>
          <w:color w:val="2E97D3"/>
          <w:u w:val="single" w:color="2E97D3"/>
        </w:rPr>
        <w:t>Revised 10/2017</w:t>
      </w:r>
      <w:r>
        <w:rPr>
          <w:strike w:val="0"/>
        </w:rPr>
        <w:t>)</w:t>
      </w:r>
    </w:p>
    <w:p>
      <w:pPr>
        <w:pStyle w:val="BodyText"/>
        <w:spacing w:before="120"/>
        <w:ind w:left="686"/>
      </w:pPr>
      <w:r>
        <w:rPr/>
        <w:pict>
          <v:line style="position:absolute;mso-position-horizontal-relative:page;mso-position-vertical-relative:paragraph;z-index:-439408" from="250.440002pt,18.995844pt" to="254.400002pt,18.995844pt" stroked="true" strokeweight=".84pt" strokecolor="#2e97d3">
            <v:stroke dashstyle="solid"/>
            <w10:wrap type="none"/>
          </v:line>
        </w:pict>
      </w:r>
      <w:r>
        <w:rPr/>
        <w:pict>
          <v:line style="position:absolute;mso-position-horizontal-relative:page;mso-position-vertical-relative:paragraph;z-index:-439384" from="121.080002pt,14.435844pt" to="124.441002pt,14.435844pt" stroked="true" strokeweight=".6pt" strokecolor="#2e97d3">
            <v:stroke dashstyle="solid"/>
            <w10:wrap type="none"/>
          </v:line>
        </w:pict>
      </w:r>
      <w:r>
        <w:rPr>
          <w:b/>
        </w:rPr>
        <w:t>Definition: </w:t>
      </w:r>
      <w:r>
        <w:rPr>
          <w:color w:val="2E97D3"/>
          <w:u w:val="single" w:color="2E97D3"/>
        </w:rPr>
        <w:t>General Obligation (</w:t>
      </w:r>
      <w:r>
        <w:rPr/>
        <w:t>GO</w:t>
      </w:r>
      <w:r>
        <w:rPr>
          <w:color w:val="2E97D3"/>
        </w:rPr>
        <w:t>) </w:t>
      </w:r>
      <w:r>
        <w:rPr/>
        <w:t>bonds are a form of long-term borrowing in which the state issues municipal securities and pledges its full faith and credit to their repayment.</w:t>
      </w:r>
    </w:p>
    <w:p>
      <w:pPr>
        <w:pStyle w:val="BodyText"/>
        <w:ind w:left="686" w:right="95"/>
      </w:pPr>
      <w:r>
        <w:rPr/>
        <w:pict>
          <v:line style="position:absolute;mso-position-horizontal-relative:page;mso-position-vertical-relative:paragraph;z-index:-439360" from="481.320007pt,8.435869pt" to="484.680007pt,8.435869pt" stroked="true" strokeweight=".6pt" strokecolor="#2e97d3">
            <v:stroke dashstyle="solid"/>
            <w10:wrap type="none"/>
          </v:line>
        </w:pict>
      </w:r>
      <w:r>
        <w:rPr/>
        <w:pict>
          <v:line style="position:absolute;mso-position-horizontal-relative:page;mso-position-vertical-relative:paragraph;z-index:33424" from="29.4pt,27.815868pt" to="29.4pt,102.815868pt" stroked="true" strokeweight=".72pt" strokecolor="#000000">
            <v:stroke dashstyle="solid"/>
            <w10:wrap type="none"/>
          </v:line>
        </w:pict>
      </w:r>
      <w:r>
        <w:rPr/>
        <w:t>Bonds are repaid over many years through semi-annual debt service payments. The California Constitution requires that GO bonds be approved by a majority vote of the public and sets repayment of GO debt before all other obligations of the state except those for </w:t>
      </w:r>
      <w:r>
        <w:rPr>
          <w:strike/>
          <w:color w:val="2E97D3"/>
        </w:rPr>
        <w:t>K- 14</w:t>
      </w:r>
      <w:r>
        <w:rPr>
          <w:strike w:val="0"/>
          <w:color w:val="2E97D3"/>
          <w:u w:val="single" w:color="2E97D3"/>
        </w:rPr>
        <w:t>the public school system and public institutions of higher </w:t>
      </w:r>
      <w:r>
        <w:rPr>
          <w:strike w:val="0"/>
        </w:rPr>
        <w:t>education.</w:t>
      </w:r>
    </w:p>
    <w:p>
      <w:pPr>
        <w:pStyle w:val="BodyText"/>
        <w:ind w:left="686" w:right="257"/>
        <w:jc w:val="both"/>
      </w:pPr>
      <w:r>
        <w:rPr/>
        <w:pict>
          <v:line style="position:absolute;mso-position-horizontal-relative:page;mso-position-vertical-relative:paragraph;z-index:-439336" from="203.160004pt,8.435857pt" to="206.521004pt,8.435857pt" stroked="true" strokeweight=".6pt" strokecolor="#2e97d3">
            <v:stroke dashstyle="solid"/>
            <w10:wrap type="none"/>
          </v:line>
        </w:pict>
      </w:r>
      <w:r>
        <w:rPr/>
        <w:pict>
          <v:line style="position:absolute;mso-position-horizontal-relative:page;mso-position-vertical-relative:paragraph;z-index:-439312" from="322.440002pt,8.435857pt" to="325.800002pt,8.435857pt" stroked="true" strokeweight=".6pt" strokecolor="#2e97d3">
            <v:stroke dashstyle="solid"/>
            <w10:wrap type="none"/>
          </v:line>
        </w:pict>
      </w:r>
      <w:r>
        <w:rPr>
          <w:b/>
        </w:rPr>
        <w:t>Key statutory authorities</w:t>
      </w:r>
      <w:r>
        <w:rPr/>
        <w:t>: </w:t>
      </w:r>
      <w:hyperlink r:id="rId345">
        <w:r>
          <w:rPr/>
          <w:t>Article XVI, Section 1</w:t>
        </w:r>
      </w:hyperlink>
      <w:r>
        <w:rPr>
          <w:color w:val="2E97D3"/>
        </w:rPr>
        <w:t>, </w:t>
      </w:r>
      <w:r>
        <w:rPr/>
        <w:t>of the California Constitution prohibits the Legislature from creating debt or liability </w:t>
      </w:r>
      <w:r>
        <w:rPr>
          <w:strike/>
          <w:color w:val="2E97D3"/>
        </w:rPr>
        <w:t>which exceeds</w:t>
      </w:r>
      <w:r>
        <w:rPr>
          <w:strike w:val="0"/>
          <w:color w:val="2E97D3"/>
          <w:u w:val="single" w:color="2E97D3"/>
        </w:rPr>
        <w:t>exceeding </w:t>
      </w:r>
      <w:r>
        <w:rPr>
          <w:strike w:val="0"/>
        </w:rPr>
        <w:t>$300,000 without a majority vote by the people, except in </w:t>
      </w:r>
      <w:r>
        <w:rPr>
          <w:strike w:val="0"/>
          <w:color w:val="2E97D3"/>
          <w:u w:val="single" w:color="2E97D3"/>
        </w:rPr>
        <w:t>the </w:t>
      </w:r>
      <w:r>
        <w:rPr>
          <w:strike w:val="0"/>
        </w:rPr>
        <w:t>case of war.</w:t>
      </w:r>
    </w:p>
    <w:p>
      <w:pPr>
        <w:pStyle w:val="BodyText"/>
        <w:spacing w:before="119"/>
        <w:ind w:left="686" w:right="175"/>
      </w:pPr>
      <w:r>
        <w:rPr/>
        <w:pict>
          <v:line style="position:absolute;mso-position-horizontal-relative:page;mso-position-vertical-relative:paragraph;z-index:-439288" from="196.440002pt,28.185833pt" to="199.800002pt,28.185833pt" stroked="true" strokeweight=".6pt" strokecolor="#2e97d3">
            <v:stroke dashstyle="solid"/>
            <w10:wrap type="none"/>
          </v:line>
        </w:pict>
      </w:r>
      <w:r>
        <w:rPr/>
        <w:pict>
          <v:line style="position:absolute;mso-position-horizontal-relative:page;mso-position-vertical-relative:paragraph;z-index:33448" from="29.4pt,19.964832pt" to="29.4pt,213.765832pt" stroked="true" strokeweight=".72pt" strokecolor="#000000">
            <v:stroke dashstyle="solid"/>
            <w10:wrap type="none"/>
          </v:line>
        </w:pict>
      </w:r>
      <w:r>
        <w:rPr/>
        <w:t>Government Code, Title 2, Division 4, Part 3 (Section </w:t>
      </w:r>
      <w:hyperlink r:id="rId346">
        <w:r>
          <w:rPr/>
          <w:t>16650</w:t>
        </w:r>
      </w:hyperlink>
      <w:r>
        <w:rPr/>
        <w:t> et seq.) sets out the statutory framework for GO bonds. Statutory authorization for individual GO bond measures is placed programmatically in the codes (e.g., </w:t>
      </w:r>
      <w:r>
        <w:rPr>
          <w:strike/>
          <w:color w:val="2E97D3"/>
        </w:rPr>
        <w:t>prison</w:t>
      </w:r>
      <w:r>
        <w:rPr>
          <w:strike w:val="0"/>
          <w:color w:val="2E97D3"/>
          <w:u w:val="single" w:color="2E97D3"/>
        </w:rPr>
        <w:t>water </w:t>
      </w:r>
      <w:r>
        <w:rPr>
          <w:strike w:val="0"/>
        </w:rPr>
        <w:t>authorizations are located in the </w:t>
      </w:r>
      <w:r>
        <w:rPr>
          <w:strike/>
          <w:color w:val="2E97D3"/>
        </w:rPr>
        <w:t>Penal</w:t>
      </w:r>
      <w:r>
        <w:rPr>
          <w:strike w:val="0"/>
          <w:color w:val="2E97D3"/>
          <w:u w:val="single" w:color="2E97D3"/>
        </w:rPr>
        <w:t>Water </w:t>
      </w:r>
      <w:r>
        <w:rPr>
          <w:strike w:val="0"/>
        </w:rPr>
        <w:t>Code).</w:t>
      </w:r>
    </w:p>
    <w:p>
      <w:pPr>
        <w:pStyle w:val="BodyText"/>
        <w:spacing w:before="9"/>
        <w:rPr>
          <w:sz w:val="20"/>
        </w:rPr>
      </w:pPr>
    </w:p>
    <w:p>
      <w:pPr>
        <w:spacing w:before="0"/>
        <w:ind w:left="686" w:right="0" w:firstLine="0"/>
        <w:jc w:val="left"/>
        <w:rPr>
          <w:sz w:val="24"/>
        </w:rPr>
      </w:pPr>
      <w:bookmarkStart w:name="FiscalKey highlights:" w:id="131"/>
      <w:bookmarkEnd w:id="131"/>
      <w:r>
        <w:rPr/>
      </w:r>
      <w:r>
        <w:rPr>
          <w:strike/>
          <w:color w:val="2E97D3"/>
          <w:sz w:val="24"/>
        </w:rPr>
        <w:t>Fiscal</w:t>
      </w:r>
      <w:r>
        <w:rPr>
          <w:b/>
          <w:strike w:val="0"/>
          <w:color w:val="2E97D3"/>
          <w:sz w:val="24"/>
          <w:u w:val="thick" w:color="2E97D3"/>
        </w:rPr>
        <w:t>Key </w:t>
      </w:r>
      <w:r>
        <w:rPr>
          <w:b/>
          <w:strike w:val="0"/>
          <w:sz w:val="24"/>
        </w:rPr>
        <w:t>highlights</w:t>
      </w:r>
      <w:r>
        <w:rPr>
          <w:strike w:val="0"/>
          <w:sz w:val="24"/>
        </w:rPr>
        <w:t>:</w:t>
      </w:r>
    </w:p>
    <w:p>
      <w:pPr>
        <w:spacing w:before="119"/>
        <w:ind w:left="1046" w:right="101" w:hanging="360"/>
        <w:jc w:val="left"/>
        <w:rPr>
          <w:sz w:val="24"/>
        </w:rPr>
      </w:pPr>
      <w:r>
        <w:rPr>
          <w:strike/>
          <w:color w:val="2E97D3"/>
          <w:sz w:val="24"/>
        </w:rPr>
        <w:t>1. </w:t>
      </w:r>
      <w:r>
        <w:rPr>
          <w:rFonts w:ascii="Times New Roman"/>
          <w:strike w:val="0"/>
          <w:sz w:val="20"/>
        </w:rPr>
        <w:t>GO </w:t>
      </w:r>
      <w:r>
        <w:rPr>
          <w:rFonts w:ascii="Times New Roman"/>
          <w:strike w:val="0"/>
          <w:color w:val="2E97D3"/>
          <w:sz w:val="20"/>
          <w:u w:val="single" w:color="2E97D3"/>
        </w:rPr>
        <w:t>bond </w:t>
      </w:r>
      <w:r>
        <w:rPr>
          <w:rFonts w:ascii="Times New Roman"/>
          <w:strike w:val="0"/>
          <w:sz w:val="20"/>
        </w:rPr>
        <w:t>debt is a </w:t>
      </w:r>
      <w:r>
        <w:rPr>
          <w:strike/>
          <w:color w:val="2E97D3"/>
          <w:sz w:val="24"/>
        </w:rPr>
        <w:t>key</w:t>
      </w:r>
      <w:r>
        <w:rPr>
          <w:rFonts w:ascii="Times New Roman"/>
          <w:strike w:val="0"/>
          <w:color w:val="2E97D3"/>
          <w:sz w:val="20"/>
          <w:u w:val="single" w:color="2E97D3"/>
        </w:rPr>
        <w:t>major </w:t>
      </w:r>
      <w:r>
        <w:rPr>
          <w:rFonts w:ascii="Times New Roman"/>
          <w:strike w:val="0"/>
          <w:sz w:val="20"/>
        </w:rPr>
        <w:t>component </w:t>
      </w:r>
      <w:r>
        <w:rPr>
          <w:strike/>
          <w:color w:val="2E97D3"/>
          <w:sz w:val="24"/>
        </w:rPr>
        <w:t>considered in</w:t>
      </w:r>
      <w:r>
        <w:rPr>
          <w:rFonts w:ascii="Times New Roman"/>
          <w:strike w:val="0"/>
          <w:color w:val="2E97D3"/>
          <w:sz w:val="20"/>
          <w:u w:val="single" w:color="2E97D3"/>
        </w:rPr>
        <w:t>of </w:t>
      </w:r>
      <w:r>
        <w:rPr>
          <w:rFonts w:ascii="Times New Roman"/>
          <w:strike w:val="0"/>
          <w:sz w:val="20"/>
        </w:rPr>
        <w:t>the overall </w:t>
      </w:r>
      <w:r>
        <w:rPr>
          <w:rFonts w:ascii="Times New Roman"/>
          <w:strike w:val="0"/>
          <w:color w:val="2E97D3"/>
          <w:sz w:val="20"/>
          <w:u w:val="single" w:color="2E97D3"/>
        </w:rPr>
        <w:t>bond </w:t>
      </w:r>
      <w:r>
        <w:rPr>
          <w:rFonts w:ascii="Times New Roman"/>
          <w:strike w:val="0"/>
          <w:sz w:val="20"/>
        </w:rPr>
        <w:t>debt </w:t>
      </w:r>
      <w:r>
        <w:rPr>
          <w:strike/>
          <w:color w:val="2E97D3"/>
          <w:sz w:val="24"/>
        </w:rPr>
        <w:t>load</w:t>
      </w:r>
      <w:r>
        <w:rPr>
          <w:rFonts w:ascii="Times New Roman"/>
          <w:strike w:val="0"/>
          <w:color w:val="2E97D3"/>
          <w:sz w:val="20"/>
          <w:u w:val="single" w:color="2E97D3"/>
        </w:rPr>
        <w:t>burden </w:t>
      </w:r>
      <w:r>
        <w:rPr>
          <w:rFonts w:ascii="Times New Roman"/>
          <w:strike w:val="0"/>
          <w:sz w:val="20"/>
        </w:rPr>
        <w:t>of the state. The most commonly used measure of debt is annual debt service </w:t>
      </w:r>
      <w:r>
        <w:rPr>
          <w:strike/>
          <w:color w:val="2E97D3"/>
          <w:sz w:val="24"/>
        </w:rPr>
        <w:t>(for non self-liquidating bonds) </w:t>
      </w:r>
      <w:r>
        <w:rPr>
          <w:rFonts w:ascii="Times New Roman"/>
          <w:strike w:val="0"/>
          <w:sz w:val="20"/>
        </w:rPr>
        <w:t>as a percentage of General Fund revenues </w:t>
      </w:r>
      <w:r>
        <w:rPr>
          <w:strike/>
          <w:color w:val="2E97D3"/>
          <w:sz w:val="24"/>
        </w:rPr>
        <w:t>or receipts.</w:t>
      </w:r>
    </w:p>
    <w:p>
      <w:pPr>
        <w:pStyle w:val="BodyText"/>
        <w:spacing w:before="9"/>
        <w:rPr>
          <w:sz w:val="20"/>
        </w:rPr>
      </w:pPr>
    </w:p>
    <w:p>
      <w:pPr>
        <w:pStyle w:val="BodyText"/>
        <w:tabs>
          <w:tab w:pos="2126" w:val="left" w:leader="none"/>
        </w:tabs>
        <w:ind w:left="1406" w:right="168" w:hanging="360"/>
      </w:pPr>
      <w:r>
        <w:rPr>
          <w:strike/>
          <w:color w:val="2E97D3"/>
        </w:rPr>
        <w:t>2.</w:t>
      </w:r>
      <w:r>
        <w:rPr>
          <w:strike w:val="0"/>
          <w:color w:val="2E97D3"/>
          <w:u w:val="single" w:color="2E97D3"/>
        </w:rPr>
        <w:t>a.</w:t>
        <w:tab/>
      </w:r>
      <w:r>
        <w:rPr>
          <w:strike/>
          <w:color w:val="2E97D3"/>
        </w:rPr>
        <w:t>Self-liquidating GO bonds are backed by project-generated</w:t>
      </w:r>
      <w:r>
        <w:rPr>
          <w:strike/>
          <w:color w:val="2E97D3"/>
          <w:spacing w:val="-33"/>
        </w:rPr>
        <w:t> </w:t>
      </w:r>
      <w:r>
        <w:rPr>
          <w:strike/>
          <w:color w:val="2E97D3"/>
        </w:rPr>
        <w:t>revenue</w:t>
      </w:r>
      <w:r>
        <w:rPr>
          <w:strike/>
          <w:color w:val="2E97D3"/>
          <w:spacing w:val="-6"/>
        </w:rPr>
        <w:t> </w:t>
      </w:r>
      <w:r>
        <w:rPr>
          <w:strike/>
          <w:color w:val="2E97D3"/>
        </w:rPr>
        <w:t>streams</w:t>
      </w:r>
      <w:r>
        <w:rPr>
          <w:strike w:val="0"/>
          <w:color w:val="2E97D3"/>
          <w:w w:val="99"/>
        </w:rPr>
        <w:t> </w:t>
      </w:r>
      <w:r>
        <w:rPr>
          <w:strike/>
          <w:color w:val="2E97D3"/>
        </w:rPr>
        <w:t>and therefore the bond market does not include them when calculating debt</w:t>
      </w:r>
      <w:r>
        <w:rPr>
          <w:strike/>
          <w:color w:val="2E97D3"/>
          <w:spacing w:val="-39"/>
        </w:rPr>
        <w:t> </w:t>
      </w:r>
      <w:r>
        <w:rPr>
          <w:strike/>
          <w:color w:val="2E97D3"/>
        </w:rPr>
        <w:t>service ratios. An example is the veterans’ home loan program where expenditures are reimbursed through mortgage</w:t>
      </w:r>
      <w:r>
        <w:rPr>
          <w:strike/>
          <w:color w:val="2E97D3"/>
          <w:spacing w:val="-20"/>
        </w:rPr>
        <w:t> </w:t>
      </w:r>
      <w:r>
        <w:rPr>
          <w:strike/>
          <w:color w:val="2E97D3"/>
        </w:rPr>
        <w:t>payments</w:t>
      </w:r>
      <w:r>
        <w:rPr>
          <w:strike w:val="0"/>
        </w:rPr>
        <w:t>.</w:t>
      </w:r>
    </w:p>
    <w:p>
      <w:pPr>
        <w:pStyle w:val="BodyText"/>
        <w:spacing w:before="9"/>
        <w:rPr>
          <w:sz w:val="20"/>
        </w:rPr>
      </w:pPr>
    </w:p>
    <w:p>
      <w:pPr>
        <w:pStyle w:val="BodyText"/>
        <w:tabs>
          <w:tab w:pos="2126" w:val="left" w:leader="none"/>
        </w:tabs>
        <w:ind w:left="1406" w:right="154" w:hanging="360"/>
      </w:pPr>
      <w:r>
        <w:rPr/>
        <w:pict>
          <v:line style="position:absolute;mso-position-horizontal-relative:page;mso-position-vertical-relative:paragraph;z-index:33472" from="29.4pt,14.015857pt" to="29.4pt,53.615857pt" stroked="true" strokeweight=".72pt" strokecolor="#000000">
            <v:stroke dashstyle="solid"/>
            <w10:wrap type="none"/>
          </v:line>
        </w:pict>
      </w:r>
      <w:r>
        <w:rPr>
          <w:strike/>
          <w:color w:val="2E97D3"/>
        </w:rPr>
        <w:t>3.</w:t>
      </w:r>
      <w:r>
        <w:rPr>
          <w:strike w:val="0"/>
          <w:color w:val="2E97D3"/>
          <w:u w:val="single" w:color="2E97D3"/>
        </w:rPr>
        <w:t>b.</w:t>
        <w:tab/>
      </w:r>
      <w:r>
        <w:rPr>
          <w:strike w:val="0"/>
        </w:rPr>
        <w:t>There is no California statutory or constitutional limit on the absolute</w:t>
      </w:r>
      <w:r>
        <w:rPr>
          <w:strike w:val="0"/>
          <w:spacing w:val="-38"/>
        </w:rPr>
        <w:t> </w:t>
      </w:r>
      <w:r>
        <w:rPr>
          <w:strike w:val="0"/>
        </w:rPr>
        <w:t>level</w:t>
      </w:r>
      <w:r>
        <w:rPr>
          <w:strike w:val="0"/>
          <w:spacing w:val="-3"/>
        </w:rPr>
        <w:t> </w:t>
      </w:r>
      <w:r>
        <w:rPr>
          <w:strike w:val="0"/>
        </w:rPr>
        <w:t>(or</w:t>
      </w:r>
      <w:r>
        <w:rPr>
          <w:strike w:val="0"/>
          <w:w w:val="99"/>
        </w:rPr>
        <w:t> </w:t>
      </w:r>
      <w:r>
        <w:rPr>
          <w:strike w:val="0"/>
        </w:rPr>
        <w:t>any other measurement) of state debt, other than that specified in Article XVI </w:t>
      </w:r>
      <w:r>
        <w:rPr>
          <w:strike/>
          <w:color w:val="2E97D3"/>
        </w:rPr>
        <w:t>referred to in the preceding</w:t>
      </w:r>
      <w:r>
        <w:rPr>
          <w:strike/>
          <w:color w:val="2E97D3"/>
          <w:spacing w:val="-15"/>
        </w:rPr>
        <w:t> </w:t>
      </w:r>
      <w:r>
        <w:rPr>
          <w:strike/>
          <w:color w:val="2E97D3"/>
        </w:rPr>
        <w:t>text</w:t>
      </w:r>
      <w:r>
        <w:rPr>
          <w:strike w:val="0"/>
        </w:rPr>
        <w:t>.</w:t>
      </w:r>
    </w:p>
    <w:p>
      <w:pPr>
        <w:pStyle w:val="BodyText"/>
        <w:spacing w:before="9"/>
        <w:rPr>
          <w:sz w:val="20"/>
        </w:rPr>
      </w:pPr>
    </w:p>
    <w:p>
      <w:pPr>
        <w:pStyle w:val="BodyText"/>
        <w:tabs>
          <w:tab w:pos="2126" w:val="left" w:leader="none"/>
        </w:tabs>
        <w:ind w:left="1406" w:right="271" w:hanging="360"/>
      </w:pPr>
      <w:r>
        <w:rPr>
          <w:strike/>
          <w:color w:val="2E97D3"/>
        </w:rPr>
        <w:t>4.</w:t>
      </w:r>
      <w:r>
        <w:rPr>
          <w:strike w:val="0"/>
          <w:color w:val="2E97D3"/>
          <w:u w:val="single" w:color="2E97D3"/>
        </w:rPr>
        <w:t>c.</w:t>
        <w:tab/>
      </w:r>
      <w:r>
        <w:rPr>
          <w:strike w:val="0"/>
        </w:rPr>
        <w:t>GO debt repayment is continuously appropriated and therefore</w:t>
      </w:r>
      <w:r>
        <w:rPr>
          <w:strike w:val="0"/>
          <w:spacing w:val="-31"/>
        </w:rPr>
        <w:t> </w:t>
      </w:r>
      <w:r>
        <w:rPr>
          <w:strike w:val="0"/>
        </w:rPr>
        <w:t>not</w:t>
      </w:r>
      <w:r>
        <w:rPr>
          <w:strike w:val="0"/>
          <w:spacing w:val="-6"/>
        </w:rPr>
        <w:t> </w:t>
      </w:r>
      <w:r>
        <w:rPr>
          <w:strike w:val="0"/>
        </w:rPr>
        <w:t>included</w:t>
      </w:r>
      <w:r>
        <w:rPr>
          <w:strike w:val="0"/>
          <w:w w:val="99"/>
        </w:rPr>
        <w:t> </w:t>
      </w:r>
      <w:r>
        <w:rPr>
          <w:strike w:val="0"/>
        </w:rPr>
        <w:t>as a separate appropriation in the annual Budget</w:t>
      </w:r>
      <w:r>
        <w:rPr>
          <w:strike w:val="0"/>
          <w:spacing w:val="-24"/>
        </w:rPr>
        <w:t> </w:t>
      </w:r>
      <w:r>
        <w:rPr>
          <w:strike w:val="0"/>
        </w:rPr>
        <w:t>Act.</w:t>
      </w:r>
    </w:p>
    <w:p>
      <w:pPr>
        <w:pStyle w:val="BodyText"/>
        <w:spacing w:before="9"/>
        <w:rPr>
          <w:sz w:val="20"/>
        </w:rPr>
      </w:pPr>
    </w:p>
    <w:p>
      <w:pPr>
        <w:pStyle w:val="BodyText"/>
        <w:ind w:left="1046" w:hanging="360"/>
      </w:pPr>
      <w:r>
        <w:rPr/>
        <w:pict>
          <v:line style="position:absolute;mso-position-horizontal-relative:page;mso-position-vertical-relative:paragraph;z-index:33496" from="29.4pt,.215857pt" to="29.4pt,39.815857pt" stroked="true" strokeweight=".72pt" strokecolor="#000000">
            <v:stroke dashstyle="solid"/>
            <w10:wrap type="none"/>
          </v:line>
        </w:pict>
      </w:r>
      <w:r>
        <w:rPr>
          <w:strike/>
          <w:color w:val="2E97D3"/>
        </w:rPr>
        <w:t>5. GO issues have the highest credit quality in the state and therefore the lowest tax- exempt rates.</w:t>
      </w:r>
    </w:p>
    <w:p>
      <w:pPr>
        <w:pStyle w:val="BodyText"/>
        <w:spacing w:before="9"/>
        <w:rPr>
          <w:sz w:val="20"/>
        </w:rPr>
      </w:pPr>
    </w:p>
    <w:p>
      <w:pPr>
        <w:pStyle w:val="BodyText"/>
        <w:tabs>
          <w:tab w:pos="2126" w:val="left" w:leader="none"/>
        </w:tabs>
        <w:ind w:left="1046"/>
      </w:pPr>
      <w:r>
        <w:rPr>
          <w:strike/>
          <w:color w:val="2E97D3"/>
        </w:rPr>
        <w:t>6.</w:t>
      </w:r>
      <w:r>
        <w:rPr>
          <w:strike w:val="0"/>
          <w:color w:val="2E97D3"/>
          <w:u w:val="single" w:color="2E97D3"/>
        </w:rPr>
        <w:t>d.</w:t>
        <w:tab/>
      </w:r>
      <w:r>
        <w:rPr>
          <w:strike w:val="0"/>
        </w:rPr>
        <w:t>Debt service consists of both principal and interest</w:t>
      </w:r>
      <w:r>
        <w:rPr>
          <w:strike w:val="0"/>
          <w:spacing w:val="-26"/>
        </w:rPr>
        <w:t> </w:t>
      </w:r>
      <w:r>
        <w:rPr>
          <w:strike w:val="0"/>
        </w:rPr>
        <w:t>payments.</w:t>
      </w:r>
    </w:p>
    <w:p>
      <w:pPr>
        <w:pStyle w:val="BodyText"/>
        <w:spacing w:before="9"/>
        <w:rPr>
          <w:sz w:val="20"/>
        </w:rPr>
      </w:pPr>
    </w:p>
    <w:p>
      <w:pPr>
        <w:pStyle w:val="BodyText"/>
        <w:tabs>
          <w:tab w:pos="2126" w:val="left" w:leader="none"/>
        </w:tabs>
        <w:ind w:left="1406" w:right="285" w:hanging="360"/>
      </w:pPr>
      <w:r>
        <w:rPr/>
        <w:pict>
          <v:line style="position:absolute;mso-position-horizontal-relative:page;mso-position-vertical-relative:paragraph;z-index:33520" from="29.4pt,.215863pt" to="29.4pt,134.615863pt" stroked="true" strokeweight=".72pt" strokecolor="#000000">
            <v:stroke dashstyle="solid"/>
            <w10:wrap type="none"/>
          </v:line>
        </w:pict>
      </w:r>
      <w:r>
        <w:rPr>
          <w:strike/>
          <w:color w:val="2E97D3"/>
        </w:rPr>
        <w:t>7.</w:t>
      </w:r>
      <w:r>
        <w:rPr>
          <w:strike w:val="0"/>
          <w:color w:val="2E97D3"/>
          <w:u w:val="single" w:color="2E97D3"/>
        </w:rPr>
        <w:t>e.</w:t>
        <w:tab/>
      </w:r>
      <w:r>
        <w:rPr>
          <w:strike w:val="0"/>
        </w:rPr>
        <w:t>GO debt repayment </w:t>
      </w:r>
      <w:r>
        <w:rPr>
          <w:strike w:val="0"/>
          <w:color w:val="2E97D3"/>
          <w:u w:val="single" w:color="2E97D3"/>
        </w:rPr>
        <w:t>structure </w:t>
      </w:r>
      <w:r>
        <w:rPr>
          <w:strike w:val="0"/>
        </w:rPr>
        <w:t>is </w:t>
      </w:r>
      <w:r>
        <w:rPr>
          <w:strike/>
          <w:color w:val="2E97D3"/>
        </w:rPr>
        <w:t>frequently structured as</w:t>
      </w:r>
      <w:r>
        <w:rPr>
          <w:strike/>
          <w:color w:val="2E97D3"/>
          <w:spacing w:val="-30"/>
        </w:rPr>
        <w:t> </w:t>
      </w:r>
      <w:r>
        <w:rPr>
          <w:strike/>
          <w:color w:val="2E97D3"/>
        </w:rPr>
        <w:t>level</w:t>
      </w:r>
      <w:r>
        <w:rPr>
          <w:strike/>
          <w:color w:val="2E97D3"/>
          <w:spacing w:val="-4"/>
        </w:rPr>
        <w:t> </w:t>
      </w:r>
      <w:r>
        <w:rPr>
          <w:strike/>
          <w:color w:val="2E97D3"/>
        </w:rPr>
        <w:t>principal</w:t>
      </w:r>
      <w:r>
        <w:rPr>
          <w:strike w:val="0"/>
          <w:color w:val="2E97D3"/>
          <w:w w:val="99"/>
        </w:rPr>
        <w:t> </w:t>
      </w:r>
      <w:r>
        <w:rPr>
          <w:strike/>
          <w:color w:val="2E97D3"/>
        </w:rPr>
        <w:t>payments, i.e.,</w:t>
      </w:r>
      <w:r>
        <w:rPr>
          <w:strike w:val="0"/>
          <w:color w:val="2E97D3"/>
          <w:u w:val="single" w:color="2E97D3"/>
        </w:rPr>
        <w:t>determined by </w:t>
      </w:r>
      <w:r>
        <w:rPr>
          <w:strike w:val="0"/>
        </w:rPr>
        <w:t>the </w:t>
      </w:r>
      <w:r>
        <w:rPr>
          <w:strike/>
          <w:color w:val="2E97D3"/>
        </w:rPr>
        <w:t>initial payments</w:t>
      </w:r>
      <w:r>
        <w:rPr>
          <w:strike w:val="0"/>
          <w:color w:val="2E97D3"/>
          <w:u w:val="single" w:color="2E97D3"/>
        </w:rPr>
        <w:t>State Treasurer’s Office (STO) at the time bonds </w:t>
      </w:r>
      <w:r>
        <w:rPr>
          <w:strike w:val="0"/>
        </w:rPr>
        <w:t>are </w:t>
      </w:r>
      <w:r>
        <w:rPr>
          <w:strike/>
          <w:color w:val="2E97D3"/>
        </w:rPr>
        <w:t>the highest, decreasing as principal balances</w:t>
      </w:r>
      <w:r>
        <w:rPr>
          <w:strike w:val="0"/>
          <w:color w:val="2E97D3"/>
          <w:u w:val="single" w:color="2E97D3"/>
        </w:rPr>
        <w:t>sold based on a variety of factors including the taxable status of the bonds </w:t>
      </w:r>
      <w:r>
        <w:rPr>
          <w:strike w:val="0"/>
        </w:rPr>
        <w:t>and </w:t>
      </w:r>
      <w:r>
        <w:rPr>
          <w:strike/>
          <w:color w:val="2E97D3"/>
        </w:rPr>
        <w:t>therefore interest decline</w:t>
      </w:r>
      <w:r>
        <w:rPr>
          <w:strike w:val="0"/>
          <w:color w:val="2E97D3"/>
          <w:u w:val="single" w:color="2E97D3"/>
        </w:rPr>
        <w:t>bond market conditions, among</w:t>
      </w:r>
      <w:r>
        <w:rPr>
          <w:strike w:val="0"/>
          <w:color w:val="2E97D3"/>
          <w:spacing w:val="-23"/>
          <w:u w:val="single" w:color="2E97D3"/>
        </w:rPr>
        <w:t> </w:t>
      </w:r>
      <w:r>
        <w:rPr>
          <w:strike w:val="0"/>
          <w:color w:val="2E97D3"/>
          <w:u w:val="single" w:color="2E97D3"/>
        </w:rPr>
        <w:t>others</w:t>
      </w:r>
      <w:r>
        <w:rPr>
          <w:strike w:val="0"/>
        </w:rPr>
        <w:t>.</w:t>
      </w:r>
    </w:p>
    <w:p>
      <w:pPr>
        <w:pStyle w:val="BodyText"/>
        <w:spacing w:before="9"/>
        <w:rPr>
          <w:sz w:val="20"/>
        </w:rPr>
      </w:pPr>
    </w:p>
    <w:p>
      <w:pPr>
        <w:pStyle w:val="ListParagraph"/>
        <w:numPr>
          <w:ilvl w:val="0"/>
          <w:numId w:val="129"/>
        </w:numPr>
        <w:tabs>
          <w:tab w:pos="1406" w:val="left" w:leader="none"/>
          <w:tab w:pos="1407" w:val="left" w:leader="none"/>
        </w:tabs>
        <w:spacing w:line="240" w:lineRule="auto" w:before="0" w:after="0"/>
        <w:ind w:left="1406" w:right="271" w:hanging="360"/>
        <w:jc w:val="left"/>
        <w:rPr>
          <w:sz w:val="24"/>
        </w:rPr>
      </w:pPr>
      <w:r>
        <w:rPr>
          <w:color w:val="2E97D3"/>
          <w:sz w:val="24"/>
          <w:u w:val="single" w:color="2E97D3"/>
        </w:rPr>
        <w:t>The California Constitution authorizes GO bonds with up to 50-year maturities, but federal tax requirements and market practice usually dictate that bonds be issued no longer than 30 years.  In addition, certain bond acts may further limit</w:t>
      </w:r>
      <w:r>
        <w:rPr>
          <w:color w:val="2E97D3"/>
          <w:spacing w:val="-39"/>
          <w:sz w:val="24"/>
          <w:u w:val="single" w:color="2E97D3"/>
        </w:rPr>
        <w:t> </w:t>
      </w:r>
      <w:r>
        <w:rPr>
          <w:color w:val="2E97D3"/>
          <w:sz w:val="24"/>
          <w:u w:val="single" w:color="2E97D3"/>
        </w:rPr>
        <w:t>maturities.</w:t>
      </w:r>
    </w:p>
    <w:p>
      <w:pPr>
        <w:spacing w:after="0" w:line="240" w:lineRule="auto"/>
        <w:jc w:val="left"/>
        <w:rPr>
          <w:sz w:val="24"/>
        </w:rPr>
        <w:sectPr>
          <w:headerReference w:type="default" r:id="rId344"/>
          <w:pgSz w:w="12240" w:h="15840"/>
          <w:pgMar w:header="726" w:footer="792" w:top="980" w:bottom="980" w:left="480" w:right="1340"/>
        </w:sectPr>
      </w:pPr>
    </w:p>
    <w:p>
      <w:pPr>
        <w:pStyle w:val="BodyText"/>
        <w:rPr>
          <w:sz w:val="20"/>
        </w:rPr>
      </w:pPr>
    </w:p>
    <w:p>
      <w:pPr>
        <w:pStyle w:val="ListParagraph"/>
        <w:numPr>
          <w:ilvl w:val="0"/>
          <w:numId w:val="129"/>
        </w:numPr>
        <w:tabs>
          <w:tab w:pos="1407" w:val="left" w:leader="none"/>
        </w:tabs>
        <w:spacing w:line="240" w:lineRule="auto" w:before="211" w:after="0"/>
        <w:ind w:left="1406" w:right="116" w:hanging="360"/>
        <w:jc w:val="both"/>
        <w:rPr>
          <w:sz w:val="24"/>
        </w:rPr>
      </w:pPr>
      <w:r>
        <w:rPr/>
        <w:pict>
          <v:line style="position:absolute;mso-position-horizontal-relative:page;mso-position-vertical-relative:paragraph;z-index:33544" from="29.4pt,10.765882pt" to="29.4pt,89.965882pt" stroked="true" strokeweight=".72pt" strokecolor="#000000">
            <v:stroke dashstyle="solid"/>
            <w10:wrap type="none"/>
          </v:line>
        </w:pict>
      </w:r>
      <w:r>
        <w:rPr>
          <w:color w:val="2E97D3"/>
          <w:sz w:val="24"/>
          <w:u w:val="single" w:color="2E97D3"/>
        </w:rPr>
        <w:t>GO bond Finance committees, created in respective bond acts, must authorize the sale of new money and refunding bonds, as well as the use of interim financing as authorized in law (See Section</w:t>
      </w:r>
      <w:r>
        <w:rPr>
          <w:color w:val="2E97D3"/>
          <w:spacing w:val="-18"/>
          <w:sz w:val="24"/>
          <w:u w:val="single" w:color="2E97D3"/>
        </w:rPr>
        <w:t> </w:t>
      </w:r>
      <w:r>
        <w:rPr>
          <w:color w:val="2E97D3"/>
          <w:sz w:val="24"/>
          <w:u w:val="single" w:color="2E97D3"/>
        </w:rPr>
        <w:t>6878).</w:t>
      </w:r>
    </w:p>
    <w:p>
      <w:pPr>
        <w:pStyle w:val="BodyText"/>
        <w:rPr>
          <w:sz w:val="20"/>
        </w:rPr>
      </w:pPr>
    </w:p>
    <w:p>
      <w:pPr>
        <w:pStyle w:val="BodyText"/>
        <w:rPr>
          <w:sz w:val="20"/>
        </w:rPr>
      </w:pPr>
    </w:p>
    <w:p>
      <w:pPr>
        <w:pStyle w:val="BodyText"/>
        <w:spacing w:before="7"/>
        <w:rPr>
          <w:sz w:val="17"/>
        </w:rPr>
      </w:pPr>
    </w:p>
    <w:p>
      <w:pPr>
        <w:pStyle w:val="BodyText"/>
        <w:spacing w:before="93"/>
        <w:ind w:left="753"/>
      </w:pPr>
      <w:r>
        <w:rPr/>
        <w:pict>
          <v:line style="position:absolute;mso-position-horizontal-relative:page;mso-position-vertical-relative:paragraph;z-index:33568" from="29.4pt,18.665869pt" to="29.4pt,44.585869pt" stroked="true" strokeweight=".72pt" strokecolor="#000000">
            <v:stroke dashstyle="solid"/>
            <w10:wrap type="none"/>
          </v:line>
        </w:pict>
      </w:r>
      <w:r>
        <w:rPr/>
        <w:t>(Continued)</w:t>
      </w:r>
    </w:p>
    <w:p>
      <w:pPr>
        <w:spacing w:after="0"/>
        <w:sectPr>
          <w:pgSz w:w="12240" w:h="15840"/>
          <w:pgMar w:header="726" w:footer="792" w:top="980" w:bottom="980" w:left="480" w:right="1480"/>
        </w:sectPr>
      </w:pPr>
    </w:p>
    <w:p>
      <w:pPr>
        <w:pStyle w:val="BodyText"/>
        <w:rPr>
          <w:sz w:val="20"/>
        </w:rPr>
      </w:pPr>
    </w:p>
    <w:p>
      <w:pPr>
        <w:pStyle w:val="BodyText"/>
        <w:spacing w:before="214"/>
        <w:ind w:left="686"/>
      </w:pPr>
      <w:r>
        <w:rPr/>
        <w:t>(Continued)</w:t>
      </w:r>
    </w:p>
    <w:p>
      <w:pPr>
        <w:pStyle w:val="BodyText"/>
        <w:spacing w:before="10"/>
        <w:rPr>
          <w:sz w:val="20"/>
        </w:rPr>
      </w:pPr>
    </w:p>
    <w:p>
      <w:pPr>
        <w:tabs>
          <w:tab w:pos="8783" w:val="left" w:leader="none"/>
        </w:tabs>
        <w:spacing w:before="0"/>
        <w:ind w:left="686" w:right="116" w:firstLine="0"/>
        <w:jc w:val="left"/>
        <w:rPr>
          <w:sz w:val="24"/>
        </w:rPr>
      </w:pPr>
      <w:r>
        <w:rPr/>
        <w:pict>
          <v:line style="position:absolute;mso-position-horizontal-relative:page;mso-position-vertical-relative:paragraph;z-index:33592" from="29.4pt,14.015838pt" to="29.4pt,411.695838pt" stroked="true" strokeweight=".72pt" strokecolor="#000000">
            <v:stroke dashstyle="solid"/>
            <w10:wrap type="none"/>
          </v:line>
        </w:pict>
      </w:r>
      <w:bookmarkStart w:name="GENERAL OBLIGATION (GO) BONDS  6871 (Con" w:id="132"/>
      <w:bookmarkEnd w:id="132"/>
      <w:r>
        <w:rPr/>
      </w:r>
      <w:r>
        <w:rPr>
          <w:b/>
          <w:sz w:val="24"/>
        </w:rPr>
        <w:t>GENERAL OBLIGATION</w:t>
      </w:r>
      <w:r>
        <w:rPr>
          <w:b/>
          <w:spacing w:val="-5"/>
          <w:sz w:val="24"/>
        </w:rPr>
        <w:t> </w:t>
      </w:r>
      <w:r>
        <w:rPr>
          <w:b/>
          <w:sz w:val="24"/>
        </w:rPr>
        <w:t>(GO)</w:t>
      </w:r>
      <w:r>
        <w:rPr>
          <w:b/>
          <w:spacing w:val="-4"/>
          <w:sz w:val="24"/>
        </w:rPr>
        <w:t> </w:t>
      </w:r>
      <w:r>
        <w:rPr>
          <w:b/>
          <w:sz w:val="24"/>
        </w:rPr>
        <w:t>BONDS</w:t>
        <w:tab/>
        <w:t>6871</w:t>
      </w:r>
      <w:r>
        <w:rPr>
          <w:b/>
          <w:spacing w:val="-2"/>
          <w:sz w:val="24"/>
        </w:rPr>
        <w:t> </w:t>
      </w:r>
      <w:r>
        <w:rPr>
          <w:sz w:val="24"/>
        </w:rPr>
        <w:t>(Cont.</w:t>
      </w:r>
      <w:r>
        <w:rPr>
          <w:spacing w:val="-5"/>
          <w:sz w:val="24"/>
        </w:rPr>
        <w:t> </w:t>
      </w:r>
      <w:r>
        <w:rPr>
          <w:sz w:val="24"/>
        </w:rPr>
        <w:t>1)</w:t>
      </w:r>
      <w:r>
        <w:rPr>
          <w:w w:val="99"/>
          <w:sz w:val="24"/>
        </w:rPr>
        <w:t> </w:t>
      </w:r>
      <w:r>
        <w:rPr>
          <w:strike/>
          <w:color w:val="2E97D3"/>
          <w:sz w:val="24"/>
        </w:rPr>
        <w:t>(New</w:t>
      </w:r>
      <w:r>
        <w:rPr>
          <w:strike/>
          <w:color w:val="2E97D3"/>
          <w:spacing w:val="-6"/>
          <w:sz w:val="24"/>
        </w:rPr>
        <w:t> </w:t>
      </w:r>
      <w:r>
        <w:rPr>
          <w:strike/>
          <w:color w:val="2E97D3"/>
          <w:sz w:val="24"/>
        </w:rPr>
        <w:t>5/1998)</w:t>
      </w:r>
    </w:p>
    <w:p>
      <w:pPr>
        <w:pStyle w:val="BodyText"/>
        <w:spacing w:before="10"/>
        <w:rPr>
          <w:sz w:val="20"/>
        </w:rPr>
      </w:pPr>
    </w:p>
    <w:p>
      <w:pPr>
        <w:pStyle w:val="ListParagraph"/>
        <w:numPr>
          <w:ilvl w:val="0"/>
          <w:numId w:val="130"/>
        </w:numPr>
        <w:tabs>
          <w:tab w:pos="1047" w:val="left" w:leader="none"/>
        </w:tabs>
        <w:spacing w:line="240" w:lineRule="auto" w:before="0" w:after="0"/>
        <w:ind w:left="1046" w:right="209" w:hanging="360"/>
        <w:jc w:val="left"/>
        <w:rPr>
          <w:sz w:val="24"/>
        </w:rPr>
      </w:pPr>
      <w:r>
        <w:rPr>
          <w:strike/>
          <w:color w:val="2E97D3"/>
          <w:sz w:val="24"/>
        </w:rPr>
        <w:t>The California Constitution authorizes GO bonds with up to 50-year maturities, but the economics of the bond market usually dictate that bonds be issued on a 20- to 30-year basis. Some bond acts also limit the maximum maturity to 20 years. To meet cash needs before bonds are issued, GO programs may require interim financing through loans from the Pooled Money Investment Account or the General Fund, or through the issuance of tax-exempt commercial paper or other short-term negotiable instruments. See Section</w:t>
      </w:r>
      <w:r>
        <w:rPr>
          <w:strike/>
          <w:color w:val="2E97D3"/>
          <w:spacing w:val="-8"/>
          <w:sz w:val="24"/>
        </w:rPr>
        <w:t> </w:t>
      </w:r>
      <w:r>
        <w:rPr>
          <w:strike/>
          <w:color w:val="2E97D3"/>
          <w:sz w:val="24"/>
        </w:rPr>
        <w:t>6878.</w:t>
      </w:r>
    </w:p>
    <w:p>
      <w:pPr>
        <w:pStyle w:val="BodyText"/>
        <w:spacing w:before="10"/>
        <w:rPr>
          <w:sz w:val="20"/>
        </w:rPr>
      </w:pPr>
    </w:p>
    <w:p>
      <w:pPr>
        <w:pStyle w:val="ListParagraph"/>
        <w:numPr>
          <w:ilvl w:val="0"/>
          <w:numId w:val="130"/>
        </w:numPr>
        <w:tabs>
          <w:tab w:pos="1047" w:val="left" w:leader="none"/>
        </w:tabs>
        <w:spacing w:line="240" w:lineRule="auto" w:before="0" w:after="0"/>
        <w:ind w:left="1046" w:right="1078" w:hanging="360"/>
        <w:jc w:val="left"/>
        <w:rPr>
          <w:sz w:val="24"/>
        </w:rPr>
      </w:pPr>
      <w:r>
        <w:rPr>
          <w:strike/>
          <w:color w:val="2E97D3"/>
          <w:sz w:val="24"/>
        </w:rPr>
        <w:t>Various GO finance committees must approve the use of interim financing and authorize the sale of</w:t>
      </w:r>
      <w:r>
        <w:rPr>
          <w:strike/>
          <w:color w:val="2E97D3"/>
          <w:spacing w:val="-12"/>
          <w:sz w:val="24"/>
        </w:rPr>
        <w:t> </w:t>
      </w:r>
      <w:r>
        <w:rPr>
          <w:strike/>
          <w:color w:val="2E97D3"/>
          <w:sz w:val="24"/>
        </w:rPr>
        <w:t>bonds.</w:t>
      </w:r>
    </w:p>
    <w:p>
      <w:pPr>
        <w:pStyle w:val="BodyText"/>
        <w:spacing w:before="10"/>
        <w:rPr>
          <w:sz w:val="20"/>
        </w:rPr>
      </w:pPr>
    </w:p>
    <w:p>
      <w:pPr>
        <w:pStyle w:val="BodyText"/>
        <w:ind w:left="686"/>
      </w:pPr>
      <w:r>
        <w:rPr>
          <w:color w:val="2E97D3"/>
          <w:u w:val="single" w:color="2E97D3"/>
        </w:rPr>
        <w:t>(Revised 10/2017)</w:t>
      </w:r>
    </w:p>
    <w:p>
      <w:pPr>
        <w:pStyle w:val="BodyText"/>
        <w:spacing w:before="10"/>
        <w:rPr>
          <w:sz w:val="20"/>
        </w:rPr>
      </w:pPr>
    </w:p>
    <w:p>
      <w:pPr>
        <w:pStyle w:val="ListParagraph"/>
        <w:numPr>
          <w:ilvl w:val="0"/>
          <w:numId w:val="129"/>
        </w:numPr>
        <w:tabs>
          <w:tab w:pos="1407" w:val="left" w:leader="none"/>
        </w:tabs>
        <w:spacing w:line="240" w:lineRule="auto" w:before="0" w:after="0"/>
        <w:ind w:left="1406" w:right="354" w:hanging="360"/>
        <w:jc w:val="both"/>
        <w:rPr>
          <w:sz w:val="24"/>
        </w:rPr>
      </w:pPr>
      <w:r>
        <w:rPr>
          <w:color w:val="2E97D3"/>
          <w:sz w:val="24"/>
          <w:u w:val="single" w:color="2E97D3"/>
        </w:rPr>
        <w:t>Finance surveys departments semiannually to determine their projected cash flow needs for GO bond-funded</w:t>
      </w:r>
      <w:r>
        <w:rPr>
          <w:color w:val="2E97D3"/>
          <w:spacing w:val="-17"/>
          <w:sz w:val="24"/>
          <w:u w:val="single" w:color="2E97D3"/>
        </w:rPr>
        <w:t> </w:t>
      </w:r>
      <w:r>
        <w:rPr>
          <w:color w:val="2E97D3"/>
          <w:sz w:val="24"/>
          <w:u w:val="single" w:color="2E97D3"/>
        </w:rPr>
        <w:t>programs.</w:t>
      </w:r>
    </w:p>
    <w:p>
      <w:pPr>
        <w:pStyle w:val="BodyText"/>
        <w:spacing w:before="10"/>
        <w:rPr>
          <w:sz w:val="20"/>
        </w:rPr>
      </w:pPr>
    </w:p>
    <w:p>
      <w:pPr>
        <w:pStyle w:val="BodyText"/>
        <w:ind w:left="1406" w:right="438" w:hanging="360"/>
        <w:jc w:val="both"/>
      </w:pPr>
      <w:r>
        <w:rPr>
          <w:strike/>
          <w:color w:val="2E97D3"/>
        </w:rPr>
        <w:t>10.</w:t>
      </w:r>
      <w:r>
        <w:rPr>
          <w:strike w:val="0"/>
          <w:color w:val="2E97D3"/>
          <w:u w:val="single" w:color="2E97D3"/>
        </w:rPr>
        <w:t>i.      The </w:t>
      </w:r>
      <w:r>
        <w:rPr>
          <w:strike w:val="0"/>
        </w:rPr>
        <w:t>STO is the agent for sale and </w:t>
      </w:r>
      <w:r>
        <w:rPr>
          <w:strike/>
          <w:color w:val="2E97D3"/>
        </w:rPr>
        <w:t>the registrar and/or paying agent</w:t>
      </w:r>
      <w:r>
        <w:rPr>
          <w:strike w:val="0"/>
          <w:color w:val="2E97D3"/>
          <w:u w:val="single" w:color="2E97D3"/>
        </w:rPr>
        <w:t>trustee </w:t>
      </w:r>
      <w:r>
        <w:rPr>
          <w:strike w:val="0"/>
        </w:rPr>
        <w:t>for state GO bonds. </w:t>
      </w:r>
      <w:r>
        <w:rPr>
          <w:strike/>
          <w:color w:val="2E97D3"/>
        </w:rPr>
        <w:t>GO bonds are normally sold using a competitive rather than negotiated process.</w:t>
      </w:r>
    </w:p>
    <w:p>
      <w:pPr>
        <w:pStyle w:val="BodyText"/>
        <w:spacing w:before="10"/>
        <w:rPr>
          <w:sz w:val="20"/>
        </w:rPr>
      </w:pPr>
    </w:p>
    <w:p>
      <w:pPr>
        <w:pStyle w:val="ListParagraph"/>
        <w:numPr>
          <w:ilvl w:val="0"/>
          <w:numId w:val="131"/>
        </w:numPr>
        <w:tabs>
          <w:tab w:pos="1047" w:val="left" w:leader="none"/>
        </w:tabs>
        <w:spacing w:line="240" w:lineRule="auto" w:before="0" w:after="0"/>
        <w:ind w:left="1046" w:right="651" w:hanging="360"/>
        <w:jc w:val="left"/>
        <w:rPr>
          <w:sz w:val="24"/>
        </w:rPr>
      </w:pPr>
      <w:r>
        <w:rPr>
          <w:strike/>
          <w:color w:val="2E97D3"/>
          <w:sz w:val="24"/>
        </w:rPr>
        <w:t>DOF provides fund condition statements and participates in sales preparation, due diligence, rating agency presentations and continuing</w:t>
      </w:r>
      <w:r>
        <w:rPr>
          <w:strike/>
          <w:color w:val="2E97D3"/>
          <w:spacing w:val="-35"/>
          <w:sz w:val="24"/>
        </w:rPr>
        <w:t> </w:t>
      </w:r>
      <w:r>
        <w:rPr>
          <w:strike/>
          <w:color w:val="2E97D3"/>
          <w:sz w:val="24"/>
        </w:rPr>
        <w:t>disclosure.</w:t>
      </w:r>
    </w:p>
    <w:p>
      <w:pPr>
        <w:pStyle w:val="BodyText"/>
        <w:spacing w:before="10"/>
        <w:rPr>
          <w:sz w:val="20"/>
        </w:rPr>
      </w:pPr>
    </w:p>
    <w:p>
      <w:pPr>
        <w:pStyle w:val="ListParagraph"/>
        <w:numPr>
          <w:ilvl w:val="0"/>
          <w:numId w:val="131"/>
        </w:numPr>
        <w:tabs>
          <w:tab w:pos="1047" w:val="left" w:leader="none"/>
        </w:tabs>
        <w:spacing w:line="240" w:lineRule="auto" w:before="0" w:after="0"/>
        <w:ind w:left="1046" w:right="370" w:hanging="360"/>
        <w:jc w:val="left"/>
        <w:rPr>
          <w:sz w:val="24"/>
        </w:rPr>
      </w:pPr>
      <w:r>
        <w:rPr>
          <w:strike/>
          <w:color w:val="2E97D3"/>
          <w:sz w:val="24"/>
        </w:rPr>
        <w:t>Client departments are responsible for informing STO of program cash flow needs so that bond sales can be scheduled or interim financing</w:t>
      </w:r>
      <w:r>
        <w:rPr>
          <w:strike/>
          <w:color w:val="2E97D3"/>
          <w:spacing w:val="-33"/>
          <w:sz w:val="24"/>
        </w:rPr>
        <w:t> </w:t>
      </w:r>
      <w:r>
        <w:rPr>
          <w:strike/>
          <w:color w:val="2E97D3"/>
          <w:sz w:val="24"/>
        </w:rPr>
        <w:t>arranged.</w:t>
      </w:r>
    </w:p>
    <w:p>
      <w:pPr>
        <w:spacing w:after="0" w:line="240" w:lineRule="auto"/>
        <w:jc w:val="left"/>
        <w:rPr>
          <w:sz w:val="24"/>
        </w:rPr>
        <w:sectPr>
          <w:pgSz w:w="12240" w:h="15840"/>
          <w:pgMar w:header="726" w:footer="792" w:top="980" w:bottom="980" w:left="480" w:right="1320"/>
        </w:sectPr>
      </w:pPr>
    </w:p>
    <w:p>
      <w:pPr>
        <w:pStyle w:val="BodyText"/>
        <w:rPr>
          <w:sz w:val="20"/>
        </w:rPr>
      </w:pPr>
    </w:p>
    <w:p>
      <w:pPr>
        <w:pStyle w:val="Heading2"/>
        <w:tabs>
          <w:tab w:pos="9784" w:val="left" w:leader="none"/>
        </w:tabs>
        <w:spacing w:before="211"/>
        <w:ind w:left="686"/>
      </w:pPr>
      <w:r>
        <w:rPr/>
        <w:pict>
          <v:line style="position:absolute;mso-position-horizontal-relative:page;mso-position-vertical-relative:paragraph;z-index:33664" from="29.4pt,24.564882pt" to="29.4pt,182.725882pt" stroked="true" strokeweight=".72pt" strokecolor="#000000">
            <v:stroke dashstyle="solid"/>
            <w10:wrap type="none"/>
          </v:line>
        </w:pict>
      </w:r>
      <w:bookmarkStart w:name="LEASE-REVENUE BONDS  6872" w:id="133"/>
      <w:bookmarkEnd w:id="133"/>
      <w:r>
        <w:rPr>
          <w:b w:val="0"/>
        </w:rPr>
      </w:r>
      <w:r>
        <w:rPr/>
        <w:t>LEASE-REVENUE</w:t>
      </w:r>
      <w:r>
        <w:rPr>
          <w:spacing w:val="-3"/>
        </w:rPr>
        <w:t> </w:t>
      </w:r>
      <w:r>
        <w:rPr/>
        <w:t>BONDS</w:t>
        <w:tab/>
        <w:t>6872</w:t>
      </w:r>
    </w:p>
    <w:p>
      <w:pPr>
        <w:pStyle w:val="BodyText"/>
        <w:ind w:left="686"/>
      </w:pPr>
      <w:r>
        <w:rPr>
          <w:strike/>
          <w:color w:val="2E97D3"/>
        </w:rPr>
        <w:t>(New 5/1998)</w:t>
      </w:r>
    </w:p>
    <w:p>
      <w:pPr>
        <w:pStyle w:val="BodyText"/>
        <w:spacing w:before="10"/>
        <w:rPr>
          <w:sz w:val="20"/>
        </w:rPr>
      </w:pPr>
    </w:p>
    <w:p>
      <w:pPr>
        <w:pStyle w:val="BodyText"/>
        <w:ind w:left="686" w:right="406"/>
      </w:pPr>
      <w:r>
        <w:rPr>
          <w:b/>
          <w:strike/>
          <w:color w:val="2E97D3"/>
        </w:rPr>
        <w:t>Definition: </w:t>
      </w:r>
      <w:r>
        <w:rPr>
          <w:strike/>
          <w:color w:val="2E97D3"/>
        </w:rPr>
        <w:t>Revenue bonds (or enterprise revenue bonds) are a form of long-term borrowing in which the debt obligation is secured by a revenue stream produced by the project. Because revenue bonds are self-liquidating and </w:t>
      </w:r>
      <w:r>
        <w:rPr>
          <w:i/>
          <w:strike/>
          <w:color w:val="2E97D3"/>
        </w:rPr>
        <w:t>not </w:t>
      </w:r>
      <w:r>
        <w:rPr>
          <w:strike/>
          <w:color w:val="2E97D3"/>
        </w:rPr>
        <w:t>backed by the full faith and credit of the state, they may be enacted in statute and therefore do not require voter approval. .</w:t>
      </w:r>
    </w:p>
    <w:p>
      <w:pPr>
        <w:pStyle w:val="BodyText"/>
        <w:spacing w:before="196"/>
        <w:ind w:left="686"/>
      </w:pPr>
      <w:r>
        <w:rPr>
          <w:color w:val="2E97D3"/>
          <w:u w:val="single" w:color="2E97D3"/>
        </w:rPr>
        <w:t>(Revised 9/2017)</w:t>
      </w:r>
    </w:p>
    <w:p>
      <w:pPr>
        <w:pStyle w:val="BodyText"/>
        <w:spacing w:before="9"/>
        <w:rPr>
          <w:sz w:val="20"/>
        </w:rPr>
      </w:pPr>
    </w:p>
    <w:p>
      <w:pPr>
        <w:pStyle w:val="BodyText"/>
        <w:spacing w:before="1"/>
        <w:ind w:left="686" w:right="202"/>
      </w:pPr>
      <w:r>
        <w:rPr/>
        <w:pict>
          <v:line style="position:absolute;mso-position-horizontal-relative:page;mso-position-vertical-relative:paragraph;z-index:-439048" from="103.080002pt,22.285835pt" to="106.441002pt,22.285835pt" stroked="true" strokeweight=".6pt" strokecolor="#2e97d3">
            <v:stroke dashstyle="solid"/>
            <w10:wrap type="none"/>
          </v:line>
        </w:pict>
      </w:r>
      <w:r>
        <w:rPr/>
        <w:pict>
          <v:line style="position:absolute;mso-position-horizontal-relative:page;mso-position-vertical-relative:paragraph;z-index:-439024" from="363.119995pt,49.885834pt" to="366.479995pt,49.885834pt" stroked="true" strokeweight=".6pt" strokecolor="#2e97d3">
            <v:stroke dashstyle="solid"/>
            <w10:wrap type="none"/>
          </v:line>
        </w:pict>
      </w:r>
      <w:r>
        <w:rPr/>
        <w:pict>
          <v:line style="position:absolute;mso-position-horizontal-relative:page;mso-position-vertical-relative:paragraph;z-index:33688" from="29.4pt,41.665836pt" to="29.4pt,264.625836pt" stroked="true" strokeweight=".72pt" strokecolor="#000000">
            <v:stroke dashstyle="solid"/>
            <w10:wrap type="none"/>
          </v:line>
        </w:pict>
      </w:r>
      <w:r>
        <w:rPr/>
        <w:t>Lease-revenue bonds are </w:t>
      </w:r>
      <w:r>
        <w:rPr>
          <w:strike/>
          <w:color w:val="2E97D3"/>
        </w:rPr>
        <w:t>a variant of revenue bonds </w:t>
      </w:r>
      <w:r>
        <w:rPr>
          <w:strike w:val="0"/>
        </w:rPr>
        <w:t>used in the state’s capital outlay program</w:t>
      </w:r>
      <w:r>
        <w:rPr>
          <w:strike w:val="0"/>
          <w:color w:val="2E97D3"/>
        </w:rPr>
        <w:t>. </w:t>
      </w:r>
      <w:r>
        <w:rPr>
          <w:strike w:val="0"/>
          <w:color w:val="2E97D3"/>
          <w:u w:val="single" w:color="2E97D3"/>
        </w:rPr>
        <w:t>to finance projects. </w:t>
      </w:r>
      <w:r>
        <w:rPr>
          <w:strike w:val="0"/>
        </w:rPr>
        <w:t>The revenue stream </w:t>
      </w:r>
      <w:r>
        <w:rPr>
          <w:strike/>
          <w:color w:val="2E97D3"/>
        </w:rPr>
        <w:t>backing</w:t>
      </w:r>
      <w:r>
        <w:rPr>
          <w:strike w:val="0"/>
          <w:color w:val="2E97D3"/>
          <w:u w:val="single" w:color="2E97D3"/>
        </w:rPr>
        <w:t>paying the debt service on </w:t>
      </w:r>
      <w:r>
        <w:rPr>
          <w:strike w:val="0"/>
        </w:rPr>
        <w:t>the bond is created from lease payments made by the occupying department to the governmental financing entity which constructs the facility</w:t>
      </w:r>
      <w:r>
        <w:rPr>
          <w:strike w:val="0"/>
          <w:color w:val="2E97D3"/>
        </w:rPr>
        <w:t>. </w:t>
      </w:r>
      <w:r>
        <w:rPr>
          <w:strike w:val="0"/>
          <w:color w:val="2E97D3"/>
          <w:u w:val="single" w:color="2E97D3"/>
        </w:rPr>
        <w:t>or causes it to be constructed. </w:t>
      </w:r>
      <w:r>
        <w:rPr>
          <w:strike w:val="0"/>
        </w:rPr>
        <w:t>Generally, this entity is </w:t>
      </w:r>
      <w:r>
        <w:rPr>
          <w:strike/>
          <w:color w:val="2E97D3"/>
        </w:rPr>
        <w:t>PWB or occasionally a joint powers authority (JPA) of which </w:t>
      </w:r>
      <w:r>
        <w:rPr>
          <w:strike w:val="0"/>
        </w:rPr>
        <w:t>the </w:t>
      </w:r>
      <w:r>
        <w:rPr>
          <w:strike/>
          <w:color w:val="2E97D3"/>
        </w:rPr>
        <w:t>state is a member.</w:t>
      </w:r>
      <w:r>
        <w:rPr>
          <w:strike w:val="0"/>
          <w:color w:val="2E97D3"/>
          <w:u w:val="single" w:color="2E97D3"/>
        </w:rPr>
        <w:t>State Public Works Board (PWB). </w:t>
      </w:r>
      <w:r>
        <w:rPr>
          <w:strike w:val="0"/>
        </w:rPr>
        <w:t>The </w:t>
      </w:r>
      <w:r>
        <w:rPr>
          <w:strike w:val="0"/>
          <w:color w:val="2E97D3"/>
          <w:u w:val="single" w:color="2E97D3"/>
        </w:rPr>
        <w:t>governmental </w:t>
      </w:r>
      <w:r>
        <w:rPr>
          <w:strike w:val="0"/>
        </w:rPr>
        <w:t>financing </w:t>
      </w:r>
      <w:r>
        <w:rPr>
          <w:strike/>
          <w:color w:val="2E97D3"/>
        </w:rPr>
        <w:t>authority</w:t>
      </w:r>
      <w:r>
        <w:rPr>
          <w:strike w:val="0"/>
          <w:color w:val="2E97D3"/>
          <w:u w:val="single" w:color="2E97D3"/>
        </w:rPr>
        <w:t>entity </w:t>
      </w:r>
      <w:r>
        <w:rPr>
          <w:strike w:val="0"/>
        </w:rPr>
        <w:t>constructs the facility, issues </w:t>
      </w:r>
      <w:r>
        <w:rPr>
          <w:strike/>
          <w:color w:val="2E97D3"/>
        </w:rPr>
        <w:t>financing </w:t>
      </w:r>
      <w:r>
        <w:rPr>
          <w:strike w:val="0"/>
        </w:rPr>
        <w:t>bonds, and retains title to the facility until the debt is retired</w:t>
      </w:r>
      <w:r>
        <w:rPr>
          <w:strike w:val="0"/>
          <w:color w:val="2E97D3"/>
          <w:u w:val="single" w:color="2E97D3"/>
        </w:rPr>
        <w:t>.  PWB’s lease-revenue program is described in Section 6873</w:t>
      </w:r>
      <w:r>
        <w:rPr>
          <w:strike w:val="0"/>
        </w:rPr>
        <w:t>.</w:t>
      </w:r>
    </w:p>
    <w:p>
      <w:pPr>
        <w:pStyle w:val="BodyText"/>
        <w:spacing w:before="199"/>
        <w:ind w:left="686" w:right="111"/>
      </w:pPr>
      <w:r>
        <w:rPr>
          <w:strike/>
          <w:color w:val="2E97D3"/>
        </w:rPr>
        <w:t>Lease-revenue bonds do not require voter approval because the transaction is set up to mirror a typical </w:t>
      </w:r>
      <w:r>
        <w:rPr>
          <w:i/>
          <w:strike/>
          <w:color w:val="2E97D3"/>
        </w:rPr>
        <w:t>financing lease </w:t>
      </w:r>
      <w:r>
        <w:rPr>
          <w:strike/>
          <w:color w:val="2E97D3"/>
        </w:rPr>
        <w:t>(discussed in Section 6876), i.e., lease payments are due on a year-to-year basis and required only if the facility can be occupied. The California Supreme Court has reviewed and determined that the lease-revenue financing mechanism does not create constitutional debt. The court’s decision framework is referred to as the </w:t>
      </w:r>
      <w:r>
        <w:rPr>
          <w:i/>
          <w:strike/>
          <w:color w:val="2E97D3"/>
        </w:rPr>
        <w:t>Offner-Dean rule.</w:t>
      </w:r>
      <w:r>
        <w:rPr>
          <w:strike w:val="0"/>
          <w:color w:val="2E97D3"/>
          <w:u w:val="single" w:color="2E97D3"/>
        </w:rPr>
        <w:t>Pursuant to the California Constitution, public agencies cannot enter into an indebtedness or liability without voter approval. However, under the Offner-Dean lease exception rule, long-term lease revenue bonds entered into by public agencies are not considered an indebtedness or liability under the debt limit if the lease meets certain criteria.</w:t>
      </w:r>
    </w:p>
    <w:p>
      <w:pPr>
        <w:spacing w:line="240" w:lineRule="auto" w:before="119"/>
        <w:ind w:left="686" w:right="101" w:firstLine="0"/>
        <w:jc w:val="left"/>
        <w:rPr>
          <w:sz w:val="24"/>
        </w:rPr>
      </w:pPr>
      <w:r>
        <w:rPr/>
        <w:pict>
          <v:line style="position:absolute;mso-position-horizontal-relative:page;mso-position-vertical-relative:paragraph;z-index:33712" from="29.4pt,19.965849pt" to="29.4pt,33.765849pt" stroked="true" strokeweight=".72pt" strokecolor="#000000">
            <v:stroke dashstyle="solid"/>
            <w10:wrap type="none"/>
          </v:line>
        </w:pict>
      </w:r>
      <w:r>
        <w:rPr>
          <w:sz w:val="24"/>
        </w:rPr>
        <w:t>Nonetheless, bond rating agencies include lease-revenue payment obligations when calculating the state’s bonded indebtedness </w:t>
      </w:r>
      <w:r>
        <w:rPr>
          <w:strike/>
          <w:color w:val="2E97D3"/>
          <w:sz w:val="24"/>
        </w:rPr>
        <w:t>burden</w:t>
      </w:r>
      <w:r>
        <w:rPr>
          <w:strike w:val="0"/>
          <w:sz w:val="24"/>
        </w:rPr>
        <w:t>. Thus, there is a distinction between the concept of </w:t>
      </w:r>
      <w:r>
        <w:rPr>
          <w:i/>
          <w:strike w:val="0"/>
          <w:sz w:val="24"/>
        </w:rPr>
        <w:t>California constitutional debt </w:t>
      </w:r>
      <w:r>
        <w:rPr>
          <w:strike w:val="0"/>
          <w:sz w:val="24"/>
        </w:rPr>
        <w:t>and </w:t>
      </w:r>
      <w:r>
        <w:rPr>
          <w:i/>
          <w:strike w:val="0"/>
          <w:sz w:val="24"/>
        </w:rPr>
        <w:t>debt as defined by the municipal bond </w:t>
      </w:r>
      <w:r>
        <w:rPr>
          <w:i/>
          <w:strike w:val="0"/>
          <w:sz w:val="24"/>
        </w:rPr>
        <w:t>market</w:t>
      </w:r>
      <w:r>
        <w:rPr>
          <w:strike w:val="0"/>
          <w:sz w:val="24"/>
        </w:rPr>
        <w:t>.</w:t>
      </w:r>
    </w:p>
    <w:p>
      <w:pPr>
        <w:pStyle w:val="BodyText"/>
        <w:spacing w:before="121"/>
        <w:ind w:left="686" w:right="510"/>
        <w:jc w:val="both"/>
        <w:rPr>
          <w:b/>
        </w:rPr>
      </w:pPr>
      <w:r>
        <w:rPr/>
        <w:pict>
          <v:line style="position:absolute;mso-position-horizontal-relative:page;mso-position-vertical-relative:paragraph;z-index:33736" from="29.4pt,6.265852pt" to="29.4pt,95.065852pt" stroked="true" strokeweight=".72pt" strokecolor="#000000">
            <v:stroke dashstyle="solid"/>
            <w10:wrap type="none"/>
          </v:line>
        </w:pict>
      </w:r>
      <w:r>
        <w:rPr>
          <w:strike/>
          <w:color w:val="2E97D3"/>
        </w:rPr>
        <w:t>PWB’s lease-revenue program is described in Section 6873. Lease-revenue programs for state capital outlay can also be implemented through JPAs, as described in Section 6874.</w:t>
      </w:r>
      <w:r>
        <w:rPr>
          <w:strike/>
          <w:color w:val="2E97D3"/>
          <w:spacing w:val="64"/>
        </w:rPr>
        <w:t> </w:t>
      </w:r>
      <w:r>
        <w:rPr>
          <w:b/>
          <w:strike w:val="0"/>
          <w:color w:val="2E97D3"/>
          <w:u w:val="thick" w:color="2E97D3"/>
        </w:rPr>
        <w:t>Key</w:t>
      </w:r>
    </w:p>
    <w:p>
      <w:pPr>
        <w:pStyle w:val="Heading2"/>
        <w:ind w:left="686"/>
        <w:rPr>
          <w:b w:val="0"/>
        </w:rPr>
      </w:pPr>
      <w:r>
        <w:rPr>
          <w:strike/>
          <w:color w:val="2C6234"/>
        </w:rPr>
        <w:t>Fiscal </w:t>
      </w:r>
      <w:r>
        <w:rPr>
          <w:strike w:val="0"/>
        </w:rPr>
        <w:t>highlights</w:t>
      </w:r>
      <w:r>
        <w:rPr>
          <w:b w:val="0"/>
          <w:strike w:val="0"/>
        </w:rPr>
        <w:t>:</w:t>
      </w:r>
    </w:p>
    <w:p>
      <w:pPr>
        <w:pStyle w:val="BodyText"/>
        <w:tabs>
          <w:tab w:pos="1406" w:val="left" w:leader="none"/>
        </w:tabs>
        <w:spacing w:before="120"/>
        <w:ind w:left="1046" w:right="323" w:hanging="360"/>
      </w:pPr>
      <w:r>
        <w:rPr>
          <w:strike/>
          <w:color w:val="2E97D3"/>
        </w:rPr>
        <w:t>1.</w:t>
      </w:r>
      <w:r>
        <w:rPr>
          <w:strike w:val="0"/>
          <w:color w:val="2E97D3"/>
          <w:u w:val="single" w:color="2E97D3"/>
        </w:rPr>
        <w:t>5.</w:t>
        <w:tab/>
      </w:r>
      <w:r>
        <w:rPr>
          <w:strike w:val="0"/>
        </w:rPr>
        <w:t>In contrast to GO bonds, annual appropriations are necessary for</w:t>
      </w:r>
      <w:r>
        <w:rPr>
          <w:strike w:val="0"/>
          <w:spacing w:val="-34"/>
        </w:rPr>
        <w:t> </w:t>
      </w:r>
      <w:r>
        <w:rPr>
          <w:strike w:val="0"/>
          <w:color w:val="2E97D3"/>
          <w:u w:val="single" w:color="2E97D3"/>
        </w:rPr>
        <w:t>rental</w:t>
      </w:r>
      <w:r>
        <w:rPr>
          <w:strike w:val="0"/>
          <w:color w:val="2E97D3"/>
          <w:spacing w:val="-4"/>
          <w:u w:val="single" w:color="2E97D3"/>
        </w:rPr>
        <w:t> </w:t>
      </w:r>
      <w:r>
        <w:rPr>
          <w:strike w:val="0"/>
          <w:color w:val="2E97D3"/>
          <w:u w:val="single" w:color="2E97D3"/>
        </w:rPr>
        <w:t>payments</w:t>
      </w:r>
      <w:r>
        <w:rPr>
          <w:strike w:val="0"/>
          <w:color w:val="2E97D3"/>
          <w:w w:val="100"/>
        </w:rPr>
        <w:t> </w:t>
      </w:r>
      <w:r>
        <w:rPr>
          <w:strike w:val="0"/>
          <w:color w:val="2E97D3"/>
          <w:u w:val="single" w:color="2E97D3"/>
        </w:rPr>
        <w:t>that support </w:t>
      </w:r>
      <w:r>
        <w:rPr>
          <w:strike w:val="0"/>
        </w:rPr>
        <w:t>lease-revenue debt service. However, the obligation to pay is </w:t>
      </w:r>
      <w:r>
        <w:rPr>
          <w:i/>
          <w:strike w:val="0"/>
        </w:rPr>
        <w:t>not </w:t>
      </w:r>
      <w:r>
        <w:rPr>
          <w:strike w:val="0"/>
        </w:rPr>
        <w:t>extinguished if appropriations are not</w:t>
      </w:r>
      <w:r>
        <w:rPr>
          <w:strike w:val="0"/>
          <w:spacing w:val="-26"/>
        </w:rPr>
        <w:t> </w:t>
      </w:r>
      <w:r>
        <w:rPr>
          <w:strike w:val="0"/>
        </w:rPr>
        <w:t>provided.</w:t>
      </w:r>
    </w:p>
    <w:p>
      <w:pPr>
        <w:pStyle w:val="BodyText"/>
        <w:spacing w:before="9"/>
        <w:rPr>
          <w:sz w:val="20"/>
        </w:rPr>
      </w:pPr>
    </w:p>
    <w:p>
      <w:pPr>
        <w:pStyle w:val="BodyText"/>
        <w:tabs>
          <w:tab w:pos="1406" w:val="left" w:leader="none"/>
        </w:tabs>
        <w:ind w:left="1046" w:right="212" w:hanging="360"/>
      </w:pPr>
      <w:r>
        <w:rPr/>
        <w:pict>
          <v:line style="position:absolute;mso-position-horizontal-relative:page;mso-position-vertical-relative:paragraph;z-index:33760" from="29.4pt,14.015862pt" to="29.4pt,53.615862pt" stroked="true" strokeweight=".72pt" strokecolor="#000000">
            <v:stroke dashstyle="solid"/>
            <w10:wrap type="none"/>
          </v:line>
        </w:pict>
      </w:r>
      <w:r>
        <w:rPr>
          <w:strike/>
          <w:color w:val="2E97D3"/>
        </w:rPr>
        <w:t>2.</w:t>
      </w:r>
      <w:r>
        <w:rPr>
          <w:strike w:val="0"/>
          <w:color w:val="2E97D3"/>
          <w:u w:val="single" w:color="2E97D3"/>
        </w:rPr>
        <w:t>6.</w:t>
        <w:tab/>
      </w:r>
      <w:r>
        <w:rPr>
          <w:strike w:val="0"/>
        </w:rPr>
        <w:t>Government Code Section </w:t>
      </w:r>
      <w:hyperlink r:id="rId213">
        <w:r>
          <w:rPr>
            <w:strike w:val="0"/>
          </w:rPr>
          <w:t>15848</w:t>
        </w:r>
      </w:hyperlink>
      <w:r>
        <w:rPr>
          <w:strike w:val="0"/>
        </w:rPr>
        <w:t> provides for debt service payment in the</w:t>
      </w:r>
      <w:r>
        <w:rPr>
          <w:strike w:val="0"/>
          <w:spacing w:val="-40"/>
        </w:rPr>
        <w:t> </w:t>
      </w:r>
      <w:r>
        <w:rPr>
          <w:strike w:val="0"/>
        </w:rPr>
        <w:t>event</w:t>
      </w:r>
      <w:r>
        <w:rPr>
          <w:strike w:val="0"/>
          <w:spacing w:val="-6"/>
        </w:rPr>
        <w:t> </w:t>
      </w:r>
      <w:r>
        <w:rPr>
          <w:strike w:val="0"/>
        </w:rPr>
        <w:t>of</w:t>
      </w:r>
      <w:r>
        <w:rPr>
          <w:strike w:val="0"/>
          <w:w w:val="100"/>
        </w:rPr>
        <w:t> </w:t>
      </w:r>
      <w:r>
        <w:rPr>
          <w:strike w:val="0"/>
        </w:rPr>
        <w:t>no budget </w:t>
      </w:r>
      <w:r>
        <w:rPr>
          <w:strike w:val="0"/>
          <w:color w:val="2E97D3"/>
          <w:u w:val="single" w:color="2E97D3"/>
        </w:rPr>
        <w:t>and in certain situations when there is a budget that failed to include an appropriation for debt</w:t>
      </w:r>
      <w:r>
        <w:rPr>
          <w:strike w:val="0"/>
          <w:color w:val="2E97D3"/>
          <w:spacing w:val="-20"/>
          <w:u w:val="single" w:color="2E97D3"/>
        </w:rPr>
        <w:t> </w:t>
      </w:r>
      <w:r>
        <w:rPr>
          <w:strike w:val="0"/>
          <w:color w:val="2E97D3"/>
          <w:u w:val="single" w:color="2E97D3"/>
        </w:rPr>
        <w:t>service</w:t>
      </w:r>
      <w:r>
        <w:rPr>
          <w:strike w:val="0"/>
        </w:rPr>
        <w:t>.</w:t>
      </w:r>
    </w:p>
    <w:p>
      <w:pPr>
        <w:spacing w:after="0"/>
        <w:sectPr>
          <w:pgSz w:w="12240" w:h="15840"/>
          <w:pgMar w:header="726" w:footer="792" w:top="980" w:bottom="980" w:left="480" w:right="1340"/>
        </w:sectPr>
      </w:pPr>
    </w:p>
    <w:p>
      <w:pPr>
        <w:pStyle w:val="BodyText"/>
        <w:rPr>
          <w:sz w:val="20"/>
        </w:rPr>
      </w:pPr>
    </w:p>
    <w:p>
      <w:pPr>
        <w:pStyle w:val="BodyText"/>
        <w:tabs>
          <w:tab w:pos="1406" w:val="left" w:leader="none"/>
        </w:tabs>
        <w:spacing w:line="276" w:lineRule="auto" w:before="214"/>
        <w:ind w:left="686" w:right="107"/>
      </w:pPr>
      <w:r>
        <w:rPr/>
        <w:pict>
          <v:line style="position:absolute;mso-position-horizontal-relative:page;mso-position-vertical-relative:paragraph;z-index:-438880" from="468.480011pt,23.695887pt" to="471.841011pt,23.695887pt" stroked="true" strokeweight=".84pt" strokecolor="#2e97d3">
            <v:stroke dashstyle="solid"/>
            <w10:wrap type="none"/>
          </v:line>
        </w:pict>
      </w:r>
      <w:r>
        <w:rPr/>
        <w:pict>
          <v:line style="position:absolute;mso-position-horizontal-relative:page;mso-position-vertical-relative:paragraph;z-index:33808" from="29.4pt,10.795886pt" to="29.4pt,26.635886pt" stroked="true" strokeweight=".72pt" strokecolor="#000000">
            <v:stroke dashstyle="solid"/>
            <w10:wrap type="none"/>
          </v:line>
        </w:pict>
      </w:r>
      <w:r>
        <w:rPr>
          <w:strike/>
          <w:color w:val="2E97D3"/>
        </w:rPr>
        <w:t>3.</w:t>
      </w:r>
      <w:r>
        <w:rPr>
          <w:strike w:val="0"/>
          <w:color w:val="2E97D3"/>
        </w:rPr>
        <w:tab/>
      </w:r>
      <w:r>
        <w:rPr>
          <w:strike/>
          <w:color w:val="2E97D3"/>
        </w:rPr>
        <w:t>Lease</w:t>
      </w:r>
      <w:r>
        <w:rPr>
          <w:strike w:val="0"/>
          <w:color w:val="2E97D3"/>
          <w:u w:val="single" w:color="2E97D3"/>
        </w:rPr>
        <w:t>Generally, lease</w:t>
      </w:r>
      <w:r>
        <w:rPr>
          <w:strike w:val="0"/>
        </w:rPr>
        <w:t>-revenue bonds pay interest at tax-exempt rates</w:t>
      </w:r>
      <w:r>
        <w:rPr>
          <w:strike w:val="0"/>
          <w:color w:val="2E97D3"/>
        </w:rPr>
        <w:t>,</w:t>
      </w:r>
      <w:r>
        <w:rPr>
          <w:strike w:val="0"/>
          <w:color w:val="2E97D3"/>
          <w:spacing w:val="-39"/>
        </w:rPr>
        <w:t> </w:t>
      </w:r>
      <w:r>
        <w:rPr>
          <w:strike w:val="0"/>
        </w:rPr>
        <w:t>which</w:t>
      </w:r>
      <w:r>
        <w:rPr>
          <w:strike w:val="0"/>
          <w:spacing w:val="-4"/>
        </w:rPr>
        <w:t> </w:t>
      </w:r>
      <w:r>
        <w:rPr>
          <w:strike w:val="0"/>
        </w:rPr>
        <w:t>are</w:t>
      </w:r>
      <w:r>
        <w:rPr>
          <w:strike w:val="0"/>
          <w:w w:val="99"/>
        </w:rPr>
        <w:t> </w:t>
      </w:r>
      <w:r>
        <w:rPr>
          <w:strike w:val="0"/>
        </w:rPr>
        <w:t>slightly higher than tax-exempt rates for GO</w:t>
      </w:r>
      <w:r>
        <w:rPr>
          <w:strike w:val="0"/>
          <w:spacing w:val="-23"/>
        </w:rPr>
        <w:t> </w:t>
      </w:r>
      <w:r>
        <w:rPr>
          <w:strike w:val="0"/>
        </w:rPr>
        <w:t>bonds.</w:t>
      </w:r>
    </w:p>
    <w:p>
      <w:pPr>
        <w:pStyle w:val="BodyText"/>
        <w:spacing w:before="199"/>
        <w:ind w:left="686"/>
      </w:pPr>
      <w:r>
        <w:rPr/>
        <w:pict>
          <v:line style="position:absolute;mso-position-horizontal-relative:page;mso-position-vertical-relative:paragraph;z-index:33832" from="29.4pt,10.165872pt" to="29.4pt,43.765872pt" stroked="true" strokeweight=".72pt" strokecolor="#000000">
            <v:stroke dashstyle="solid"/>
            <w10:wrap type="none"/>
          </v:line>
        </w:pict>
      </w:r>
      <w:r>
        <w:rPr>
          <w:strike/>
          <w:color w:val="2C6234"/>
        </w:rPr>
        <w:t>(Continued)</w:t>
      </w:r>
    </w:p>
    <w:p>
      <w:pPr>
        <w:spacing w:after="0"/>
        <w:sectPr>
          <w:pgSz w:w="12240" w:h="15840"/>
          <w:pgMar w:header="726" w:footer="792" w:top="980" w:bottom="980" w:left="480" w:right="1600"/>
        </w:sectPr>
      </w:pPr>
    </w:p>
    <w:p>
      <w:pPr>
        <w:pStyle w:val="BodyText"/>
        <w:rPr>
          <w:sz w:val="20"/>
        </w:rPr>
      </w:pPr>
    </w:p>
    <w:p>
      <w:pPr>
        <w:pStyle w:val="BodyText"/>
        <w:spacing w:before="211"/>
        <w:ind w:left="686"/>
      </w:pPr>
      <w:r>
        <w:rPr/>
        <w:pict>
          <v:line style="position:absolute;mso-position-horizontal-relative:page;mso-position-vertical-relative:paragraph;z-index:33880" from="29.4pt,10.765882pt" to="29.4pt,172.765882pt" stroked="true" strokeweight=".72pt" strokecolor="#000000">
            <v:stroke dashstyle="solid"/>
            <w10:wrap type="none"/>
          </v:line>
        </w:pict>
      </w:r>
      <w:bookmarkStart w:name="(Continued)" w:id="134"/>
      <w:bookmarkEnd w:id="134"/>
      <w:r>
        <w:rPr/>
      </w:r>
      <w:r>
        <w:rPr>
          <w:strike/>
          <w:color w:val="2C6234"/>
        </w:rPr>
        <w:t>(Continued)</w:t>
      </w:r>
    </w:p>
    <w:p>
      <w:pPr>
        <w:tabs>
          <w:tab w:pos="8851" w:val="left" w:leader="none"/>
        </w:tabs>
        <w:spacing w:before="0"/>
        <w:ind w:left="686" w:right="0" w:firstLine="0"/>
        <w:jc w:val="left"/>
        <w:rPr>
          <w:sz w:val="24"/>
        </w:rPr>
      </w:pPr>
      <w:r>
        <w:rPr/>
        <w:pict>
          <v:group style="position:absolute;margin-left:58.02pt;margin-top:7.536333pt;width:482.3pt;height:1.8pt;mso-position-horizontal-relative:page;mso-position-vertical-relative:paragraph;z-index:-438808" coordorigin="1160,151" coordsize="9646,36">
            <v:line style="position:absolute" from="1166,181" to="10800,181" stroked="true" strokeweight=".6pt" strokecolor="#2c6234">
              <v:stroke dashstyle="solid"/>
            </v:line>
            <v:line style="position:absolute" from="1166,157" to="10800,157" stroked="true" strokeweight=".599pt" strokecolor="#2c6234">
              <v:stroke dashstyle="solid"/>
            </v:line>
            <w10:wrap type="none"/>
          </v:group>
        </w:pict>
      </w:r>
      <w:bookmarkStart w:name="LEASE-REVENUE BONDS  6872 (Cont.1)" w:id="135"/>
      <w:bookmarkEnd w:id="135"/>
      <w:r>
        <w:rPr/>
      </w:r>
      <w:r>
        <w:rPr>
          <w:b/>
          <w:color w:val="2C6234"/>
          <w:sz w:val="24"/>
        </w:rPr>
        <w:t>LEASE-REVENUE</w:t>
      </w:r>
      <w:r>
        <w:rPr>
          <w:b/>
          <w:color w:val="2C6234"/>
          <w:spacing w:val="-3"/>
          <w:sz w:val="24"/>
        </w:rPr>
        <w:t> </w:t>
      </w:r>
      <w:r>
        <w:rPr>
          <w:b/>
          <w:color w:val="2C6234"/>
          <w:sz w:val="24"/>
        </w:rPr>
        <w:t>BONDS</w:t>
        <w:tab/>
        <w:t>6872</w:t>
      </w:r>
      <w:r>
        <w:rPr>
          <w:b/>
          <w:color w:val="2C6234"/>
          <w:spacing w:val="-6"/>
          <w:sz w:val="24"/>
        </w:rPr>
        <w:t> </w:t>
      </w:r>
      <w:r>
        <w:rPr>
          <w:color w:val="2C6234"/>
          <w:sz w:val="24"/>
        </w:rPr>
        <w:t>(Cont.1)</w:t>
      </w:r>
    </w:p>
    <w:p>
      <w:pPr>
        <w:pStyle w:val="BodyText"/>
        <w:ind w:left="686"/>
      </w:pPr>
      <w:r>
        <w:rPr>
          <w:strike/>
          <w:color w:val="2E97D3"/>
        </w:rPr>
        <w:t>(New 5/1998)</w:t>
      </w:r>
    </w:p>
    <w:p>
      <w:pPr>
        <w:pStyle w:val="BodyText"/>
        <w:spacing w:before="9"/>
        <w:rPr>
          <w:sz w:val="20"/>
        </w:rPr>
      </w:pPr>
    </w:p>
    <w:p>
      <w:pPr>
        <w:pStyle w:val="BodyText"/>
        <w:ind w:left="1046" w:right="274" w:hanging="360"/>
      </w:pPr>
      <w:r>
        <w:rPr>
          <w:color w:val="2E97D3"/>
          <w:u w:val="single" w:color="2E97D3"/>
        </w:rPr>
        <w:t>7. </w:t>
      </w:r>
      <w:r>
        <w:rPr/>
        <w:t>Lease-revenue payments are due </w:t>
      </w:r>
      <w:r>
        <w:rPr>
          <w:strike/>
          <w:color w:val="2E97D3"/>
        </w:rPr>
        <w:t>only </w:t>
      </w:r>
      <w:r>
        <w:rPr>
          <w:strike w:val="0"/>
        </w:rPr>
        <w:t>if there is “beneficial use and occupancy</w:t>
      </w:r>
      <w:r>
        <w:rPr>
          <w:strike/>
          <w:color w:val="2E97D3"/>
        </w:rPr>
        <w:t>.”</w:t>
      </w:r>
      <w:r>
        <w:rPr>
          <w:strike w:val="0"/>
          <w:color w:val="2E97D3"/>
          <w:u w:val="single" w:color="2E97D3"/>
        </w:rPr>
        <w:t>” of the facility. </w:t>
      </w:r>
      <w:r>
        <w:rPr>
          <w:strike w:val="0"/>
        </w:rPr>
        <w:t>If </w:t>
      </w:r>
      <w:r>
        <w:rPr>
          <w:strike w:val="0"/>
          <w:color w:val="2E97D3"/>
          <w:u w:val="single" w:color="2E97D3"/>
        </w:rPr>
        <w:t>all or part of </w:t>
      </w:r>
      <w:r>
        <w:rPr>
          <w:strike w:val="0"/>
        </w:rPr>
        <w:t>the facility cannot be occupied, </w:t>
      </w:r>
      <w:r>
        <w:rPr>
          <w:strike/>
          <w:color w:val="2E97D3"/>
        </w:rPr>
        <w:t>no lease payment is due (i.e., abatement is a required element of the underlying lease). Because payments would still</w:t>
      </w:r>
      <w:r>
        <w:rPr>
          <w:strike w:val="0"/>
          <w:color w:val="2E97D3"/>
          <w:u w:val="single" w:color="2E97D3"/>
        </w:rPr>
        <w:t>the rent will </w:t>
      </w:r>
      <w:r>
        <w:rPr>
          <w:strike w:val="0"/>
        </w:rPr>
        <w:t>be </w:t>
      </w:r>
      <w:r>
        <w:rPr>
          <w:strike/>
          <w:color w:val="2E97D3"/>
        </w:rPr>
        <w:t>owed</w:t>
      </w:r>
      <w:r>
        <w:rPr>
          <w:strike w:val="0"/>
          <w:color w:val="2E97D3"/>
          <w:u w:val="single" w:color="2E97D3"/>
        </w:rPr>
        <w:t>abated proportionate </w:t>
      </w:r>
      <w:r>
        <w:rPr>
          <w:strike w:val="0"/>
        </w:rPr>
        <w:t>to </w:t>
      </w:r>
      <w:r>
        <w:rPr>
          <w:strike/>
          <w:color w:val="2E97D3"/>
        </w:rPr>
        <w:t>bondholders, rental interruption insurance is required for lease-revenue projects. In addition, lease</w:t>
      </w:r>
      <w:r>
        <w:rPr>
          <w:strike w:val="0"/>
          <w:color w:val="2E97D3"/>
          <w:u w:val="single" w:color="2E97D3"/>
        </w:rPr>
        <w:t>that part of the facility unavailable.</w:t>
      </w:r>
    </w:p>
    <w:p>
      <w:pPr>
        <w:pStyle w:val="BodyText"/>
        <w:spacing w:before="9"/>
        <w:rPr>
          <w:sz w:val="20"/>
        </w:rPr>
      </w:pPr>
    </w:p>
    <w:p>
      <w:pPr>
        <w:pStyle w:val="BodyText"/>
        <w:tabs>
          <w:tab w:pos="1406" w:val="left" w:leader="none"/>
        </w:tabs>
        <w:ind w:left="1046" w:right="261" w:hanging="360"/>
      </w:pPr>
      <w:r>
        <w:rPr>
          <w:strike/>
          <w:color w:val="2E97D3"/>
        </w:rPr>
        <w:t>4.</w:t>
      </w:r>
      <w:r>
        <w:rPr>
          <w:strike w:val="0"/>
          <w:color w:val="2E97D3"/>
          <w:u w:val="single" w:color="2E97D3"/>
        </w:rPr>
        <w:t>8.</w:t>
        <w:tab/>
        <w:t>Lease</w:t>
      </w:r>
      <w:r>
        <w:rPr>
          <w:strike w:val="0"/>
        </w:rPr>
        <w:t>-revenue bond issuances are sized larger than actual project</w:t>
      </w:r>
      <w:r>
        <w:rPr>
          <w:strike w:val="0"/>
          <w:spacing w:val="-39"/>
        </w:rPr>
        <w:t> </w:t>
      </w:r>
      <w:r>
        <w:rPr>
          <w:strike w:val="0"/>
        </w:rPr>
        <w:t>needs</w:t>
      </w:r>
      <w:r>
        <w:rPr>
          <w:strike w:val="0"/>
          <w:spacing w:val="-7"/>
        </w:rPr>
        <w:t> </w:t>
      </w:r>
      <w:r>
        <w:rPr>
          <w:strike w:val="0"/>
        </w:rPr>
        <w:t>primarily for:</w:t>
      </w:r>
    </w:p>
    <w:p>
      <w:pPr>
        <w:pStyle w:val="BodyText"/>
        <w:spacing w:before="9"/>
        <w:rPr>
          <w:sz w:val="20"/>
        </w:rPr>
      </w:pPr>
    </w:p>
    <w:p>
      <w:pPr>
        <w:pStyle w:val="BodyText"/>
        <w:ind w:left="1046" w:right="303" w:hanging="360"/>
        <w:jc w:val="both"/>
      </w:pPr>
      <w:r>
        <w:rPr/>
        <w:pict>
          <v:line style="position:absolute;mso-position-horizontal-relative:page;mso-position-vertical-relative:paragraph;z-index:33904" from="29.4pt,14.015833pt" to="29.4pt,27.815833pt" stroked="true" strokeweight=".72pt" strokecolor="#000000">
            <v:stroke dashstyle="solid"/>
            <w10:wrap type="none"/>
          </v:line>
        </w:pict>
      </w:r>
      <w:r>
        <w:rPr/>
        <w:pict>
          <v:line style="position:absolute;mso-position-horizontal-relative:page;mso-position-vertical-relative:paragraph;z-index:33928" from="29.4pt,47.614834pt" to="29.4pt,101.015834pt" stroked="true" strokeweight=".72pt" strokecolor="#000000">
            <v:stroke dashstyle="solid"/>
            <w10:wrap type="none"/>
          </v:line>
        </w:pict>
      </w:r>
      <w:r>
        <w:rPr>
          <w:strike/>
          <w:color w:val="2E97D3"/>
        </w:rPr>
        <w:t>a.</w:t>
      </w:r>
      <w:r>
        <w:rPr>
          <w:strike w:val="0"/>
          <w:color w:val="2E97D3"/>
          <w:u w:val="single" w:color="2E97D3"/>
        </w:rPr>
        <w:t>1.    </w:t>
      </w:r>
      <w:r>
        <w:rPr>
          <w:strike w:val="0"/>
        </w:rPr>
        <w:t>A capitalized interest account to pay debt service during the construction period until the facility can be occupied </w:t>
      </w:r>
      <w:r>
        <w:rPr>
          <w:strike w:val="0"/>
          <w:color w:val="2E97D3"/>
          <w:u w:val="single" w:color="2E97D3"/>
        </w:rPr>
        <w:t>and sometimes for a limited post-construction period</w:t>
      </w:r>
      <w:r>
        <w:rPr>
          <w:strike w:val="0"/>
        </w:rPr>
        <w:t>; and</w:t>
      </w:r>
    </w:p>
    <w:p>
      <w:pPr>
        <w:pStyle w:val="BodyText"/>
        <w:rPr>
          <w:sz w:val="26"/>
        </w:rPr>
      </w:pPr>
    </w:p>
    <w:p>
      <w:pPr>
        <w:pStyle w:val="BodyText"/>
        <w:spacing w:before="216"/>
        <w:ind w:left="686"/>
      </w:pPr>
      <w:r>
        <w:rPr>
          <w:color w:val="2C6234"/>
          <w:u w:val="thick" w:color="2C6234"/>
        </w:rPr>
        <w:t>(Continued)</w:t>
      </w:r>
    </w:p>
    <w:p>
      <w:pPr>
        <w:spacing w:after="0"/>
        <w:sectPr>
          <w:pgSz w:w="12240" w:h="15840"/>
          <w:pgMar w:header="726" w:footer="792" w:top="980" w:bottom="980" w:left="480" w:right="1320"/>
        </w:sectPr>
      </w:pPr>
    </w:p>
    <w:p>
      <w:pPr>
        <w:pStyle w:val="BodyText"/>
        <w:rPr>
          <w:sz w:val="20"/>
        </w:rPr>
      </w:pPr>
    </w:p>
    <w:p>
      <w:pPr>
        <w:pStyle w:val="BodyText"/>
        <w:spacing w:before="211"/>
        <w:ind w:left="686"/>
      </w:pPr>
      <w:r>
        <w:rPr/>
        <w:pict>
          <v:line style="position:absolute;mso-position-horizontal-relative:page;mso-position-vertical-relative:paragraph;z-index:34024" from="29.4pt,10.765882pt" to="29.4pt,64.165882pt" stroked="true" strokeweight=".72pt" strokecolor="#000000">
            <v:stroke dashstyle="solid"/>
            <w10:wrap type="none"/>
          </v:line>
        </w:pict>
      </w:r>
      <w:bookmarkStart w:name="(Continued)" w:id="136"/>
      <w:bookmarkEnd w:id="136"/>
      <w:r>
        <w:rPr/>
      </w:r>
      <w:r>
        <w:rPr>
          <w:color w:val="2C6234"/>
          <w:u w:val="thick" w:color="2C6234"/>
        </w:rPr>
        <w:t>(Continued)</w:t>
      </w:r>
    </w:p>
    <w:p>
      <w:pPr>
        <w:tabs>
          <w:tab w:pos="8851" w:val="left" w:leader="none"/>
        </w:tabs>
        <w:spacing w:before="0"/>
        <w:ind w:left="686" w:right="0" w:firstLine="0"/>
        <w:jc w:val="left"/>
        <w:rPr>
          <w:sz w:val="24"/>
        </w:rPr>
      </w:pPr>
      <w:r>
        <w:rPr/>
        <w:pict>
          <v:group style="position:absolute;margin-left:58.02pt;margin-top:11.735832pt;width:482.3pt;height:2.2pt;mso-position-horizontal-relative:page;mso-position-vertical-relative:paragraph;z-index:-438712" coordorigin="1160,235" coordsize="9646,44">
            <v:line style="position:absolute" from="1166,241" to="10800,241" stroked="true" strokeweight=".6pt" strokecolor="#2c6234">
              <v:stroke dashstyle="solid"/>
            </v:line>
            <v:line style="position:absolute" from="1166,272" to="10800,272" stroked="true" strokeweight=".599pt" strokecolor="#2c6234">
              <v:stroke dashstyle="solid"/>
            </v:line>
            <w10:wrap type="none"/>
          </v:group>
        </w:pict>
      </w:r>
      <w:bookmarkStart w:name="LEASE-REVENUE BONDS  6872 (Cont.1)" w:id="137"/>
      <w:bookmarkEnd w:id="137"/>
      <w:r>
        <w:rPr/>
      </w:r>
      <w:r>
        <w:rPr>
          <w:b/>
          <w:color w:val="2C6234"/>
          <w:sz w:val="24"/>
        </w:rPr>
        <w:t>LEASE-REVENUE</w:t>
      </w:r>
      <w:r>
        <w:rPr>
          <w:b/>
          <w:color w:val="2C6234"/>
          <w:spacing w:val="-3"/>
          <w:sz w:val="24"/>
        </w:rPr>
        <w:t> </w:t>
      </w:r>
      <w:r>
        <w:rPr>
          <w:b/>
          <w:color w:val="2C6234"/>
          <w:sz w:val="24"/>
        </w:rPr>
        <w:t>BONDS</w:t>
        <w:tab/>
        <w:t>6872</w:t>
      </w:r>
      <w:r>
        <w:rPr>
          <w:b/>
          <w:color w:val="2C6234"/>
          <w:spacing w:val="-6"/>
          <w:sz w:val="24"/>
        </w:rPr>
        <w:t> </w:t>
      </w:r>
      <w:r>
        <w:rPr>
          <w:color w:val="2C6234"/>
          <w:sz w:val="24"/>
        </w:rPr>
        <w:t>(Cont.1)</w:t>
      </w:r>
    </w:p>
    <w:p>
      <w:pPr>
        <w:pStyle w:val="BodyText"/>
        <w:ind w:left="686"/>
      </w:pPr>
      <w:r>
        <w:rPr>
          <w:color w:val="2E97D3"/>
          <w:u w:val="single" w:color="2E97D3"/>
        </w:rPr>
        <w:t>(Revised 9/2017)</w:t>
      </w:r>
    </w:p>
    <w:p>
      <w:pPr>
        <w:pStyle w:val="BodyText"/>
        <w:spacing w:before="9"/>
        <w:rPr>
          <w:sz w:val="20"/>
        </w:rPr>
      </w:pPr>
    </w:p>
    <w:p>
      <w:pPr>
        <w:pStyle w:val="BodyText"/>
        <w:tabs>
          <w:tab w:pos="1677" w:val="left" w:leader="none"/>
        </w:tabs>
        <w:ind w:left="1046" w:right="281" w:hanging="360"/>
      </w:pPr>
      <w:r>
        <w:rPr/>
        <w:pict>
          <v:line style="position:absolute;mso-position-horizontal-relative:page;mso-position-vertical-relative:paragraph;z-index:34048" from="29.4pt,41.614857pt" to="29.4pt,55.415857pt" stroked="true" strokeweight=".72pt" strokecolor="#000000">
            <v:stroke dashstyle="solid"/>
            <w10:wrap type="none"/>
          </v:line>
        </w:pict>
      </w:r>
      <w:r>
        <w:rPr/>
        <w:pict>
          <v:line style="position:absolute;mso-position-horizontal-relative:page;mso-position-vertical-relative:paragraph;z-index:34072" from="29.4pt,96.815857pt" to="29.4pt,171.815857pt" stroked="true" strokeweight=".72pt" strokecolor="#000000">
            <v:stroke dashstyle="solid"/>
            <w10:wrap type="none"/>
          </v:line>
        </w:pict>
      </w:r>
      <w:r>
        <w:rPr>
          <w:strike/>
          <w:color w:val="2E97D3"/>
        </w:rPr>
        <w:t>b.</w:t>
      </w:r>
      <w:r>
        <w:rPr>
          <w:strike w:val="0"/>
          <w:color w:val="2E97D3"/>
          <w:u w:val="single" w:color="2E97D3"/>
        </w:rPr>
        <w:t>2.</w:t>
        <w:tab/>
      </w:r>
      <w:r>
        <w:rPr>
          <w:strike w:val="0"/>
        </w:rPr>
        <w:t>A debt service reserve fund.  A reserve fund is created by the indenture</w:t>
      </w:r>
      <w:r>
        <w:rPr>
          <w:strike w:val="0"/>
          <w:spacing w:val="-29"/>
        </w:rPr>
        <w:t> </w:t>
      </w:r>
      <w:r>
        <w:rPr>
          <w:strike w:val="0"/>
        </w:rPr>
        <w:t>or</w:t>
      </w:r>
      <w:r>
        <w:rPr>
          <w:strike w:val="0"/>
          <w:spacing w:val="-4"/>
        </w:rPr>
        <w:t> </w:t>
      </w:r>
      <w:r>
        <w:rPr>
          <w:strike w:val="0"/>
        </w:rPr>
        <w:t>trust</w:t>
      </w:r>
      <w:r>
        <w:rPr>
          <w:strike w:val="0"/>
          <w:w w:val="100"/>
        </w:rPr>
        <w:t> </w:t>
      </w:r>
      <w:r>
        <w:rPr>
          <w:strike w:val="0"/>
        </w:rPr>
        <w:t>agreement and is usually funded from bond proceeds. Reserve funds are generally required by rating agencies for bonds other than GO bonds as a prerequisite for investment grade rating. A reserve fund </w:t>
      </w:r>
      <w:r>
        <w:rPr>
          <w:strike/>
          <w:color w:val="2E97D3"/>
        </w:rPr>
        <w:t>is</w:t>
      </w:r>
      <w:r>
        <w:rPr>
          <w:strike w:val="0"/>
          <w:color w:val="2E97D3"/>
          <w:u w:val="single" w:color="2E97D3"/>
        </w:rPr>
        <w:t>may be </w:t>
      </w:r>
      <w:r>
        <w:rPr>
          <w:strike w:val="0"/>
        </w:rPr>
        <w:t>used to replenish the interest and principal accounts in case of deficiency or to pay debt service if no other money is lawfully available (i.e. insurance proceeds). Drawing on a reserve fund is absolutely a last resort and is an event frowned upon by the financial markets. The amount of the reserve fund is governed by tax law </w:t>
      </w:r>
      <w:r>
        <w:rPr>
          <w:strike/>
          <w:color w:val="2E97D3"/>
        </w:rPr>
        <w:t>and, for state lease financings, is generally one- half of the maximum semi-annual debt service</w:t>
      </w:r>
      <w:r>
        <w:rPr>
          <w:strike w:val="0"/>
          <w:color w:val="2E97D3"/>
          <w:u w:val="single" w:color="2E97D3"/>
        </w:rPr>
        <w:t>. Currently, most PWB lease-revenue bonds are secured in part by a pooled master reserve</w:t>
      </w:r>
      <w:r>
        <w:rPr>
          <w:strike w:val="0"/>
          <w:color w:val="2E97D3"/>
          <w:spacing w:val="-25"/>
          <w:u w:val="single" w:color="2E97D3"/>
        </w:rPr>
        <w:t> </w:t>
      </w:r>
      <w:r>
        <w:rPr>
          <w:strike w:val="0"/>
          <w:color w:val="2E97D3"/>
          <w:u w:val="single" w:color="2E97D3"/>
        </w:rPr>
        <w:t>fund</w:t>
      </w:r>
      <w:r>
        <w:rPr>
          <w:strike w:val="0"/>
        </w:rPr>
        <w:t>.</w:t>
      </w:r>
    </w:p>
    <w:p>
      <w:pPr>
        <w:pStyle w:val="BodyText"/>
        <w:tabs>
          <w:tab w:pos="1406" w:val="left" w:leader="none"/>
        </w:tabs>
        <w:spacing w:before="119"/>
        <w:ind w:left="1046" w:right="413" w:hanging="360"/>
      </w:pPr>
      <w:r>
        <w:rPr>
          <w:strike/>
          <w:color w:val="2E97D3"/>
        </w:rPr>
        <w:t>5.</w:t>
      </w:r>
      <w:r>
        <w:rPr>
          <w:strike w:val="0"/>
          <w:color w:val="2E97D3"/>
          <w:u w:val="single" w:color="2E97D3"/>
        </w:rPr>
        <w:t>9.</w:t>
        <w:tab/>
      </w:r>
      <w:r>
        <w:rPr>
          <w:strike w:val="0"/>
        </w:rPr>
        <w:t>Lease-revenue debt service is structured as level debt payments </w:t>
      </w:r>
      <w:r>
        <w:rPr>
          <w:strike/>
          <w:color w:val="2E97D3"/>
        </w:rPr>
        <w:t>(as</w:t>
      </w:r>
      <w:r>
        <w:rPr>
          <w:strike/>
          <w:color w:val="2E97D3"/>
          <w:spacing w:val="-33"/>
        </w:rPr>
        <w:t> </w:t>
      </w:r>
      <w:r>
        <w:rPr>
          <w:strike/>
          <w:color w:val="2E97D3"/>
        </w:rPr>
        <w:t>opposed</w:t>
      </w:r>
      <w:r>
        <w:rPr>
          <w:strike/>
          <w:color w:val="2E97D3"/>
          <w:spacing w:val="-5"/>
        </w:rPr>
        <w:t> </w:t>
      </w:r>
      <w:r>
        <w:rPr>
          <w:strike/>
          <w:color w:val="2E97D3"/>
        </w:rPr>
        <w:t>to</w:t>
      </w:r>
      <w:r>
        <w:rPr>
          <w:strike w:val="0"/>
          <w:color w:val="2E97D3"/>
          <w:w w:val="99"/>
        </w:rPr>
        <w:t> </w:t>
      </w:r>
      <w:r>
        <w:rPr>
          <w:strike/>
          <w:color w:val="2E97D3"/>
        </w:rPr>
        <w:t>level principal payments for GO debt service) </w:t>
      </w:r>
      <w:r>
        <w:rPr>
          <w:strike w:val="0"/>
        </w:rPr>
        <w:t>because the repayment schedule must be similar to that for a commercial operating</w:t>
      </w:r>
      <w:r>
        <w:rPr>
          <w:strike w:val="0"/>
          <w:spacing w:val="-23"/>
        </w:rPr>
        <w:t> </w:t>
      </w:r>
      <w:r>
        <w:rPr>
          <w:strike w:val="0"/>
        </w:rPr>
        <w:t>lease.</w:t>
      </w:r>
    </w:p>
    <w:p>
      <w:pPr>
        <w:pStyle w:val="BodyText"/>
        <w:ind w:left="686"/>
      </w:pPr>
      <w:r>
        <w:rPr>
          <w:strike/>
          <w:color w:val="2E97D3"/>
        </w:rPr>
        <w:t>6.</w:t>
      </w:r>
      <w:r>
        <w:rPr>
          <w:strike w:val="0"/>
          <w:color w:val="2E97D3"/>
          <w:u w:val="single" w:color="2E97D3"/>
        </w:rPr>
        <w:t>10.  </w:t>
      </w:r>
      <w:r>
        <w:rPr>
          <w:strike w:val="0"/>
        </w:rPr>
        <w:t>The term of the bonds cannot exceed the useful life of the facility.</w:t>
      </w:r>
    </w:p>
    <w:p>
      <w:pPr>
        <w:pStyle w:val="BodyText"/>
        <w:spacing w:before="10"/>
        <w:rPr>
          <w:sz w:val="20"/>
        </w:rPr>
      </w:pPr>
    </w:p>
    <w:p>
      <w:pPr>
        <w:pStyle w:val="BodyText"/>
        <w:ind w:left="1046" w:right="428" w:hanging="360"/>
      </w:pPr>
      <w:r>
        <w:rPr/>
        <w:pict>
          <v:line style="position:absolute;mso-position-horizontal-relative:page;mso-position-vertical-relative:paragraph;z-index:34096" from="29.4pt,.215845pt" to="29.4pt,61.415845pt" stroked="true" strokeweight=".72pt" strokecolor="#000000">
            <v:stroke dashstyle="solid"/>
            <w10:wrap type="none"/>
          </v:line>
        </w:pict>
      </w:r>
      <w:r>
        <w:rPr>
          <w:strike/>
          <w:color w:val="2E97D3"/>
        </w:rPr>
        <w:t>7. Lease-revenue bonds are typically sold on a negotiated basis because the bond market has greater information requirements about the security underlying lease- revenue issues. A financing team, in place before the bond sale, helps meet these information needs.</w:t>
      </w:r>
    </w:p>
    <w:p>
      <w:pPr>
        <w:pStyle w:val="BodyText"/>
        <w:spacing w:line="242" w:lineRule="auto" w:before="119"/>
        <w:ind w:left="1046" w:hanging="360"/>
      </w:pPr>
      <w:r>
        <w:rPr/>
        <w:pict>
          <v:line style="position:absolute;mso-position-horizontal-relative:page;mso-position-vertical-relative:paragraph;z-index:-438688" from="221.639999pt,32.865864pt" to="225.599999pt,32.865864pt" stroked="true" strokeweight=".84pt" strokecolor="#2e97d3">
            <v:stroke dashstyle="solid"/>
            <w10:wrap type="none"/>
          </v:line>
        </w:pict>
      </w:r>
      <w:r>
        <w:rPr/>
        <w:pict>
          <v:line style="position:absolute;mso-position-horizontal-relative:page;mso-position-vertical-relative:paragraph;z-index:-438664" from="218.279999pt,28.306362pt" to="221.640999pt,28.306362pt" stroked="true" strokeweight=".599pt" strokecolor="#2e97d3">
            <v:stroke dashstyle="solid"/>
            <w10:wrap type="none"/>
          </v:line>
        </w:pict>
      </w:r>
      <w:r>
        <w:rPr/>
        <w:pict>
          <v:line style="position:absolute;mso-position-horizontal-relative:page;mso-position-vertical-relative:paragraph;z-index:34120" from="29.4pt,19.965862pt" to="29.4pt,89.445862pt" stroked="true" strokeweight=".72pt" strokecolor="#000000">
            <v:stroke dashstyle="solid"/>
            <w10:wrap type="none"/>
          </v:line>
        </w:pict>
      </w:r>
      <w:r>
        <w:rPr>
          <w:color w:val="2E97D3"/>
          <w:u w:val="single" w:color="2E97D3"/>
        </w:rPr>
        <w:t>11. </w:t>
      </w:r>
      <w:r>
        <w:rPr/>
        <w:t>Lease-revenue bonds may not be issued for any project for which a lease cannot be created.  (Without a legally </w:t>
      </w:r>
      <w:r>
        <w:rPr>
          <w:color w:val="2E97D3"/>
        </w:rPr>
        <w:t>-</w:t>
      </w:r>
      <w:r>
        <w:rPr/>
        <w:t>enforceable lease, there is no security for the issue.) </w:t>
      </w:r>
      <w:r>
        <w:rPr>
          <w:strike/>
          <w:color w:val="2E97D3"/>
        </w:rPr>
        <w:t>.</w:t>
      </w:r>
    </w:p>
    <w:p>
      <w:pPr>
        <w:pStyle w:val="BodyText"/>
        <w:spacing w:before="193"/>
        <w:ind w:left="686"/>
      </w:pPr>
      <w:r>
        <w:rPr>
          <w:strike/>
          <w:color w:val="2E97D3"/>
        </w:rPr>
        <w:t>(Continued)</w:t>
      </w:r>
    </w:p>
    <w:p>
      <w:pPr>
        <w:spacing w:after="0"/>
        <w:sectPr>
          <w:pgSz w:w="12240" w:h="15840"/>
          <w:pgMar w:header="726" w:footer="792" w:top="980" w:bottom="980" w:left="480" w:right="1320"/>
        </w:sectPr>
      </w:pPr>
    </w:p>
    <w:p>
      <w:pPr>
        <w:pStyle w:val="BodyText"/>
        <w:rPr>
          <w:sz w:val="20"/>
        </w:rPr>
      </w:pPr>
    </w:p>
    <w:p>
      <w:pPr>
        <w:pStyle w:val="BodyText"/>
        <w:spacing w:before="211"/>
        <w:ind w:left="686"/>
      </w:pPr>
      <w:r>
        <w:rPr/>
        <w:pict>
          <v:line style="position:absolute;mso-position-horizontal-relative:page;mso-position-vertical-relative:paragraph;z-index:34216" from="29.4pt,10.765882pt" to="29.4pt,77.965882pt" stroked="true" strokeweight=".72pt" strokecolor="#000000">
            <v:stroke dashstyle="solid"/>
            <w10:wrap type="none"/>
          </v:line>
        </w:pict>
      </w:r>
      <w:bookmarkStart w:name="(Continued)" w:id="138"/>
      <w:bookmarkEnd w:id="138"/>
      <w:r>
        <w:rPr/>
      </w:r>
      <w:r>
        <w:rPr>
          <w:strike/>
          <w:color w:val="2E97D3"/>
        </w:rPr>
        <w:t>(Continued)</w:t>
      </w:r>
    </w:p>
    <w:p>
      <w:pPr>
        <w:tabs>
          <w:tab w:pos="8851" w:val="left" w:leader="none"/>
        </w:tabs>
        <w:spacing w:before="0"/>
        <w:ind w:left="686" w:right="0" w:firstLine="0"/>
        <w:jc w:val="left"/>
        <w:rPr>
          <w:sz w:val="24"/>
        </w:rPr>
      </w:pPr>
      <w:r>
        <w:rPr/>
        <w:pict>
          <v:line style="position:absolute;mso-position-horizontal-relative:page;mso-position-vertical-relative:paragraph;z-index:-438520" from="58.32pt,8.435833pt" to="540.0pt,8.435833pt" stroked="true" strokeweight=".6pt" strokecolor="#2e97d3">
            <v:stroke dashstyle="solid"/>
            <w10:wrap type="none"/>
          </v:line>
        </w:pict>
      </w:r>
      <w:bookmarkStart w:name="LEASE-REVENUE BONDS  6872 (Cont.2)" w:id="139"/>
      <w:bookmarkEnd w:id="139"/>
      <w:r>
        <w:rPr/>
      </w:r>
      <w:r>
        <w:rPr>
          <w:b/>
          <w:color w:val="2E97D3"/>
          <w:sz w:val="24"/>
        </w:rPr>
        <w:t>LEASE-REVENUE</w:t>
      </w:r>
      <w:r>
        <w:rPr>
          <w:b/>
          <w:color w:val="2E97D3"/>
          <w:spacing w:val="-3"/>
          <w:sz w:val="24"/>
        </w:rPr>
        <w:t> </w:t>
      </w:r>
      <w:r>
        <w:rPr>
          <w:b/>
          <w:color w:val="2E97D3"/>
          <w:sz w:val="24"/>
        </w:rPr>
        <w:t>BONDS</w:t>
        <w:tab/>
        <w:t>6872</w:t>
      </w:r>
      <w:r>
        <w:rPr>
          <w:b/>
          <w:color w:val="2E97D3"/>
          <w:spacing w:val="-6"/>
          <w:sz w:val="24"/>
        </w:rPr>
        <w:t> </w:t>
      </w:r>
      <w:r>
        <w:rPr>
          <w:color w:val="2E97D3"/>
          <w:sz w:val="24"/>
        </w:rPr>
        <w:t>(Cont.2)</w:t>
      </w:r>
    </w:p>
    <w:p>
      <w:pPr>
        <w:pStyle w:val="BodyText"/>
        <w:ind w:left="686"/>
      </w:pPr>
      <w:r>
        <w:rPr>
          <w:strike/>
          <w:color w:val="2E97D3"/>
        </w:rPr>
        <w:t>(New 5/1998)</w:t>
      </w:r>
    </w:p>
    <w:p>
      <w:pPr>
        <w:pStyle w:val="BodyText"/>
        <w:rPr>
          <w:sz w:val="20"/>
        </w:rPr>
      </w:pPr>
    </w:p>
    <w:p>
      <w:pPr>
        <w:pStyle w:val="BodyText"/>
        <w:spacing w:before="9"/>
        <w:rPr>
          <w:sz w:val="16"/>
        </w:rPr>
      </w:pPr>
    </w:p>
    <w:p>
      <w:pPr>
        <w:pStyle w:val="BodyText"/>
        <w:spacing w:before="92"/>
        <w:ind w:left="1046" w:right="317" w:hanging="360"/>
      </w:pPr>
      <w:r>
        <w:rPr/>
        <w:pict>
          <v:line style="position:absolute;mso-position-horizontal-relative:page;mso-position-vertical-relative:paragraph;z-index:34240" from="29.4pt,18.61587pt" to="29.4pt,46.21587pt" stroked="true" strokeweight=".72pt" strokecolor="#000000">
            <v:stroke dashstyle="solid"/>
            <w10:wrap type="none"/>
          </v:line>
        </w:pict>
      </w:r>
      <w:r>
        <w:rPr/>
        <w:pict>
          <v:line style="position:absolute;mso-position-horizontal-relative:page;mso-position-vertical-relative:paragraph;z-index:34264" from="29.4pt,60.015869pt" to="29.4pt,73.815869pt" stroked="true" strokeweight=".72pt" strokecolor="#000000">
            <v:stroke dashstyle="solid"/>
            <w10:wrap type="none"/>
          </v:line>
        </w:pict>
      </w:r>
      <w:r>
        <w:rPr>
          <w:strike/>
          <w:color w:val="2E97D3"/>
        </w:rPr>
        <w:t>8.</w:t>
      </w:r>
      <w:r>
        <w:rPr>
          <w:strike w:val="0"/>
          <w:color w:val="2E97D3"/>
          <w:u w:val="single" w:color="2E97D3"/>
        </w:rPr>
        <w:t>12. </w:t>
      </w:r>
      <w:r>
        <w:rPr>
          <w:strike w:val="0"/>
        </w:rPr>
        <w:t>Lease-revenue projects may require interim financing for costs incurred before the bonds are issued. Interim financing for preconstruction </w:t>
      </w:r>
      <w:r>
        <w:rPr>
          <w:strike w:val="0"/>
          <w:color w:val="2E97D3"/>
          <w:u w:val="single" w:color="2E97D3"/>
        </w:rPr>
        <w:t>and construction </w:t>
      </w:r>
      <w:r>
        <w:rPr>
          <w:strike w:val="0"/>
        </w:rPr>
        <w:t>costs </w:t>
      </w:r>
      <w:r>
        <w:rPr>
          <w:strike/>
          <w:color w:val="2E97D3"/>
        </w:rPr>
        <w:t>for lease-revenue programs</w:t>
      </w:r>
      <w:r>
        <w:rPr>
          <w:strike w:val="0"/>
          <w:color w:val="2E97D3"/>
          <w:u w:val="single" w:color="2E97D3"/>
        </w:rPr>
        <w:t>generally </w:t>
      </w:r>
      <w:r>
        <w:rPr>
          <w:strike w:val="0"/>
        </w:rPr>
        <w:t>requires </w:t>
      </w:r>
      <w:r>
        <w:rPr>
          <w:strike/>
          <w:color w:val="2E97D3"/>
        </w:rPr>
        <w:t>substantial </w:t>
      </w:r>
      <w:r>
        <w:rPr>
          <w:strike w:val="0"/>
        </w:rPr>
        <w:t>assurance that the loan will be repaid in another manner in the event bonds authorized for the project are not sold.</w:t>
      </w:r>
    </w:p>
    <w:p>
      <w:pPr>
        <w:pStyle w:val="BodyText"/>
        <w:ind w:left="1046" w:right="102"/>
      </w:pPr>
      <w:r>
        <w:rPr/>
        <w:pict>
          <v:line style="position:absolute;mso-position-horizontal-relative:page;mso-position-vertical-relative:paragraph;z-index:-438496" from="511.200012pt,12.995357pt" to="514.560012pt,12.995357pt" stroked="true" strokeweight=".841pt" strokecolor="#2e97d3">
            <v:stroke dashstyle="solid"/>
            <w10:wrap type="none"/>
          </v:line>
        </w:pict>
      </w:r>
      <w:r>
        <w:rPr/>
        <w:t>For PWB projects, this is generally in the form of Budget Act </w:t>
      </w:r>
      <w:r>
        <w:rPr>
          <w:strike/>
          <w:color w:val="2E97D3"/>
        </w:rPr>
        <w:t>or statutory </w:t>
      </w:r>
      <w:r>
        <w:rPr>
          <w:strike w:val="0"/>
        </w:rPr>
        <w:t>language</w:t>
      </w:r>
      <w:r>
        <w:rPr>
          <w:strike w:val="0"/>
          <w:color w:val="2E97D3"/>
        </w:rPr>
        <w:t>, </w:t>
      </w:r>
      <w:r>
        <w:rPr>
          <w:strike w:val="0"/>
        </w:rPr>
        <w:t>which authorizes repayment of interim costs from a department’s support appropriation.</w:t>
      </w:r>
    </w:p>
    <w:p>
      <w:pPr>
        <w:pStyle w:val="BodyText"/>
        <w:spacing w:before="10"/>
        <w:rPr>
          <w:sz w:val="20"/>
        </w:rPr>
      </w:pPr>
    </w:p>
    <w:p>
      <w:pPr>
        <w:pStyle w:val="BodyText"/>
        <w:ind w:left="1046" w:right="181" w:hanging="360"/>
      </w:pPr>
      <w:r>
        <w:rPr/>
        <w:pict>
          <v:line style="position:absolute;mso-position-horizontal-relative:page;mso-position-vertical-relative:paragraph;z-index:34288" from="29.4pt,.215881pt" to="29.4pt,27.815881pt" stroked="true" strokeweight=".72pt" strokecolor="#000000">
            <v:stroke dashstyle="solid"/>
            <w10:wrap type="none"/>
          </v:line>
        </w:pict>
      </w:r>
      <w:r>
        <w:rPr/>
        <w:pict>
          <v:line style="position:absolute;mso-position-horizontal-relative:page;mso-position-vertical-relative:paragraph;z-index:34312" from="29.4pt,41.615883pt" to="29.4pt,83.015883pt" stroked="true" strokeweight=".72pt" strokecolor="#000000">
            <v:stroke dashstyle="solid"/>
            <w10:wrap type="none"/>
          </v:line>
        </w:pict>
      </w:r>
      <w:r>
        <w:rPr>
          <w:strike/>
          <w:color w:val="2E97D3"/>
        </w:rPr>
        <w:t>9.</w:t>
      </w:r>
      <w:r>
        <w:rPr>
          <w:strike w:val="0"/>
          <w:color w:val="2E97D3"/>
          <w:u w:val="single" w:color="2E97D3"/>
        </w:rPr>
        <w:t>13. </w:t>
      </w:r>
      <w:r>
        <w:rPr>
          <w:strike/>
          <w:color w:val="2E97D3"/>
        </w:rPr>
        <w:t>DOF, STO</w:t>
      </w:r>
      <w:r>
        <w:rPr>
          <w:strike w:val="0"/>
          <w:color w:val="2E97D3"/>
          <w:u w:val="single" w:color="2E97D3"/>
        </w:rPr>
        <w:t>The Department of Finance</w:t>
      </w:r>
      <w:r>
        <w:rPr>
          <w:strike w:val="0"/>
        </w:rPr>
        <w:t>, the </w:t>
      </w:r>
      <w:r>
        <w:rPr>
          <w:strike/>
          <w:color w:val="2E97D3"/>
        </w:rPr>
        <w:t>client</w:t>
      </w:r>
      <w:r>
        <w:rPr>
          <w:strike w:val="0"/>
          <w:color w:val="2E97D3"/>
          <w:u w:val="single" w:color="2E97D3"/>
        </w:rPr>
        <w:t>State Treasurer’s Office, the </w:t>
      </w:r>
      <w:r>
        <w:rPr>
          <w:strike w:val="0"/>
        </w:rPr>
        <w:t>department (and in some cases </w:t>
      </w:r>
      <w:r>
        <w:rPr>
          <w:strike/>
          <w:color w:val="2E97D3"/>
        </w:rPr>
        <w:t>DGS</w:t>
      </w:r>
      <w:r>
        <w:rPr>
          <w:strike w:val="0"/>
          <w:color w:val="2E97D3"/>
          <w:u w:val="single" w:color="2E97D3"/>
        </w:rPr>
        <w:t>the Department of General Services</w:t>
      </w:r>
      <w:r>
        <w:rPr>
          <w:strike w:val="0"/>
        </w:rPr>
        <w:t>) all have roles in the successful completion of lease-revenue project financing. For further discussion, see Sections 6873 for PWB lease-revenue bonds, Section </w:t>
      </w:r>
      <w:r>
        <w:rPr>
          <w:strike/>
          <w:color w:val="2E97D3"/>
        </w:rPr>
        <w:t>6874 for JPA lease-revenue bonds, Section </w:t>
      </w:r>
      <w:r>
        <w:rPr>
          <w:strike w:val="0"/>
        </w:rPr>
        <w:t>6880 for preparing for a bond sale, and Section 6884 for continuing disclosure.  </w:t>
      </w:r>
      <w:r>
        <w:rPr>
          <w:strike/>
          <w:color w:val="2E97D3"/>
        </w:rPr>
        <w:t>Client</w:t>
      </w:r>
      <w:r>
        <w:rPr>
          <w:strike w:val="0"/>
          <w:color w:val="2E97D3"/>
          <w:u w:val="single" w:color="2E97D3"/>
        </w:rPr>
        <w:t>The </w:t>
      </w:r>
      <w:r>
        <w:rPr>
          <w:strike w:val="0"/>
        </w:rPr>
        <w:t>department responsibilities are summarized in Section 6886.</w:t>
      </w:r>
    </w:p>
    <w:p>
      <w:pPr>
        <w:pStyle w:val="BodyText"/>
        <w:spacing w:before="9"/>
        <w:rPr>
          <w:sz w:val="20"/>
        </w:rPr>
      </w:pPr>
    </w:p>
    <w:p>
      <w:pPr>
        <w:pStyle w:val="BodyText"/>
        <w:ind w:left="1137" w:hanging="360"/>
      </w:pPr>
      <w:r>
        <w:rPr/>
        <w:pict>
          <v:line style="position:absolute;mso-position-horizontal-relative:page;mso-position-vertical-relative:paragraph;z-index:-438472" from="123pt,26.795345pt" to="126.24pt,26.795345pt" stroked="true" strokeweight=".841pt" strokecolor="#2e97d3">
            <v:stroke dashstyle="solid"/>
            <w10:wrap type="none"/>
          </v:line>
        </w:pict>
      </w:r>
      <w:r>
        <w:rPr/>
        <w:pict>
          <v:line style="position:absolute;mso-position-horizontal-relative:page;mso-position-vertical-relative:paragraph;z-index:34336" from="29.4pt,.215845pt" to="29.4pt,39.815845pt" stroked="true" strokeweight=".72pt" strokecolor="#000000">
            <v:stroke dashstyle="solid"/>
            <w10:wrap type="none"/>
          </v:line>
        </w:pict>
      </w:r>
      <w:r>
        <w:rPr>
          <w:strike/>
          <w:color w:val="2E97D3"/>
        </w:rPr>
        <w:t>10.</w:t>
      </w:r>
      <w:r>
        <w:rPr>
          <w:strike w:val="0"/>
          <w:color w:val="2E97D3"/>
          <w:u w:val="single" w:color="2E97D3"/>
        </w:rPr>
        <w:t>1. </w:t>
      </w:r>
      <w:r>
        <w:rPr>
          <w:strike w:val="0"/>
        </w:rPr>
        <w:t>Other lease requirements are set forth in Section 6876 </w:t>
      </w:r>
      <w:r>
        <w:rPr>
          <w:strike/>
          <w:color w:val="2E97D3"/>
        </w:rPr>
        <w:t>under the heading “financing leases.”</w:t>
      </w:r>
      <w:r>
        <w:rPr>
          <w:strike w:val="0"/>
          <w:color w:val="2E97D3"/>
        </w:rPr>
        <w:t>.</w:t>
      </w:r>
    </w:p>
    <w:p>
      <w:pPr>
        <w:spacing w:after="0"/>
        <w:sectPr>
          <w:pgSz w:w="12240" w:h="15840"/>
          <w:pgMar w:header="726" w:footer="792" w:top="980" w:bottom="980" w:left="480" w:right="1320"/>
        </w:sectPr>
      </w:pPr>
    </w:p>
    <w:p>
      <w:pPr>
        <w:pStyle w:val="BodyText"/>
        <w:rPr>
          <w:sz w:val="20"/>
        </w:rPr>
      </w:pPr>
    </w:p>
    <w:p>
      <w:pPr>
        <w:pStyle w:val="Heading2"/>
        <w:spacing w:before="211"/>
        <w:ind w:left="686"/>
      </w:pPr>
      <w:r>
        <w:rPr/>
        <w:t>STATE PUBLIC WORKS BOARD (PWB)</w:t>
      </w:r>
    </w:p>
    <w:p>
      <w:pPr>
        <w:tabs>
          <w:tab w:pos="9787" w:val="left" w:leader="none"/>
        </w:tabs>
        <w:spacing w:before="0"/>
        <w:ind w:left="686" w:right="0" w:firstLine="0"/>
        <w:jc w:val="left"/>
        <w:rPr>
          <w:b/>
          <w:sz w:val="24"/>
        </w:rPr>
      </w:pPr>
      <w:r>
        <w:rPr/>
        <w:pict>
          <v:line style="position:absolute;mso-position-horizontal-relative:page;mso-position-vertical-relative:paragraph;z-index:34360" from="29.4pt,14.015833pt" to="29.4pt,67.415833pt" stroked="true" strokeweight=".72pt" strokecolor="#000000">
            <v:stroke dashstyle="solid"/>
            <w10:wrap type="none"/>
          </v:line>
        </w:pict>
      </w:r>
      <w:r>
        <w:rPr>
          <w:b/>
          <w:sz w:val="24"/>
        </w:rPr>
        <w:t>LEASE-REVENUE</w:t>
      </w:r>
      <w:r>
        <w:rPr>
          <w:b/>
          <w:spacing w:val="-4"/>
          <w:sz w:val="24"/>
        </w:rPr>
        <w:t> </w:t>
      </w:r>
      <w:r>
        <w:rPr>
          <w:b/>
          <w:sz w:val="24"/>
        </w:rPr>
        <w:t>BOND</w:t>
      </w:r>
      <w:r>
        <w:rPr>
          <w:b/>
          <w:spacing w:val="-5"/>
          <w:sz w:val="24"/>
        </w:rPr>
        <w:t> </w:t>
      </w:r>
      <w:r>
        <w:rPr>
          <w:b/>
          <w:sz w:val="24"/>
        </w:rPr>
        <w:t>PROGRAMS</w:t>
        <w:tab/>
        <w:t>6873</w:t>
      </w:r>
    </w:p>
    <w:p>
      <w:pPr>
        <w:pStyle w:val="BodyText"/>
        <w:ind w:left="686"/>
      </w:pPr>
      <w:r>
        <w:rPr>
          <w:strike/>
          <w:color w:val="2E97D3"/>
        </w:rPr>
        <w:t>(New 5/1998)</w:t>
      </w:r>
    </w:p>
    <w:p>
      <w:pPr>
        <w:pStyle w:val="BodyText"/>
        <w:spacing w:before="119"/>
        <w:ind w:left="686"/>
      </w:pPr>
      <w:r>
        <w:rPr>
          <w:color w:val="2E97D3"/>
          <w:u w:val="single" w:color="2E97D3"/>
        </w:rPr>
        <w:t>(Revised 09/2017)</w:t>
      </w:r>
    </w:p>
    <w:p>
      <w:pPr>
        <w:pStyle w:val="BodyText"/>
        <w:spacing w:before="119"/>
        <w:ind w:left="686" w:right="1302"/>
      </w:pPr>
      <w:r>
        <w:rPr>
          <w:color w:val="2E97D3"/>
          <w:u w:val="single" w:color="2E97D3"/>
        </w:rPr>
        <w:t>The </w:t>
      </w:r>
      <w:r>
        <w:rPr/>
        <w:t>PWB is authorized to issue lease-revenue bonds to finance acquisition and construction projects when such projects are authorized by the Legislature.</w:t>
      </w:r>
    </w:p>
    <w:p>
      <w:pPr>
        <w:pStyle w:val="BodyText"/>
        <w:spacing w:before="119"/>
        <w:ind w:left="686" w:right="281"/>
      </w:pPr>
      <w:r>
        <w:rPr/>
        <w:pict>
          <v:line style="position:absolute;mso-position-horizontal-relative:page;mso-position-vertical-relative:paragraph;z-index:34384" from="29.4pt,6.165833pt" to="29.4pt,61.365833pt" stroked="true" strokeweight=".72pt" strokecolor="#000000">
            <v:stroke dashstyle="solid"/>
            <w10:wrap type="none"/>
          </v:line>
        </w:pict>
      </w:r>
      <w:r>
        <w:rPr/>
        <w:pict>
          <v:line style="position:absolute;mso-position-horizontal-relative:page;mso-position-vertical-relative:paragraph;z-index:34408" from="29.4pt,75.165833pt" to="29.4pt,88.965833pt" stroked="true" strokeweight=".72pt" strokecolor="#000000">
            <v:stroke dashstyle="solid"/>
            <w10:wrap type="none"/>
          </v:line>
        </w:pict>
      </w:r>
      <w:r>
        <w:rPr/>
        <w:t>In a typical project, the </w:t>
      </w:r>
      <w:r>
        <w:rPr>
          <w:strike/>
          <w:color w:val="2E97D3"/>
        </w:rPr>
        <w:t>client </w:t>
      </w:r>
      <w:r>
        <w:rPr>
          <w:strike w:val="0"/>
        </w:rPr>
        <w:t>department leases the site for a nominal fee to </w:t>
      </w:r>
      <w:r>
        <w:rPr>
          <w:strike w:val="0"/>
          <w:color w:val="2E97D3"/>
          <w:u w:val="single" w:color="2E97D3"/>
        </w:rPr>
        <w:t>the </w:t>
      </w:r>
      <w:r>
        <w:rPr>
          <w:strike w:val="0"/>
        </w:rPr>
        <w:t>PWB, although for some projects the </w:t>
      </w:r>
      <w:r>
        <w:rPr>
          <w:strike/>
          <w:color w:val="2E97D3"/>
        </w:rPr>
        <w:t>board</w:t>
      </w:r>
      <w:r>
        <w:rPr>
          <w:strike w:val="0"/>
          <w:color w:val="2E97D3"/>
          <w:u w:val="single" w:color="2E97D3"/>
        </w:rPr>
        <w:t>PWB </w:t>
      </w:r>
      <w:r>
        <w:rPr>
          <w:strike w:val="0"/>
        </w:rPr>
        <w:t>may acquire the site directly. The </w:t>
      </w:r>
      <w:r>
        <w:rPr>
          <w:strike/>
          <w:color w:val="2E97D3"/>
        </w:rPr>
        <w:t>client </w:t>
      </w:r>
      <w:r>
        <w:rPr>
          <w:strike w:val="0"/>
        </w:rPr>
        <w:t>department then constructs the project as PWB’s agent. The </w:t>
      </w:r>
      <w:r>
        <w:rPr>
          <w:strike/>
          <w:color w:val="2E97D3"/>
        </w:rPr>
        <w:t>board</w:t>
      </w:r>
      <w:r>
        <w:rPr>
          <w:strike w:val="0"/>
          <w:color w:val="2E97D3"/>
          <w:u w:val="single" w:color="2E97D3"/>
        </w:rPr>
        <w:t>PWB </w:t>
      </w:r>
      <w:r>
        <w:rPr>
          <w:strike w:val="0"/>
        </w:rPr>
        <w:t>leases the </w:t>
      </w:r>
      <w:r>
        <w:rPr>
          <w:i/>
          <w:strike w:val="0"/>
        </w:rPr>
        <w:t>completed facility </w:t>
      </w:r>
      <w:r>
        <w:rPr>
          <w:strike w:val="0"/>
        </w:rPr>
        <w:t>back to the </w:t>
      </w:r>
      <w:r>
        <w:rPr>
          <w:strike/>
          <w:color w:val="2E97D3"/>
        </w:rPr>
        <w:t>client </w:t>
      </w:r>
      <w:r>
        <w:rPr>
          <w:strike w:val="0"/>
        </w:rPr>
        <w:t>department for a rental fee equal to the amount needed to provide for the debt service on the revenue bonds and associated administrative expenses. Leases can be for periods up to 35 years, although </w:t>
      </w:r>
      <w:r>
        <w:rPr>
          <w:strike/>
          <w:color w:val="2E97D3"/>
        </w:rPr>
        <w:t>20</w:t>
      </w:r>
      <w:r>
        <w:rPr>
          <w:strike w:val="0"/>
          <w:color w:val="2E97D3"/>
          <w:u w:val="single" w:color="2E97D3"/>
        </w:rPr>
        <w:t>15 </w:t>
      </w:r>
      <w:r>
        <w:rPr>
          <w:strike w:val="0"/>
        </w:rPr>
        <w:t>to 25 years is typical.  The lease term cannot exceed the useful life of the capital asset.</w:t>
      </w:r>
    </w:p>
    <w:p>
      <w:pPr>
        <w:pStyle w:val="BodyText"/>
        <w:spacing w:before="119"/>
        <w:ind w:left="686" w:right="120"/>
      </w:pPr>
      <w:r>
        <w:rPr/>
        <w:pict>
          <v:line style="position:absolute;mso-position-horizontal-relative:page;mso-position-vertical-relative:paragraph;z-index:34432" from="29.4pt,6.165857pt" to="29.4pt,473.925857pt" stroked="true" strokeweight=".72pt" strokecolor="#000000">
            <v:stroke dashstyle="solid"/>
            <w10:wrap type="none"/>
          </v:line>
        </w:pict>
      </w:r>
      <w:r>
        <w:rPr>
          <w:strike/>
          <w:color w:val="2E97D3"/>
        </w:rPr>
        <w:t>Although there are limited exceptions, under federal tax laws arbitrage rebate penalties will be incurred or any arbitrage profits have to be rebated to the federal government if construction proceeds of revenue bond financing are not expended within two years. (“Arbitrage” refers to interest earnings on the investment of bond proceeds that result in a return in excess of borrowing costs.) To avoid this rebate, PWB may defer long-term bond sales and instead authorize loans from PMIA or the General Fund to cover interim financing needs, with a commitment to subsequently sell bonds (Section 6878). Long-term bonds are later sold in an amount sufficient to repay interim financing and to provide for the balance of construction costs, required debt service reserves, the capitalized interest account, and administrative</w:t>
      </w:r>
      <w:r>
        <w:rPr>
          <w:strike/>
          <w:color w:val="2E97D3"/>
          <w:spacing w:val="-19"/>
        </w:rPr>
        <w:t> </w:t>
      </w:r>
      <w:r>
        <w:rPr>
          <w:strike/>
          <w:color w:val="2E97D3"/>
        </w:rPr>
        <w:t>expenses.</w:t>
      </w:r>
    </w:p>
    <w:p>
      <w:pPr>
        <w:pStyle w:val="Heading2"/>
        <w:spacing w:before="119"/>
        <w:ind w:left="686"/>
        <w:rPr>
          <w:b w:val="0"/>
        </w:rPr>
      </w:pPr>
      <w:r>
        <w:rPr>
          <w:strike/>
          <w:color w:val="2E97D3"/>
        </w:rPr>
        <w:t>PWB’s lease-revenue programs</w:t>
      </w:r>
      <w:r>
        <w:rPr>
          <w:b w:val="0"/>
          <w:strike/>
          <w:color w:val="2E97D3"/>
        </w:rPr>
        <w:t>:</w:t>
      </w:r>
    </w:p>
    <w:p>
      <w:pPr>
        <w:pStyle w:val="BodyText"/>
        <w:spacing w:before="119"/>
        <w:ind w:left="1046" w:right="141"/>
      </w:pPr>
      <w:r>
        <w:rPr>
          <w:b/>
          <w:strike/>
          <w:color w:val="2E97D3"/>
        </w:rPr>
        <w:t>Public Buildings Construction Fund. </w:t>
      </w:r>
      <w:r>
        <w:rPr>
          <w:strike/>
          <w:color w:val="2E97D3"/>
        </w:rPr>
        <w:t>Government Code Sections 15815 et seq. establish a financing program for the acquisition of sites and construction of public buildings. PWB issues lease-revenue bonds for acquisition of sites and construction of public buildings when such projects are specifically authorized by the Legislature. The fund contains a construction account for the project, and a revenue account from which principal and interest on the bonds are paid, and into which is deposited any revenue derived from the operation of the facility.</w:t>
      </w:r>
    </w:p>
    <w:p>
      <w:pPr>
        <w:spacing w:before="119"/>
        <w:ind w:left="1046" w:right="0" w:firstLine="0"/>
        <w:jc w:val="left"/>
        <w:rPr>
          <w:sz w:val="24"/>
        </w:rPr>
      </w:pPr>
      <w:r>
        <w:rPr>
          <w:b/>
          <w:strike/>
          <w:color w:val="2E97D3"/>
          <w:sz w:val="24"/>
        </w:rPr>
        <w:t>New Prison Construction Revenue Fund. </w:t>
      </w:r>
      <w:r>
        <w:rPr>
          <w:strike/>
          <w:color w:val="2E97D3"/>
          <w:sz w:val="24"/>
        </w:rPr>
        <w:t>Government Code Section </w:t>
      </w:r>
      <w:r>
        <w:rPr>
          <w:strike/>
          <w:color w:val="2E97D3"/>
          <w:sz w:val="24"/>
          <w:u w:val="single" w:color="2E97D3"/>
        </w:rPr>
        <w:t>15819.3 </w:t>
      </w:r>
      <w:r>
        <w:rPr>
          <w:strike/>
          <w:color w:val="2E97D3"/>
          <w:sz w:val="24"/>
        </w:rPr>
        <w:t>authorizes PWB to finance prison facilities by the issuance of revenue bonds.</w:t>
      </w:r>
    </w:p>
    <w:p>
      <w:pPr>
        <w:pStyle w:val="BodyText"/>
        <w:ind w:left="1046" w:right="155"/>
      </w:pPr>
      <w:r>
        <w:rPr>
          <w:strike/>
          <w:color w:val="2E97D3"/>
        </w:rPr>
        <w:t>Authorizations for specific prison projects have been enacted in legislation and codified in the Penal Code. These authorizations mirror those contained in the Government Code. Certain terms of the bonds must be reported to the appropriate legislative committees at least 20 days prior to bond sale (Government Code Section 15819.8).</w:t>
      </w:r>
    </w:p>
    <w:p>
      <w:pPr>
        <w:pStyle w:val="BodyText"/>
        <w:spacing w:before="120"/>
        <w:ind w:left="1046" w:right="155"/>
      </w:pPr>
      <w:r>
        <w:rPr>
          <w:b/>
          <w:strike/>
          <w:color w:val="2E97D3"/>
        </w:rPr>
        <w:t>High Technology Educational and Research Facilities in Public Universities. </w:t>
      </w:r>
      <w:r>
        <w:rPr>
          <w:strike/>
          <w:color w:val="2E97D3"/>
        </w:rPr>
        <w:t>Government Code Section</w:t>
      </w:r>
      <w:r>
        <w:rPr>
          <w:strike/>
          <w:color w:val="2E97D3"/>
          <w:u w:val="single" w:color="2E97D3"/>
        </w:rPr>
        <w:t>15820 </w:t>
      </w:r>
      <w:r>
        <w:rPr>
          <w:strike/>
          <w:color w:val="2E97D3"/>
        </w:rPr>
        <w:t>et seq. authorizes PWB to finance the construction or renovation, and the equipping of facilities for lease-purchase to the University of California, the California State University, and the California Community Colleges for educational and research purposes related to specific fields of high technology. This has been expanded to also be used for instructional or library purposes.</w:t>
      </w:r>
    </w:p>
    <w:p>
      <w:pPr>
        <w:pStyle w:val="BodyText"/>
        <w:spacing w:before="196"/>
        <w:ind w:left="686"/>
      </w:pPr>
      <w:r>
        <w:rPr>
          <w:strike/>
          <w:color w:val="2E97D3"/>
        </w:rPr>
        <w:t>(Continued)</w:t>
      </w:r>
    </w:p>
    <w:p>
      <w:pPr>
        <w:spacing w:after="0"/>
        <w:sectPr>
          <w:pgSz w:w="12240" w:h="15840"/>
          <w:pgMar w:header="726" w:footer="792" w:top="980" w:bottom="980" w:left="480" w:right="1320"/>
        </w:sectPr>
      </w:pPr>
    </w:p>
    <w:p>
      <w:pPr>
        <w:pStyle w:val="BodyText"/>
        <w:spacing w:before="4"/>
        <w:rPr>
          <w:rFonts w:ascii="Times New Roman"/>
          <w:sz w:val="17"/>
        </w:rPr>
      </w:pPr>
      <w:r>
        <w:rPr/>
        <w:pict>
          <v:line style="position:absolute;mso-position-horizontal-relative:page;mso-position-vertical-relative:page;z-index:34456" from="29.4pt,72pt" to="29.4pt,97.92pt" stroked="true" strokeweight=".72pt" strokecolor="#000000">
            <v:stroke dashstyle="solid"/>
            <w10:wrap type="none"/>
          </v:line>
        </w:pict>
      </w:r>
    </w:p>
    <w:p>
      <w:pPr>
        <w:spacing w:after="0"/>
        <w:rPr>
          <w:rFonts w:ascii="Times New Roman"/>
          <w:sz w:val="17"/>
        </w:rPr>
        <w:sectPr>
          <w:pgSz w:w="12240" w:h="15840"/>
          <w:pgMar w:header="726" w:footer="792" w:top="980" w:bottom="980" w:left="480" w:right="1720"/>
        </w:sectPr>
      </w:pPr>
    </w:p>
    <w:p>
      <w:pPr>
        <w:pStyle w:val="BodyText"/>
        <w:rPr>
          <w:rFonts w:ascii="Times New Roman"/>
          <w:sz w:val="20"/>
        </w:rPr>
      </w:pPr>
    </w:p>
    <w:p>
      <w:pPr>
        <w:pStyle w:val="BodyText"/>
        <w:spacing w:before="211"/>
        <w:ind w:left="686"/>
      </w:pPr>
      <w:r>
        <w:rPr/>
        <w:pict>
          <v:line style="position:absolute;mso-position-horizontal-relative:page;mso-position-vertical-relative:paragraph;z-index:34552" from="29.4pt,10.765882pt" to="29.4pt,354.205882pt" stroked="true" strokeweight=".72pt" strokecolor="#000000">
            <v:stroke dashstyle="solid"/>
            <w10:wrap type="none"/>
          </v:line>
        </w:pict>
      </w:r>
      <w:r>
        <w:rPr>
          <w:strike/>
          <w:color w:val="2C6234"/>
        </w:rPr>
        <w:t>(Continued)</w:t>
      </w:r>
    </w:p>
    <w:p>
      <w:pPr>
        <w:pStyle w:val="Heading2"/>
        <w:spacing w:before="121"/>
        <w:ind w:left="686"/>
      </w:pPr>
      <w:r>
        <w:rPr>
          <w:strike/>
          <w:color w:val="2C6234"/>
        </w:rPr>
        <w:t>STATE PUBLIC WORKS BOARD (PWB)</w:t>
      </w:r>
    </w:p>
    <w:p>
      <w:pPr>
        <w:tabs>
          <w:tab w:pos="8783" w:val="left" w:leader="none"/>
        </w:tabs>
        <w:spacing w:before="37"/>
        <w:ind w:left="686" w:right="116" w:firstLine="0"/>
        <w:jc w:val="left"/>
        <w:rPr>
          <w:sz w:val="24"/>
        </w:rPr>
      </w:pPr>
      <w:r>
        <w:rPr/>
        <w:pict>
          <v:group style="position:absolute;margin-left:58.02pt;margin-top:9.385867pt;width:482.2pt;height:1.8pt;mso-position-horizontal-relative:page;mso-position-vertical-relative:paragraph;z-index:-438184" coordorigin="1160,188" coordsize="9644,36">
            <v:line style="position:absolute" from="1166,218" to="10798,218" stroked="true" strokeweight=".599pt" strokecolor="#2c6234">
              <v:stroke dashstyle="solid"/>
            </v:line>
            <v:line style="position:absolute" from="1166,194" to="10798,194" stroked="true" strokeweight=".6pt" strokecolor="#2c6234">
              <v:stroke dashstyle="solid"/>
            </v:line>
            <w10:wrap type="none"/>
          </v:group>
        </w:pict>
      </w:r>
      <w:r>
        <w:rPr>
          <w:b/>
          <w:color w:val="2C6234"/>
          <w:sz w:val="24"/>
        </w:rPr>
        <w:t>LEASE-REVENUE</w:t>
      </w:r>
      <w:r>
        <w:rPr>
          <w:b/>
          <w:color w:val="2C6234"/>
          <w:spacing w:val="-4"/>
          <w:sz w:val="24"/>
        </w:rPr>
        <w:t> </w:t>
      </w:r>
      <w:r>
        <w:rPr>
          <w:b/>
          <w:color w:val="2C6234"/>
          <w:sz w:val="24"/>
        </w:rPr>
        <w:t>BOND</w:t>
      </w:r>
      <w:r>
        <w:rPr>
          <w:b/>
          <w:color w:val="2C6234"/>
          <w:spacing w:val="-5"/>
          <w:sz w:val="24"/>
        </w:rPr>
        <w:t> </w:t>
      </w:r>
      <w:r>
        <w:rPr>
          <w:b/>
          <w:color w:val="2C6234"/>
          <w:sz w:val="24"/>
        </w:rPr>
        <w:t>PROGRAMS</w:t>
        <w:tab/>
        <w:t>6873</w:t>
      </w:r>
      <w:r>
        <w:rPr>
          <w:b/>
          <w:color w:val="2C6234"/>
          <w:spacing w:val="-2"/>
          <w:sz w:val="24"/>
        </w:rPr>
        <w:t> </w:t>
      </w:r>
      <w:r>
        <w:rPr>
          <w:color w:val="2C6234"/>
          <w:sz w:val="24"/>
        </w:rPr>
        <w:t>(Cont.</w:t>
      </w:r>
      <w:r>
        <w:rPr>
          <w:color w:val="2C6234"/>
          <w:spacing w:val="-5"/>
          <w:sz w:val="24"/>
        </w:rPr>
        <w:t> </w:t>
      </w:r>
      <w:r>
        <w:rPr>
          <w:color w:val="2C6234"/>
          <w:sz w:val="24"/>
        </w:rPr>
        <w:t>1)</w:t>
      </w:r>
      <w:r>
        <w:rPr>
          <w:color w:val="2C6234"/>
          <w:w w:val="99"/>
          <w:sz w:val="24"/>
        </w:rPr>
        <w:t> </w:t>
      </w:r>
      <w:r>
        <w:rPr>
          <w:strike/>
          <w:color w:val="2E97D3"/>
          <w:sz w:val="24"/>
        </w:rPr>
        <w:t>(New</w:t>
      </w:r>
      <w:r>
        <w:rPr>
          <w:strike/>
          <w:color w:val="2E97D3"/>
          <w:spacing w:val="-6"/>
          <w:sz w:val="24"/>
        </w:rPr>
        <w:t> </w:t>
      </w:r>
      <w:r>
        <w:rPr>
          <w:strike/>
          <w:color w:val="2E97D3"/>
          <w:sz w:val="24"/>
        </w:rPr>
        <w:t>5/1998)</w:t>
      </w:r>
    </w:p>
    <w:p>
      <w:pPr>
        <w:pStyle w:val="BodyText"/>
        <w:spacing w:before="10"/>
        <w:rPr>
          <w:sz w:val="15"/>
        </w:rPr>
      </w:pPr>
    </w:p>
    <w:p>
      <w:pPr>
        <w:pStyle w:val="BodyText"/>
        <w:spacing w:before="93"/>
        <w:ind w:left="1046" w:right="155"/>
      </w:pPr>
      <w:r>
        <w:rPr>
          <w:b/>
          <w:strike/>
          <w:color w:val="2E97D3"/>
        </w:rPr>
        <w:t>Energy and Water Conservation Revenue Bond Projects. </w:t>
      </w:r>
      <w:r>
        <w:rPr>
          <w:strike/>
          <w:color w:val="2E97D3"/>
        </w:rPr>
        <w:t>PWB may issue revenue bonds pursuant to Government Code Section 15814.15 to finance the cost of alternative energy equipment and for energy and water conservation measures in state public buildings, defined to include local school districts’ (K-12) buildings. The total amount of revenue bonds authorized to be issued is $500 million through January 1, 2000.  The client department is responsible for payment of debt service on issued bonds under an energy service contract.  Proposed energy service projects, agreements and leases must be reported to the appropriate legislative committees at least 30 days prior to PWB action.  DGS implements this program on behalf of PWB.</w:t>
      </w:r>
    </w:p>
    <w:p>
      <w:pPr>
        <w:pStyle w:val="BodyText"/>
        <w:spacing w:before="120"/>
        <w:ind w:left="686" w:right="341"/>
      </w:pPr>
      <w:r>
        <w:rPr>
          <w:b/>
          <w:strike/>
          <w:color w:val="2E97D3"/>
        </w:rPr>
        <w:t>Fiscal</w:t>
      </w:r>
      <w:r>
        <w:rPr>
          <w:strike w:val="0"/>
          <w:color w:val="2E97D3"/>
          <w:u w:val="single" w:color="2E97D3"/>
        </w:rPr>
        <w:t>The proceeds of lease revenue bonds need to be expended in certain time frames under federal tax law. Until spent, there may be restrictions on interest earnings. These limits need to be monitored for compliance with federal tax law and may factor into a determination of when bonds are sold.</w:t>
      </w:r>
    </w:p>
    <w:p>
      <w:pPr>
        <w:pStyle w:val="Heading2"/>
        <w:spacing w:before="120"/>
        <w:ind w:left="686"/>
        <w:rPr>
          <w:b w:val="0"/>
        </w:rPr>
      </w:pPr>
      <w:r>
        <w:rPr>
          <w:color w:val="2E97D3"/>
          <w:u w:val="thick" w:color="2E97D3"/>
        </w:rPr>
        <w:t>Key </w:t>
      </w:r>
      <w:r>
        <w:rPr/>
        <w:t>highlights</w:t>
      </w:r>
      <w:r>
        <w:rPr>
          <w:b w:val="0"/>
        </w:rPr>
        <w:t>:</w:t>
      </w:r>
    </w:p>
    <w:p>
      <w:pPr>
        <w:pStyle w:val="BodyText"/>
        <w:tabs>
          <w:tab w:pos="2126" w:val="left" w:leader="none"/>
        </w:tabs>
        <w:spacing w:before="120"/>
        <w:ind w:left="1406" w:right="264" w:hanging="360"/>
      </w:pPr>
      <w:r>
        <w:rPr/>
        <w:pict>
          <v:line style="position:absolute;mso-position-horizontal-relative:page;mso-position-vertical-relative:paragraph;z-index:-438160" from="418.559998pt,46.59586pt" to="422.519998pt,46.59586pt" stroked="true" strokeweight=".84pt" strokecolor="#2e97d3">
            <v:stroke dashstyle="solid"/>
            <w10:wrap type="none"/>
          </v:line>
        </w:pict>
      </w:r>
      <w:r>
        <w:rPr>
          <w:strike/>
          <w:color w:val="2E97D3"/>
        </w:rPr>
        <w:t>1.</w:t>
      </w:r>
      <w:r>
        <w:rPr>
          <w:strike w:val="0"/>
          <w:color w:val="2E97D3"/>
          <w:u w:val="single" w:color="2E97D3"/>
        </w:rPr>
        <w:t>a.</w:t>
        <w:tab/>
        <w:t>The </w:t>
      </w:r>
      <w:r>
        <w:rPr>
          <w:strike w:val="0"/>
        </w:rPr>
        <w:t>PWB </w:t>
      </w:r>
      <w:r>
        <w:rPr>
          <w:strike/>
          <w:color w:val="2E97D3"/>
        </w:rPr>
        <w:t>issues the bonds.  The board </w:t>
      </w:r>
      <w:r>
        <w:rPr>
          <w:strike w:val="0"/>
        </w:rPr>
        <w:t>adopts resolutions</w:t>
      </w:r>
      <w:r>
        <w:rPr>
          <w:strike w:val="0"/>
          <w:spacing w:val="-31"/>
        </w:rPr>
        <w:t> </w:t>
      </w:r>
      <w:r>
        <w:rPr>
          <w:strike w:val="0"/>
        </w:rPr>
        <w:t>authorizing</w:t>
      </w:r>
      <w:r>
        <w:rPr>
          <w:strike w:val="0"/>
          <w:spacing w:val="-4"/>
        </w:rPr>
        <w:t> </w:t>
      </w:r>
      <w:r>
        <w:rPr>
          <w:strike w:val="0"/>
          <w:color w:val="2E97D3"/>
          <w:u w:val="single" w:color="2E97D3"/>
        </w:rPr>
        <w:t>bond</w:t>
      </w:r>
      <w:r>
        <w:rPr>
          <w:strike w:val="0"/>
          <w:color w:val="2E97D3"/>
          <w:w w:val="99"/>
        </w:rPr>
        <w:t> </w:t>
      </w:r>
      <w:r>
        <w:rPr>
          <w:strike w:val="0"/>
        </w:rPr>
        <w:t>sales</w:t>
      </w:r>
      <w:r>
        <w:rPr>
          <w:strike/>
          <w:color w:val="2E97D3"/>
        </w:rPr>
        <w:t>/interim financing </w:t>
      </w:r>
      <w:r>
        <w:rPr>
          <w:strike w:val="0"/>
        </w:rPr>
        <w:t>and setting policy guidelines for the issuance </w:t>
      </w:r>
      <w:r>
        <w:rPr>
          <w:strike w:val="0"/>
          <w:color w:val="2E97D3"/>
          <w:u w:val="single" w:color="2E97D3"/>
        </w:rPr>
        <w:t>of its lease revenue bonds</w:t>
      </w:r>
      <w:r>
        <w:rPr>
          <w:strike w:val="0"/>
        </w:rPr>
        <w:t>, works with </w:t>
      </w:r>
      <w:r>
        <w:rPr>
          <w:strike w:val="0"/>
          <w:color w:val="2E97D3"/>
          <w:u w:val="single" w:color="2E97D3"/>
        </w:rPr>
        <w:t>the State Treasurer’s Office (</w:t>
      </w:r>
      <w:r>
        <w:rPr>
          <w:strike w:val="0"/>
        </w:rPr>
        <w:t>STO</w:t>
      </w:r>
      <w:r>
        <w:rPr>
          <w:strike w:val="0"/>
          <w:color w:val="2E97D3"/>
        </w:rPr>
        <w:t>) </w:t>
      </w:r>
      <w:r>
        <w:rPr>
          <w:strike w:val="0"/>
        </w:rPr>
        <w:t>in preparing for the bond sale and sizing the bonds, executes </w:t>
      </w:r>
      <w:r>
        <w:rPr>
          <w:strike/>
          <w:color w:val="2E97D3"/>
        </w:rPr>
        <w:t>sales</w:t>
      </w:r>
      <w:r>
        <w:rPr>
          <w:strike w:val="0"/>
          <w:color w:val="2E97D3"/>
          <w:u w:val="single" w:color="2E97D3"/>
        </w:rPr>
        <w:t>key </w:t>
      </w:r>
      <w:r>
        <w:rPr>
          <w:strike w:val="0"/>
        </w:rPr>
        <w:t>documents, has responsibility for providing certain disclosure information on an initial and continuing basis, and periodically reviews balances in bond fund accounts to determine surplus</w:t>
      </w:r>
      <w:r>
        <w:rPr>
          <w:strike w:val="0"/>
          <w:spacing w:val="-37"/>
        </w:rPr>
        <w:t> </w:t>
      </w:r>
      <w:r>
        <w:rPr>
          <w:strike w:val="0"/>
        </w:rPr>
        <w:t>status.</w:t>
      </w:r>
    </w:p>
    <w:p>
      <w:pPr>
        <w:pStyle w:val="BodyText"/>
        <w:spacing w:before="9"/>
        <w:rPr>
          <w:sz w:val="20"/>
        </w:rPr>
      </w:pPr>
    </w:p>
    <w:p>
      <w:pPr>
        <w:pStyle w:val="BodyText"/>
        <w:tabs>
          <w:tab w:pos="2126" w:val="left" w:leader="none"/>
        </w:tabs>
        <w:spacing w:before="1"/>
        <w:ind w:left="1406" w:right="148" w:hanging="360"/>
      </w:pPr>
      <w:r>
        <w:rPr/>
        <w:pict>
          <v:line style="position:absolute;mso-position-horizontal-relative:page;mso-position-vertical-relative:paragraph;z-index:-438136" from="519.960022pt,82.045876pt" to="523.321022pt,82.045876pt" stroked="true" strokeweight=".84pt" strokecolor="#2e97d3">
            <v:stroke dashstyle="solid"/>
            <w10:wrap type="none"/>
          </v:line>
        </w:pict>
      </w:r>
      <w:r>
        <w:rPr/>
        <w:pict>
          <v:line style="position:absolute;mso-position-horizontal-relative:page;mso-position-vertical-relative:paragraph;z-index:34576" from="29.4pt,.265873pt" to="29.4pt,14.065873pt" stroked="true" strokeweight=".72pt" strokecolor="#000000">
            <v:stroke dashstyle="solid"/>
            <w10:wrap type="none"/>
          </v:line>
        </w:pict>
      </w:r>
      <w:r>
        <w:rPr/>
        <w:pict>
          <v:line style="position:absolute;mso-position-horizontal-relative:page;mso-position-vertical-relative:paragraph;z-index:34600" from="29.4pt,27.865873pt" to="29.4pt,150.265873pt" stroked="true" strokeweight=".72pt" strokecolor="#000000">
            <v:stroke dashstyle="solid"/>
            <w10:wrap type="none"/>
          </v:line>
        </w:pict>
      </w:r>
      <w:r>
        <w:rPr>
          <w:strike/>
          <w:color w:val="2E97D3"/>
        </w:rPr>
        <w:t>2.</w:t>
      </w:r>
      <w:r>
        <w:rPr>
          <w:strike w:val="0"/>
          <w:color w:val="2E97D3"/>
          <w:u w:val="single" w:color="2E97D3"/>
        </w:rPr>
        <w:t>b.</w:t>
        <w:tab/>
      </w:r>
      <w:r>
        <w:rPr>
          <w:strike/>
          <w:color w:val="2E97D3"/>
        </w:rPr>
        <w:t>DOF</w:t>
      </w:r>
      <w:r>
        <w:rPr>
          <w:strike w:val="0"/>
          <w:color w:val="2E97D3"/>
          <w:u w:val="single" w:color="2E97D3"/>
        </w:rPr>
        <w:t>The Department of Finance (Finance) </w:t>
      </w:r>
      <w:r>
        <w:rPr>
          <w:strike w:val="0"/>
        </w:rPr>
        <w:t>has general powers</w:t>
      </w:r>
      <w:r>
        <w:rPr>
          <w:strike w:val="0"/>
          <w:spacing w:val="-31"/>
        </w:rPr>
        <w:t> </w:t>
      </w:r>
      <w:r>
        <w:rPr>
          <w:strike w:val="0"/>
        </w:rPr>
        <w:t>of</w:t>
      </w:r>
      <w:r>
        <w:rPr>
          <w:strike w:val="0"/>
          <w:spacing w:val="-4"/>
        </w:rPr>
        <w:t> </w:t>
      </w:r>
      <w:r>
        <w:rPr>
          <w:strike w:val="0"/>
        </w:rPr>
        <w:t>fiscal</w:t>
      </w:r>
      <w:r>
        <w:rPr>
          <w:strike w:val="0"/>
          <w:w w:val="99"/>
        </w:rPr>
        <w:t> </w:t>
      </w:r>
      <w:r>
        <w:rPr>
          <w:strike w:val="0"/>
        </w:rPr>
        <w:t>supervision pursuant to Government Code Section 13070, works with STO in preparing </w:t>
      </w:r>
      <w:r>
        <w:rPr>
          <w:strike/>
          <w:color w:val="2E97D3"/>
        </w:rPr>
        <w:t>for the bond sale,</w:t>
      </w:r>
      <w:r>
        <w:rPr>
          <w:strike w:val="0"/>
          <w:color w:val="2E97D3"/>
          <w:u w:val="single" w:color="2E97D3"/>
        </w:rPr>
        <w:t>Appendix A (the state’s main fiscal disclosure document), </w:t>
      </w:r>
      <w:r>
        <w:rPr>
          <w:strike w:val="0"/>
        </w:rPr>
        <w:t>may participate in rating agency meetings, prepares fund condition statements as required for the bond sale and for continuing disclosure</w:t>
      </w:r>
      <w:r>
        <w:rPr>
          <w:strike/>
          <w:color w:val="2E97D3"/>
        </w:rPr>
        <w:t>, and evaluates (in conjunction with STO) the disposition of surplus bond funds, if any.</w:t>
      </w:r>
      <w:r>
        <w:rPr>
          <w:strike w:val="0"/>
          <w:color w:val="2E97D3"/>
        </w:rPr>
        <w:t>. </w:t>
      </w:r>
      <w:r>
        <w:rPr>
          <w:strike w:val="0"/>
        </w:rPr>
        <w:t>In addition, </w:t>
      </w:r>
      <w:r>
        <w:rPr>
          <w:strike/>
          <w:color w:val="2E97D3"/>
        </w:rPr>
        <w:t>DOF</w:t>
      </w:r>
      <w:r>
        <w:rPr>
          <w:strike w:val="0"/>
          <w:color w:val="2E97D3"/>
          <w:u w:val="single" w:color="2E97D3"/>
        </w:rPr>
        <w:t>Finance </w:t>
      </w:r>
      <w:r>
        <w:rPr>
          <w:strike w:val="0"/>
        </w:rPr>
        <w:t>includes appropriations in the </w:t>
      </w:r>
      <w:r>
        <w:rPr>
          <w:strike/>
          <w:color w:val="2E97D3"/>
        </w:rPr>
        <w:t>annual</w:t>
      </w:r>
      <w:r>
        <w:rPr>
          <w:strike w:val="0"/>
          <w:color w:val="2E97D3"/>
          <w:u w:val="single" w:color="2E97D3"/>
        </w:rPr>
        <w:t>Governor’s </w:t>
      </w:r>
      <w:r>
        <w:rPr>
          <w:strike w:val="0"/>
        </w:rPr>
        <w:t>Budget </w:t>
      </w:r>
      <w:r>
        <w:rPr>
          <w:strike/>
          <w:color w:val="2E97D3"/>
        </w:rPr>
        <w:t>Act </w:t>
      </w:r>
      <w:r>
        <w:rPr>
          <w:strike w:val="0"/>
        </w:rPr>
        <w:t>for lease-revenue rental payments based on calculations </w:t>
      </w:r>
      <w:r>
        <w:rPr>
          <w:strike/>
          <w:color w:val="2E97D3"/>
        </w:rPr>
        <w:t>of need provided by</w:t>
      </w:r>
      <w:r>
        <w:rPr>
          <w:strike w:val="0"/>
          <w:color w:val="2E97D3"/>
          <w:u w:val="single" w:color="2E97D3"/>
        </w:rPr>
        <w:t>prepared in coordination with the</w:t>
      </w:r>
      <w:r>
        <w:rPr>
          <w:strike w:val="0"/>
          <w:color w:val="2E97D3"/>
          <w:spacing w:val="-18"/>
          <w:u w:val="single" w:color="2E97D3"/>
        </w:rPr>
        <w:t> </w:t>
      </w:r>
      <w:r>
        <w:rPr>
          <w:strike w:val="0"/>
        </w:rPr>
        <w:t>STO.</w:t>
      </w:r>
    </w:p>
    <w:p>
      <w:pPr>
        <w:pStyle w:val="BodyText"/>
        <w:spacing w:before="10"/>
        <w:rPr>
          <w:sz w:val="20"/>
        </w:rPr>
      </w:pPr>
    </w:p>
    <w:p>
      <w:pPr>
        <w:pStyle w:val="BodyText"/>
        <w:tabs>
          <w:tab w:pos="2126" w:val="left" w:leader="none"/>
        </w:tabs>
        <w:ind w:left="1406" w:right="156" w:hanging="360"/>
      </w:pPr>
      <w:r>
        <w:rPr/>
        <w:pict>
          <v:line style="position:absolute;mso-position-horizontal-relative:page;mso-position-vertical-relative:paragraph;z-index:34624" from="29.4pt,27.815861pt" to="29.4pt,53.615861pt" stroked="true" strokeweight=".72pt" strokecolor="#000000">
            <v:stroke dashstyle="solid"/>
            <w10:wrap type="none"/>
          </v:line>
        </w:pict>
      </w:r>
      <w:r>
        <w:rPr>
          <w:strike/>
          <w:color w:val="2E97D3"/>
        </w:rPr>
        <w:t>3.</w:t>
      </w:r>
      <w:r>
        <w:rPr>
          <w:strike w:val="0"/>
          <w:color w:val="2E97D3"/>
          <w:u w:val="single" w:color="2E97D3"/>
        </w:rPr>
        <w:t>c.</w:t>
        <w:tab/>
      </w:r>
      <w:r>
        <w:rPr>
          <w:strike/>
          <w:color w:val="2E97D3"/>
        </w:rPr>
        <w:t>SCO</w:t>
      </w:r>
      <w:r>
        <w:rPr>
          <w:strike w:val="0"/>
          <w:color w:val="2E97D3"/>
          <w:u w:val="single" w:color="2E97D3"/>
        </w:rPr>
        <w:t>The State Controller’s Office </w:t>
      </w:r>
      <w:r>
        <w:rPr>
          <w:strike w:val="0"/>
        </w:rPr>
        <w:t>and the State Auditor participate in</w:t>
      </w:r>
      <w:r>
        <w:rPr>
          <w:strike w:val="0"/>
          <w:spacing w:val="-30"/>
        </w:rPr>
        <w:t> </w:t>
      </w:r>
      <w:r>
        <w:rPr>
          <w:strike w:val="0"/>
        </w:rPr>
        <w:t>the</w:t>
      </w:r>
      <w:r>
        <w:rPr>
          <w:strike w:val="0"/>
          <w:spacing w:val="-5"/>
        </w:rPr>
        <w:t> </w:t>
      </w:r>
      <w:r>
        <w:rPr>
          <w:strike w:val="0"/>
        </w:rPr>
        <w:t>due</w:t>
      </w:r>
      <w:r>
        <w:rPr>
          <w:strike w:val="0"/>
          <w:w w:val="99"/>
        </w:rPr>
        <w:t> </w:t>
      </w:r>
      <w:r>
        <w:rPr>
          <w:strike w:val="0"/>
        </w:rPr>
        <w:t>diligence process and provide certain financial information necessary for General Fund disclosure </w:t>
      </w:r>
      <w:r>
        <w:rPr>
          <w:strike w:val="0"/>
          <w:color w:val="2E97D3"/>
          <w:u w:val="single" w:color="2E97D3"/>
        </w:rPr>
        <w:t>in Appendix</w:t>
      </w:r>
      <w:r>
        <w:rPr>
          <w:strike w:val="0"/>
          <w:color w:val="2E97D3"/>
          <w:spacing w:val="-15"/>
          <w:u w:val="single" w:color="2E97D3"/>
        </w:rPr>
        <w:t> </w:t>
      </w:r>
      <w:r>
        <w:rPr>
          <w:strike w:val="0"/>
          <w:color w:val="2E97D3"/>
          <w:u w:val="single" w:color="2E97D3"/>
        </w:rPr>
        <w:t>A</w:t>
      </w:r>
      <w:r>
        <w:rPr>
          <w:strike w:val="0"/>
        </w:rPr>
        <w:t>.</w:t>
      </w:r>
    </w:p>
    <w:p>
      <w:pPr>
        <w:pStyle w:val="BodyText"/>
        <w:spacing w:before="9"/>
        <w:rPr>
          <w:sz w:val="20"/>
        </w:rPr>
      </w:pPr>
    </w:p>
    <w:p>
      <w:pPr>
        <w:pStyle w:val="BodyText"/>
        <w:tabs>
          <w:tab w:pos="2126" w:val="left" w:leader="none"/>
        </w:tabs>
        <w:spacing w:before="1"/>
        <w:ind w:left="1406" w:right="383" w:hanging="360"/>
      </w:pPr>
      <w:r>
        <w:rPr/>
        <w:pict>
          <v:line style="position:absolute;mso-position-horizontal-relative:page;mso-position-vertical-relative:paragraph;z-index:34648" from="29.4pt,14.065866pt" to="29.4pt,27.865866pt" stroked="true" strokeweight=".72pt" strokecolor="#000000">
            <v:stroke dashstyle="solid"/>
            <w10:wrap type="none"/>
          </v:line>
        </w:pict>
      </w:r>
      <w:r>
        <w:rPr>
          <w:strike/>
          <w:color w:val="2E97D3"/>
        </w:rPr>
        <w:t>4.</w:t>
      </w:r>
      <w:r>
        <w:rPr>
          <w:strike w:val="0"/>
          <w:color w:val="2E97D3"/>
          <w:u w:val="single" w:color="2E97D3"/>
        </w:rPr>
        <w:t>d.</w:t>
        <w:tab/>
      </w:r>
      <w:r>
        <w:rPr>
          <w:strike w:val="0"/>
        </w:rPr>
        <w:t>The State Attorney General’s Office also participates in the</w:t>
      </w:r>
      <w:r>
        <w:rPr>
          <w:strike w:val="0"/>
          <w:spacing w:val="-28"/>
        </w:rPr>
        <w:t> </w:t>
      </w:r>
      <w:r>
        <w:rPr>
          <w:strike w:val="0"/>
        </w:rPr>
        <w:t>due</w:t>
      </w:r>
      <w:r>
        <w:rPr>
          <w:strike w:val="0"/>
          <w:spacing w:val="-4"/>
        </w:rPr>
        <w:t> </w:t>
      </w:r>
      <w:r>
        <w:rPr>
          <w:strike w:val="0"/>
        </w:rPr>
        <w:t>diligence</w:t>
      </w:r>
      <w:r>
        <w:rPr>
          <w:strike w:val="0"/>
          <w:w w:val="99"/>
        </w:rPr>
        <w:t> </w:t>
      </w:r>
      <w:r>
        <w:rPr>
          <w:strike w:val="0"/>
        </w:rPr>
        <w:t>process and, together with bond counsel, provides a </w:t>
      </w:r>
      <w:r>
        <w:rPr>
          <w:strike/>
          <w:color w:val="2E97D3"/>
        </w:rPr>
        <w:t>legal</w:t>
      </w:r>
      <w:r>
        <w:rPr>
          <w:strike w:val="0"/>
          <w:color w:val="2E97D3"/>
          <w:u w:val="single" w:color="2E97D3"/>
        </w:rPr>
        <w:t>validity </w:t>
      </w:r>
      <w:r>
        <w:rPr>
          <w:strike w:val="0"/>
        </w:rPr>
        <w:t>opinion </w:t>
      </w:r>
      <w:r>
        <w:rPr>
          <w:strike/>
          <w:color w:val="2E97D3"/>
        </w:rPr>
        <w:t>required </w:t>
      </w:r>
      <w:r>
        <w:rPr>
          <w:strike w:val="0"/>
        </w:rPr>
        <w:t>for the issuance of the</w:t>
      </w:r>
      <w:r>
        <w:rPr>
          <w:strike w:val="0"/>
          <w:spacing w:val="-11"/>
        </w:rPr>
        <w:t> </w:t>
      </w:r>
      <w:r>
        <w:rPr>
          <w:strike w:val="0"/>
        </w:rPr>
        <w:t>bonds.</w:t>
      </w:r>
    </w:p>
    <w:p>
      <w:pPr>
        <w:pStyle w:val="BodyText"/>
        <w:spacing w:before="10"/>
        <w:rPr>
          <w:sz w:val="20"/>
        </w:rPr>
      </w:pPr>
    </w:p>
    <w:p>
      <w:pPr>
        <w:pStyle w:val="BodyText"/>
        <w:ind w:left="1406" w:hanging="360"/>
      </w:pPr>
      <w:r>
        <w:rPr/>
        <w:pict>
          <v:line style="position:absolute;mso-position-horizontal-relative:page;mso-position-vertical-relative:paragraph;z-index:34672" from="29.4pt,.215858pt" to="29.4pt,27.815858pt" stroked="true" strokeweight=".72pt" strokecolor="#000000">
            <v:stroke dashstyle="solid"/>
            <w10:wrap type="none"/>
          </v:line>
        </w:pict>
      </w:r>
      <w:r>
        <w:rPr>
          <w:color w:val="2E97D3"/>
          <w:u w:val="single" w:color="2E97D3"/>
        </w:rPr>
        <w:t>e. </w:t>
      </w:r>
      <w:r>
        <w:rPr>
          <w:strike/>
          <w:color w:val="2E97D3"/>
        </w:rPr>
        <w:t>If the</w:t>
      </w:r>
      <w:r>
        <w:rPr>
          <w:strike w:val="0"/>
          <w:color w:val="2E97D3"/>
          <w:u w:val="single" w:color="2E97D3"/>
        </w:rPr>
        <w:t>During a </w:t>
      </w:r>
      <w:r>
        <w:rPr>
          <w:strike w:val="0"/>
        </w:rPr>
        <w:t>bond sale </w:t>
      </w:r>
      <w:r>
        <w:rPr>
          <w:strike/>
          <w:color w:val="2E97D3"/>
        </w:rPr>
        <w:t>is for a DGS-managed project, DGS provides</w:t>
      </w:r>
      <w:r>
        <w:rPr>
          <w:strike w:val="0"/>
          <w:color w:val="2E97D3"/>
          <w:u w:val="single" w:color="2E97D3"/>
        </w:rPr>
        <w:t>, departments provide </w:t>
      </w:r>
      <w:r>
        <w:rPr>
          <w:strike w:val="0"/>
        </w:rPr>
        <w:t>project time tables, </w:t>
      </w:r>
      <w:r>
        <w:rPr>
          <w:strike/>
          <w:color w:val="2E97D3"/>
        </w:rPr>
        <w:t>makes</w:t>
      </w:r>
      <w:r>
        <w:rPr>
          <w:strike w:val="0"/>
          <w:color w:val="2E97D3"/>
          <w:u w:val="single" w:color="2E97D3"/>
        </w:rPr>
        <w:t>make </w:t>
      </w:r>
      <w:r>
        <w:rPr>
          <w:strike w:val="0"/>
        </w:rPr>
        <w:t>recommendations to PWB/</w:t>
      </w:r>
      <w:r>
        <w:rPr>
          <w:strike/>
          <w:color w:val="2E97D3"/>
        </w:rPr>
        <w:t>DOF</w:t>
      </w:r>
      <w:r>
        <w:rPr>
          <w:strike w:val="0"/>
          <w:color w:val="2E97D3"/>
          <w:u w:val="single" w:color="2E97D3"/>
        </w:rPr>
        <w:t>Finance </w:t>
      </w:r>
      <w:r>
        <w:rPr>
          <w:strike w:val="0"/>
        </w:rPr>
        <w:t>on</w:t>
      </w:r>
    </w:p>
    <w:p>
      <w:pPr>
        <w:spacing w:after="0"/>
        <w:sectPr>
          <w:pgSz w:w="12240" w:h="15840"/>
          <w:pgMar w:header="726" w:footer="792" w:top="980" w:bottom="980" w:left="480" w:right="1320"/>
        </w:sectPr>
      </w:pPr>
    </w:p>
    <w:p>
      <w:pPr>
        <w:pStyle w:val="BodyText"/>
        <w:rPr>
          <w:sz w:val="20"/>
        </w:rPr>
      </w:pPr>
    </w:p>
    <w:p>
      <w:pPr>
        <w:pStyle w:val="BodyText"/>
        <w:spacing w:before="211"/>
        <w:ind w:left="1406" w:right="395"/>
      </w:pPr>
      <w:r>
        <w:rPr/>
        <w:pict>
          <v:line style="position:absolute;mso-position-horizontal-relative:page;mso-position-vertical-relative:paragraph;z-index:34744" from="29.4pt,10.765882pt" to="29.4pt,291.925882pt" stroked="true" strokeweight=".72pt" strokecolor="#000000">
            <v:stroke dashstyle="solid"/>
            <w10:wrap type="none"/>
          </v:line>
        </w:pict>
      </w:r>
      <w:r>
        <w:rPr/>
        <w:t>bond sizing, </w:t>
      </w:r>
      <w:r>
        <w:rPr>
          <w:strike/>
          <w:color w:val="2E97D3"/>
        </w:rPr>
        <w:t>participates</w:t>
      </w:r>
      <w:r>
        <w:rPr>
          <w:strike w:val="0"/>
          <w:color w:val="2E97D3"/>
          <w:u w:val="single" w:color="2E97D3"/>
        </w:rPr>
        <w:t>participate </w:t>
      </w:r>
      <w:r>
        <w:rPr>
          <w:strike w:val="0"/>
        </w:rPr>
        <w:t>in due diligence meetings, and </w:t>
      </w:r>
      <w:r>
        <w:rPr>
          <w:strike/>
          <w:color w:val="2E97D3"/>
        </w:rPr>
        <w:t>keeps</w:t>
      </w:r>
      <w:r>
        <w:rPr>
          <w:strike w:val="0"/>
          <w:color w:val="2E97D3"/>
          <w:u w:val="single" w:color="2E97D3"/>
        </w:rPr>
        <w:t>keep the </w:t>
      </w:r>
      <w:r>
        <w:rPr>
          <w:strike w:val="0"/>
        </w:rPr>
        <w:t>PWB, </w:t>
      </w:r>
      <w:r>
        <w:rPr>
          <w:strike/>
          <w:color w:val="2E97D3"/>
        </w:rPr>
        <w:t>DOF</w:t>
      </w:r>
      <w:r>
        <w:rPr>
          <w:strike w:val="0"/>
          <w:color w:val="2E97D3"/>
          <w:u w:val="single" w:color="2E97D3"/>
        </w:rPr>
        <w:t>Finance, </w:t>
      </w:r>
      <w:r>
        <w:rPr>
          <w:strike w:val="0"/>
        </w:rPr>
        <w:t>and STO informed of any events with material impact on </w:t>
      </w:r>
      <w:r>
        <w:rPr>
          <w:strike w:val="0"/>
          <w:color w:val="2E97D3"/>
          <w:u w:val="single" w:color="2E97D3"/>
        </w:rPr>
        <w:t>the </w:t>
      </w:r>
      <w:r>
        <w:rPr>
          <w:strike w:val="0"/>
        </w:rPr>
        <w:t>project status or budget.</w:t>
      </w:r>
    </w:p>
    <w:p>
      <w:pPr>
        <w:pStyle w:val="BodyText"/>
        <w:rPr>
          <w:sz w:val="26"/>
        </w:rPr>
      </w:pPr>
    </w:p>
    <w:p>
      <w:pPr>
        <w:pStyle w:val="BodyText"/>
        <w:spacing w:before="2"/>
        <w:rPr>
          <w:sz w:val="29"/>
        </w:rPr>
      </w:pPr>
    </w:p>
    <w:p>
      <w:pPr>
        <w:pStyle w:val="BodyText"/>
        <w:spacing w:line="343" w:lineRule="auto" w:before="1"/>
        <w:ind w:left="686" w:right="8479"/>
      </w:pPr>
      <w:r>
        <w:rPr>
          <w:color w:val="2C6234"/>
          <w:u w:val="thick" w:color="2C6234"/>
        </w:rPr>
        <w:t>(Continued) (Continued)</w:t>
      </w:r>
    </w:p>
    <w:p>
      <w:pPr>
        <w:pStyle w:val="Heading2"/>
        <w:spacing w:before="7"/>
        <w:ind w:left="686"/>
      </w:pPr>
      <w:r>
        <w:rPr>
          <w:color w:val="2C6234"/>
          <w:u w:val="thick" w:color="2C6234"/>
        </w:rPr>
        <w:t>STATE PUBLIC WORKS BOARD (PWB)</w:t>
      </w:r>
    </w:p>
    <w:p>
      <w:pPr>
        <w:tabs>
          <w:tab w:pos="8783" w:val="left" w:leader="none"/>
        </w:tabs>
        <w:spacing w:before="38"/>
        <w:ind w:left="686" w:right="0" w:firstLine="0"/>
        <w:jc w:val="left"/>
        <w:rPr>
          <w:sz w:val="24"/>
        </w:rPr>
      </w:pPr>
      <w:r>
        <w:rPr/>
        <w:pict>
          <v:group style="position:absolute;margin-left:58.02pt;margin-top:13.635867pt;width:482.2pt;height:2.2pt;mso-position-horizontal-relative:page;mso-position-vertical-relative:paragraph;z-index:-437968" coordorigin="1160,273" coordsize="9644,44">
            <v:line style="position:absolute" from="1166,279" to="10798,279" stroked="true" strokeweight=".6pt" strokecolor="#2c6234">
              <v:stroke dashstyle="solid"/>
            </v:line>
            <v:line style="position:absolute" from="1166,310" to="10798,310" stroked="true" strokeweight=".599pt" strokecolor="#2c6234">
              <v:stroke dashstyle="solid"/>
            </v:line>
            <w10:wrap type="none"/>
          </v:group>
        </w:pict>
      </w:r>
      <w:r>
        <w:rPr>
          <w:b/>
          <w:color w:val="2C6234"/>
          <w:sz w:val="24"/>
        </w:rPr>
        <w:t>LEASE-REVENUE</w:t>
      </w:r>
      <w:r>
        <w:rPr>
          <w:b/>
          <w:color w:val="2C6234"/>
          <w:spacing w:val="-4"/>
          <w:sz w:val="24"/>
        </w:rPr>
        <w:t> </w:t>
      </w:r>
      <w:r>
        <w:rPr>
          <w:b/>
          <w:color w:val="2C6234"/>
          <w:sz w:val="24"/>
        </w:rPr>
        <w:t>BOND</w:t>
      </w:r>
      <w:r>
        <w:rPr>
          <w:b/>
          <w:color w:val="2C6234"/>
          <w:spacing w:val="-5"/>
          <w:sz w:val="24"/>
        </w:rPr>
        <w:t> </w:t>
      </w:r>
      <w:r>
        <w:rPr>
          <w:b/>
          <w:color w:val="2C6234"/>
          <w:sz w:val="24"/>
        </w:rPr>
        <w:t>PROGRAMS</w:t>
        <w:tab/>
        <w:t>6873 </w:t>
      </w:r>
      <w:r>
        <w:rPr>
          <w:color w:val="2C6234"/>
          <w:sz w:val="24"/>
        </w:rPr>
        <w:t>(Cont.</w:t>
      </w:r>
      <w:r>
        <w:rPr>
          <w:color w:val="2C6234"/>
          <w:spacing w:val="-6"/>
          <w:sz w:val="24"/>
        </w:rPr>
        <w:t> </w:t>
      </w:r>
      <w:r>
        <w:rPr>
          <w:color w:val="2C6234"/>
          <w:sz w:val="24"/>
        </w:rPr>
        <w:t>1)</w:t>
      </w:r>
    </w:p>
    <w:p>
      <w:pPr>
        <w:pStyle w:val="BodyText"/>
        <w:ind w:left="686"/>
      </w:pPr>
      <w:r>
        <w:rPr>
          <w:strike/>
          <w:color w:val="2E97D3"/>
        </w:rPr>
        <w:t>If DGS </w:t>
      </w:r>
      <w:r>
        <w:rPr>
          <w:strike w:val="0"/>
          <w:color w:val="2E97D3"/>
          <w:u w:val="single" w:color="2E97D3"/>
        </w:rPr>
        <w:t>(Revised 09/2017)</w:t>
      </w:r>
    </w:p>
    <w:p>
      <w:pPr>
        <w:pStyle w:val="BodyText"/>
        <w:spacing w:before="10"/>
        <w:rPr>
          <w:sz w:val="20"/>
        </w:rPr>
      </w:pPr>
    </w:p>
    <w:p>
      <w:pPr>
        <w:pStyle w:val="BodyText"/>
        <w:ind w:left="1406" w:hanging="360"/>
      </w:pPr>
      <w:r>
        <w:rPr/>
        <w:pict>
          <v:line style="position:absolute;mso-position-horizontal-relative:page;mso-position-vertical-relative:paragraph;z-index:-437944" from="383.880005pt,8.435830pt" to="387.241005pt,8.435830pt" stroked="true" strokeweight=".6pt" strokecolor="#2e97d3">
            <v:stroke dashstyle="solid"/>
            <w10:wrap type="none"/>
          </v:line>
        </w:pict>
      </w:r>
      <w:r>
        <w:rPr>
          <w:strike/>
          <w:color w:val="2E97D3"/>
        </w:rPr>
        <w:t>5.</w:t>
      </w:r>
      <w:r>
        <w:rPr>
          <w:strike w:val="0"/>
          <w:color w:val="2E97D3"/>
          <w:u w:val="single" w:color="2E97D3"/>
        </w:rPr>
        <w:t>f. The department </w:t>
      </w:r>
      <w:r>
        <w:rPr>
          <w:strike w:val="0"/>
        </w:rPr>
        <w:t>manages the facility after construction</w:t>
      </w:r>
      <w:r>
        <w:rPr>
          <w:strike w:val="0"/>
          <w:color w:val="2E97D3"/>
        </w:rPr>
        <w:t>, </w:t>
      </w:r>
      <w:r>
        <w:rPr>
          <w:strike w:val="0"/>
          <w:color w:val="2E97D3"/>
          <w:u w:val="single" w:color="2E97D3"/>
        </w:rPr>
        <w:t>and </w:t>
      </w:r>
      <w:r>
        <w:rPr>
          <w:strike w:val="0"/>
        </w:rPr>
        <w:t>it is responsible for obtaining rental interruption, casualty (fire) </w:t>
      </w:r>
      <w:r>
        <w:rPr>
          <w:strike/>
          <w:color w:val="2E97D3"/>
        </w:rPr>
        <w:t>and liability </w:t>
      </w:r>
      <w:r>
        <w:rPr>
          <w:strike w:val="0"/>
        </w:rPr>
        <w:t>insurance</w:t>
      </w:r>
      <w:r>
        <w:rPr>
          <w:strike/>
          <w:color w:val="2E97D3"/>
        </w:rPr>
        <w:t>. (Otherwise, the owning department is responsible for obtaining this insurance.) </w:t>
      </w:r>
      <w:r>
        <w:rPr>
          <w:strike w:val="0"/>
          <w:color w:val="2E97D3"/>
          <w:u w:val="single" w:color="2E97D3"/>
        </w:rPr>
        <w:t>per facility-lease requirements.</w:t>
      </w:r>
    </w:p>
    <w:p>
      <w:pPr>
        <w:pStyle w:val="BodyText"/>
        <w:spacing w:before="9"/>
        <w:rPr>
          <w:sz w:val="20"/>
        </w:rPr>
      </w:pPr>
    </w:p>
    <w:p>
      <w:pPr>
        <w:pStyle w:val="BodyText"/>
        <w:ind w:left="686"/>
      </w:pPr>
      <w:r>
        <w:rPr>
          <w:strike/>
          <w:color w:val="2E97D3"/>
        </w:rPr>
        <w:t>(Continued)</w:t>
      </w:r>
    </w:p>
    <w:p>
      <w:pPr>
        <w:spacing w:after="0"/>
        <w:sectPr>
          <w:pgSz w:w="12240" w:h="15840"/>
          <w:pgMar w:header="726" w:footer="792" w:top="980" w:bottom="980" w:left="480" w:right="1320"/>
        </w:sectPr>
      </w:pPr>
    </w:p>
    <w:p>
      <w:pPr>
        <w:pStyle w:val="BodyText"/>
        <w:rPr>
          <w:sz w:val="20"/>
        </w:rPr>
      </w:pPr>
    </w:p>
    <w:p>
      <w:pPr>
        <w:pStyle w:val="BodyText"/>
        <w:spacing w:before="211"/>
        <w:ind w:left="686"/>
        <w:jc w:val="both"/>
      </w:pPr>
      <w:r>
        <w:rPr/>
        <w:pict>
          <v:line style="position:absolute;mso-position-horizontal-relative:page;mso-position-vertical-relative:paragraph;z-index:34816" from="29.4pt,10.765882pt" to="29.4pt,113.365882pt" stroked="true" strokeweight=".72pt" strokecolor="#000000">
            <v:stroke dashstyle="solid"/>
            <w10:wrap type="none"/>
          </v:line>
        </w:pict>
      </w:r>
      <w:r>
        <w:rPr>
          <w:strike/>
          <w:color w:val="2E97D3"/>
        </w:rPr>
        <w:t>(Continued)</w:t>
      </w:r>
    </w:p>
    <w:p>
      <w:pPr>
        <w:pStyle w:val="Heading2"/>
        <w:ind w:left="686"/>
        <w:jc w:val="both"/>
      </w:pPr>
      <w:r>
        <w:rPr>
          <w:strike/>
          <w:color w:val="2E97D3"/>
        </w:rPr>
        <w:t>STATE PUBLIC WORKS BOARD (PWB)</w:t>
      </w:r>
    </w:p>
    <w:p>
      <w:pPr>
        <w:tabs>
          <w:tab w:pos="8783" w:val="left" w:leader="none"/>
        </w:tabs>
        <w:spacing w:before="0"/>
        <w:ind w:left="686" w:right="116" w:firstLine="0"/>
        <w:jc w:val="left"/>
        <w:rPr>
          <w:sz w:val="24"/>
        </w:rPr>
      </w:pPr>
      <w:r>
        <w:rPr/>
        <w:pict>
          <v:line style="position:absolute;mso-position-horizontal-relative:page;mso-position-vertical-relative:paragraph;z-index:-437896" from="58.32pt,8.436345pt" to="539.88pt,8.436345pt" stroked="true" strokeweight=".599pt" strokecolor="#2e97d3">
            <v:stroke dashstyle="solid"/>
            <w10:wrap type="none"/>
          </v:line>
        </w:pict>
      </w:r>
      <w:r>
        <w:rPr>
          <w:b/>
          <w:color w:val="2E97D3"/>
          <w:sz w:val="24"/>
        </w:rPr>
        <w:t>LEASE-REVENUE</w:t>
      </w:r>
      <w:r>
        <w:rPr>
          <w:b/>
          <w:color w:val="2E97D3"/>
          <w:spacing w:val="-4"/>
          <w:sz w:val="24"/>
        </w:rPr>
        <w:t> </w:t>
      </w:r>
      <w:r>
        <w:rPr>
          <w:b/>
          <w:color w:val="2E97D3"/>
          <w:sz w:val="24"/>
        </w:rPr>
        <w:t>BOND</w:t>
      </w:r>
      <w:r>
        <w:rPr>
          <w:b/>
          <w:color w:val="2E97D3"/>
          <w:spacing w:val="-5"/>
          <w:sz w:val="24"/>
        </w:rPr>
        <w:t> </w:t>
      </w:r>
      <w:r>
        <w:rPr>
          <w:b/>
          <w:color w:val="2E97D3"/>
          <w:sz w:val="24"/>
        </w:rPr>
        <w:t>PROGRAMS</w:t>
        <w:tab/>
        <w:t>6873</w:t>
      </w:r>
      <w:r>
        <w:rPr>
          <w:b/>
          <w:color w:val="2E97D3"/>
          <w:spacing w:val="-2"/>
          <w:sz w:val="24"/>
        </w:rPr>
        <w:t> </w:t>
      </w:r>
      <w:r>
        <w:rPr>
          <w:color w:val="2E97D3"/>
          <w:sz w:val="24"/>
        </w:rPr>
        <w:t>(Cont.</w:t>
      </w:r>
      <w:r>
        <w:rPr>
          <w:color w:val="2E97D3"/>
          <w:spacing w:val="-5"/>
          <w:sz w:val="24"/>
        </w:rPr>
        <w:t> </w:t>
      </w:r>
      <w:r>
        <w:rPr>
          <w:color w:val="2E97D3"/>
          <w:sz w:val="24"/>
        </w:rPr>
        <w:t>2)</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tabs>
          <w:tab w:pos="2126" w:val="left" w:leader="none"/>
        </w:tabs>
        <w:spacing w:before="119"/>
        <w:ind w:left="1406" w:right="130" w:hanging="360"/>
      </w:pPr>
      <w:r>
        <w:rPr/>
        <w:pict>
          <v:line style="position:absolute;mso-position-horizontal-relative:page;mso-position-vertical-relative:paragraph;z-index:-437872" from="146.399994pt,69.585869pt" to="149.759994pt,69.585869pt" stroked="true" strokeweight=".6pt" strokecolor="#2e97d3">
            <v:stroke dashstyle="solid"/>
            <w10:wrap type="none"/>
          </v:line>
        </w:pict>
      </w:r>
      <w:r>
        <w:rPr/>
        <w:pict>
          <v:line style="position:absolute;mso-position-horizontal-relative:page;mso-position-vertical-relative:paragraph;z-index:34840" from="29.4pt,61.365868pt" to="29.4pt,181.965868pt" stroked="true" strokeweight=".72pt" strokecolor="#000000">
            <v:stroke dashstyle="solid"/>
            <w10:wrap type="none"/>
          </v:line>
        </w:pict>
      </w:r>
      <w:r>
        <w:rPr>
          <w:strike/>
          <w:color w:val="2E97D3"/>
        </w:rPr>
        <w:t>6.</w:t>
      </w:r>
      <w:r>
        <w:rPr>
          <w:strike w:val="0"/>
          <w:color w:val="2E97D3"/>
          <w:u w:val="single" w:color="2E97D3"/>
        </w:rPr>
        <w:t>g.</w:t>
        <w:tab/>
        <w:t>The </w:t>
      </w:r>
      <w:r>
        <w:rPr>
          <w:strike w:val="0"/>
        </w:rPr>
        <w:t>STO is the agent for sale </w:t>
      </w:r>
      <w:r>
        <w:rPr>
          <w:strike/>
          <w:color w:val="2E97D3"/>
        </w:rPr>
        <w:t>and the trustee </w:t>
      </w:r>
      <w:r>
        <w:rPr>
          <w:strike w:val="0"/>
        </w:rPr>
        <w:t>of PWB bonds,</w:t>
      </w:r>
      <w:r>
        <w:rPr>
          <w:strike w:val="0"/>
          <w:spacing w:val="-27"/>
        </w:rPr>
        <w:t> </w:t>
      </w:r>
      <w:r>
        <w:rPr>
          <w:strike w:val="0"/>
        </w:rPr>
        <w:t>with</w:t>
      </w:r>
      <w:r>
        <w:rPr>
          <w:strike w:val="0"/>
          <w:spacing w:val="-1"/>
        </w:rPr>
        <w:t> </w:t>
      </w:r>
      <w:r>
        <w:rPr>
          <w:strike w:val="0"/>
        </w:rPr>
        <w:t>all</w:t>
      </w:r>
      <w:r>
        <w:rPr>
          <w:strike w:val="0"/>
          <w:w w:val="99"/>
        </w:rPr>
        <w:t> </w:t>
      </w:r>
      <w:r>
        <w:rPr>
          <w:strike w:val="0"/>
        </w:rPr>
        <w:t>associated rights and responsibilities including appointment of the </w:t>
      </w:r>
      <w:r>
        <w:rPr>
          <w:strike/>
          <w:color w:val="2E97D3"/>
        </w:rPr>
        <w:t>underwriting team,</w:t>
      </w:r>
      <w:r>
        <w:rPr>
          <w:strike w:val="0"/>
          <w:color w:val="2E97D3"/>
          <w:u w:val="single" w:color="2E97D3"/>
        </w:rPr>
        <w:t>underwriter(s), </w:t>
      </w:r>
      <w:r>
        <w:rPr>
          <w:strike w:val="0"/>
        </w:rPr>
        <w:t>setting the bond sale date, organizing </w:t>
      </w:r>
      <w:r>
        <w:rPr>
          <w:strike w:val="0"/>
          <w:color w:val="2E97D3"/>
          <w:u w:val="single" w:color="2E97D3"/>
        </w:rPr>
        <w:t>document review </w:t>
      </w:r>
      <w:r>
        <w:rPr>
          <w:strike w:val="0"/>
        </w:rPr>
        <w:t>meetings and due diligence associated with the sale, securing ratings and bond insurance</w:t>
      </w:r>
      <w:r>
        <w:rPr>
          <w:strike w:val="0"/>
          <w:color w:val="2E97D3"/>
        </w:rPr>
        <w:t>, </w:t>
      </w:r>
      <w:r>
        <w:rPr>
          <w:strike w:val="0"/>
          <w:color w:val="2E97D3"/>
          <w:u w:val="single" w:color="2E97D3"/>
        </w:rPr>
        <w:t>(if any), </w:t>
      </w:r>
      <w:r>
        <w:rPr>
          <w:strike w:val="0"/>
        </w:rPr>
        <w:t>and pricing.  </w:t>
      </w:r>
      <w:r>
        <w:rPr>
          <w:strike w:val="0"/>
          <w:color w:val="2E97D3"/>
          <w:u w:val="single" w:color="2E97D3"/>
        </w:rPr>
        <w:t>The </w:t>
      </w:r>
      <w:r>
        <w:rPr>
          <w:strike w:val="0"/>
        </w:rPr>
        <w:t>STO coordinates continuing disclosure for PWB issues. </w:t>
      </w:r>
      <w:r>
        <w:rPr>
          <w:strike/>
          <w:color w:val="2E97D3"/>
        </w:rPr>
        <w:t>By policy,</w:t>
      </w:r>
      <w:r>
        <w:rPr>
          <w:strike w:val="0"/>
          <w:color w:val="2E97D3"/>
          <w:u w:val="single" w:color="2E97D3"/>
        </w:rPr>
        <w:t>The PWB’s current practice is to use </w:t>
      </w:r>
      <w:r>
        <w:rPr>
          <w:strike w:val="0"/>
        </w:rPr>
        <w:t>the </w:t>
      </w:r>
      <w:r>
        <w:rPr>
          <w:strike/>
          <w:color w:val="2E97D3"/>
        </w:rPr>
        <w:t>board has delegated to </w:t>
      </w:r>
      <w:r>
        <w:rPr>
          <w:strike w:val="0"/>
        </w:rPr>
        <w:t>STO </w:t>
      </w:r>
      <w:r>
        <w:rPr>
          <w:strike w:val="0"/>
          <w:color w:val="2E97D3"/>
          <w:u w:val="single" w:color="2E97D3"/>
        </w:rPr>
        <w:t>as a trustee of </w:t>
      </w:r>
      <w:r>
        <w:rPr>
          <w:strike w:val="0"/>
        </w:rPr>
        <w:t>the </w:t>
      </w:r>
      <w:r>
        <w:rPr>
          <w:strike/>
          <w:color w:val="2E97D3"/>
        </w:rPr>
        <w:t>appointment of </w:t>
      </w:r>
      <w:r>
        <w:rPr>
          <w:strike w:val="0"/>
          <w:color w:val="2E97D3"/>
          <w:u w:val="single" w:color="2E97D3"/>
        </w:rPr>
        <w:t>PWB bonds and allow the STO to appoint </w:t>
      </w:r>
      <w:r>
        <w:rPr>
          <w:strike w:val="0"/>
        </w:rPr>
        <w:t>bond counsel and </w:t>
      </w:r>
      <w:r>
        <w:rPr>
          <w:strike/>
          <w:color w:val="2E97D3"/>
        </w:rPr>
        <w:t>the selection of</w:t>
      </w:r>
      <w:r>
        <w:rPr>
          <w:strike w:val="0"/>
          <w:color w:val="2E97D3"/>
          <w:u w:val="single" w:color="2E97D3"/>
        </w:rPr>
        <w:t>to select a </w:t>
      </w:r>
      <w:r>
        <w:rPr>
          <w:strike w:val="0"/>
        </w:rPr>
        <w:t>financial advisory services </w:t>
      </w:r>
      <w:r>
        <w:rPr>
          <w:strike w:val="0"/>
          <w:color w:val="2E97D3"/>
          <w:u w:val="single" w:color="2E97D3"/>
        </w:rPr>
        <w:t>provider </w:t>
      </w:r>
      <w:r>
        <w:rPr>
          <w:strike w:val="0"/>
        </w:rPr>
        <w:t>related to sales</w:t>
      </w:r>
      <w:r>
        <w:rPr>
          <w:strike w:val="0"/>
          <w:spacing w:val="-22"/>
        </w:rPr>
        <w:t> </w:t>
      </w:r>
      <w:r>
        <w:rPr>
          <w:strike w:val="0"/>
        </w:rPr>
        <w:t>activities.</w:t>
      </w:r>
    </w:p>
    <w:p>
      <w:pPr>
        <w:pStyle w:val="BodyText"/>
        <w:spacing w:before="9"/>
        <w:rPr>
          <w:sz w:val="20"/>
        </w:rPr>
      </w:pPr>
    </w:p>
    <w:p>
      <w:pPr>
        <w:pStyle w:val="BodyText"/>
        <w:ind w:left="686"/>
        <w:jc w:val="both"/>
      </w:pPr>
      <w:r>
        <w:rPr>
          <w:strike/>
          <w:color w:val="2E97D3"/>
        </w:rPr>
        <w:t>7.  The client department has responsibilities as summarized in Section 6886.</w:t>
      </w:r>
    </w:p>
    <w:p>
      <w:pPr>
        <w:pStyle w:val="BodyText"/>
        <w:spacing w:before="9"/>
        <w:rPr>
          <w:sz w:val="20"/>
        </w:rPr>
      </w:pPr>
    </w:p>
    <w:p>
      <w:pPr>
        <w:pStyle w:val="BodyText"/>
        <w:ind w:left="686" w:right="452"/>
        <w:jc w:val="both"/>
      </w:pPr>
      <w:r>
        <w:rPr/>
        <w:t>Fiscal information generic to lease-revenue bonds is found in Section 6872. </w:t>
      </w:r>
      <w:r>
        <w:rPr>
          <w:color w:val="2E97D3"/>
          <w:u w:val="single" w:color="2E97D3"/>
        </w:rPr>
        <w:t>The </w:t>
      </w:r>
      <w:r>
        <w:rPr/>
        <w:t>PWB oversight of lease-revenue projects is described in the portion of this chapter on project administration (Sections 6840–6869). Lease requirements for lease-revenue bonds are described in Section 6872 and in Section 6876 under the heading “financing leases.”</w:t>
      </w:r>
    </w:p>
    <w:p>
      <w:pPr>
        <w:spacing w:after="0"/>
        <w:jc w:val="both"/>
        <w:sectPr>
          <w:pgSz w:w="12240" w:h="15840"/>
          <w:pgMar w:header="726" w:footer="792" w:top="980" w:bottom="980" w:left="480" w:right="1320"/>
        </w:sectPr>
      </w:pPr>
    </w:p>
    <w:p>
      <w:pPr>
        <w:pStyle w:val="BodyText"/>
        <w:rPr>
          <w:sz w:val="20"/>
        </w:rPr>
      </w:pPr>
    </w:p>
    <w:p>
      <w:pPr>
        <w:pStyle w:val="Heading2"/>
        <w:spacing w:before="211"/>
        <w:ind w:left="686"/>
      </w:pPr>
      <w:r>
        <w:rPr/>
        <w:t>JOINT POWERS AUTHORITY (JPA)</w:t>
      </w:r>
    </w:p>
    <w:p>
      <w:pPr>
        <w:tabs>
          <w:tab w:pos="9784" w:val="left" w:leader="none"/>
        </w:tabs>
        <w:spacing w:before="0"/>
        <w:ind w:left="686" w:right="0" w:firstLine="0"/>
        <w:jc w:val="left"/>
        <w:rPr>
          <w:b/>
          <w:sz w:val="24"/>
        </w:rPr>
      </w:pPr>
      <w:r>
        <w:rPr/>
        <w:pict>
          <v:line style="position:absolute;mso-position-horizontal-relative:page;mso-position-vertical-relative:paragraph;z-index:34864" from="29.4pt,14.015833pt" to="29.4pt,484.295833pt" stroked="true" strokeweight=".72pt" strokecolor="#000000">
            <v:stroke dashstyle="solid"/>
            <w10:wrap type="none"/>
          </v:line>
        </w:pict>
      </w:r>
      <w:r>
        <w:rPr>
          <w:b/>
          <w:sz w:val="24"/>
        </w:rPr>
        <w:t>LEASE-REVENUE</w:t>
      </w:r>
      <w:r>
        <w:rPr>
          <w:b/>
          <w:spacing w:val="-4"/>
          <w:sz w:val="24"/>
        </w:rPr>
        <w:t> </w:t>
      </w:r>
      <w:r>
        <w:rPr>
          <w:b/>
          <w:sz w:val="24"/>
        </w:rPr>
        <w:t>BOND</w:t>
      </w:r>
      <w:r>
        <w:rPr>
          <w:b/>
          <w:spacing w:val="-5"/>
          <w:sz w:val="24"/>
        </w:rPr>
        <w:t> </w:t>
      </w:r>
      <w:r>
        <w:rPr>
          <w:b/>
          <w:sz w:val="24"/>
        </w:rPr>
        <w:t>PROGRAMS</w:t>
        <w:tab/>
        <w:t>6874</w:t>
      </w:r>
    </w:p>
    <w:p>
      <w:pPr>
        <w:pStyle w:val="BodyText"/>
        <w:ind w:left="686"/>
      </w:pPr>
      <w:r>
        <w:rPr>
          <w:strike/>
          <w:color w:val="2E97D3"/>
        </w:rPr>
        <w:t>(New 5/1998)</w:t>
      </w:r>
    </w:p>
    <w:p>
      <w:pPr>
        <w:pStyle w:val="BodyText"/>
        <w:spacing w:before="119"/>
        <w:ind w:left="686" w:right="188"/>
      </w:pPr>
      <w:r>
        <w:rPr>
          <w:strike/>
          <w:color w:val="2E97D3"/>
        </w:rPr>
        <w:t>Government Code Section </w:t>
      </w:r>
      <w:r>
        <w:rPr>
          <w:strike/>
          <w:color w:val="2E97D3"/>
          <w:u w:val="single" w:color="2E97D3"/>
        </w:rPr>
        <w:t>6500 </w:t>
      </w:r>
      <w:r>
        <w:rPr>
          <w:strike/>
          <w:color w:val="2E97D3"/>
        </w:rPr>
        <w:t>et seq. provides for the joint exercise of powers by public agencies. </w:t>
      </w:r>
      <w:r>
        <w:rPr>
          <w:i/>
          <w:strike/>
          <w:color w:val="2E97D3"/>
        </w:rPr>
        <w:t>Public agency </w:t>
      </w:r>
      <w:r>
        <w:rPr>
          <w:strike/>
          <w:color w:val="2E97D3"/>
        </w:rPr>
        <w:t>is broadly defined to include the federal government and its agencies and departments, the state, another state or any state department or agency, as well as cities, and counties and other districts.</w:t>
      </w:r>
    </w:p>
    <w:p>
      <w:pPr>
        <w:pStyle w:val="BodyText"/>
        <w:spacing w:before="196"/>
        <w:ind w:left="686" w:right="121"/>
      </w:pPr>
      <w:r>
        <w:rPr>
          <w:strike/>
          <w:color w:val="2E97D3"/>
        </w:rPr>
        <w:t>The joint powers agreement, which is approved and signed by all government participants, states its purposes and how that purpose will be accomplished or joint powers will be exercised. The agreement may be administered by one or more of the parties, or by a board or commission created specifically for this purpose.</w:t>
      </w:r>
    </w:p>
    <w:p>
      <w:pPr>
        <w:pStyle w:val="BodyText"/>
        <w:spacing w:before="119"/>
        <w:ind w:left="686" w:right="495"/>
        <w:rPr>
          <w:i/>
        </w:rPr>
      </w:pPr>
      <w:r>
        <w:rPr>
          <w:strike/>
          <w:color w:val="2E97D3"/>
        </w:rPr>
        <w:t>The entity created by the joint powers agreement is separate from the parties to the agreement. When vested with specified powers, such as the power to make contracts, hire employees, or construct or operate buildings, the entity may sue and be sued in its own name. However, in general the debts, liabilities and obligations of the JPA will be those of the parties to the agreement, unless the agreement specifies otherwise</w:t>
      </w:r>
      <w:r>
        <w:rPr>
          <w:i/>
          <w:strike/>
          <w:color w:val="2E97D3"/>
        </w:rPr>
        <w:t>.</w:t>
      </w:r>
    </w:p>
    <w:p>
      <w:pPr>
        <w:pStyle w:val="BodyText"/>
        <w:spacing w:before="122"/>
        <w:ind w:left="686" w:right="188"/>
      </w:pPr>
      <w:r>
        <w:rPr>
          <w:strike/>
          <w:color w:val="2E97D3"/>
        </w:rPr>
        <w:t>JPAs have the power to issue revenue bonds—including lease-revenue bonds—for the acquisition, construction, maintenance and operation of specified infrastructure. The power to issue such bonds is described as an “additional” power of the agency, but one to which each of the member agencies must specifically agree. Further, the revenue bonds issued pursuant to this authority are </w:t>
      </w:r>
      <w:r>
        <w:rPr>
          <w:i/>
          <w:strike/>
          <w:color w:val="2E97D3"/>
        </w:rPr>
        <w:t>not </w:t>
      </w:r>
      <w:r>
        <w:rPr>
          <w:strike/>
          <w:color w:val="2E97D3"/>
        </w:rPr>
        <w:t>obligations of the participating members unless there is a specific assumption of liability.</w:t>
      </w:r>
    </w:p>
    <w:p>
      <w:pPr>
        <w:pStyle w:val="BodyText"/>
        <w:spacing w:before="120"/>
        <w:ind w:left="686" w:right="406"/>
      </w:pPr>
      <w:r>
        <w:rPr>
          <w:b/>
          <w:strike/>
          <w:color w:val="2E97D3"/>
        </w:rPr>
        <w:t>State building construction accomplished through state-membership JPAs</w:t>
      </w:r>
      <w:r>
        <w:rPr>
          <w:strike/>
          <w:color w:val="2E97D3"/>
        </w:rPr>
        <w:t>: State building construction and acquisition accomplished through JPAs (where the state is a member of a JPA established specifically for such a purpose) is usually exempted from PWB oversight by the authorizing statute. However, such construction and related financing is subject to DOF’s general powers of financial supervision pursuant to Government Code Section </w:t>
      </w:r>
      <w:r>
        <w:rPr>
          <w:strike/>
          <w:color w:val="2E97D3"/>
          <w:u w:val="single" w:color="2E97D3"/>
        </w:rPr>
        <w:t>13070</w:t>
      </w:r>
      <w:r>
        <w:rPr>
          <w:strike/>
          <w:color w:val="2E97D3"/>
        </w:rPr>
        <w:t>.</w:t>
      </w:r>
    </w:p>
    <w:p>
      <w:pPr>
        <w:pStyle w:val="BodyText"/>
        <w:rPr>
          <w:sz w:val="20"/>
        </w:rPr>
      </w:pPr>
    </w:p>
    <w:p>
      <w:pPr>
        <w:pStyle w:val="BodyText"/>
        <w:rPr>
          <w:sz w:val="17"/>
        </w:rPr>
      </w:pPr>
    </w:p>
    <w:p>
      <w:pPr>
        <w:pStyle w:val="BodyText"/>
        <w:spacing w:before="92"/>
        <w:ind w:left="686"/>
      </w:pPr>
      <w:r>
        <w:rPr>
          <w:strike/>
          <w:color w:val="2E97D3"/>
        </w:rPr>
        <w:t>(Continued)</w:t>
      </w:r>
    </w:p>
    <w:p>
      <w:pPr>
        <w:spacing w:after="0"/>
        <w:sectPr>
          <w:pgSz w:w="12240" w:h="15840"/>
          <w:pgMar w:header="726" w:footer="792" w:top="980" w:bottom="980" w:left="480" w:right="1340"/>
        </w:sectPr>
      </w:pPr>
    </w:p>
    <w:p>
      <w:pPr>
        <w:pStyle w:val="BodyText"/>
        <w:rPr>
          <w:sz w:val="20"/>
        </w:rPr>
      </w:pPr>
      <w:r>
        <w:rPr/>
        <w:pict>
          <v:line style="position:absolute;mso-position-horizontal-relative:page;mso-position-vertical-relative:page;z-index:34936" from="29.4pt,72pt" to="29.4pt,726.36pt" stroked="true" strokeweight=".72pt" strokecolor="#000000">
            <v:stroke dashstyle="solid"/>
            <w10:wrap type="none"/>
          </v:line>
        </w:pict>
      </w:r>
    </w:p>
    <w:p>
      <w:pPr>
        <w:pStyle w:val="BodyText"/>
        <w:spacing w:before="211"/>
        <w:ind w:left="686"/>
      </w:pPr>
      <w:r>
        <w:rPr>
          <w:strike/>
          <w:color w:val="2E97D3"/>
        </w:rPr>
        <w:t>(Continued)</w:t>
      </w:r>
    </w:p>
    <w:p>
      <w:pPr>
        <w:pStyle w:val="Heading2"/>
        <w:ind w:left="686"/>
      </w:pPr>
      <w:r>
        <w:rPr>
          <w:strike/>
          <w:color w:val="2E97D3"/>
        </w:rPr>
        <w:t>JOINT POWERS AUTHORITY (JPA)</w:t>
      </w:r>
    </w:p>
    <w:p>
      <w:pPr>
        <w:tabs>
          <w:tab w:pos="8848" w:val="left" w:leader="none"/>
        </w:tabs>
        <w:spacing w:before="0"/>
        <w:ind w:left="686" w:right="118" w:firstLine="0"/>
        <w:jc w:val="left"/>
        <w:rPr>
          <w:sz w:val="24"/>
        </w:rPr>
      </w:pPr>
      <w:r>
        <w:rPr/>
        <w:pict>
          <v:line style="position:absolute;mso-position-horizontal-relative:page;mso-position-vertical-relative:paragraph;z-index:-437776" from="58.32pt,8.436345pt" to="539.88pt,8.436345pt" stroked="true" strokeweight=".599pt" strokecolor="#2e97d3">
            <v:stroke dashstyle="solid"/>
            <w10:wrap type="none"/>
          </v:line>
        </w:pict>
      </w:r>
      <w:r>
        <w:rPr>
          <w:b/>
          <w:color w:val="2E97D3"/>
          <w:sz w:val="24"/>
        </w:rPr>
        <w:t>LEASE-REVENUE</w:t>
      </w:r>
      <w:r>
        <w:rPr>
          <w:b/>
          <w:color w:val="2E97D3"/>
          <w:spacing w:val="-4"/>
          <w:sz w:val="24"/>
        </w:rPr>
        <w:t> </w:t>
      </w:r>
      <w:r>
        <w:rPr>
          <w:b/>
          <w:color w:val="2E97D3"/>
          <w:sz w:val="24"/>
        </w:rPr>
        <w:t>BOND</w:t>
      </w:r>
      <w:r>
        <w:rPr>
          <w:b/>
          <w:color w:val="2E97D3"/>
          <w:spacing w:val="-5"/>
          <w:sz w:val="24"/>
        </w:rPr>
        <w:t> </w:t>
      </w:r>
      <w:r>
        <w:rPr>
          <w:b/>
          <w:color w:val="2E97D3"/>
          <w:sz w:val="24"/>
        </w:rPr>
        <w:t>PROGRAMS</w:t>
        <w:tab/>
        <w:t>6874</w:t>
      </w:r>
      <w:r>
        <w:rPr>
          <w:b/>
          <w:color w:val="2E97D3"/>
          <w:spacing w:val="-6"/>
          <w:sz w:val="24"/>
        </w:rPr>
        <w:t> </w:t>
      </w:r>
      <w:r>
        <w:rPr>
          <w:color w:val="2E97D3"/>
          <w:sz w:val="24"/>
        </w:rPr>
        <w:t>(Cont.1)</w:t>
      </w:r>
      <w:r>
        <w:rPr>
          <w:color w:val="2E97D3"/>
          <w:w w:val="99"/>
          <w:sz w:val="24"/>
        </w:rPr>
        <w:t> </w:t>
      </w:r>
      <w:r>
        <w:rPr>
          <w:strike/>
          <w:color w:val="2E97D3"/>
          <w:sz w:val="24"/>
        </w:rPr>
        <w:t>(New</w:t>
      </w:r>
      <w:r>
        <w:rPr>
          <w:strike/>
          <w:color w:val="2E97D3"/>
          <w:spacing w:val="-6"/>
          <w:sz w:val="24"/>
        </w:rPr>
        <w:t> </w:t>
      </w:r>
      <w:r>
        <w:rPr>
          <w:strike/>
          <w:color w:val="2E97D3"/>
          <w:sz w:val="24"/>
        </w:rPr>
        <w:t>5/1998)</w:t>
      </w:r>
    </w:p>
    <w:p>
      <w:pPr>
        <w:spacing w:before="119"/>
        <w:ind w:left="686" w:right="0" w:firstLine="0"/>
        <w:jc w:val="left"/>
        <w:rPr>
          <w:sz w:val="24"/>
        </w:rPr>
      </w:pPr>
      <w:r>
        <w:rPr>
          <w:b/>
          <w:strike/>
          <w:color w:val="2E97D3"/>
          <w:sz w:val="24"/>
        </w:rPr>
        <w:t>Fiscal highlights</w:t>
      </w:r>
      <w:r>
        <w:rPr>
          <w:strike/>
          <w:color w:val="2E97D3"/>
          <w:sz w:val="24"/>
        </w:rPr>
        <w:t>:</w:t>
      </w:r>
      <w:r>
        <w:rPr>
          <w:strike w:val="0"/>
          <w:color w:val="2E97D3"/>
          <w:sz w:val="24"/>
          <w:u w:val="single" w:color="2E97D3"/>
        </w:rPr>
        <w:t>(Deleted 09/2017)</w:t>
      </w:r>
    </w:p>
    <w:p>
      <w:pPr>
        <w:pStyle w:val="BodyText"/>
        <w:spacing w:before="10"/>
        <w:rPr>
          <w:sz w:val="23"/>
        </w:rPr>
      </w:pPr>
    </w:p>
    <w:p>
      <w:pPr>
        <w:pStyle w:val="ListParagraph"/>
        <w:numPr>
          <w:ilvl w:val="0"/>
          <w:numId w:val="132"/>
        </w:numPr>
        <w:tabs>
          <w:tab w:pos="1047" w:val="left" w:leader="none"/>
        </w:tabs>
        <w:spacing w:line="242" w:lineRule="auto" w:before="92" w:after="0"/>
        <w:ind w:left="1046" w:right="315" w:hanging="360"/>
        <w:jc w:val="left"/>
        <w:rPr>
          <w:sz w:val="24"/>
        </w:rPr>
      </w:pPr>
      <w:r>
        <w:rPr/>
        <w:pict>
          <v:group style="position:absolute;margin-left:58.02pt;margin-top:12.375835pt;width:472.35pt;height:1.8pt;mso-position-horizontal-relative:page;mso-position-vertical-relative:paragraph;z-index:-437752" coordorigin="1160,248" coordsize="9447,36">
            <v:line style="position:absolute" from="1166,261" to="1526,261" stroked="true" strokeweight=".6pt" strokecolor="#2e97d3">
              <v:stroke dashstyle="solid"/>
            </v:line>
            <v:line style="position:absolute" from="1526,278" to="2126,278" stroked="true" strokeweight=".599pt" strokecolor="#2c6234">
              <v:stroke dashstyle="solid"/>
            </v:line>
            <v:line style="position:absolute" from="1526,254" to="2126,254" stroked="true" strokeweight=".6pt" strokecolor="#2c6234">
              <v:stroke dashstyle="solid"/>
            </v:line>
            <v:line style="position:absolute" from="2126,261" to="10601,261" stroked="true" strokeweight=".6pt" strokecolor="#2e97d3">
              <v:stroke dashstyle="solid"/>
            </v:line>
            <w10:wrap type="none"/>
          </v:group>
        </w:pict>
      </w:r>
      <w:r>
        <w:rPr>
          <w:b/>
          <w:color w:val="2C6234"/>
          <w:sz w:val="22"/>
        </w:rPr>
        <w:t>State </w:t>
      </w:r>
      <w:r>
        <w:rPr>
          <w:color w:val="2E97D3"/>
          <w:sz w:val="24"/>
        </w:rPr>
        <w:t>funds expended through </w:t>
      </w:r>
      <w:r>
        <w:rPr>
          <w:i/>
          <w:color w:val="2E97D3"/>
          <w:sz w:val="24"/>
        </w:rPr>
        <w:t>any </w:t>
      </w:r>
      <w:r>
        <w:rPr>
          <w:color w:val="2E97D3"/>
          <w:sz w:val="24"/>
        </w:rPr>
        <w:t>JPA may not be used to accomplish a state capital </w:t>
      </w:r>
      <w:r>
        <w:rPr>
          <w:strike/>
          <w:color w:val="2E97D3"/>
          <w:sz w:val="24"/>
        </w:rPr>
        <w:t>outlay purpose that has not been authorized by the</w:t>
      </w:r>
      <w:r>
        <w:rPr>
          <w:strike/>
          <w:color w:val="2E97D3"/>
          <w:spacing w:val="-31"/>
          <w:sz w:val="24"/>
        </w:rPr>
        <w:t> </w:t>
      </w:r>
      <w:r>
        <w:rPr>
          <w:strike/>
          <w:color w:val="2E97D3"/>
          <w:sz w:val="24"/>
        </w:rPr>
        <w:t>Legislature.</w:t>
      </w:r>
    </w:p>
    <w:p>
      <w:pPr>
        <w:pStyle w:val="BodyText"/>
        <w:spacing w:before="7"/>
        <w:rPr>
          <w:sz w:val="20"/>
        </w:rPr>
      </w:pPr>
    </w:p>
    <w:p>
      <w:pPr>
        <w:pStyle w:val="ListParagraph"/>
        <w:numPr>
          <w:ilvl w:val="0"/>
          <w:numId w:val="132"/>
        </w:numPr>
        <w:tabs>
          <w:tab w:pos="1047" w:val="left" w:leader="none"/>
        </w:tabs>
        <w:spacing w:line="240" w:lineRule="auto" w:before="0" w:after="0"/>
        <w:ind w:left="1046" w:right="291" w:hanging="360"/>
        <w:jc w:val="left"/>
        <w:rPr>
          <w:sz w:val="24"/>
        </w:rPr>
      </w:pPr>
      <w:r>
        <w:rPr>
          <w:strike/>
          <w:color w:val="2E97D3"/>
          <w:sz w:val="24"/>
        </w:rPr>
        <w:t>DOF may require that an economic analysis be performed on state projects financed by a JPA to ensure that cost/benefits are favorable. By a memorandum of understanding between DOF and DGS, such an analysis is required for all DGS office building projects. DOF also works with STO to prepare the bond sale, reviews proposed bond sizing, may participate in rating agency meetings, prepares fund condition statements as required for the bond sale and for continuing disclosure, and reviews JPA proposals for disposition of surplus bond funds, if</w:t>
      </w:r>
      <w:r>
        <w:rPr>
          <w:strike/>
          <w:color w:val="2E97D3"/>
          <w:spacing w:val="-30"/>
          <w:sz w:val="24"/>
        </w:rPr>
        <w:t> </w:t>
      </w:r>
      <w:r>
        <w:rPr>
          <w:strike/>
          <w:color w:val="2E97D3"/>
          <w:sz w:val="24"/>
        </w:rPr>
        <w:t>any.</w:t>
      </w:r>
    </w:p>
    <w:p>
      <w:pPr>
        <w:pStyle w:val="ListParagraph"/>
        <w:numPr>
          <w:ilvl w:val="0"/>
          <w:numId w:val="132"/>
        </w:numPr>
        <w:tabs>
          <w:tab w:pos="1047" w:val="left" w:leader="none"/>
        </w:tabs>
        <w:spacing w:line="240" w:lineRule="auto" w:before="120" w:after="0"/>
        <w:ind w:left="1046" w:right="116" w:hanging="360"/>
        <w:jc w:val="left"/>
        <w:rPr>
          <w:sz w:val="24"/>
        </w:rPr>
      </w:pPr>
      <w:r>
        <w:rPr>
          <w:strike/>
          <w:color w:val="2E97D3"/>
          <w:sz w:val="24"/>
        </w:rPr>
        <w:t>If the state is a member of a JPA which has been created specifically by the Legislature to accomplish a state construction purpose, the capital project is generally eligible for interim financing through the PMIB or other short-term mechanism such as a General Fund</w:t>
      </w:r>
      <w:r>
        <w:rPr>
          <w:strike/>
          <w:color w:val="2E97D3"/>
          <w:spacing w:val="-4"/>
          <w:sz w:val="24"/>
        </w:rPr>
        <w:t> </w:t>
      </w:r>
      <w:r>
        <w:rPr>
          <w:strike/>
          <w:color w:val="2E97D3"/>
          <w:sz w:val="24"/>
        </w:rPr>
        <w:t>loan.</w:t>
      </w:r>
    </w:p>
    <w:p>
      <w:pPr>
        <w:pStyle w:val="BodyText"/>
        <w:spacing w:before="10"/>
        <w:rPr>
          <w:sz w:val="20"/>
        </w:rPr>
      </w:pPr>
    </w:p>
    <w:p>
      <w:pPr>
        <w:pStyle w:val="ListParagraph"/>
        <w:numPr>
          <w:ilvl w:val="0"/>
          <w:numId w:val="132"/>
        </w:numPr>
        <w:tabs>
          <w:tab w:pos="1047" w:val="left" w:leader="none"/>
        </w:tabs>
        <w:spacing w:line="240" w:lineRule="auto" w:before="0" w:after="0"/>
        <w:ind w:left="1046" w:right="132" w:hanging="360"/>
        <w:jc w:val="left"/>
        <w:rPr>
          <w:sz w:val="24"/>
        </w:rPr>
      </w:pPr>
      <w:r>
        <w:rPr>
          <w:strike/>
          <w:color w:val="2E97D3"/>
          <w:sz w:val="24"/>
        </w:rPr>
        <w:t>The JPA issues the bonds. It adopts resolutions authorizing sales and setting policy guidelines for the agent for sale, appoints bond counsel, prepares estimates of cash flow needs, works with the STO in preparing for the bond sale, executes sales documents, and (together with the participating state agency) coordinates responsibility for providing all required disclosure information—on an initial and continuing basis—to STO.</w:t>
      </w:r>
    </w:p>
    <w:p>
      <w:pPr>
        <w:pStyle w:val="ListParagraph"/>
        <w:numPr>
          <w:ilvl w:val="0"/>
          <w:numId w:val="132"/>
        </w:numPr>
        <w:tabs>
          <w:tab w:pos="1047" w:val="left" w:leader="none"/>
        </w:tabs>
        <w:spacing w:line="240" w:lineRule="auto" w:before="120" w:after="0"/>
        <w:ind w:left="1046" w:right="185" w:hanging="360"/>
        <w:jc w:val="left"/>
        <w:rPr>
          <w:sz w:val="24"/>
        </w:rPr>
      </w:pPr>
      <w:r>
        <w:rPr>
          <w:strike/>
          <w:color w:val="2E97D3"/>
          <w:sz w:val="24"/>
        </w:rPr>
        <w:t>If DGS is the project manager (or the state liaison to the project), DGS provides project time tables, calculates cash flow needs on behalf of the JPA, provides recommendations to DOF on bond sizing, participates in due diligence meetings, and keeps DOF and STO informed of any events with material impact on project status or budget.</w:t>
      </w:r>
    </w:p>
    <w:p>
      <w:pPr>
        <w:pStyle w:val="ListParagraph"/>
        <w:numPr>
          <w:ilvl w:val="0"/>
          <w:numId w:val="132"/>
        </w:numPr>
        <w:tabs>
          <w:tab w:pos="1047" w:val="left" w:leader="none"/>
        </w:tabs>
        <w:spacing w:line="240" w:lineRule="auto" w:before="120" w:after="0"/>
        <w:ind w:left="1046" w:right="237" w:hanging="360"/>
        <w:jc w:val="left"/>
        <w:rPr>
          <w:sz w:val="24"/>
        </w:rPr>
      </w:pPr>
      <w:r>
        <w:rPr>
          <w:strike/>
          <w:color w:val="2E97D3"/>
          <w:sz w:val="24"/>
        </w:rPr>
        <w:t>STO is the agent for sale of the bonds and acts as the trustee or selects the trustee, with all associated rights and responsibilities including appointment of the underwriting team, setting the bond sale date, organizing meetings and due diligence associated with the sale, securing ratings and bond insurance, and pricing. STO is also dissemination agent for continuing disclosure for the</w:t>
      </w:r>
      <w:r>
        <w:rPr>
          <w:strike/>
          <w:color w:val="2E97D3"/>
          <w:spacing w:val="-26"/>
          <w:sz w:val="24"/>
        </w:rPr>
        <w:t> </w:t>
      </w:r>
      <w:r>
        <w:rPr>
          <w:strike/>
          <w:color w:val="2E97D3"/>
          <w:sz w:val="24"/>
        </w:rPr>
        <w:t>bonds.</w:t>
      </w:r>
    </w:p>
    <w:p>
      <w:pPr>
        <w:pStyle w:val="ListParagraph"/>
        <w:numPr>
          <w:ilvl w:val="0"/>
          <w:numId w:val="132"/>
        </w:numPr>
        <w:tabs>
          <w:tab w:pos="1047" w:val="left" w:leader="none"/>
        </w:tabs>
        <w:spacing w:line="240" w:lineRule="auto" w:before="120" w:after="0"/>
        <w:ind w:left="1046" w:right="155" w:hanging="360"/>
        <w:jc w:val="left"/>
        <w:rPr>
          <w:sz w:val="24"/>
        </w:rPr>
      </w:pPr>
      <w:r>
        <w:rPr>
          <w:strike/>
          <w:color w:val="2E97D3"/>
          <w:sz w:val="24"/>
        </w:rPr>
        <w:t>The credit underlying a state-membership JPA bond issuance (for a state capital outlay project) will be the same as for a PWB issuance, i.e., the state lease and the state fund from which the lease payments are being made.  Financial statements for that fund may be included in the official statement and are subject to continuing</w:t>
      </w:r>
      <w:r>
        <w:rPr>
          <w:strike/>
          <w:color w:val="2E97D3"/>
          <w:spacing w:val="-32"/>
          <w:sz w:val="24"/>
        </w:rPr>
        <w:t> </w:t>
      </w:r>
      <w:r>
        <w:rPr>
          <w:strike/>
          <w:color w:val="2E97D3"/>
          <w:sz w:val="24"/>
        </w:rPr>
        <w:t>disclosure.</w:t>
      </w:r>
    </w:p>
    <w:p>
      <w:pPr>
        <w:pStyle w:val="BodyText"/>
        <w:rPr>
          <w:sz w:val="20"/>
        </w:rPr>
      </w:pPr>
    </w:p>
    <w:p>
      <w:pPr>
        <w:pStyle w:val="BodyText"/>
        <w:spacing w:before="3"/>
        <w:rPr>
          <w:sz w:val="27"/>
        </w:rPr>
      </w:pPr>
    </w:p>
    <w:p>
      <w:pPr>
        <w:pStyle w:val="BodyText"/>
        <w:spacing w:before="92"/>
        <w:ind w:left="686"/>
      </w:pPr>
      <w:r>
        <w:rPr>
          <w:strike/>
          <w:color w:val="2E97D3"/>
        </w:rPr>
        <w:t>(Continued)</w:t>
      </w:r>
    </w:p>
    <w:p>
      <w:pPr>
        <w:spacing w:after="0"/>
        <w:sectPr>
          <w:pgSz w:w="12240" w:h="15840"/>
          <w:pgMar w:header="726" w:footer="792" w:top="980" w:bottom="980" w:left="480" w:right="1320"/>
        </w:sectPr>
      </w:pPr>
    </w:p>
    <w:p>
      <w:pPr>
        <w:pStyle w:val="BodyText"/>
        <w:spacing w:before="4"/>
        <w:rPr>
          <w:rFonts w:ascii="Times New Roman"/>
          <w:sz w:val="17"/>
        </w:rPr>
      </w:pPr>
      <w:r>
        <w:rPr/>
        <w:pict>
          <v:line style="position:absolute;mso-position-horizontal-relative:page;mso-position-vertical-relative:page;z-index:34960" from="29.4pt,72pt" to="29.4pt,97.92pt" stroked="true" strokeweight=".72pt" strokecolor="#000000">
            <v:stroke dashstyle="solid"/>
            <w10:wrap type="none"/>
          </v:line>
        </w:pict>
      </w:r>
    </w:p>
    <w:p>
      <w:pPr>
        <w:spacing w:after="0"/>
        <w:rPr>
          <w:rFonts w:ascii="Times New Roman"/>
          <w:sz w:val="17"/>
        </w:rPr>
        <w:sectPr>
          <w:pgSz w:w="12240" w:h="15840"/>
          <w:pgMar w:header="726" w:footer="792" w:top="980" w:bottom="980" w:left="480" w:right="1720"/>
        </w:sectPr>
      </w:pPr>
    </w:p>
    <w:p>
      <w:pPr>
        <w:pStyle w:val="BodyText"/>
        <w:rPr>
          <w:rFonts w:ascii="Times New Roman"/>
          <w:sz w:val="20"/>
        </w:rPr>
      </w:pPr>
    </w:p>
    <w:p>
      <w:pPr>
        <w:pStyle w:val="Heading2"/>
        <w:spacing w:before="211"/>
        <w:ind w:left="686"/>
      </w:pPr>
      <w:r>
        <w:rPr/>
        <w:pict>
          <v:line style="position:absolute;mso-position-horizontal-relative:page;mso-position-vertical-relative:paragraph;z-index:35008" from="29.4pt,10.765882pt" to="29.4pt,249.565882pt" stroked="true" strokeweight=".72pt" strokecolor="#000000">
            <v:stroke dashstyle="solid"/>
            <w10:wrap type="none"/>
          </v:line>
        </w:pict>
      </w:r>
      <w:r>
        <w:rPr>
          <w:strike/>
          <w:color w:val="2E97D3"/>
        </w:rPr>
        <w:t>JOINT POWERS AUTHORITY (JPA)</w:t>
      </w:r>
    </w:p>
    <w:p>
      <w:pPr>
        <w:tabs>
          <w:tab w:pos="8783" w:val="left" w:leader="none"/>
        </w:tabs>
        <w:spacing w:before="0"/>
        <w:ind w:left="686" w:right="116" w:firstLine="0"/>
        <w:jc w:val="left"/>
        <w:rPr>
          <w:sz w:val="24"/>
        </w:rPr>
      </w:pPr>
      <w:r>
        <w:rPr/>
        <w:pict>
          <v:line style="position:absolute;mso-position-horizontal-relative:page;mso-position-vertical-relative:paragraph;z-index:-437680" from="58.32pt,8.435833pt" to="539.88pt,8.435833pt" stroked="true" strokeweight=".6pt" strokecolor="#2e97d3">
            <v:stroke dashstyle="solid"/>
            <w10:wrap type="none"/>
          </v:line>
        </w:pict>
      </w:r>
      <w:r>
        <w:rPr>
          <w:b/>
          <w:color w:val="2E97D3"/>
          <w:sz w:val="24"/>
        </w:rPr>
        <w:t>LEASE-REVENUE</w:t>
      </w:r>
      <w:r>
        <w:rPr>
          <w:b/>
          <w:color w:val="2E97D3"/>
          <w:spacing w:val="-4"/>
          <w:sz w:val="24"/>
        </w:rPr>
        <w:t> </w:t>
      </w:r>
      <w:r>
        <w:rPr>
          <w:b/>
          <w:color w:val="2E97D3"/>
          <w:sz w:val="24"/>
        </w:rPr>
        <w:t>BOND</w:t>
      </w:r>
      <w:r>
        <w:rPr>
          <w:b/>
          <w:color w:val="2E97D3"/>
          <w:spacing w:val="-5"/>
          <w:sz w:val="24"/>
        </w:rPr>
        <w:t> </w:t>
      </w:r>
      <w:r>
        <w:rPr>
          <w:b/>
          <w:color w:val="2E97D3"/>
          <w:sz w:val="24"/>
        </w:rPr>
        <w:t>PROGRAMS</w:t>
        <w:tab/>
        <w:t>6874</w:t>
      </w:r>
      <w:r>
        <w:rPr>
          <w:b/>
          <w:color w:val="2E97D3"/>
          <w:spacing w:val="-2"/>
          <w:sz w:val="24"/>
        </w:rPr>
        <w:t> </w:t>
      </w:r>
      <w:r>
        <w:rPr>
          <w:color w:val="2E97D3"/>
          <w:sz w:val="24"/>
        </w:rPr>
        <w:t>(Cont.</w:t>
      </w:r>
      <w:r>
        <w:rPr>
          <w:color w:val="2E97D3"/>
          <w:spacing w:val="-5"/>
          <w:sz w:val="24"/>
        </w:rPr>
        <w:t> </w:t>
      </w:r>
      <w:r>
        <w:rPr>
          <w:color w:val="2E97D3"/>
          <w:sz w:val="24"/>
        </w:rPr>
        <w:t>2)</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rPr>
          <w:sz w:val="16"/>
        </w:rPr>
      </w:pPr>
    </w:p>
    <w:p>
      <w:pPr>
        <w:pStyle w:val="ListParagraph"/>
        <w:numPr>
          <w:ilvl w:val="0"/>
          <w:numId w:val="132"/>
        </w:numPr>
        <w:tabs>
          <w:tab w:pos="1047" w:val="left" w:leader="none"/>
        </w:tabs>
        <w:spacing w:line="240" w:lineRule="auto" w:before="92" w:after="0"/>
        <w:ind w:left="1046" w:right="141" w:hanging="360"/>
        <w:jc w:val="left"/>
        <w:rPr>
          <w:sz w:val="24"/>
        </w:rPr>
      </w:pPr>
      <w:r>
        <w:rPr>
          <w:strike/>
          <w:color w:val="2E97D3"/>
          <w:sz w:val="24"/>
        </w:rPr>
        <w:t>The key client department responsibility is to notify DOF and STO, at least eight months in advance (preferably one year) of a proposed sale for any project outside the normal budget process which may require the services of STO as agent-for-sale or continuing disclosure agent. The department must meet as necessary with STO to clarify the agent-for-sale-role and may not make commitments regarding financing structure, underwriters, or timing of sale until concurrence is received from STO. Since the leases associated with the bonds include financial terms, the department should consult the STO before final financing terms are negotiated. The client department has other responsibilities summarized in Section</w:t>
      </w:r>
      <w:r>
        <w:rPr>
          <w:strike/>
          <w:color w:val="2E97D3"/>
          <w:spacing w:val="-29"/>
          <w:sz w:val="24"/>
        </w:rPr>
        <w:t> </w:t>
      </w:r>
      <w:r>
        <w:rPr>
          <w:strike/>
          <w:color w:val="2E97D3"/>
          <w:sz w:val="24"/>
        </w:rPr>
        <w:t>6886.</w:t>
      </w:r>
    </w:p>
    <w:p>
      <w:pPr>
        <w:pStyle w:val="BodyText"/>
        <w:spacing w:before="9"/>
        <w:rPr>
          <w:sz w:val="20"/>
        </w:rPr>
      </w:pPr>
    </w:p>
    <w:p>
      <w:pPr>
        <w:pStyle w:val="BodyText"/>
        <w:ind w:left="686" w:right="195"/>
      </w:pPr>
      <w:r>
        <w:rPr>
          <w:strike/>
          <w:color w:val="2E97D3"/>
        </w:rPr>
        <w:t>Fiscal information generic to lease-revenue bonds is found in Section 6872. Lease requirements for lease-revenue bonds are described in Section 6872 as well as in Section 6876 under the heading “financing leases.”</w:t>
      </w:r>
    </w:p>
    <w:p>
      <w:pPr>
        <w:spacing w:after="0"/>
        <w:sectPr>
          <w:pgSz w:w="12240" w:h="15840"/>
          <w:pgMar w:header="726" w:footer="792" w:top="980" w:bottom="980" w:left="480" w:right="1320"/>
        </w:sectPr>
      </w:pPr>
    </w:p>
    <w:p>
      <w:pPr>
        <w:pStyle w:val="BodyText"/>
        <w:rPr>
          <w:sz w:val="20"/>
        </w:rPr>
      </w:pPr>
    </w:p>
    <w:p>
      <w:pPr>
        <w:pStyle w:val="Heading2"/>
        <w:tabs>
          <w:tab w:pos="9784" w:val="left" w:leader="none"/>
        </w:tabs>
        <w:spacing w:before="211"/>
        <w:ind w:left="686"/>
      </w:pPr>
      <w:r>
        <w:rPr/>
        <w:pict>
          <v:line style="position:absolute;mso-position-horizontal-relative:page;mso-position-vertical-relative:paragraph;z-index:35056" from="29.4pt,24.565882pt" to="29.4pt,50.365882pt" stroked="true" strokeweight=".72pt" strokecolor="#000000">
            <v:stroke dashstyle="solid"/>
            <w10:wrap type="none"/>
          </v:line>
        </w:pict>
      </w:r>
      <w:r>
        <w:rPr/>
        <w:t>FINANCING LEASES VERSUS</w:t>
      </w:r>
      <w:r>
        <w:rPr>
          <w:spacing w:val="-12"/>
        </w:rPr>
        <w:t> </w:t>
      </w:r>
      <w:r>
        <w:rPr/>
        <w:t>OPERATING</w:t>
      </w:r>
      <w:r>
        <w:rPr>
          <w:spacing w:val="-4"/>
        </w:rPr>
        <w:t> </w:t>
      </w:r>
      <w:r>
        <w:rPr/>
        <w:t>LEASES/CONTRACTS</w:t>
        <w:tab/>
        <w:t>6876</w:t>
      </w:r>
    </w:p>
    <w:p>
      <w:pPr>
        <w:pStyle w:val="BodyText"/>
        <w:ind w:left="686"/>
      </w:pPr>
      <w:r>
        <w:rPr/>
        <w:t>(</w:t>
      </w:r>
      <w:r>
        <w:rPr>
          <w:strike/>
          <w:color w:val="2E97D3"/>
        </w:rPr>
        <w:t>New 5/1998</w:t>
      </w:r>
      <w:r>
        <w:rPr>
          <w:strike w:val="0"/>
          <w:color w:val="2E97D3"/>
          <w:u w:val="single" w:color="2E97D3"/>
        </w:rPr>
        <w:t>Revised 09/2017</w:t>
      </w:r>
      <w:r>
        <w:rPr>
          <w:strike w:val="0"/>
        </w:rPr>
        <w:t>)</w:t>
      </w:r>
    </w:p>
    <w:p>
      <w:pPr>
        <w:pStyle w:val="BodyText"/>
        <w:spacing w:before="10"/>
        <w:rPr>
          <w:sz w:val="20"/>
        </w:rPr>
      </w:pPr>
    </w:p>
    <w:p>
      <w:pPr>
        <w:pStyle w:val="BodyText"/>
        <w:ind w:left="686"/>
      </w:pPr>
      <w:r>
        <w:rPr/>
        <w:t>Financing leases:</w:t>
      </w:r>
    </w:p>
    <w:p>
      <w:pPr>
        <w:pStyle w:val="ListParagraph"/>
        <w:numPr>
          <w:ilvl w:val="1"/>
          <w:numId w:val="133"/>
        </w:numPr>
        <w:tabs>
          <w:tab w:pos="1406" w:val="left" w:leader="none"/>
          <w:tab w:pos="1407" w:val="left" w:leader="none"/>
        </w:tabs>
        <w:spacing w:line="240" w:lineRule="auto" w:before="119" w:after="0"/>
        <w:ind w:left="1046" w:right="291" w:hanging="360"/>
        <w:jc w:val="left"/>
        <w:rPr>
          <w:sz w:val="24"/>
        </w:rPr>
      </w:pPr>
      <w:r>
        <w:rPr/>
        <w:pict>
          <v:line style="position:absolute;mso-position-horizontal-relative:page;mso-position-vertical-relative:paragraph;z-index:35080" from="29.4pt,6.165857pt" to="29.4pt,19.965857pt" stroked="true" strokeweight=".72pt" strokecolor="#000000">
            <v:stroke dashstyle="solid"/>
            <w10:wrap type="none"/>
          </v:line>
        </w:pict>
      </w:r>
      <w:r>
        <w:rPr>
          <w:b/>
          <w:strike w:val="0"/>
          <w:sz w:val="24"/>
        </w:rPr>
        <w:t>Background</w:t>
      </w:r>
      <w:r>
        <w:rPr>
          <w:strike w:val="0"/>
          <w:sz w:val="24"/>
        </w:rPr>
        <w:t>: If a </w:t>
      </w:r>
      <w:r>
        <w:rPr>
          <w:strike/>
          <w:color w:val="2E97D3"/>
          <w:sz w:val="24"/>
        </w:rPr>
        <w:t>client </w:t>
      </w:r>
      <w:r>
        <w:rPr>
          <w:strike w:val="0"/>
          <w:sz w:val="24"/>
        </w:rPr>
        <w:t>department has the authority to acquire real assets, a </w:t>
      </w:r>
      <w:r>
        <w:rPr>
          <w:i/>
          <w:strike w:val="0"/>
          <w:sz w:val="24"/>
        </w:rPr>
        <w:t>financing lease </w:t>
      </w:r>
      <w:r>
        <w:rPr>
          <w:strike w:val="0"/>
          <w:sz w:val="24"/>
        </w:rPr>
        <w:t>provides an alternative to finance capital assets over a multi-year period.  A tax-exempt financing lease typically falls into one of two general</w:t>
      </w:r>
      <w:r>
        <w:rPr>
          <w:strike w:val="0"/>
          <w:spacing w:val="-43"/>
          <w:sz w:val="24"/>
        </w:rPr>
        <w:t> </w:t>
      </w:r>
      <w:r>
        <w:rPr>
          <w:strike w:val="0"/>
          <w:sz w:val="24"/>
        </w:rPr>
        <w:t>categories:</w:t>
      </w:r>
    </w:p>
    <w:p>
      <w:pPr>
        <w:pStyle w:val="ListParagraph"/>
        <w:numPr>
          <w:ilvl w:val="2"/>
          <w:numId w:val="133"/>
        </w:numPr>
        <w:tabs>
          <w:tab w:pos="1407" w:val="left" w:leader="none"/>
        </w:tabs>
        <w:spacing w:line="240" w:lineRule="auto" w:before="119" w:after="0"/>
        <w:ind w:left="1406" w:right="621" w:hanging="360"/>
        <w:jc w:val="both"/>
        <w:rPr>
          <w:sz w:val="24"/>
        </w:rPr>
      </w:pPr>
      <w:r>
        <w:rPr>
          <w:sz w:val="24"/>
        </w:rPr>
        <w:t>A capital asset may be financed by leasing it directly from the vendor or leasing entity, with the lessor receiving a portion of each rental payment as tax-exempt interest;</w:t>
      </w:r>
      <w:r>
        <w:rPr>
          <w:spacing w:val="-5"/>
          <w:sz w:val="24"/>
        </w:rPr>
        <w:t> </w:t>
      </w:r>
      <w:r>
        <w:rPr>
          <w:sz w:val="24"/>
        </w:rPr>
        <w:t>or</w:t>
      </w:r>
    </w:p>
    <w:p>
      <w:pPr>
        <w:pStyle w:val="ListParagraph"/>
        <w:numPr>
          <w:ilvl w:val="2"/>
          <w:numId w:val="133"/>
        </w:numPr>
        <w:tabs>
          <w:tab w:pos="1407" w:val="left" w:leader="none"/>
        </w:tabs>
        <w:spacing w:line="240" w:lineRule="auto" w:before="119" w:after="0"/>
        <w:ind w:left="1406" w:right="130" w:hanging="360"/>
        <w:jc w:val="left"/>
        <w:rPr>
          <w:sz w:val="24"/>
        </w:rPr>
      </w:pPr>
      <w:r>
        <w:rPr>
          <w:sz w:val="24"/>
        </w:rPr>
        <w:t>Certificates of participation (COPs) may be sold to the public. COPs are similar to lease-revenue bonds but represent undivided interests in the rental payments under the tax-exempt</w:t>
      </w:r>
      <w:r>
        <w:rPr>
          <w:spacing w:val="-11"/>
          <w:sz w:val="24"/>
        </w:rPr>
        <w:t> </w:t>
      </w:r>
      <w:r>
        <w:rPr>
          <w:sz w:val="24"/>
        </w:rPr>
        <w:t>lease.</w:t>
      </w:r>
    </w:p>
    <w:p>
      <w:pPr>
        <w:pStyle w:val="BodyText"/>
        <w:spacing w:before="119"/>
        <w:ind w:left="1046" w:right="435"/>
      </w:pPr>
      <w:r>
        <w:rPr/>
        <w:pict>
          <v:line style="position:absolute;mso-position-horizontal-relative:page;mso-position-vertical-relative:paragraph;z-index:35104" from="29.4pt,6.165845pt" to="29.4pt,19.965845pt" stroked="true" strokeweight=".72pt" strokecolor="#000000">
            <v:stroke dashstyle="solid"/>
            <w10:wrap type="none"/>
          </v:line>
        </w:pict>
      </w:r>
      <w:r>
        <w:rPr/>
        <w:t>If statute does not clearly create financing lease authority for a transaction, the </w:t>
      </w:r>
      <w:r>
        <w:rPr>
          <w:strike/>
          <w:color w:val="2E97D3"/>
        </w:rPr>
        <w:t>client </w:t>
      </w:r>
      <w:r>
        <w:rPr>
          <w:strike w:val="0"/>
        </w:rPr>
        <w:t>department is limited to an operating lease (see following).</w:t>
      </w:r>
    </w:p>
    <w:p>
      <w:pPr>
        <w:pStyle w:val="BodyText"/>
        <w:tabs>
          <w:tab w:pos="2126" w:val="left" w:leader="none"/>
        </w:tabs>
        <w:spacing w:before="119"/>
        <w:ind w:left="1406" w:right="162" w:hanging="360"/>
      </w:pPr>
      <w:r>
        <w:rPr/>
        <w:pict>
          <v:line style="position:absolute;mso-position-horizontal-relative:page;mso-position-vertical-relative:paragraph;z-index:-437632" from="299.040009pt,32.745869pt" to="303.000009pt,32.745869pt" stroked="true" strokeweight=".84pt" strokecolor="#2e97d3">
            <v:stroke dashstyle="solid"/>
            <w10:wrap type="none"/>
          </v:line>
        </w:pict>
      </w:r>
      <w:r>
        <w:rPr/>
        <w:pict>
          <v:line style="position:absolute;mso-position-horizontal-relative:page;mso-position-vertical-relative:paragraph;z-index:35128" from="29.4pt,6.165869pt" to="29.4pt,33.765869pt" stroked="true" strokeweight=".72pt" strokecolor="#000000">
            <v:stroke dashstyle="solid"/>
            <w10:wrap type="none"/>
          </v:line>
        </w:pict>
      </w:r>
      <w:r>
        <w:rPr>
          <w:strike/>
          <w:color w:val="2E97D3"/>
        </w:rPr>
        <w:t>2.</w:t>
      </w:r>
      <w:r>
        <w:rPr>
          <w:strike w:val="0"/>
          <w:color w:val="2E97D3"/>
          <w:u w:val="single" w:color="2E97D3"/>
        </w:rPr>
        <w:t>b.</w:t>
        <w:tab/>
      </w:r>
      <w:r>
        <w:rPr>
          <w:b/>
          <w:strike w:val="0"/>
        </w:rPr>
        <w:t>Statutory reference</w:t>
      </w:r>
      <w:r>
        <w:rPr>
          <w:strike w:val="0"/>
        </w:rPr>
        <w:t>:  Government Code Section </w:t>
      </w:r>
      <w:hyperlink r:id="rId76">
        <w:r>
          <w:rPr>
            <w:strike w:val="0"/>
          </w:rPr>
          <w:t>14669</w:t>
        </w:r>
      </w:hyperlink>
      <w:r>
        <w:rPr>
          <w:strike w:val="0"/>
          <w:spacing w:val="-34"/>
        </w:rPr>
        <w:t> </w:t>
      </w:r>
      <w:r>
        <w:rPr>
          <w:strike w:val="0"/>
        </w:rPr>
        <w:t>authorized</w:t>
      </w:r>
      <w:r>
        <w:rPr>
          <w:strike w:val="0"/>
          <w:spacing w:val="-4"/>
        </w:rPr>
        <w:t> </w:t>
      </w:r>
      <w:r>
        <w:rPr>
          <w:strike w:val="0"/>
          <w:color w:val="2E97D3"/>
          <w:u w:val="single" w:color="2E97D3"/>
        </w:rPr>
        <w:t>the</w:t>
      </w:r>
      <w:r>
        <w:rPr>
          <w:strike w:val="0"/>
          <w:color w:val="2E97D3"/>
          <w:w w:val="99"/>
        </w:rPr>
        <w:t> </w:t>
      </w:r>
      <w:r>
        <w:rPr>
          <w:strike w:val="0"/>
          <w:color w:val="2E97D3"/>
          <w:u w:val="single" w:color="2E97D3"/>
        </w:rPr>
        <w:t>Department of General Services (</w:t>
      </w:r>
      <w:r>
        <w:rPr>
          <w:strike w:val="0"/>
        </w:rPr>
        <w:t>DGS</w:t>
      </w:r>
      <w:r>
        <w:rPr>
          <w:strike w:val="0"/>
          <w:color w:val="2E97D3"/>
        </w:rPr>
        <w:t>) </w:t>
      </w:r>
      <w:r>
        <w:rPr>
          <w:strike w:val="0"/>
        </w:rPr>
        <w:t>to hire, lease, lease-purchase, or lease</w:t>
      </w:r>
      <w:r>
        <w:rPr>
          <w:strike w:val="0"/>
          <w:spacing w:val="-40"/>
        </w:rPr>
        <w:t> </w:t>
      </w:r>
      <w:r>
        <w:rPr>
          <w:strike w:val="0"/>
        </w:rPr>
        <w:t>with the option to purchase any real or personal property for the use of any state agency, subject to specified</w:t>
      </w:r>
      <w:r>
        <w:rPr>
          <w:strike w:val="0"/>
          <w:spacing w:val="-17"/>
        </w:rPr>
        <w:t> </w:t>
      </w:r>
      <w:r>
        <w:rPr>
          <w:strike w:val="0"/>
        </w:rPr>
        <w:t>restrictions.</w:t>
      </w:r>
    </w:p>
    <w:p>
      <w:pPr>
        <w:pStyle w:val="BodyText"/>
        <w:spacing w:before="9"/>
        <w:rPr>
          <w:sz w:val="20"/>
        </w:rPr>
      </w:pPr>
    </w:p>
    <w:p>
      <w:pPr>
        <w:pStyle w:val="BodyText"/>
        <w:tabs>
          <w:tab w:pos="2126" w:val="left" w:leader="none"/>
        </w:tabs>
        <w:ind w:left="1406" w:right="504" w:hanging="360"/>
      </w:pPr>
      <w:r>
        <w:rPr>
          <w:strike/>
          <w:color w:val="2E97D3"/>
        </w:rPr>
        <w:t>3.</w:t>
      </w:r>
      <w:r>
        <w:rPr>
          <w:strike w:val="0"/>
          <w:color w:val="2E97D3"/>
          <w:u w:val="single" w:color="2E97D3"/>
        </w:rPr>
        <w:t>c.</w:t>
        <w:tab/>
      </w:r>
      <w:r>
        <w:rPr>
          <w:b/>
          <w:strike w:val="0"/>
        </w:rPr>
        <w:t>Requirements for a financing lease</w:t>
      </w:r>
      <w:r>
        <w:rPr>
          <w:strike w:val="0"/>
        </w:rPr>
        <w:t>:  The tax-exempt obligation</w:t>
      </w:r>
      <w:r>
        <w:rPr>
          <w:strike w:val="0"/>
          <w:spacing w:val="-27"/>
        </w:rPr>
        <w:t> </w:t>
      </w:r>
      <w:r>
        <w:rPr>
          <w:strike w:val="0"/>
        </w:rPr>
        <w:t>may</w:t>
      </w:r>
      <w:r>
        <w:rPr>
          <w:strike w:val="0"/>
          <w:spacing w:val="-5"/>
        </w:rPr>
        <w:t> </w:t>
      </w:r>
      <w:r>
        <w:rPr>
          <w:strike w:val="0"/>
        </w:rPr>
        <w:t>be</w:t>
      </w:r>
      <w:r>
        <w:rPr>
          <w:strike w:val="0"/>
          <w:w w:val="99"/>
        </w:rPr>
        <w:t> </w:t>
      </w:r>
      <w:r>
        <w:rPr>
          <w:strike w:val="0"/>
        </w:rPr>
        <w:t>structured as an installment purchase agreement, installment sale agreement or lease-purchase agreement. As with lease-revenue bonds, the state’s debt obligations under the lease must be structured consistent with the Offner-Dean exception, i.e., cannot be structured in a way which would classify them as </w:t>
      </w:r>
      <w:r>
        <w:rPr>
          <w:i/>
          <w:strike w:val="0"/>
        </w:rPr>
        <w:t>constitutional</w:t>
      </w:r>
      <w:r>
        <w:rPr>
          <w:i/>
          <w:strike w:val="0"/>
          <w:spacing w:val="-10"/>
        </w:rPr>
        <w:t> </w:t>
      </w:r>
      <w:r>
        <w:rPr>
          <w:i/>
          <w:strike w:val="0"/>
        </w:rPr>
        <w:t>debt</w:t>
      </w:r>
      <w:r>
        <w:rPr>
          <w:strike w:val="0"/>
        </w:rPr>
        <w:t>:</w:t>
      </w:r>
    </w:p>
    <w:p>
      <w:pPr>
        <w:pStyle w:val="BodyText"/>
        <w:rPr>
          <w:sz w:val="21"/>
        </w:rPr>
      </w:pPr>
    </w:p>
    <w:p>
      <w:pPr>
        <w:pStyle w:val="ListParagraph"/>
        <w:numPr>
          <w:ilvl w:val="0"/>
          <w:numId w:val="134"/>
        </w:numPr>
        <w:tabs>
          <w:tab w:pos="1407" w:val="left" w:leader="none"/>
        </w:tabs>
        <w:spacing w:line="240" w:lineRule="auto" w:before="0" w:after="0"/>
        <w:ind w:left="1406" w:right="503" w:hanging="360"/>
        <w:jc w:val="left"/>
        <w:rPr>
          <w:sz w:val="24"/>
        </w:rPr>
      </w:pPr>
      <w:r>
        <w:rPr>
          <w:sz w:val="24"/>
        </w:rPr>
        <w:t>Rentals are paid only for those periods in which beneficial use and occupancy of the leased property is available to the</w:t>
      </w:r>
      <w:r>
        <w:rPr>
          <w:spacing w:val="-21"/>
          <w:sz w:val="24"/>
        </w:rPr>
        <w:t> </w:t>
      </w:r>
      <w:r>
        <w:rPr>
          <w:sz w:val="24"/>
        </w:rPr>
        <w:t>lessee;</w:t>
      </w:r>
    </w:p>
    <w:p>
      <w:pPr>
        <w:pStyle w:val="ListParagraph"/>
        <w:numPr>
          <w:ilvl w:val="0"/>
          <w:numId w:val="134"/>
        </w:numPr>
        <w:tabs>
          <w:tab w:pos="1407" w:val="left" w:leader="none"/>
        </w:tabs>
        <w:spacing w:line="240" w:lineRule="auto" w:before="119" w:after="0"/>
        <w:ind w:left="1406" w:right="119" w:hanging="360"/>
        <w:jc w:val="left"/>
        <w:rPr>
          <w:sz w:val="24"/>
        </w:rPr>
      </w:pPr>
      <w:r>
        <w:rPr>
          <w:sz w:val="24"/>
        </w:rPr>
        <w:t>If there is no annual appropriation for rent when the leased property is available for use and occupancy, the state will be in default under the lease, and remedies may be available against the state. These remedies may include the vendor’s or lessor’s right to continue the lease in existence and sue the state for each installment of rent as it becomes</w:t>
      </w:r>
      <w:r>
        <w:rPr>
          <w:spacing w:val="-8"/>
          <w:sz w:val="24"/>
        </w:rPr>
        <w:t> </w:t>
      </w:r>
      <w:r>
        <w:rPr>
          <w:sz w:val="24"/>
        </w:rPr>
        <w:t>due.</w:t>
      </w:r>
    </w:p>
    <w:p>
      <w:pPr>
        <w:pStyle w:val="ListParagraph"/>
        <w:numPr>
          <w:ilvl w:val="0"/>
          <w:numId w:val="134"/>
        </w:numPr>
        <w:tabs>
          <w:tab w:pos="1407" w:val="left" w:leader="none"/>
        </w:tabs>
        <w:spacing w:line="240" w:lineRule="auto" w:before="119" w:after="0"/>
        <w:ind w:left="1406" w:right="0" w:hanging="360"/>
        <w:jc w:val="left"/>
        <w:rPr>
          <w:sz w:val="24"/>
        </w:rPr>
      </w:pPr>
      <w:r>
        <w:rPr>
          <w:sz w:val="24"/>
        </w:rPr>
        <w:t>Acceleration of rental payments is not</w:t>
      </w:r>
      <w:r>
        <w:rPr>
          <w:spacing w:val="-24"/>
          <w:sz w:val="24"/>
        </w:rPr>
        <w:t> </w:t>
      </w:r>
      <w:r>
        <w:rPr>
          <w:sz w:val="24"/>
        </w:rPr>
        <w:t>permitted;</w:t>
      </w:r>
    </w:p>
    <w:p>
      <w:pPr>
        <w:pStyle w:val="ListParagraph"/>
        <w:numPr>
          <w:ilvl w:val="0"/>
          <w:numId w:val="134"/>
        </w:numPr>
        <w:tabs>
          <w:tab w:pos="1407" w:val="left" w:leader="none"/>
        </w:tabs>
        <w:spacing w:line="240" w:lineRule="auto" w:before="119" w:after="0"/>
        <w:ind w:left="1406" w:right="381" w:hanging="360"/>
        <w:jc w:val="both"/>
        <w:rPr>
          <w:sz w:val="24"/>
        </w:rPr>
      </w:pPr>
      <w:r>
        <w:rPr/>
        <w:pict>
          <v:line style="position:absolute;mso-position-horizontal-relative:page;mso-position-vertical-relative:paragraph;z-index:35152" from="29.4pt,19.964861pt" to="29.4pt,33.765861pt" stroked="true" strokeweight=".72pt" strokecolor="#000000">
            <v:stroke dashstyle="solid"/>
            <w10:wrap type="none"/>
          </v:line>
        </w:pict>
      </w:r>
      <w:r>
        <w:rPr>
          <w:sz w:val="24"/>
        </w:rPr>
        <w:t>The obligation to pay rental payments may be from any lawfully available funds of the </w:t>
      </w:r>
      <w:r>
        <w:rPr>
          <w:strike/>
          <w:color w:val="2E97D3"/>
          <w:sz w:val="24"/>
        </w:rPr>
        <w:t>client </w:t>
      </w:r>
      <w:r>
        <w:rPr>
          <w:strike w:val="0"/>
          <w:sz w:val="24"/>
        </w:rPr>
        <w:t>department, which may covenant to place in its annual budget and seek appropriation of the rentals that are due and payable during the fiscal</w:t>
      </w:r>
      <w:r>
        <w:rPr>
          <w:strike w:val="0"/>
          <w:spacing w:val="-41"/>
          <w:sz w:val="24"/>
        </w:rPr>
        <w:t> </w:t>
      </w:r>
      <w:r>
        <w:rPr>
          <w:strike w:val="0"/>
          <w:sz w:val="24"/>
        </w:rPr>
        <w:t>year;</w:t>
      </w:r>
    </w:p>
    <w:p>
      <w:pPr>
        <w:pStyle w:val="ListParagraph"/>
        <w:numPr>
          <w:ilvl w:val="0"/>
          <w:numId w:val="134"/>
        </w:numPr>
        <w:tabs>
          <w:tab w:pos="1407" w:val="left" w:leader="none"/>
        </w:tabs>
        <w:spacing w:line="240" w:lineRule="auto" w:before="119" w:after="0"/>
        <w:ind w:left="1406" w:right="265" w:hanging="360"/>
        <w:jc w:val="left"/>
        <w:rPr>
          <w:sz w:val="24"/>
        </w:rPr>
      </w:pPr>
      <w:r>
        <w:rPr>
          <w:sz w:val="24"/>
        </w:rPr>
        <w:t>The terms and conditions in the lease must be similar to the lease terms found in a commercial context for similar types of</w:t>
      </w:r>
      <w:r>
        <w:rPr>
          <w:spacing w:val="-23"/>
          <w:sz w:val="24"/>
        </w:rPr>
        <w:t> </w:t>
      </w:r>
      <w:r>
        <w:rPr>
          <w:sz w:val="24"/>
        </w:rPr>
        <w:t>facilities;</w:t>
      </w:r>
    </w:p>
    <w:p>
      <w:pPr>
        <w:pStyle w:val="ListParagraph"/>
        <w:numPr>
          <w:ilvl w:val="0"/>
          <w:numId w:val="134"/>
        </w:numPr>
        <w:tabs>
          <w:tab w:pos="1406" w:val="left" w:leader="none"/>
          <w:tab w:pos="1407" w:val="left" w:leader="none"/>
        </w:tabs>
        <w:spacing w:line="240" w:lineRule="auto" w:before="119" w:after="0"/>
        <w:ind w:left="1406" w:right="463" w:hanging="360"/>
        <w:jc w:val="left"/>
        <w:rPr>
          <w:sz w:val="24"/>
        </w:rPr>
      </w:pPr>
      <w:r>
        <w:rPr>
          <w:sz w:val="24"/>
        </w:rPr>
        <w:t>The lease term should not extend beyond the anticipated useful life of the leased property, and fair market rental should be</w:t>
      </w:r>
      <w:r>
        <w:rPr>
          <w:spacing w:val="-23"/>
          <w:sz w:val="24"/>
        </w:rPr>
        <w:t> </w:t>
      </w:r>
      <w:r>
        <w:rPr>
          <w:sz w:val="24"/>
        </w:rPr>
        <w:t>paid;</w:t>
      </w:r>
    </w:p>
    <w:p>
      <w:pPr>
        <w:spacing w:after="0" w:line="240" w:lineRule="auto"/>
        <w:jc w:val="left"/>
        <w:rPr>
          <w:sz w:val="24"/>
        </w:rPr>
        <w:sectPr>
          <w:pgSz w:w="12240" w:h="15840"/>
          <w:pgMar w:header="726" w:footer="792" w:top="980" w:bottom="980" w:left="480" w:right="1320"/>
        </w:sectPr>
      </w:pPr>
    </w:p>
    <w:p>
      <w:pPr>
        <w:pStyle w:val="BodyText"/>
        <w:rPr>
          <w:sz w:val="20"/>
        </w:rPr>
      </w:pPr>
    </w:p>
    <w:p>
      <w:pPr>
        <w:pStyle w:val="BodyText"/>
        <w:spacing w:before="211"/>
        <w:ind w:left="686"/>
      </w:pPr>
      <w:r>
        <w:rPr/>
        <w:pict>
          <v:line style="position:absolute;mso-position-horizontal-relative:page;mso-position-vertical-relative:paragraph;z-index:35176" from="29.4pt,10.765882pt" to="29.4pt,30.565882pt" stroked="true" strokeweight=".72pt" strokecolor="#000000">
            <v:stroke dashstyle="solid"/>
            <w10:wrap type="none"/>
          </v:line>
        </w:pict>
      </w:r>
      <w:r>
        <w:rPr/>
        <w:t>(Continued)</w:t>
      </w:r>
    </w:p>
    <w:p>
      <w:pPr>
        <w:spacing w:after="0"/>
        <w:sectPr>
          <w:pgSz w:w="12240" w:h="15840"/>
          <w:pgMar w:header="726" w:footer="792" w:top="980" w:bottom="980" w:left="480" w:right="1720"/>
        </w:sectPr>
      </w:pPr>
    </w:p>
    <w:p>
      <w:pPr>
        <w:pStyle w:val="BodyText"/>
        <w:spacing w:before="4"/>
        <w:rPr>
          <w:rFonts w:ascii="Times New Roman"/>
          <w:sz w:val="17"/>
        </w:rPr>
      </w:pPr>
      <w:r>
        <w:rPr/>
        <w:pict>
          <v:line style="position:absolute;mso-position-horizontal-relative:page;mso-position-vertical-relative:page;z-index:35200" from="29.4pt,72pt" to="29.4pt,97.92pt" stroked="true" strokeweight=".72pt" strokecolor="#000000">
            <v:stroke dashstyle="solid"/>
            <w10:wrap type="none"/>
          </v:line>
        </w:pict>
      </w:r>
    </w:p>
    <w:p>
      <w:pPr>
        <w:spacing w:after="0"/>
        <w:rPr>
          <w:rFonts w:ascii="Times New Roman"/>
          <w:sz w:val="17"/>
        </w:rPr>
        <w:sectPr>
          <w:pgSz w:w="12240" w:h="15840"/>
          <w:pgMar w:header="726" w:footer="792" w:top="980" w:bottom="980" w:left="480" w:right="1720"/>
        </w:sectPr>
      </w:pPr>
    </w:p>
    <w:p>
      <w:pPr>
        <w:pStyle w:val="BodyText"/>
        <w:rPr>
          <w:rFonts w:ascii="Times New Roman"/>
          <w:sz w:val="20"/>
        </w:rPr>
      </w:pPr>
    </w:p>
    <w:p>
      <w:pPr>
        <w:pStyle w:val="BodyText"/>
        <w:spacing w:before="211"/>
        <w:ind w:left="686"/>
      </w:pPr>
      <w:r>
        <w:rPr/>
        <w:t>(Continued)</w:t>
      </w:r>
    </w:p>
    <w:p>
      <w:pPr>
        <w:pStyle w:val="Heading2"/>
        <w:tabs>
          <w:tab w:pos="8783" w:val="left" w:leader="none"/>
        </w:tabs>
        <w:ind w:left="686"/>
        <w:rPr>
          <w:b w:val="0"/>
        </w:rPr>
      </w:pPr>
      <w:r>
        <w:rPr/>
        <w:pict>
          <v:line style="position:absolute;mso-position-horizontal-relative:page;mso-position-vertical-relative:paragraph;z-index:35224" from="29.4pt,14.015833pt" to="29.4pt,27.815833pt" stroked="true" strokeweight=".72pt" strokecolor="#000000">
            <v:stroke dashstyle="solid"/>
            <w10:wrap type="none"/>
          </v:line>
        </w:pict>
      </w:r>
      <w:r>
        <w:rPr/>
        <w:t>FINANCING LEASES VERSUS</w:t>
      </w:r>
      <w:r>
        <w:rPr>
          <w:spacing w:val="-12"/>
        </w:rPr>
        <w:t> </w:t>
      </w:r>
      <w:r>
        <w:rPr/>
        <w:t>OPERATING</w:t>
      </w:r>
      <w:r>
        <w:rPr>
          <w:spacing w:val="-4"/>
        </w:rPr>
        <w:t> </w:t>
      </w:r>
      <w:r>
        <w:rPr/>
        <w:t>LEASES/CONTRACTS</w:t>
        <w:tab/>
        <w:t>6876 </w:t>
      </w:r>
      <w:r>
        <w:rPr>
          <w:b w:val="0"/>
        </w:rPr>
        <w:t>(Cont.</w:t>
      </w:r>
      <w:r>
        <w:rPr>
          <w:b w:val="0"/>
          <w:spacing w:val="-6"/>
        </w:rPr>
        <w:t> </w:t>
      </w:r>
      <w:r>
        <w:rPr>
          <w:b w:val="0"/>
        </w:rPr>
        <w:t>1)</w:t>
      </w:r>
    </w:p>
    <w:p>
      <w:pPr>
        <w:pStyle w:val="BodyText"/>
        <w:ind w:left="686"/>
      </w:pPr>
      <w:r>
        <w:rPr/>
        <w:t>(</w:t>
      </w:r>
      <w:r>
        <w:rPr>
          <w:strike/>
          <w:color w:val="2E97D3"/>
        </w:rPr>
        <w:t>New 5/1998</w:t>
      </w:r>
      <w:r>
        <w:rPr>
          <w:strike w:val="0"/>
          <w:color w:val="2E97D3"/>
          <w:u w:val="single" w:color="2E97D3"/>
        </w:rPr>
        <w:t>Revised 9/2017</w:t>
      </w:r>
      <w:r>
        <w:rPr>
          <w:strike w:val="0"/>
        </w:rPr>
        <w:t>)</w:t>
      </w:r>
    </w:p>
    <w:p>
      <w:pPr>
        <w:pStyle w:val="BodyText"/>
        <w:spacing w:before="10"/>
        <w:rPr>
          <w:sz w:val="15"/>
        </w:rPr>
      </w:pPr>
    </w:p>
    <w:p>
      <w:pPr>
        <w:pStyle w:val="ListParagraph"/>
        <w:numPr>
          <w:ilvl w:val="0"/>
          <w:numId w:val="134"/>
        </w:numPr>
        <w:tabs>
          <w:tab w:pos="1407" w:val="left" w:leader="none"/>
        </w:tabs>
        <w:spacing w:line="240" w:lineRule="auto" w:before="93" w:after="0"/>
        <w:ind w:left="1406" w:right="213" w:hanging="360"/>
        <w:jc w:val="left"/>
        <w:rPr>
          <w:sz w:val="24"/>
        </w:rPr>
      </w:pPr>
      <w:r>
        <w:rPr/>
        <w:pict>
          <v:line style="position:absolute;mso-position-horizontal-relative:page;mso-position-vertical-relative:paragraph;z-index:35248" from="29.4pt,46.265869pt" to="29.4pt,66.065869pt" stroked="true" strokeweight=".72pt" strokecolor="#000000">
            <v:stroke dashstyle="solid"/>
            <w10:wrap type="none"/>
          </v:line>
        </w:pict>
      </w:r>
      <w:r>
        <w:rPr>
          <w:sz w:val="24"/>
        </w:rPr>
        <w:t>Termination provisions must match the underlying capital financing (such as certificates of participation). Usually the lease may be terminated only if the remaining unpaid rental payments are </w:t>
      </w:r>
      <w:r>
        <w:rPr>
          <w:i/>
          <w:sz w:val="24"/>
        </w:rPr>
        <w:t>prepaid </w:t>
      </w:r>
      <w:r>
        <w:rPr>
          <w:sz w:val="24"/>
        </w:rPr>
        <w:t>and title to the leased property vests in the </w:t>
      </w:r>
      <w:r>
        <w:rPr>
          <w:strike/>
          <w:color w:val="2E97D3"/>
          <w:sz w:val="24"/>
        </w:rPr>
        <w:t>client </w:t>
      </w:r>
      <w:r>
        <w:rPr>
          <w:strike w:val="0"/>
          <w:sz w:val="24"/>
        </w:rPr>
        <w:t>department (or other state agency, such as DGS);</w:t>
      </w:r>
      <w:r>
        <w:rPr>
          <w:strike w:val="0"/>
          <w:spacing w:val="-31"/>
          <w:sz w:val="24"/>
        </w:rPr>
        <w:t> </w:t>
      </w:r>
      <w:r>
        <w:rPr>
          <w:strike w:val="0"/>
          <w:sz w:val="24"/>
        </w:rPr>
        <w:t>and</w:t>
      </w:r>
    </w:p>
    <w:p>
      <w:pPr>
        <w:pStyle w:val="ListParagraph"/>
        <w:numPr>
          <w:ilvl w:val="0"/>
          <w:numId w:val="134"/>
        </w:numPr>
        <w:tabs>
          <w:tab w:pos="1407" w:val="left" w:leader="none"/>
        </w:tabs>
        <w:spacing w:line="240" w:lineRule="auto" w:before="120" w:after="0"/>
        <w:ind w:left="1406" w:right="452" w:hanging="360"/>
        <w:jc w:val="left"/>
        <w:rPr>
          <w:sz w:val="24"/>
        </w:rPr>
      </w:pPr>
      <w:r>
        <w:rPr>
          <w:sz w:val="24"/>
        </w:rPr>
        <w:t>The credit underlying the transaction is the state lease and the fund from which lease payments are made. Financial statements for that fund may be included in the official statement and are subject to continuing</w:t>
      </w:r>
      <w:r>
        <w:rPr>
          <w:spacing w:val="-26"/>
          <w:sz w:val="24"/>
        </w:rPr>
        <w:t> </w:t>
      </w:r>
      <w:r>
        <w:rPr>
          <w:sz w:val="24"/>
        </w:rPr>
        <w:t>disclosure.</w:t>
      </w:r>
    </w:p>
    <w:p>
      <w:pPr>
        <w:pStyle w:val="Heading2"/>
        <w:numPr>
          <w:ilvl w:val="0"/>
          <w:numId w:val="135"/>
        </w:numPr>
        <w:tabs>
          <w:tab w:pos="1047" w:val="left" w:leader="none"/>
        </w:tabs>
        <w:spacing w:line="240" w:lineRule="auto" w:before="100" w:after="0"/>
        <w:ind w:left="1046" w:right="0" w:hanging="360"/>
        <w:jc w:val="left"/>
        <w:rPr>
          <w:b w:val="0"/>
        </w:rPr>
      </w:pPr>
      <w:r>
        <w:rPr/>
        <w:pict>
          <v:line style="position:absolute;mso-position-horizontal-relative:page;mso-position-vertical-relative:paragraph;z-index:35272" from="29.4pt,5.215855pt" to="29.4pt,464.215855pt" stroked="true" strokeweight=".72pt" strokecolor="#000000">
            <v:stroke dashstyle="solid"/>
            <w10:wrap type="none"/>
          </v:line>
        </w:pict>
      </w:r>
      <w:r>
        <w:rPr>
          <w:strike/>
          <w:color w:val="2E97D3"/>
        </w:rPr>
        <w:t>Other fiscal</w:t>
      </w:r>
      <w:r>
        <w:rPr>
          <w:strike/>
          <w:color w:val="2E97D3"/>
          <w:spacing w:val="-12"/>
        </w:rPr>
        <w:t> </w:t>
      </w:r>
      <w:r>
        <w:rPr>
          <w:strike/>
          <w:color w:val="2E97D3"/>
        </w:rPr>
        <w:t>highlights</w:t>
      </w:r>
      <w:r>
        <w:rPr>
          <w:b w:val="0"/>
          <w:strike/>
          <w:color w:val="2E97D3"/>
        </w:rPr>
        <w:t>:</w:t>
      </w:r>
    </w:p>
    <w:p>
      <w:pPr>
        <w:pStyle w:val="ListParagraph"/>
        <w:numPr>
          <w:ilvl w:val="1"/>
          <w:numId w:val="135"/>
        </w:numPr>
        <w:tabs>
          <w:tab w:pos="1407" w:val="left" w:leader="none"/>
        </w:tabs>
        <w:spacing w:line="240" w:lineRule="auto" w:before="119" w:after="0"/>
        <w:ind w:left="1406" w:right="274" w:hanging="360"/>
        <w:jc w:val="left"/>
        <w:rPr>
          <w:sz w:val="24"/>
        </w:rPr>
      </w:pPr>
      <w:r>
        <w:rPr>
          <w:strike/>
          <w:color w:val="2E97D3"/>
          <w:sz w:val="24"/>
        </w:rPr>
        <w:t>Per Government Code Section </w:t>
      </w:r>
      <w:r>
        <w:rPr>
          <w:strike/>
          <w:color w:val="2E97D3"/>
          <w:sz w:val="24"/>
          <w:u w:val="single" w:color="2E97D3"/>
        </w:rPr>
        <w:t>5700</w:t>
      </w:r>
      <w:r>
        <w:rPr>
          <w:strike/>
          <w:color w:val="2E97D3"/>
          <w:sz w:val="24"/>
        </w:rPr>
        <w:t>, STO is the agent for sale of any state or JPA debt issuance, including those over $10 million, unless statute specifies otherwise. This provision includes debt issuance for a financing lease. In this context, “JPA” means </w:t>
      </w:r>
      <w:r>
        <w:rPr>
          <w:i/>
          <w:strike/>
          <w:color w:val="2E97D3"/>
          <w:sz w:val="24"/>
        </w:rPr>
        <w:t>any </w:t>
      </w:r>
      <w:r>
        <w:rPr>
          <w:strike/>
          <w:color w:val="2E97D3"/>
          <w:sz w:val="24"/>
        </w:rPr>
        <w:t>joint powers authority, whether or not the state is a member. If the issuer for bonds for a state financing lease is neither a JPA nor a state entity, STO may nonetheless reserve the right to be the agent for sale if continuing state disclosure is required. Other STO roles are as described for JPA issuances (Section</w:t>
      </w:r>
      <w:r>
        <w:rPr>
          <w:strike/>
          <w:color w:val="2E97D3"/>
          <w:spacing w:val="-7"/>
          <w:sz w:val="24"/>
        </w:rPr>
        <w:t> </w:t>
      </w:r>
      <w:r>
        <w:rPr>
          <w:strike/>
          <w:color w:val="2E97D3"/>
          <w:sz w:val="24"/>
        </w:rPr>
        <w:t>6874).</w:t>
      </w:r>
    </w:p>
    <w:p>
      <w:pPr>
        <w:pStyle w:val="ListParagraph"/>
        <w:numPr>
          <w:ilvl w:val="1"/>
          <w:numId w:val="135"/>
        </w:numPr>
        <w:tabs>
          <w:tab w:pos="1407" w:val="left" w:leader="none"/>
        </w:tabs>
        <w:spacing w:line="240" w:lineRule="auto" w:before="100" w:after="0"/>
        <w:ind w:left="1406" w:right="115" w:hanging="360"/>
        <w:jc w:val="left"/>
        <w:rPr>
          <w:sz w:val="24"/>
        </w:rPr>
      </w:pPr>
      <w:r>
        <w:rPr>
          <w:strike/>
          <w:color w:val="2E97D3"/>
          <w:sz w:val="24"/>
        </w:rPr>
        <w:t>The roles of DOF and DGS are as described for JPA issuances. The client department, DOF, and/or DGS may consult with the Attorney General to ensure that the underlying lease has all appropriate provisions to ensure that the transaction is not constitutional</w:t>
      </w:r>
      <w:r>
        <w:rPr>
          <w:strike/>
          <w:color w:val="2E97D3"/>
          <w:spacing w:val="-11"/>
          <w:sz w:val="24"/>
        </w:rPr>
        <w:t> </w:t>
      </w:r>
      <w:r>
        <w:rPr>
          <w:strike/>
          <w:color w:val="2E97D3"/>
          <w:sz w:val="24"/>
        </w:rPr>
        <w:t>debt.</w:t>
      </w:r>
    </w:p>
    <w:p>
      <w:pPr>
        <w:pStyle w:val="ListParagraph"/>
        <w:numPr>
          <w:ilvl w:val="1"/>
          <w:numId w:val="135"/>
        </w:numPr>
        <w:tabs>
          <w:tab w:pos="1407" w:val="left" w:leader="none"/>
        </w:tabs>
        <w:spacing w:line="240" w:lineRule="auto" w:before="100" w:after="0"/>
        <w:ind w:left="1406" w:right="167" w:hanging="360"/>
        <w:jc w:val="left"/>
        <w:rPr>
          <w:sz w:val="24"/>
        </w:rPr>
      </w:pPr>
      <w:r>
        <w:rPr>
          <w:strike/>
          <w:color w:val="2E97D3"/>
          <w:sz w:val="24"/>
        </w:rPr>
        <w:t>The key client department responsibility is to notify DOF and STO, at least eight months in advance (preferably one year), of any pending financing lease project outside the normal budget process </w:t>
      </w:r>
      <w:r>
        <w:rPr>
          <w:i/>
          <w:strike/>
          <w:color w:val="2E97D3"/>
          <w:sz w:val="24"/>
        </w:rPr>
        <w:t>which may require the services of STO as the </w:t>
      </w:r>
      <w:r>
        <w:rPr>
          <w:i/>
          <w:strike/>
          <w:color w:val="2E97D3"/>
          <w:sz w:val="24"/>
        </w:rPr>
        <w:t>agent for sale or continuing disclosure agent</w:t>
      </w:r>
      <w:r>
        <w:rPr>
          <w:strike/>
          <w:color w:val="2E97D3"/>
          <w:sz w:val="24"/>
        </w:rPr>
        <w:t>. The client department will meet as necessary with STO to clarify what entity is the agent for sale. DOF may require an economic analysis for the project. The client department needs to consult with the STO before final lease terms are negotiated and, until concurrence is received from STO, the client department may make no commitments to local government entities or private vendors regarding: financing structure; timing; selection of underwriters, financial advisors, or bond counsels; or use of state credit.  DOF may schedule lease payments as a separate Budget Act item.  In this case, the client department’s budgeting and accounting requirements are the same as for lease- revenue debt service. Other responsibilities of the client department are summarized in Section</w:t>
      </w:r>
      <w:r>
        <w:rPr>
          <w:strike/>
          <w:color w:val="2E97D3"/>
          <w:spacing w:val="-11"/>
          <w:sz w:val="24"/>
        </w:rPr>
        <w:t> </w:t>
      </w:r>
      <w:r>
        <w:rPr>
          <w:strike/>
          <w:color w:val="2E97D3"/>
          <w:sz w:val="24"/>
        </w:rPr>
        <w:t>6886.</w:t>
      </w:r>
    </w:p>
    <w:p>
      <w:pPr>
        <w:pStyle w:val="BodyText"/>
        <w:rPr>
          <w:sz w:val="20"/>
        </w:rPr>
      </w:pPr>
    </w:p>
    <w:p>
      <w:pPr>
        <w:pStyle w:val="BodyText"/>
        <w:spacing w:before="11"/>
        <w:rPr>
          <w:sz w:val="22"/>
        </w:rPr>
      </w:pPr>
    </w:p>
    <w:p>
      <w:pPr>
        <w:pStyle w:val="BodyText"/>
        <w:ind w:left="686"/>
      </w:pPr>
      <w:r>
        <w:rPr>
          <w:strike/>
          <w:color w:val="2E97D3"/>
        </w:rPr>
        <w:t>(Continued)</w:t>
      </w:r>
    </w:p>
    <w:p>
      <w:pPr>
        <w:spacing w:after="0"/>
        <w:sectPr>
          <w:pgSz w:w="12240" w:h="15840"/>
          <w:pgMar w:header="726" w:footer="792" w:top="980" w:bottom="980" w:left="480" w:right="1320"/>
        </w:sectPr>
      </w:pPr>
    </w:p>
    <w:p>
      <w:pPr>
        <w:pStyle w:val="BodyText"/>
        <w:rPr>
          <w:sz w:val="20"/>
        </w:rPr>
      </w:pPr>
    </w:p>
    <w:p>
      <w:pPr>
        <w:pStyle w:val="BodyText"/>
        <w:spacing w:before="211"/>
        <w:ind w:left="686"/>
      </w:pPr>
      <w:r>
        <w:rPr/>
        <w:pict>
          <v:line style="position:absolute;mso-position-horizontal-relative:page;mso-position-vertical-relative:paragraph;z-index:35344" from="29.4pt,10.765882pt" to="29.4pt,71.965882pt" stroked="true" strokeweight=".72pt" strokecolor="#000000">
            <v:stroke dashstyle="solid"/>
            <w10:wrap type="none"/>
          </v:line>
        </w:pict>
      </w:r>
      <w:r>
        <w:rPr>
          <w:strike/>
          <w:color w:val="2C6234"/>
        </w:rPr>
        <w:t>(Continued)</w:t>
      </w:r>
    </w:p>
    <w:p>
      <w:pPr>
        <w:tabs>
          <w:tab w:pos="8783" w:val="left" w:leader="none"/>
        </w:tabs>
        <w:spacing w:before="0"/>
        <w:ind w:left="686" w:right="116" w:firstLine="0"/>
        <w:jc w:val="left"/>
        <w:rPr>
          <w:sz w:val="24"/>
        </w:rPr>
      </w:pPr>
      <w:r>
        <w:rPr/>
        <w:pict>
          <v:group style="position:absolute;margin-left:58.02pt;margin-top:7.536333pt;width:482.2pt;height:1.8pt;mso-position-horizontal-relative:page;mso-position-vertical-relative:paragraph;z-index:-437368" coordorigin="1160,151" coordsize="9644,36">
            <v:line style="position:absolute" from="1166,181" to="10798,181" stroked="true" strokeweight=".6pt" strokecolor="#2c6234">
              <v:stroke dashstyle="solid"/>
            </v:line>
            <v:line style="position:absolute" from="1166,157" to="10798,157" stroked="true" strokeweight=".599pt" strokecolor="#2c6234">
              <v:stroke dashstyle="solid"/>
            </v:line>
            <w10:wrap type="none"/>
          </v:group>
        </w:pict>
      </w:r>
      <w:r>
        <w:rPr>
          <w:b/>
          <w:color w:val="2C6234"/>
          <w:sz w:val="24"/>
        </w:rPr>
        <w:t>FINANCING LEASES VERSUS</w:t>
      </w:r>
      <w:r>
        <w:rPr>
          <w:b/>
          <w:color w:val="2C6234"/>
          <w:spacing w:val="-12"/>
          <w:sz w:val="24"/>
        </w:rPr>
        <w:t> </w:t>
      </w:r>
      <w:r>
        <w:rPr>
          <w:b/>
          <w:color w:val="2C6234"/>
          <w:sz w:val="24"/>
        </w:rPr>
        <w:t>OPERATING</w:t>
      </w:r>
      <w:r>
        <w:rPr>
          <w:b/>
          <w:color w:val="2C6234"/>
          <w:spacing w:val="-4"/>
          <w:sz w:val="24"/>
        </w:rPr>
        <w:t> </w:t>
      </w:r>
      <w:r>
        <w:rPr>
          <w:b/>
          <w:color w:val="2C6234"/>
          <w:sz w:val="24"/>
        </w:rPr>
        <w:t>LEASES/CONTRACTS</w:t>
        <w:tab/>
        <w:t>6876</w:t>
      </w:r>
      <w:r>
        <w:rPr>
          <w:b/>
          <w:color w:val="2C6234"/>
          <w:spacing w:val="-2"/>
          <w:sz w:val="24"/>
        </w:rPr>
        <w:t> </w:t>
      </w:r>
      <w:r>
        <w:rPr>
          <w:color w:val="2C6234"/>
          <w:sz w:val="24"/>
        </w:rPr>
        <w:t>(Cont.</w:t>
      </w:r>
      <w:r>
        <w:rPr>
          <w:color w:val="2C6234"/>
          <w:spacing w:val="-5"/>
          <w:sz w:val="24"/>
        </w:rPr>
        <w:t> </w:t>
      </w:r>
      <w:r>
        <w:rPr>
          <w:color w:val="2C6234"/>
          <w:sz w:val="24"/>
        </w:rPr>
        <w:t>2)</w:t>
      </w:r>
      <w:r>
        <w:rPr>
          <w:color w:val="2C6234"/>
          <w:w w:val="99"/>
          <w:sz w:val="24"/>
        </w:rPr>
        <w:t> </w:t>
      </w:r>
      <w:r>
        <w:rPr>
          <w:strike/>
          <w:color w:val="2E97D3"/>
          <w:sz w:val="24"/>
        </w:rPr>
        <w:t>(New</w:t>
      </w:r>
      <w:r>
        <w:rPr>
          <w:strike/>
          <w:color w:val="2E97D3"/>
          <w:spacing w:val="-6"/>
          <w:sz w:val="24"/>
        </w:rPr>
        <w:t> </w:t>
      </w:r>
      <w:r>
        <w:rPr>
          <w:strike/>
          <w:color w:val="2E97D3"/>
          <w:sz w:val="24"/>
        </w:rPr>
        <w:t>5/1998)</w:t>
      </w:r>
    </w:p>
    <w:p>
      <w:pPr>
        <w:pStyle w:val="BodyText"/>
        <w:spacing w:before="5"/>
        <w:rPr>
          <w:sz w:val="26"/>
        </w:rPr>
      </w:pPr>
    </w:p>
    <w:p>
      <w:pPr>
        <w:pStyle w:val="BodyText"/>
        <w:spacing w:before="92"/>
        <w:ind w:left="686"/>
      </w:pPr>
      <w:r>
        <w:rPr/>
        <w:t>Operating leases/contracts used as security for third-party financings:</w:t>
      </w:r>
    </w:p>
    <w:p>
      <w:pPr>
        <w:pStyle w:val="BodyText"/>
        <w:tabs>
          <w:tab w:pos="1406" w:val="left" w:leader="none"/>
        </w:tabs>
        <w:spacing w:before="119"/>
        <w:ind w:left="1046" w:right="356" w:hanging="360"/>
      </w:pPr>
      <w:r>
        <w:rPr/>
        <w:pict>
          <v:line style="position:absolute;mso-position-horizontal-relative:page;mso-position-vertical-relative:paragraph;z-index:35368" from="29.4pt,6.165881pt" to="29.4pt,19.965881pt" stroked="true" strokeweight=".72pt" strokecolor="#000000">
            <v:stroke dashstyle="solid"/>
            <w10:wrap type="none"/>
          </v:line>
        </w:pict>
      </w:r>
      <w:r>
        <w:rPr>
          <w:strike/>
          <w:color w:val="2E97D3"/>
        </w:rPr>
        <w:t>1.</w:t>
      </w:r>
      <w:r>
        <w:rPr>
          <w:strike w:val="0"/>
          <w:color w:val="2E97D3"/>
          <w:u w:val="single" w:color="2E97D3"/>
        </w:rPr>
        <w:t>4.</w:t>
        <w:tab/>
      </w:r>
      <w:r>
        <w:rPr>
          <w:b/>
          <w:strike w:val="0"/>
        </w:rPr>
        <w:t>Background</w:t>
      </w:r>
      <w:r>
        <w:rPr>
          <w:strike w:val="0"/>
        </w:rPr>
        <w:t>:  A </w:t>
      </w:r>
      <w:r>
        <w:rPr>
          <w:strike/>
          <w:color w:val="2E97D3"/>
        </w:rPr>
        <w:t>client </w:t>
      </w:r>
      <w:r>
        <w:rPr>
          <w:strike w:val="0"/>
        </w:rPr>
        <w:t>department may be limited to entering into</w:t>
      </w:r>
      <w:r>
        <w:rPr>
          <w:strike w:val="0"/>
          <w:spacing w:val="-33"/>
        </w:rPr>
        <w:t> </w:t>
      </w:r>
      <w:r>
        <w:rPr>
          <w:strike w:val="0"/>
        </w:rPr>
        <w:t>an</w:t>
      </w:r>
      <w:r>
        <w:rPr>
          <w:strike w:val="0"/>
          <w:spacing w:val="-7"/>
        </w:rPr>
        <w:t> </w:t>
      </w:r>
      <w:r>
        <w:rPr>
          <w:strike w:val="0"/>
        </w:rPr>
        <w:t>operating</w:t>
      </w:r>
      <w:r>
        <w:rPr>
          <w:strike w:val="0"/>
          <w:w w:val="99"/>
        </w:rPr>
        <w:t> </w:t>
      </w:r>
      <w:r>
        <w:rPr>
          <w:strike w:val="0"/>
        </w:rPr>
        <w:t>lease or contract for the use of real assets (i.e., no authority to enter into a financing lease to acquire assets). Typically such operating leases or contracts may be terminated before their maximum term if there is no legislative appropriation for their payment. In some cases, the vendor may elect to use the operating lease or contract as security for borrowing funds to acquire or construct those real assets. However, in this situation there is no authority to commit the state legally or morally to any obligation to appropriate funds beyond the current fiscal</w:t>
      </w:r>
      <w:r>
        <w:rPr>
          <w:strike w:val="0"/>
          <w:spacing w:val="-34"/>
        </w:rPr>
        <w:t> </w:t>
      </w:r>
      <w:r>
        <w:rPr>
          <w:strike w:val="0"/>
        </w:rPr>
        <w:t>year.</w:t>
      </w:r>
    </w:p>
    <w:p>
      <w:pPr>
        <w:tabs>
          <w:tab w:pos="1406" w:val="left" w:leader="none"/>
        </w:tabs>
        <w:spacing w:before="196"/>
        <w:ind w:left="1046" w:right="1201" w:hanging="360"/>
        <w:jc w:val="left"/>
        <w:rPr>
          <w:sz w:val="24"/>
        </w:rPr>
      </w:pPr>
      <w:r>
        <w:rPr/>
        <w:pict>
          <v:line style="position:absolute;mso-position-horizontal-relative:page;mso-position-vertical-relative:paragraph;z-index:35392" from="29.4pt,10.014866pt" to="29.4pt,23.815866pt" stroked="true" strokeweight=".72pt" strokecolor="#000000">
            <v:stroke dashstyle="solid"/>
            <w10:wrap type="none"/>
          </v:line>
        </w:pict>
      </w:r>
      <w:r>
        <w:rPr>
          <w:strike/>
          <w:color w:val="2E97D3"/>
          <w:sz w:val="24"/>
        </w:rPr>
        <w:t>2.</w:t>
      </w:r>
      <w:r>
        <w:rPr>
          <w:strike w:val="0"/>
          <w:color w:val="2E97D3"/>
          <w:sz w:val="24"/>
          <w:u w:val="single" w:color="2E97D3"/>
        </w:rPr>
        <w:t>5.</w:t>
        <w:tab/>
      </w:r>
      <w:r>
        <w:rPr>
          <w:b/>
          <w:strike w:val="0"/>
          <w:sz w:val="24"/>
        </w:rPr>
        <w:t>Statutory reference</w:t>
      </w:r>
      <w:r>
        <w:rPr>
          <w:strike w:val="0"/>
          <w:sz w:val="24"/>
        </w:rPr>
        <w:t>:  </w:t>
      </w:r>
      <w:r>
        <w:rPr>
          <w:strike/>
          <w:color w:val="2E97D3"/>
          <w:sz w:val="24"/>
        </w:rPr>
        <w:t>same</w:t>
      </w:r>
      <w:r>
        <w:rPr>
          <w:strike w:val="0"/>
          <w:color w:val="2E97D3"/>
          <w:sz w:val="24"/>
          <w:u w:val="single" w:color="2E97D3"/>
        </w:rPr>
        <w:t>Same </w:t>
      </w:r>
      <w:r>
        <w:rPr>
          <w:strike w:val="0"/>
          <w:sz w:val="24"/>
        </w:rPr>
        <w:t>as for financing leases described</w:t>
      </w:r>
      <w:r>
        <w:rPr>
          <w:strike w:val="0"/>
          <w:spacing w:val="-35"/>
          <w:sz w:val="24"/>
        </w:rPr>
        <w:t> </w:t>
      </w:r>
      <w:r>
        <w:rPr>
          <w:strike w:val="0"/>
          <w:sz w:val="24"/>
        </w:rPr>
        <w:t>in</w:t>
      </w:r>
      <w:r>
        <w:rPr>
          <w:strike w:val="0"/>
          <w:spacing w:val="-1"/>
          <w:sz w:val="24"/>
        </w:rPr>
        <w:t> </w:t>
      </w:r>
      <w:r>
        <w:rPr>
          <w:strike w:val="0"/>
          <w:sz w:val="24"/>
        </w:rPr>
        <w:t>the</w:t>
      </w:r>
      <w:r>
        <w:rPr>
          <w:strike w:val="0"/>
          <w:w w:val="99"/>
          <w:sz w:val="24"/>
        </w:rPr>
        <w:t> </w:t>
      </w:r>
      <w:r>
        <w:rPr>
          <w:strike w:val="0"/>
          <w:sz w:val="24"/>
        </w:rPr>
        <w:t>preceding</w:t>
      </w:r>
      <w:r>
        <w:rPr>
          <w:strike w:val="0"/>
          <w:spacing w:val="-9"/>
          <w:sz w:val="24"/>
        </w:rPr>
        <w:t> </w:t>
      </w:r>
      <w:r>
        <w:rPr>
          <w:strike w:val="0"/>
          <w:sz w:val="24"/>
        </w:rPr>
        <w:t>text.</w:t>
      </w:r>
    </w:p>
    <w:p>
      <w:pPr>
        <w:pStyle w:val="BodyText"/>
        <w:rPr>
          <w:sz w:val="21"/>
        </w:rPr>
      </w:pPr>
    </w:p>
    <w:p>
      <w:pPr>
        <w:pStyle w:val="Heading2"/>
        <w:numPr>
          <w:ilvl w:val="1"/>
          <w:numId w:val="136"/>
        </w:numPr>
        <w:tabs>
          <w:tab w:pos="1406" w:val="left" w:leader="none"/>
          <w:tab w:pos="1407" w:val="left" w:leader="none"/>
        </w:tabs>
        <w:spacing w:line="240" w:lineRule="auto" w:before="0" w:after="0"/>
        <w:ind w:left="1406" w:right="0" w:hanging="720"/>
        <w:jc w:val="left"/>
        <w:rPr>
          <w:b w:val="0"/>
        </w:rPr>
      </w:pPr>
      <w:r>
        <w:rPr>
          <w:strike w:val="0"/>
        </w:rPr>
        <w:t>Fiscal highlights for operating leases/contracts</w:t>
      </w:r>
      <w:r>
        <w:rPr>
          <w:strike w:val="0"/>
          <w:spacing w:val="-25"/>
        </w:rPr>
        <w:t> </w:t>
      </w:r>
      <w:r>
        <w:rPr>
          <w:b w:val="0"/>
          <w:strike w:val="0"/>
        </w:rPr>
        <w:t>:</w:t>
      </w:r>
    </w:p>
    <w:p>
      <w:pPr>
        <w:pStyle w:val="ListParagraph"/>
        <w:numPr>
          <w:ilvl w:val="2"/>
          <w:numId w:val="136"/>
        </w:numPr>
        <w:tabs>
          <w:tab w:pos="1407" w:val="left" w:leader="none"/>
        </w:tabs>
        <w:spacing w:line="240" w:lineRule="auto" w:before="198" w:after="0"/>
        <w:ind w:left="1406" w:right="0" w:hanging="360"/>
        <w:jc w:val="left"/>
        <w:rPr>
          <w:sz w:val="24"/>
        </w:rPr>
      </w:pPr>
      <w:r>
        <w:rPr>
          <w:sz w:val="24"/>
        </w:rPr>
        <w:t>The provisions of the lease must</w:t>
      </w:r>
      <w:r>
        <w:rPr>
          <w:spacing w:val="-17"/>
          <w:sz w:val="24"/>
        </w:rPr>
        <w:t> </w:t>
      </w:r>
      <w:r>
        <w:rPr>
          <w:sz w:val="24"/>
        </w:rPr>
        <w:t>include:</w:t>
      </w:r>
    </w:p>
    <w:p>
      <w:pPr>
        <w:pStyle w:val="BodyText"/>
        <w:tabs>
          <w:tab w:pos="1946" w:val="left" w:leader="none"/>
        </w:tabs>
        <w:spacing w:line="274" w:lineRule="exact" w:before="125"/>
        <w:ind w:left="1946" w:right="380" w:hanging="1260"/>
      </w:pPr>
      <w:r>
        <w:rPr>
          <w:strike/>
          <w:color w:val="2E97D3"/>
        </w:rPr>
        <w:t>(1)</w:t>
      </w:r>
      <w:r>
        <w:rPr>
          <w:strike w:val="0"/>
          <w:color w:val="2E97D3"/>
          <w:u w:val="single" w:color="2E97D3"/>
        </w:rPr>
        <w:t>1.</w:t>
        <w:tab/>
      </w:r>
      <w:r>
        <w:rPr>
          <w:strike w:val="0"/>
        </w:rPr>
        <w:t>All restrictions applicable to a financing lease as stated in the</w:t>
      </w:r>
      <w:r>
        <w:rPr>
          <w:strike w:val="0"/>
          <w:spacing w:val="-34"/>
        </w:rPr>
        <w:t> </w:t>
      </w:r>
      <w:r>
        <w:rPr>
          <w:strike w:val="0"/>
        </w:rPr>
        <w:t>preceding</w:t>
      </w:r>
      <w:r>
        <w:rPr>
          <w:strike w:val="0"/>
          <w:spacing w:val="-4"/>
        </w:rPr>
        <w:t> </w:t>
      </w:r>
      <w:r>
        <w:rPr>
          <w:strike w:val="0"/>
        </w:rPr>
        <w:t>text;</w:t>
      </w:r>
      <w:r>
        <w:rPr>
          <w:strike w:val="0"/>
          <w:w w:val="100"/>
        </w:rPr>
        <w:t> </w:t>
      </w:r>
      <w:r>
        <w:rPr>
          <w:strike w:val="0"/>
        </w:rPr>
        <w:t>and</w:t>
      </w:r>
    </w:p>
    <w:p>
      <w:pPr>
        <w:pStyle w:val="BodyText"/>
        <w:spacing w:before="116"/>
        <w:ind w:left="1946" w:right="189" w:hanging="540"/>
      </w:pPr>
      <w:r>
        <w:rPr>
          <w:strike/>
          <w:color w:val="2E97D3"/>
        </w:rPr>
        <w:t>(2)</w:t>
      </w:r>
      <w:r>
        <w:rPr>
          <w:strike w:val="0"/>
          <w:color w:val="2E97D3"/>
          <w:u w:val="single" w:color="2E97D3"/>
        </w:rPr>
        <w:t>2. </w:t>
      </w:r>
      <w:r>
        <w:rPr>
          <w:strike w:val="0"/>
        </w:rPr>
        <w:t>Termination provisions, including the right of the state to terminate the lease before the end of the term. For example, the state may include the right to terminate the lease if the state is not satisfied with the condition of the building or the lessor’s compliance with the lease terms, may no longer need the space, or for any reason applicable in a commercial context. The exact terms will depend upon the specific factors applicable to each lease. Termination provisions may be short-term—i.e., the useful life of the leased property (e.g. 20 years) may be substantially greater than the stated maximum lease term (e.g. 10 years). In addition, the operating lease or a contract typically will terminate if there is no appropriation of rentals for a fiscal year (hence the name </w:t>
      </w:r>
      <w:r>
        <w:rPr>
          <w:i/>
          <w:strike w:val="0"/>
        </w:rPr>
        <w:t>nonappropriation lease </w:t>
      </w:r>
      <w:r>
        <w:rPr>
          <w:strike w:val="0"/>
        </w:rPr>
        <w:t>is sometimes used to describe these operating leases or contracts).</w:t>
      </w:r>
    </w:p>
    <w:p>
      <w:pPr>
        <w:pStyle w:val="BodyText"/>
        <w:spacing w:before="120"/>
        <w:ind w:left="1946" w:right="148"/>
      </w:pPr>
      <w:r>
        <w:rPr/>
        <w:t>Upon termination, the leased property must be returned to the vendor, who may sell or relet the leased property to someone else. In this case, however, the vendor or lessor cannot have the right to continue the lease in existence and sue the state for each installment of rent as it becomes due.</w:t>
      </w:r>
    </w:p>
    <w:p>
      <w:pPr>
        <w:pStyle w:val="BodyText"/>
        <w:rPr>
          <w:sz w:val="13"/>
        </w:rPr>
      </w:pPr>
    </w:p>
    <w:p>
      <w:pPr>
        <w:pStyle w:val="BodyText"/>
        <w:spacing w:before="93"/>
        <w:ind w:left="686"/>
      </w:pPr>
      <w:r>
        <w:rPr/>
        <w:pict>
          <v:line style="position:absolute;mso-position-horizontal-relative:page;mso-position-vertical-relative:paragraph;z-index:35416" from="29.4pt,-1.254142pt" to="29.4pt,91.865858pt" stroked="true" strokeweight=".72pt" strokecolor="#000000">
            <v:stroke dashstyle="solid"/>
            <w10:wrap type="none"/>
          </v:line>
        </w:pict>
      </w:r>
      <w:r>
        <w:rPr>
          <w:color w:val="2C6234"/>
          <w:u w:val="thick" w:color="2C6234"/>
        </w:rPr>
        <w:t>(Continued)</w:t>
      </w:r>
    </w:p>
    <w:p>
      <w:pPr>
        <w:pStyle w:val="BodyText"/>
        <w:spacing w:before="10"/>
        <w:rPr>
          <w:sz w:val="20"/>
        </w:rPr>
      </w:pPr>
    </w:p>
    <w:p>
      <w:pPr>
        <w:pStyle w:val="BodyText"/>
        <w:ind w:left="686"/>
      </w:pPr>
      <w:r>
        <w:rPr>
          <w:color w:val="2C6234"/>
          <w:u w:val="thick" w:color="2C6234"/>
        </w:rPr>
        <w:t>(Continued)</w:t>
      </w:r>
    </w:p>
    <w:p>
      <w:pPr>
        <w:pStyle w:val="Heading2"/>
        <w:tabs>
          <w:tab w:pos="8783" w:val="left" w:leader="none"/>
        </w:tabs>
        <w:ind w:left="686"/>
        <w:rPr>
          <w:b w:val="0"/>
        </w:rPr>
      </w:pPr>
      <w:r>
        <w:rPr/>
        <w:pict>
          <v:group style="position:absolute;margin-left:58.02pt;margin-top:11.735859pt;width:482.2pt;height:2.2pt;mso-position-horizontal-relative:page;mso-position-vertical-relative:paragraph;z-index:-437344" coordorigin="1160,235" coordsize="9644,44">
            <v:line style="position:absolute" from="1166,241" to="10798,241" stroked="true" strokeweight=".6pt" strokecolor="#2c6234">
              <v:stroke dashstyle="solid"/>
            </v:line>
            <v:line style="position:absolute" from="1166,272" to="10798,272" stroked="true" strokeweight=".599pt" strokecolor="#2c6234">
              <v:stroke dashstyle="solid"/>
            </v:line>
            <w10:wrap type="none"/>
          </v:group>
        </w:pict>
      </w:r>
      <w:r>
        <w:rPr>
          <w:color w:val="2C6234"/>
        </w:rPr>
        <w:t>FINANCING LEASES VERSUS</w:t>
      </w:r>
      <w:r>
        <w:rPr>
          <w:color w:val="2C6234"/>
          <w:spacing w:val="-12"/>
        </w:rPr>
        <w:t> </w:t>
      </w:r>
      <w:r>
        <w:rPr>
          <w:color w:val="2C6234"/>
        </w:rPr>
        <w:t>OPERATING</w:t>
      </w:r>
      <w:r>
        <w:rPr>
          <w:color w:val="2C6234"/>
          <w:spacing w:val="-4"/>
        </w:rPr>
        <w:t> </w:t>
      </w:r>
      <w:r>
        <w:rPr>
          <w:color w:val="2C6234"/>
        </w:rPr>
        <w:t>LEASES/CONTRACTS</w:t>
        <w:tab/>
        <w:t>6876 </w:t>
      </w:r>
      <w:r>
        <w:rPr>
          <w:b w:val="0"/>
          <w:color w:val="2C6234"/>
        </w:rPr>
        <w:t>(Cont.</w:t>
      </w:r>
      <w:r>
        <w:rPr>
          <w:b w:val="0"/>
          <w:color w:val="2C6234"/>
          <w:spacing w:val="-6"/>
        </w:rPr>
        <w:t> </w:t>
      </w:r>
      <w:r>
        <w:rPr>
          <w:b w:val="0"/>
          <w:color w:val="2C6234"/>
        </w:rPr>
        <w:t>2)</w:t>
      </w:r>
    </w:p>
    <w:p>
      <w:pPr>
        <w:pStyle w:val="BodyText"/>
        <w:ind w:left="686"/>
      </w:pPr>
      <w:r>
        <w:rPr>
          <w:color w:val="2E97D3"/>
          <w:u w:val="single" w:color="2E97D3"/>
        </w:rPr>
        <w:t>(Revised 9/2017)</w:t>
      </w:r>
    </w:p>
    <w:p>
      <w:pPr>
        <w:spacing w:after="0"/>
        <w:sectPr>
          <w:pgSz w:w="12240" w:h="15840"/>
          <w:pgMar w:header="726" w:footer="792" w:top="980" w:bottom="980" w:left="480" w:right="1320"/>
        </w:sectPr>
      </w:pPr>
    </w:p>
    <w:p>
      <w:pPr>
        <w:pStyle w:val="BodyText"/>
        <w:rPr>
          <w:sz w:val="20"/>
        </w:rPr>
      </w:pPr>
    </w:p>
    <w:p>
      <w:pPr>
        <w:pStyle w:val="ListParagraph"/>
        <w:numPr>
          <w:ilvl w:val="2"/>
          <w:numId w:val="136"/>
        </w:numPr>
        <w:tabs>
          <w:tab w:pos="1407" w:val="left" w:leader="none"/>
        </w:tabs>
        <w:spacing w:line="240" w:lineRule="auto" w:before="211" w:after="0"/>
        <w:ind w:left="1406" w:right="116" w:hanging="360"/>
        <w:jc w:val="left"/>
        <w:rPr>
          <w:sz w:val="24"/>
        </w:rPr>
      </w:pPr>
      <w:r>
        <w:rPr>
          <w:sz w:val="24"/>
        </w:rPr>
        <w:t>The borrowing may not represent itself as an obligation of the state. Therefore, disclosure of state fund financial statements in an official statement or offering memorandum is generally not desirable since this may carry an implication of a state commitment greater than that of an operating lease. The official statement or offering memorandum must specifically acknowledge that the state’s commitment or credit relationship to the transaction is limited to what is appropriate for an operating lease.</w:t>
      </w:r>
    </w:p>
    <w:p>
      <w:pPr>
        <w:pStyle w:val="BodyText"/>
        <w:spacing w:before="121"/>
        <w:ind w:left="686"/>
      </w:pPr>
      <w:r>
        <w:rPr/>
        <w:pict>
          <v:line style="position:absolute;mso-position-horizontal-relative:page;mso-position-vertical-relative:paragraph;z-index:35464" from="29.4pt,6.14585pt" to="29.4pt,73.34585pt" stroked="true" strokeweight=".72pt" strokecolor="#000000">
            <v:stroke dashstyle="solid"/>
            <w10:wrap type="none"/>
          </v:line>
        </w:pict>
      </w:r>
      <w:r>
        <w:rPr>
          <w:strike/>
          <w:color w:val="2C6234"/>
        </w:rPr>
        <w:t>(Continued)</w:t>
      </w:r>
    </w:p>
    <w:p>
      <w:pPr>
        <w:pStyle w:val="BodyText"/>
        <w:spacing w:before="9"/>
        <w:rPr>
          <w:sz w:val="20"/>
        </w:rPr>
      </w:pPr>
    </w:p>
    <w:p>
      <w:pPr>
        <w:pStyle w:val="BodyText"/>
        <w:spacing w:line="275" w:lineRule="exact"/>
        <w:ind w:left="686"/>
      </w:pPr>
      <w:r>
        <w:rPr>
          <w:strike/>
          <w:color w:val="2C6234"/>
        </w:rPr>
        <w:t>(Continued)</w:t>
      </w:r>
    </w:p>
    <w:p>
      <w:pPr>
        <w:tabs>
          <w:tab w:pos="8783" w:val="left" w:leader="none"/>
        </w:tabs>
        <w:spacing w:before="0"/>
        <w:ind w:left="686" w:right="116" w:firstLine="0"/>
        <w:jc w:val="left"/>
        <w:rPr>
          <w:sz w:val="24"/>
        </w:rPr>
      </w:pPr>
      <w:r>
        <w:rPr/>
        <w:pict>
          <v:group style="position:absolute;margin-left:58.02pt;margin-top:7.535869pt;width:482.2pt;height:1.8pt;mso-position-horizontal-relative:page;mso-position-vertical-relative:paragraph;z-index:-437224" coordorigin="1160,151" coordsize="9644,36">
            <v:line style="position:absolute" from="1166,181" to="10798,181" stroked="true" strokeweight=".599pt" strokecolor="#2c6234">
              <v:stroke dashstyle="solid"/>
            </v:line>
            <v:line style="position:absolute" from="1166,157" to="10798,157" stroked="true" strokeweight=".6pt" strokecolor="#2c6234">
              <v:stroke dashstyle="solid"/>
            </v:line>
            <w10:wrap type="none"/>
          </v:group>
        </w:pict>
      </w:r>
      <w:r>
        <w:rPr>
          <w:b/>
          <w:color w:val="2C6234"/>
          <w:sz w:val="24"/>
        </w:rPr>
        <w:t>FINANCING LEASES VERSUS</w:t>
      </w:r>
      <w:r>
        <w:rPr>
          <w:b/>
          <w:color w:val="2C6234"/>
          <w:spacing w:val="-12"/>
          <w:sz w:val="24"/>
        </w:rPr>
        <w:t> </w:t>
      </w:r>
      <w:r>
        <w:rPr>
          <w:b/>
          <w:color w:val="2C6234"/>
          <w:sz w:val="24"/>
        </w:rPr>
        <w:t>OPERATING</w:t>
      </w:r>
      <w:r>
        <w:rPr>
          <w:b/>
          <w:color w:val="2C6234"/>
          <w:spacing w:val="-4"/>
          <w:sz w:val="24"/>
        </w:rPr>
        <w:t> </w:t>
      </w:r>
      <w:r>
        <w:rPr>
          <w:b/>
          <w:color w:val="2C6234"/>
          <w:sz w:val="24"/>
        </w:rPr>
        <w:t>LEASES/CONTRACTS</w:t>
        <w:tab/>
        <w:t>6876</w:t>
      </w:r>
      <w:r>
        <w:rPr>
          <w:b/>
          <w:color w:val="2C6234"/>
          <w:spacing w:val="-2"/>
          <w:sz w:val="24"/>
        </w:rPr>
        <w:t> </w:t>
      </w:r>
      <w:r>
        <w:rPr>
          <w:color w:val="2C6234"/>
          <w:sz w:val="24"/>
        </w:rPr>
        <w:t>(Cont.</w:t>
      </w:r>
      <w:r>
        <w:rPr>
          <w:color w:val="2C6234"/>
          <w:spacing w:val="-5"/>
          <w:sz w:val="24"/>
        </w:rPr>
        <w:t> </w:t>
      </w:r>
      <w:r>
        <w:rPr>
          <w:color w:val="2C6234"/>
          <w:sz w:val="24"/>
        </w:rPr>
        <w:t>3)</w:t>
      </w:r>
      <w:r>
        <w:rPr>
          <w:color w:val="2C6234"/>
          <w:w w:val="99"/>
          <w:sz w:val="24"/>
        </w:rPr>
        <w:t> </w:t>
      </w:r>
      <w:r>
        <w:rPr>
          <w:strike/>
          <w:color w:val="2E97D3"/>
          <w:sz w:val="24"/>
        </w:rPr>
        <w:t>(New</w:t>
      </w:r>
      <w:r>
        <w:rPr>
          <w:strike/>
          <w:color w:val="2E97D3"/>
          <w:spacing w:val="-6"/>
          <w:sz w:val="24"/>
        </w:rPr>
        <w:t> </w:t>
      </w:r>
      <w:r>
        <w:rPr>
          <w:strike/>
          <w:color w:val="2E97D3"/>
          <w:sz w:val="24"/>
        </w:rPr>
        <w:t>5/1998)</w:t>
      </w:r>
    </w:p>
    <w:p>
      <w:pPr>
        <w:pStyle w:val="BodyText"/>
        <w:spacing w:before="11"/>
        <w:rPr>
          <w:sz w:val="20"/>
        </w:rPr>
      </w:pPr>
    </w:p>
    <w:p>
      <w:pPr>
        <w:pStyle w:val="BodyText"/>
        <w:ind w:left="1406" w:right="129"/>
      </w:pPr>
      <w:r>
        <w:rPr/>
        <w:pict>
          <v:line style="position:absolute;mso-position-horizontal-relative:page;mso-position-vertical-relative:paragraph;z-index:35488" from="29.4pt,27.816832pt" to="29.4pt,55.415832pt" stroked="true" strokeweight=".72pt" strokecolor="#000000">
            <v:stroke dashstyle="solid"/>
            <w10:wrap type="none"/>
          </v:line>
        </w:pict>
      </w:r>
      <w:r>
        <w:rPr/>
        <w:t>However, tax-exempt financing of operating leases may require State General Fund disclosure. In those cases, the financing becomes very similar to financing leases and the involvement of the </w:t>
      </w:r>
      <w:r>
        <w:rPr>
          <w:strike/>
          <w:color w:val="2E97D3"/>
        </w:rPr>
        <w:t>DOF, </w:t>
      </w:r>
      <w:r>
        <w:rPr>
          <w:strike w:val="0"/>
          <w:color w:val="2E97D3"/>
          <w:u w:val="single" w:color="2E97D3"/>
        </w:rPr>
        <w:t>Department of Finance (Finance), State Treasurer’s Office (</w:t>
      </w:r>
      <w:r>
        <w:rPr>
          <w:strike w:val="0"/>
        </w:rPr>
        <w:t>STO</w:t>
      </w:r>
      <w:r>
        <w:rPr>
          <w:strike w:val="0"/>
          <w:color w:val="2E97D3"/>
          <w:u w:val="single" w:color="2E97D3"/>
        </w:rPr>
        <w:t>), </w:t>
      </w:r>
      <w:r>
        <w:rPr>
          <w:strike w:val="0"/>
        </w:rPr>
        <w:t>and other state agencies is necessary (refer to </w:t>
      </w:r>
      <w:r>
        <w:rPr>
          <w:i/>
          <w:strike w:val="0"/>
        </w:rPr>
        <w:t>financing </w:t>
      </w:r>
      <w:r>
        <w:rPr>
          <w:i/>
          <w:strike w:val="0"/>
        </w:rPr>
        <w:t>leases </w:t>
      </w:r>
      <w:r>
        <w:rPr>
          <w:strike w:val="0"/>
        </w:rPr>
        <w:t>in preceding text.)</w:t>
      </w:r>
    </w:p>
    <w:p>
      <w:pPr>
        <w:pStyle w:val="ListParagraph"/>
        <w:numPr>
          <w:ilvl w:val="2"/>
          <w:numId w:val="136"/>
        </w:numPr>
        <w:tabs>
          <w:tab w:pos="1407" w:val="left" w:leader="none"/>
        </w:tabs>
        <w:spacing w:line="240" w:lineRule="auto" w:before="122" w:after="0"/>
        <w:ind w:left="1406" w:right="396" w:hanging="360"/>
        <w:jc w:val="left"/>
        <w:rPr>
          <w:sz w:val="24"/>
        </w:rPr>
      </w:pPr>
      <w:r>
        <w:rPr>
          <w:sz w:val="24"/>
        </w:rPr>
        <w:t>All financing needs, including interim needs, must be provided by the vendor (i.e., the project is not eligible for state-funded interim</w:t>
      </w:r>
      <w:r>
        <w:rPr>
          <w:spacing w:val="-35"/>
          <w:sz w:val="24"/>
        </w:rPr>
        <w:t> </w:t>
      </w:r>
      <w:r>
        <w:rPr>
          <w:sz w:val="24"/>
        </w:rPr>
        <w:t>financing).</w:t>
      </w:r>
    </w:p>
    <w:p>
      <w:pPr>
        <w:pStyle w:val="ListParagraph"/>
        <w:numPr>
          <w:ilvl w:val="2"/>
          <w:numId w:val="136"/>
        </w:numPr>
        <w:tabs>
          <w:tab w:pos="1407" w:val="left" w:leader="none"/>
        </w:tabs>
        <w:spacing w:line="240" w:lineRule="auto" w:before="120" w:after="0"/>
        <w:ind w:left="1406" w:right="117" w:hanging="360"/>
        <w:jc w:val="left"/>
        <w:rPr>
          <w:sz w:val="24"/>
        </w:rPr>
      </w:pPr>
      <w:r>
        <w:rPr>
          <w:sz w:val="24"/>
        </w:rPr>
        <w:t>Most long-term operating leases require legislative notification before a lease can be executed. Because the state can terminate an operating lease/contract more easily than a financing lease, the market risk is greater, and financing costs charged back through the lease rates will be correspondingly</w:t>
      </w:r>
      <w:r>
        <w:rPr>
          <w:spacing w:val="-30"/>
          <w:sz w:val="24"/>
        </w:rPr>
        <w:t> </w:t>
      </w:r>
      <w:r>
        <w:rPr>
          <w:sz w:val="24"/>
        </w:rPr>
        <w:t>higher.</w:t>
      </w:r>
    </w:p>
    <w:p>
      <w:pPr>
        <w:pStyle w:val="ListParagraph"/>
        <w:numPr>
          <w:ilvl w:val="2"/>
          <w:numId w:val="136"/>
        </w:numPr>
        <w:tabs>
          <w:tab w:pos="1407" w:val="left" w:leader="none"/>
        </w:tabs>
        <w:spacing w:line="240" w:lineRule="auto" w:before="117" w:after="0"/>
        <w:ind w:left="1406" w:right="519" w:hanging="360"/>
        <w:jc w:val="left"/>
        <w:rPr>
          <w:i/>
          <w:sz w:val="24"/>
        </w:rPr>
      </w:pPr>
      <w:r>
        <w:rPr/>
        <w:pict>
          <v:line style="position:absolute;mso-position-horizontal-relative:page;mso-position-vertical-relative:paragraph;z-index:35512" from="29.4pt,6.18587pt" to="29.4pt,19.985870pt" stroked="true" strokeweight=".72pt" strokecolor="#000000">
            <v:stroke dashstyle="solid"/>
            <w10:wrap type="none"/>
          </v:line>
        </w:pict>
      </w:r>
      <w:r>
        <w:rPr>
          <w:sz w:val="24"/>
        </w:rPr>
        <w:t>STO is not typically the agent for sale. </w:t>
      </w:r>
      <w:r>
        <w:rPr>
          <w:i/>
          <w:sz w:val="24"/>
        </w:rPr>
        <w:t>STO, </w:t>
      </w:r>
      <w:r>
        <w:rPr>
          <w:i/>
          <w:strike/>
          <w:color w:val="2E97D3"/>
          <w:sz w:val="24"/>
        </w:rPr>
        <w:t>DOF</w:t>
      </w:r>
      <w:r>
        <w:rPr>
          <w:i/>
          <w:strike w:val="0"/>
          <w:color w:val="2E97D3"/>
          <w:sz w:val="24"/>
          <w:u w:val="single" w:color="2E97D3"/>
        </w:rPr>
        <w:t>Finance, </w:t>
      </w:r>
      <w:r>
        <w:rPr>
          <w:i/>
          <w:strike w:val="0"/>
          <w:sz w:val="24"/>
        </w:rPr>
        <w:t>and DGS all have an </w:t>
      </w:r>
      <w:r>
        <w:rPr>
          <w:i/>
          <w:strike w:val="0"/>
          <w:sz w:val="24"/>
        </w:rPr>
        <w:t>interest in ensuring that non-state financings using a state lease or contract as security do not misrepresent the state’s credit relationship to the</w:t>
      </w:r>
      <w:r>
        <w:rPr>
          <w:i/>
          <w:strike w:val="0"/>
          <w:spacing w:val="-34"/>
          <w:sz w:val="24"/>
        </w:rPr>
        <w:t> </w:t>
      </w:r>
      <w:r>
        <w:rPr>
          <w:i/>
          <w:strike w:val="0"/>
          <w:sz w:val="24"/>
        </w:rPr>
        <w:t>transaction.</w:t>
      </w:r>
    </w:p>
    <w:p>
      <w:pPr>
        <w:pStyle w:val="ListParagraph"/>
        <w:numPr>
          <w:ilvl w:val="2"/>
          <w:numId w:val="136"/>
        </w:numPr>
        <w:tabs>
          <w:tab w:pos="1406" w:val="left" w:leader="none"/>
          <w:tab w:pos="1407" w:val="left" w:leader="none"/>
        </w:tabs>
        <w:spacing w:line="240" w:lineRule="auto" w:before="122" w:after="0"/>
        <w:ind w:left="1406" w:right="0" w:hanging="360"/>
        <w:jc w:val="left"/>
        <w:rPr>
          <w:sz w:val="24"/>
        </w:rPr>
      </w:pPr>
      <w:r>
        <w:rPr/>
        <w:pict>
          <v:line style="position:absolute;mso-position-horizontal-relative:page;mso-position-vertical-relative:paragraph;z-index:35536" from="29.4pt,6.315851pt" to="29.4pt,26.115851pt" stroked="true" strokeweight=".72pt" strokecolor="#000000">
            <v:stroke dashstyle="solid"/>
            <w10:wrap type="none"/>
          </v:line>
        </w:pict>
      </w:r>
      <w:r>
        <w:rPr>
          <w:sz w:val="24"/>
        </w:rPr>
        <w:t>The key </w:t>
      </w:r>
      <w:r>
        <w:rPr>
          <w:strike/>
          <w:color w:val="2E97D3"/>
          <w:sz w:val="24"/>
        </w:rPr>
        <w:t>client </w:t>
      </w:r>
      <w:r>
        <w:rPr>
          <w:strike w:val="0"/>
          <w:sz w:val="24"/>
        </w:rPr>
        <w:t>department responsibilities</w:t>
      </w:r>
      <w:r>
        <w:rPr>
          <w:strike w:val="0"/>
          <w:spacing w:val="-22"/>
          <w:sz w:val="24"/>
        </w:rPr>
        <w:t> </w:t>
      </w:r>
      <w:r>
        <w:rPr>
          <w:strike w:val="0"/>
          <w:sz w:val="24"/>
        </w:rPr>
        <w:t>are:</w:t>
      </w:r>
    </w:p>
    <w:p>
      <w:pPr>
        <w:pStyle w:val="BodyText"/>
        <w:spacing w:before="120"/>
        <w:ind w:left="1420"/>
      </w:pPr>
      <w:r>
        <w:rPr>
          <w:strike/>
          <w:color w:val="2E97D3"/>
        </w:rPr>
        <w:t>(1)</w:t>
      </w:r>
      <w:r>
        <w:rPr>
          <w:strike w:val="0"/>
          <w:color w:val="2E97D3"/>
          <w:u w:val="single" w:color="2E97D3"/>
        </w:rPr>
        <w:t>1. </w:t>
      </w:r>
      <w:r>
        <w:rPr>
          <w:strike w:val="0"/>
        </w:rPr>
        <w:t>Verify authority to enter into the specific operating lease or contract;</w:t>
      </w:r>
    </w:p>
    <w:p>
      <w:pPr>
        <w:spacing w:line="240" w:lineRule="auto" w:before="120"/>
        <w:ind w:left="1946" w:right="323" w:hanging="512"/>
        <w:jc w:val="left"/>
        <w:rPr>
          <w:i/>
          <w:sz w:val="24"/>
        </w:rPr>
      </w:pPr>
      <w:r>
        <w:rPr/>
        <w:pict>
          <v:line style="position:absolute;mso-position-horizontal-relative:page;mso-position-vertical-relative:paragraph;z-index:35560" from="29.4pt,33.815845pt" to="29.4pt,47.615845pt" stroked="true" strokeweight=".72pt" strokecolor="#000000">
            <v:stroke dashstyle="solid"/>
            <w10:wrap type="none"/>
          </v:line>
        </w:pict>
      </w:r>
      <w:r>
        <w:rPr/>
        <w:pict>
          <v:line style="position:absolute;mso-position-horizontal-relative:page;mso-position-vertical-relative:paragraph;z-index:35584" from="29.4pt,75.215843pt" to="29.4pt,89.015843pt" stroked="true" strokeweight=".72pt" strokecolor="#000000">
            <v:stroke dashstyle="solid"/>
            <w10:wrap type="none"/>
          </v:line>
        </w:pict>
      </w:r>
      <w:r>
        <w:rPr>
          <w:strike/>
          <w:color w:val="2E97D3"/>
          <w:sz w:val="24"/>
        </w:rPr>
        <w:t>(2)</w:t>
      </w:r>
      <w:r>
        <w:rPr>
          <w:strike w:val="0"/>
          <w:color w:val="2E97D3"/>
          <w:sz w:val="24"/>
          <w:u w:val="single" w:color="2E97D3"/>
        </w:rPr>
        <w:t>2.</w:t>
      </w:r>
      <w:r>
        <w:rPr>
          <w:strike w:val="0"/>
          <w:sz w:val="24"/>
        </w:rPr>
        <w:t>Verify that the public or private vendor has no expectations that the state will provide continuing disclosure relating to the financing transaction; </w:t>
      </w:r>
      <w:r>
        <w:rPr>
          <w:i/>
          <w:strike w:val="0"/>
          <w:sz w:val="24"/>
        </w:rPr>
        <w:t>otherwise, </w:t>
      </w:r>
      <w:r>
        <w:rPr>
          <w:i/>
          <w:strike w:val="0"/>
          <w:sz w:val="24"/>
        </w:rPr>
        <w:t>contact STO and </w:t>
      </w:r>
      <w:r>
        <w:rPr>
          <w:i/>
          <w:strike/>
          <w:color w:val="2E97D3"/>
          <w:sz w:val="24"/>
        </w:rPr>
        <w:t>DOF</w:t>
      </w:r>
      <w:r>
        <w:rPr>
          <w:i/>
          <w:strike w:val="0"/>
          <w:color w:val="2E97D3"/>
          <w:sz w:val="24"/>
          <w:u w:val="single" w:color="2E97D3"/>
        </w:rPr>
        <w:t>Finance </w:t>
      </w:r>
      <w:r>
        <w:rPr>
          <w:i/>
          <w:strike w:val="0"/>
          <w:sz w:val="24"/>
        </w:rPr>
        <w:t>at least eight months in advance of the anticipated issuance sale date (preferably one year) to determine whether such disclosure requests are appropriate and whether STO will require being the agent for sale. </w:t>
      </w:r>
      <w:r>
        <w:rPr>
          <w:strike w:val="0"/>
          <w:sz w:val="24"/>
        </w:rPr>
        <w:t>As with financing leases, the </w:t>
      </w:r>
      <w:r>
        <w:rPr>
          <w:strike/>
          <w:color w:val="2E97D3"/>
          <w:sz w:val="24"/>
        </w:rPr>
        <w:t>client </w:t>
      </w:r>
      <w:r>
        <w:rPr>
          <w:strike w:val="0"/>
          <w:sz w:val="24"/>
        </w:rPr>
        <w:t>department needs to consult with the STO before final financing terms are negotiated in the lease</w:t>
      </w:r>
      <w:r>
        <w:rPr>
          <w:i/>
          <w:strike w:val="0"/>
          <w:sz w:val="24"/>
        </w:rPr>
        <w:t>;</w:t>
      </w:r>
    </w:p>
    <w:p>
      <w:pPr>
        <w:pStyle w:val="BodyText"/>
        <w:spacing w:before="122"/>
        <w:ind w:left="1946" w:right="355" w:hanging="500"/>
      </w:pPr>
      <w:r>
        <w:rPr>
          <w:strike/>
          <w:color w:val="2E97D3"/>
        </w:rPr>
        <w:t>(3)</w:t>
      </w:r>
      <w:r>
        <w:rPr>
          <w:strike w:val="0"/>
          <w:color w:val="2E97D3"/>
          <w:u w:val="single" w:color="2E97D3"/>
        </w:rPr>
        <w:t>3.</w:t>
      </w:r>
      <w:r>
        <w:rPr>
          <w:strike w:val="0"/>
        </w:rPr>
        <w:t>Include in the lease or contract all provisions required to prevent the creation of constitutional debt;</w:t>
      </w:r>
    </w:p>
    <w:p>
      <w:pPr>
        <w:pStyle w:val="BodyText"/>
        <w:ind w:left="1946" w:hanging="526"/>
      </w:pPr>
      <w:r>
        <w:rPr>
          <w:strike/>
          <w:color w:val="2E97D3"/>
        </w:rPr>
        <w:t>(4)</w:t>
      </w:r>
      <w:r>
        <w:rPr>
          <w:strike w:val="0"/>
          <w:color w:val="2E97D3"/>
          <w:u w:val="single" w:color="2E97D3"/>
        </w:rPr>
        <w:t>4. </w:t>
      </w:r>
      <w:r>
        <w:rPr>
          <w:strike w:val="0"/>
        </w:rPr>
        <w:t>If the operating lease or contract is to include a tax-exempt interest component in the rental payments, be sure that a nationally recognized bond counsel firm has reviewed the terms of the operating lease or contract to confirm that it qualifies as “debt” for purposes of federal income tax laws and that appropriate arrangements have been made to satisfy the ongoing federal income tax requirements concerning arbitrage rebate and other tax rules; and</w:t>
      </w:r>
    </w:p>
    <w:p>
      <w:pPr>
        <w:spacing w:after="0"/>
        <w:sectPr>
          <w:pgSz w:w="12240" w:h="15840"/>
          <w:pgMar w:header="726" w:footer="792" w:top="980" w:bottom="980" w:left="480" w:right="1320"/>
        </w:sectPr>
      </w:pPr>
    </w:p>
    <w:p>
      <w:pPr>
        <w:pStyle w:val="BodyText"/>
        <w:rPr>
          <w:sz w:val="20"/>
        </w:rPr>
      </w:pPr>
    </w:p>
    <w:p>
      <w:pPr>
        <w:pStyle w:val="BodyText"/>
        <w:spacing w:line="516" w:lineRule="exact" w:before="26"/>
        <w:ind w:left="686" w:right="8479"/>
      </w:pPr>
      <w:r>
        <w:rPr/>
        <w:pict>
          <v:line style="position:absolute;mso-position-horizontal-relative:page;mso-position-vertical-relative:paragraph;z-index:35632" from="29.4pt,10.780026pt" to="29.4pt,91.900026pt" stroked="true" strokeweight=".72pt" strokecolor="#000000">
            <v:stroke dashstyle="solid"/>
            <w10:wrap type="none"/>
          </v:line>
        </w:pict>
      </w:r>
      <w:r>
        <w:rPr>
          <w:color w:val="2C6234"/>
          <w:u w:val="thick" w:color="2C6234"/>
        </w:rPr>
        <w:t>(Continued) (Continued)</w:t>
      </w:r>
    </w:p>
    <w:p>
      <w:pPr>
        <w:pStyle w:val="Heading2"/>
        <w:tabs>
          <w:tab w:pos="8783" w:val="left" w:leader="none"/>
        </w:tabs>
        <w:spacing w:line="224" w:lineRule="exact"/>
        <w:ind w:left="686"/>
        <w:rPr>
          <w:b w:val="0"/>
        </w:rPr>
      </w:pPr>
      <w:r>
        <w:rPr/>
        <w:pict>
          <v:group style="position:absolute;margin-left:58.02pt;margin-top:9.119978pt;width:482.2pt;height:2.2pt;mso-position-horizontal-relative:page;mso-position-vertical-relative:paragraph;z-index:-437056" coordorigin="1160,182" coordsize="9644,44">
            <v:line style="position:absolute" from="1166,188" to="10798,188" stroked="true" strokeweight=".6pt" strokecolor="#2c6234">
              <v:stroke dashstyle="solid"/>
            </v:line>
            <v:line style="position:absolute" from="1166,220" to="10798,220" stroked="true" strokeweight=".599pt" strokecolor="#2c6234">
              <v:stroke dashstyle="solid"/>
            </v:line>
            <w10:wrap type="none"/>
          </v:group>
        </w:pict>
      </w:r>
      <w:r>
        <w:rPr>
          <w:color w:val="2C6234"/>
        </w:rPr>
        <w:t>FINANCING LEASES VERSUS</w:t>
      </w:r>
      <w:r>
        <w:rPr>
          <w:color w:val="2C6234"/>
          <w:spacing w:val="-12"/>
        </w:rPr>
        <w:t> </w:t>
      </w:r>
      <w:r>
        <w:rPr>
          <w:color w:val="2C6234"/>
        </w:rPr>
        <w:t>OPERATING</w:t>
      </w:r>
      <w:r>
        <w:rPr>
          <w:color w:val="2C6234"/>
          <w:spacing w:val="-4"/>
        </w:rPr>
        <w:t> </w:t>
      </w:r>
      <w:r>
        <w:rPr>
          <w:color w:val="2C6234"/>
        </w:rPr>
        <w:t>LEASES/CONTRACTS</w:t>
        <w:tab/>
        <w:t>6876 </w:t>
      </w:r>
      <w:r>
        <w:rPr>
          <w:b w:val="0"/>
          <w:color w:val="2C6234"/>
        </w:rPr>
        <w:t>(Cont.</w:t>
      </w:r>
      <w:r>
        <w:rPr>
          <w:b w:val="0"/>
          <w:color w:val="2C6234"/>
          <w:spacing w:val="-6"/>
        </w:rPr>
        <w:t> </w:t>
      </w:r>
      <w:r>
        <w:rPr>
          <w:b w:val="0"/>
          <w:color w:val="2C6234"/>
        </w:rPr>
        <w:t>3)</w:t>
      </w:r>
    </w:p>
    <w:p>
      <w:pPr>
        <w:pStyle w:val="BodyText"/>
        <w:ind w:left="686"/>
      </w:pPr>
      <w:r>
        <w:rPr>
          <w:color w:val="2E97D3"/>
          <w:u w:val="single" w:color="2E97D3"/>
        </w:rPr>
        <w:t>(Revised 9/2017)</w:t>
      </w:r>
    </w:p>
    <w:p>
      <w:pPr>
        <w:pStyle w:val="BodyText"/>
        <w:spacing w:before="11"/>
        <w:rPr>
          <w:sz w:val="15"/>
        </w:rPr>
      </w:pPr>
    </w:p>
    <w:p>
      <w:pPr>
        <w:pStyle w:val="BodyText"/>
        <w:spacing w:before="92"/>
        <w:ind w:left="1946" w:hanging="526"/>
      </w:pPr>
      <w:r>
        <w:rPr/>
        <w:pict>
          <v:line style="position:absolute;mso-position-horizontal-relative:page;mso-position-vertical-relative:paragraph;z-index:35656" from="29.4pt,52.215885pt" to="29.4pt,117.615885pt" stroked="true" strokeweight=".72pt" strokecolor="#000000">
            <v:stroke dashstyle="solid"/>
            <w10:wrap type="none"/>
          </v:line>
        </w:pict>
      </w:r>
      <w:r>
        <w:rPr>
          <w:strike/>
          <w:color w:val="2E97D3"/>
        </w:rPr>
        <w:t>(5)</w:t>
      </w:r>
      <w:r>
        <w:rPr>
          <w:strike w:val="0"/>
          <w:color w:val="2E97D3"/>
          <w:u w:val="single" w:color="2E97D3"/>
        </w:rPr>
        <w:t>5. </w:t>
      </w:r>
      <w:r>
        <w:rPr>
          <w:strike w:val="0"/>
        </w:rPr>
        <w:t>Include in the lease or contract all termination provisions appropriate for an operating lease. Contact the Attorney General, as necessary, for direction on appropriate contract or lease requirements.</w:t>
      </w:r>
    </w:p>
    <w:p>
      <w:pPr>
        <w:pStyle w:val="BodyText"/>
        <w:rPr>
          <w:sz w:val="26"/>
        </w:rPr>
      </w:pPr>
    </w:p>
    <w:p>
      <w:pPr>
        <w:pStyle w:val="BodyText"/>
        <w:spacing w:before="214"/>
        <w:ind w:left="686"/>
      </w:pPr>
      <w:r>
        <w:rPr>
          <w:strike/>
          <w:color w:val="2E97D3"/>
        </w:rPr>
        <w:t>(Continued)</w:t>
      </w:r>
    </w:p>
    <w:p>
      <w:pPr>
        <w:spacing w:after="0"/>
        <w:sectPr>
          <w:pgSz w:w="12240" w:h="15840"/>
          <w:pgMar w:header="726" w:footer="792" w:top="980" w:bottom="980" w:left="480" w:right="1320"/>
        </w:sectPr>
      </w:pPr>
    </w:p>
    <w:p>
      <w:pPr>
        <w:pStyle w:val="BodyText"/>
        <w:rPr>
          <w:sz w:val="20"/>
        </w:rPr>
      </w:pPr>
    </w:p>
    <w:p>
      <w:pPr>
        <w:pStyle w:val="BodyText"/>
        <w:spacing w:before="211"/>
        <w:ind w:left="686"/>
      </w:pPr>
      <w:r>
        <w:rPr/>
        <w:pict>
          <v:line style="position:absolute;mso-position-horizontal-relative:page;mso-position-vertical-relative:paragraph;z-index:35704" from="29.4pt,10.765882pt" to="29.4pt,79.765882pt" stroked="true" strokeweight=".72pt" strokecolor="#000000">
            <v:stroke dashstyle="solid"/>
            <w10:wrap type="none"/>
          </v:line>
        </w:pict>
      </w:r>
      <w:r>
        <w:rPr>
          <w:strike/>
          <w:color w:val="2E97D3"/>
        </w:rPr>
        <w:t>(Continued)</w:t>
      </w:r>
    </w:p>
    <w:p>
      <w:pPr>
        <w:tabs>
          <w:tab w:pos="8783" w:val="left" w:leader="none"/>
        </w:tabs>
        <w:spacing w:before="0"/>
        <w:ind w:left="686" w:right="117" w:firstLine="0"/>
        <w:jc w:val="left"/>
        <w:rPr>
          <w:sz w:val="24"/>
        </w:rPr>
      </w:pPr>
      <w:r>
        <w:rPr/>
        <w:pict>
          <v:line style="position:absolute;mso-position-horizontal-relative:page;mso-position-vertical-relative:paragraph;z-index:-436984" from="58.32pt,8.435833pt" to="539.88pt,8.435833pt" stroked="true" strokeweight=".6pt" strokecolor="#2e97d3">
            <v:stroke dashstyle="solid"/>
            <w10:wrap type="none"/>
          </v:line>
        </w:pict>
      </w:r>
      <w:r>
        <w:rPr>
          <w:b/>
          <w:color w:val="2E97D3"/>
          <w:sz w:val="24"/>
        </w:rPr>
        <w:t>FINANCING LEASES VERSUS</w:t>
      </w:r>
      <w:r>
        <w:rPr>
          <w:b/>
          <w:color w:val="2E97D3"/>
          <w:spacing w:val="-12"/>
          <w:sz w:val="24"/>
        </w:rPr>
        <w:t> </w:t>
      </w:r>
      <w:r>
        <w:rPr>
          <w:b/>
          <w:color w:val="2E97D3"/>
          <w:sz w:val="24"/>
        </w:rPr>
        <w:t>OPERATING</w:t>
      </w:r>
      <w:r>
        <w:rPr>
          <w:b/>
          <w:color w:val="2E97D3"/>
          <w:spacing w:val="-4"/>
          <w:sz w:val="24"/>
        </w:rPr>
        <w:t> </w:t>
      </w:r>
      <w:r>
        <w:rPr>
          <w:b/>
          <w:color w:val="2E97D3"/>
          <w:sz w:val="24"/>
        </w:rPr>
        <w:t>LEASES/CONTRACTS</w:t>
        <w:tab/>
        <w:t>6876</w:t>
      </w:r>
      <w:r>
        <w:rPr>
          <w:b/>
          <w:color w:val="2E97D3"/>
          <w:spacing w:val="-2"/>
          <w:sz w:val="24"/>
        </w:rPr>
        <w:t> </w:t>
      </w:r>
      <w:r>
        <w:rPr>
          <w:color w:val="2E97D3"/>
          <w:sz w:val="24"/>
        </w:rPr>
        <w:t>(Cont.</w:t>
      </w:r>
      <w:r>
        <w:rPr>
          <w:color w:val="2E97D3"/>
          <w:spacing w:val="-5"/>
          <w:sz w:val="24"/>
        </w:rPr>
        <w:t> </w:t>
      </w:r>
      <w:r>
        <w:rPr>
          <w:color w:val="2E97D3"/>
          <w:sz w:val="24"/>
        </w:rPr>
        <w:t>4)</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rPr>
          <w:sz w:val="16"/>
        </w:rPr>
      </w:pPr>
    </w:p>
    <w:p>
      <w:pPr>
        <w:pStyle w:val="BodyText"/>
        <w:spacing w:before="92"/>
        <w:ind w:left="1406" w:right="128"/>
      </w:pPr>
      <w:r>
        <w:rPr/>
        <w:pict>
          <v:line style="position:absolute;mso-position-horizontal-relative:page;mso-position-vertical-relative:paragraph;z-index:35728" from="29.4pt,60.015869pt" to="29.4pt,73.815869pt" stroked="true" strokeweight=".72pt" strokecolor="#000000">
            <v:stroke dashstyle="solid"/>
            <w10:wrap type="none"/>
          </v:line>
        </w:pict>
      </w:r>
      <w:r>
        <w:rPr/>
        <w:pict>
          <v:line style="position:absolute;mso-position-horizontal-relative:page;mso-position-vertical-relative:paragraph;z-index:35752" from="29.4pt,87.614868pt" to="29.4pt,101.415868pt" stroked="true" strokeweight=".72pt" strokecolor="#000000">
            <v:stroke dashstyle="solid"/>
            <w10:wrap type="none"/>
          </v:line>
        </w:pict>
      </w:r>
      <w:r>
        <w:rPr/>
        <w:t>Depending on the nature of the lease or contract, the </w:t>
      </w:r>
      <w:r>
        <w:rPr>
          <w:strike/>
          <w:color w:val="2E97D3"/>
        </w:rPr>
        <w:t>client </w:t>
      </w:r>
      <w:r>
        <w:rPr>
          <w:strike w:val="0"/>
        </w:rPr>
        <w:t>department may also be responsible for verifying project cost and financing information used as the basis for lease or contract payments. (For example, the agreement with the vendor may be that the state pays only actual construction costs, financing costs, or both.) In this situation, the </w:t>
      </w:r>
      <w:r>
        <w:rPr>
          <w:strike/>
          <w:color w:val="2E97D3"/>
        </w:rPr>
        <w:t>client </w:t>
      </w:r>
      <w:r>
        <w:rPr>
          <w:strike w:val="0"/>
        </w:rPr>
        <w:t>department should participate in financing meetings and/or the preparation of audit financing documents. Depending upon the complexity and cost of the transaction, the </w:t>
      </w:r>
      <w:r>
        <w:rPr>
          <w:strike/>
          <w:color w:val="2E97D3"/>
        </w:rPr>
        <w:t>client </w:t>
      </w:r>
      <w:r>
        <w:rPr>
          <w:strike w:val="0"/>
        </w:rPr>
        <w:t>department may benefit from the services of a financial advisor to protect the state’s interests, especially to assess what is included in the financing costs.</w:t>
      </w:r>
    </w:p>
    <w:p>
      <w:pPr>
        <w:pStyle w:val="BodyText"/>
        <w:spacing w:before="119"/>
        <w:ind w:left="1406"/>
      </w:pPr>
      <w:r>
        <w:rPr/>
        <w:pict>
          <v:line style="position:absolute;mso-position-horizontal-relative:page;mso-position-vertical-relative:paragraph;z-index:35776" from="29.4pt,6.165857pt" to="29.4pt,25.965857pt" stroked="true" strokeweight=".72pt" strokecolor="#000000">
            <v:stroke dashstyle="solid"/>
            <w10:wrap type="none"/>
          </v:line>
        </w:pict>
      </w:r>
      <w:r>
        <w:rPr/>
        <w:t>Other </w:t>
      </w:r>
      <w:r>
        <w:rPr>
          <w:strike/>
          <w:color w:val="2E97D3"/>
        </w:rPr>
        <w:t>client </w:t>
      </w:r>
      <w:r>
        <w:rPr>
          <w:strike w:val="0"/>
        </w:rPr>
        <w:t>department responsibilities are summarized in Section 6886.</w:t>
      </w:r>
    </w:p>
    <w:p>
      <w:pPr>
        <w:spacing w:after="0"/>
        <w:sectPr>
          <w:pgSz w:w="12240" w:h="15840"/>
          <w:pgMar w:header="726" w:footer="792" w:top="980" w:bottom="980" w:left="480" w:right="1320"/>
        </w:sectPr>
      </w:pPr>
    </w:p>
    <w:p>
      <w:pPr>
        <w:pStyle w:val="BodyText"/>
        <w:rPr>
          <w:sz w:val="20"/>
        </w:rPr>
      </w:pPr>
    </w:p>
    <w:p>
      <w:pPr>
        <w:pStyle w:val="Heading2"/>
        <w:tabs>
          <w:tab w:pos="9784" w:val="left" w:leader="none"/>
        </w:tabs>
        <w:spacing w:before="211"/>
        <w:ind w:left="686"/>
      </w:pPr>
      <w:r>
        <w:rPr/>
        <w:pict>
          <v:line style="position:absolute;mso-position-horizontal-relative:page;mso-position-vertical-relative:paragraph;z-index:35944" from="29.4pt,24.565882pt" to="29.4pt,44.365882pt" stroked="true" strokeweight=".72pt" strokecolor="#000000">
            <v:stroke dashstyle="solid"/>
            <w10:wrap type="none"/>
          </v:line>
        </w:pict>
      </w:r>
      <w:r>
        <w:rPr/>
        <w:t>INTERIM</w:t>
      </w:r>
      <w:r>
        <w:rPr>
          <w:spacing w:val="-5"/>
        </w:rPr>
        <w:t> </w:t>
      </w:r>
      <w:r>
        <w:rPr/>
        <w:t>FINANCING</w:t>
        <w:tab/>
        <w:t>6878</w:t>
      </w:r>
    </w:p>
    <w:p>
      <w:pPr>
        <w:pStyle w:val="BodyText"/>
        <w:ind w:left="686"/>
      </w:pPr>
      <w:r>
        <w:rPr/>
        <w:t>(</w:t>
      </w:r>
      <w:r>
        <w:rPr>
          <w:strike/>
          <w:color w:val="2E97D3"/>
        </w:rPr>
        <w:t>New 5/1998</w:t>
      </w:r>
      <w:r>
        <w:rPr>
          <w:strike w:val="0"/>
          <w:color w:val="2E97D3"/>
          <w:u w:val="single" w:color="2E97D3"/>
        </w:rPr>
        <w:t>Revised 09/2017</w:t>
      </w:r>
      <w:r>
        <w:rPr>
          <w:strike w:val="0"/>
        </w:rPr>
        <w:t>)</w:t>
      </w:r>
    </w:p>
    <w:p>
      <w:pPr>
        <w:pStyle w:val="BodyText"/>
        <w:spacing w:before="120"/>
        <w:ind w:left="686"/>
      </w:pPr>
      <w:r>
        <w:rPr/>
        <w:t>The purpose of interim financing is to meet project cash flow needs for expenses incurred after project authorization, but prior to the issuance of long-term debt instruments. Unless statute provides otherwise, projects eligible for state-funded interim financing are those financed through:</w:t>
      </w:r>
    </w:p>
    <w:p>
      <w:pPr>
        <w:pStyle w:val="ListParagraph"/>
        <w:numPr>
          <w:ilvl w:val="0"/>
          <w:numId w:val="137"/>
        </w:numPr>
        <w:tabs>
          <w:tab w:pos="1047" w:val="left" w:leader="none"/>
        </w:tabs>
        <w:spacing w:line="240" w:lineRule="auto" w:before="119" w:after="0"/>
        <w:ind w:left="1046" w:right="0" w:hanging="360"/>
        <w:jc w:val="left"/>
        <w:rPr>
          <w:sz w:val="24"/>
        </w:rPr>
      </w:pPr>
      <w:r>
        <w:rPr/>
        <w:pict>
          <v:line style="position:absolute;mso-position-horizontal-relative:page;mso-position-vertical-relative:paragraph;z-index:-436864" from="202.440002pt,18.945833pt" to="206.400002pt,18.945833pt" stroked="true" strokeweight=".84pt" strokecolor="#2e97d3">
            <v:stroke dashstyle="solid"/>
            <w10:wrap type="none"/>
          </v:line>
        </w:pict>
      </w:r>
      <w:r>
        <w:rPr/>
        <w:pict>
          <v:line style="position:absolute;mso-position-horizontal-relative:page;mso-position-vertical-relative:paragraph;z-index:35968" from="29.4pt,6.165833pt" to="29.4pt,85.365833pt" stroked="true" strokeweight=".72pt" strokecolor="#000000">
            <v:stroke dashstyle="solid"/>
            <w10:wrap type="none"/>
          </v:line>
        </w:pict>
      </w:r>
      <w:r>
        <w:rPr>
          <w:color w:val="2E97D3"/>
          <w:sz w:val="24"/>
          <w:u w:val="single" w:color="2E97D3"/>
        </w:rPr>
        <w:t>General Obligation (</w:t>
      </w:r>
      <w:r>
        <w:rPr>
          <w:sz w:val="24"/>
        </w:rPr>
        <w:t>GO</w:t>
      </w:r>
      <w:r>
        <w:rPr>
          <w:color w:val="2E97D3"/>
          <w:sz w:val="24"/>
        </w:rPr>
        <w:t>) </w:t>
      </w:r>
      <w:r>
        <w:rPr>
          <w:sz w:val="24"/>
        </w:rPr>
        <w:t>bonds;</w:t>
      </w:r>
      <w:r>
        <w:rPr>
          <w:spacing w:val="-17"/>
          <w:sz w:val="24"/>
        </w:rPr>
        <w:t> </w:t>
      </w:r>
      <w:r>
        <w:rPr>
          <w:color w:val="2E97D3"/>
          <w:sz w:val="24"/>
          <w:u w:val="single" w:color="2E97D3"/>
        </w:rPr>
        <w:t>and</w:t>
      </w:r>
    </w:p>
    <w:p>
      <w:pPr>
        <w:pStyle w:val="ListParagraph"/>
        <w:numPr>
          <w:ilvl w:val="0"/>
          <w:numId w:val="137"/>
        </w:numPr>
        <w:tabs>
          <w:tab w:pos="1047" w:val="left" w:leader="none"/>
        </w:tabs>
        <w:spacing w:line="240" w:lineRule="auto" w:before="59" w:after="0"/>
        <w:ind w:left="1046" w:right="0" w:hanging="360"/>
        <w:jc w:val="left"/>
        <w:rPr>
          <w:color w:val="2E97D3"/>
          <w:sz w:val="24"/>
        </w:rPr>
      </w:pPr>
      <w:r>
        <w:rPr/>
        <w:pict>
          <v:line style="position:absolute;mso-position-horizontal-relative:page;mso-position-vertical-relative:paragraph;z-index:-436840" from="216.600006pt,15.945345pt" to="220.439006pt,15.945345pt" stroked="true" strokeweight=".841pt" strokecolor="#2e97d3">
            <v:stroke dashstyle="solid"/>
            <w10:wrap type="none"/>
          </v:line>
        </w:pict>
      </w:r>
      <w:r>
        <w:rPr>
          <w:strike w:val="0"/>
          <w:color w:val="2E97D3"/>
          <w:sz w:val="24"/>
          <w:u w:val="single" w:color="2E97D3"/>
        </w:rPr>
        <w:t>Public Works Board (</w:t>
      </w:r>
      <w:r>
        <w:rPr>
          <w:strike w:val="0"/>
          <w:sz w:val="24"/>
        </w:rPr>
        <w:t>PWB</w:t>
      </w:r>
      <w:r>
        <w:rPr>
          <w:strike w:val="0"/>
          <w:color w:val="2E97D3"/>
          <w:sz w:val="24"/>
        </w:rPr>
        <w:t>) </w:t>
      </w:r>
      <w:r>
        <w:rPr>
          <w:strike w:val="0"/>
          <w:sz w:val="24"/>
        </w:rPr>
        <w:t>lease-revenue bonds</w:t>
      </w:r>
      <w:r>
        <w:rPr>
          <w:strike/>
          <w:color w:val="2E97D3"/>
          <w:sz w:val="24"/>
        </w:rPr>
        <w:t>;</w:t>
      </w:r>
      <w:r>
        <w:rPr>
          <w:strike/>
          <w:color w:val="2E97D3"/>
          <w:spacing w:val="-23"/>
          <w:sz w:val="24"/>
        </w:rPr>
        <w:t> </w:t>
      </w:r>
      <w:r>
        <w:rPr>
          <w:strike/>
          <w:color w:val="2E97D3"/>
          <w:sz w:val="24"/>
        </w:rPr>
        <w:t>and</w:t>
      </w:r>
    </w:p>
    <w:p>
      <w:pPr>
        <w:pStyle w:val="BodyText"/>
        <w:spacing w:before="9"/>
        <w:rPr>
          <w:sz w:val="20"/>
        </w:rPr>
      </w:pPr>
    </w:p>
    <w:p>
      <w:pPr>
        <w:pStyle w:val="BodyText"/>
        <w:tabs>
          <w:tab w:pos="1406" w:val="left" w:leader="none"/>
        </w:tabs>
        <w:ind w:left="1046" w:right="631" w:hanging="360"/>
      </w:pPr>
      <w:r>
        <w:rPr>
          <w:strike/>
          <w:color w:val="2E97D3"/>
        </w:rPr>
        <w:t>3.</w:t>
      </w:r>
      <w:r>
        <w:rPr>
          <w:strike w:val="0"/>
          <w:color w:val="2E97D3"/>
          <w:u w:val="single" w:color="2E97D3"/>
        </w:rPr>
        <w:t>2.</w:t>
        <w:tab/>
      </w:r>
      <w:r>
        <w:rPr>
          <w:strike/>
          <w:color w:val="2E97D3"/>
        </w:rPr>
        <w:t>Lease-revenue bonds issued by a joint powers authority, of which the state</w:t>
      </w:r>
      <w:r>
        <w:rPr>
          <w:strike/>
          <w:color w:val="2E97D3"/>
          <w:spacing w:val="-34"/>
        </w:rPr>
        <w:t> </w:t>
      </w:r>
      <w:r>
        <w:rPr>
          <w:strike/>
          <w:color w:val="2E97D3"/>
        </w:rPr>
        <w:t>is</w:t>
      </w:r>
      <w:r>
        <w:rPr>
          <w:strike/>
          <w:color w:val="2E97D3"/>
          <w:spacing w:val="-4"/>
        </w:rPr>
        <w:t> </w:t>
      </w:r>
      <w:r>
        <w:rPr>
          <w:strike/>
          <w:color w:val="2E97D3"/>
        </w:rPr>
        <w:t>a</w:t>
      </w:r>
      <w:r>
        <w:rPr>
          <w:strike w:val="0"/>
          <w:color w:val="2E97D3"/>
          <w:w w:val="99"/>
        </w:rPr>
        <w:t> </w:t>
      </w:r>
      <w:r>
        <w:rPr>
          <w:strike/>
          <w:color w:val="2E97D3"/>
        </w:rPr>
        <w:t>member, with state construction</w:t>
      </w:r>
      <w:r>
        <w:rPr>
          <w:strike/>
          <w:color w:val="2E97D3"/>
          <w:spacing w:val="-20"/>
        </w:rPr>
        <w:t> </w:t>
      </w:r>
      <w:r>
        <w:rPr>
          <w:strike/>
          <w:color w:val="2E97D3"/>
        </w:rPr>
        <w:t>authority</w:t>
      </w:r>
      <w:r>
        <w:rPr>
          <w:strike w:val="0"/>
        </w:rPr>
        <w:t>.</w:t>
      </w:r>
    </w:p>
    <w:p>
      <w:pPr>
        <w:pStyle w:val="BodyText"/>
        <w:spacing w:before="179"/>
        <w:ind w:left="686"/>
      </w:pPr>
      <w:r>
        <w:rPr/>
        <w:t>Most GO bond programs are eligible for commercial paper interim financing.</w:t>
      </w:r>
    </w:p>
    <w:p>
      <w:pPr>
        <w:pStyle w:val="BodyText"/>
        <w:spacing w:before="119"/>
        <w:ind w:left="686" w:right="150"/>
      </w:pPr>
      <w:r>
        <w:rPr/>
        <w:pict>
          <v:line style="position:absolute;mso-position-horizontal-relative:page;mso-position-vertical-relative:paragraph;z-index:-436816" from="153.119995pt,28.186333pt" to="156.480995pt,28.186333pt" stroked="true" strokeweight=".599pt" strokecolor="#2e97d3">
            <v:stroke dashstyle="solid"/>
            <w10:wrap type="none"/>
          </v:line>
        </w:pict>
      </w:r>
      <w:r>
        <w:rPr/>
        <w:pict>
          <v:line style="position:absolute;mso-position-horizontal-relative:page;mso-position-vertical-relative:paragraph;z-index:-436792" from="124.440002pt,74.145836pt" to="127.800002pt,74.145836pt" stroked="true" strokeweight=".84pt" strokecolor="#2e97d3">
            <v:stroke dashstyle="solid"/>
            <w10:wrap type="none"/>
          </v:line>
        </w:pict>
      </w:r>
      <w:r>
        <w:rPr/>
        <w:pict>
          <v:line style="position:absolute;mso-position-horizontal-relative:page;mso-position-vertical-relative:paragraph;z-index:-436768" from="408pt,74.145836pt" to="411.361pt,74.145836pt" stroked="true" strokeweight=".84pt" strokecolor="#2e97d3">
            <v:stroke dashstyle="solid"/>
            <w10:wrap type="none"/>
          </v:line>
        </w:pict>
      </w:r>
      <w:r>
        <w:rPr/>
        <w:pict>
          <v:line style="position:absolute;mso-position-horizontal-relative:page;mso-position-vertical-relative:paragraph;z-index:-436744" from="448.079987pt,74.145836pt" to="451.319987pt,74.145836pt" stroked="true" strokeweight=".84pt" strokecolor="#2e97d3">
            <v:stroke dashstyle="solid"/>
            <w10:wrap type="none"/>
          </v:line>
        </w:pict>
      </w:r>
      <w:r>
        <w:rPr/>
        <w:pict>
          <v:line style="position:absolute;mso-position-horizontal-relative:page;mso-position-vertical-relative:paragraph;z-index:35992" from="29.4pt,19.965832pt" to="29.4pt,75.165832pt" stroked="true" strokeweight=".72pt" strokecolor="#000000">
            <v:stroke dashstyle="solid"/>
            <w10:wrap type="none"/>
          </v:line>
        </w:pict>
      </w:r>
      <w:r>
        <w:rPr/>
        <w:t>Interim financing for lease-revenue bonds may be necessary for preconstruction costs (preliminary plans</w:t>
      </w:r>
      <w:r>
        <w:rPr>
          <w:color w:val="2E97D3"/>
        </w:rPr>
        <w:t>, </w:t>
      </w:r>
      <w:r>
        <w:rPr>
          <w:color w:val="2E97D3"/>
          <w:u w:val="single" w:color="2E97D3"/>
        </w:rPr>
        <w:t>and </w:t>
      </w:r>
      <w:r>
        <w:rPr/>
        <w:t>working drawings) as well as a portion or all of construction costs. Lease-revenue bonds are typically sold after the construction bids are received </w:t>
      </w:r>
      <w:r>
        <w:rPr>
          <w:strike/>
          <w:color w:val="2E97D3"/>
        </w:rPr>
        <w:t>and awarded and, for small projects, after several projects are grouped together to make a sizable sale.</w:t>
      </w:r>
      <w:r>
        <w:rPr>
          <w:strike w:val="0"/>
          <w:color w:val="2E97D3"/>
        </w:rPr>
        <w:t>. </w:t>
      </w:r>
      <w:r>
        <w:rPr>
          <w:strike w:val="0"/>
        </w:rPr>
        <w:t>When long-term bonds are sold, proceeds are used</w:t>
      </w:r>
      <w:r>
        <w:rPr>
          <w:strike w:val="0"/>
          <w:color w:val="2E97D3"/>
        </w:rPr>
        <w:t>, </w:t>
      </w:r>
      <w:r>
        <w:rPr>
          <w:strike w:val="0"/>
        </w:rPr>
        <w:t>in part</w:t>
      </w:r>
      <w:r>
        <w:rPr>
          <w:strike w:val="0"/>
          <w:color w:val="2E97D3"/>
        </w:rPr>
        <w:t>, </w:t>
      </w:r>
      <w:r>
        <w:rPr>
          <w:strike w:val="0"/>
        </w:rPr>
        <w:t>to repay interim financing costs.</w:t>
      </w:r>
    </w:p>
    <w:p>
      <w:pPr>
        <w:pStyle w:val="BodyText"/>
        <w:spacing w:before="119"/>
        <w:ind w:left="686" w:right="134"/>
      </w:pPr>
      <w:r>
        <w:rPr/>
        <w:pict>
          <v:line style="position:absolute;mso-position-horizontal-relative:page;mso-position-vertical-relative:paragraph;z-index:36016" from="29.4pt,19.965845pt" to="29.4pt,108.765845pt" stroked="true" strokeweight=".72pt" strokecolor="#000000">
            <v:stroke dashstyle="solid"/>
            <w10:wrap type="none"/>
          </v:line>
        </w:pict>
      </w:r>
      <w:r>
        <w:rPr>
          <w:b/>
        </w:rPr>
        <w:t>General Fund loans:  </w:t>
      </w:r>
      <w:r>
        <w:rPr/>
        <w:t>Section </w:t>
      </w:r>
      <w:hyperlink r:id="rId347">
        <w:r>
          <w:rPr/>
          <w:t>15849.1</w:t>
        </w:r>
      </w:hyperlink>
      <w:r>
        <w:rPr/>
        <w:t> of the Government Code authorizes loans from the General Fund for PWB lease-revenue projects </w:t>
      </w:r>
      <w:r>
        <w:rPr>
          <w:strike/>
          <w:color w:val="2E97D3"/>
        </w:rPr>
        <w:t>(within the Public Building Construction program) </w:t>
      </w:r>
      <w:r>
        <w:rPr>
          <w:strike w:val="0"/>
        </w:rPr>
        <w:t>to be repaid from the proceeds received from the sale of bonds</w:t>
      </w:r>
      <w:r>
        <w:rPr>
          <w:strike/>
          <w:color w:val="2E97D3"/>
        </w:rPr>
        <w:t>. Government Code Section </w:t>
      </w:r>
      <w:r>
        <w:rPr>
          <w:strike/>
          <w:color w:val="2E97D3"/>
          <w:u w:val="single" w:color="2E97D3"/>
        </w:rPr>
        <w:t>15819.13 </w:t>
      </w:r>
      <w:r>
        <w:rPr>
          <w:strike/>
          <w:color w:val="2E97D3"/>
        </w:rPr>
        <w:t>includes similar provisions for PWB prison facilities construction. Government Code Sections </w:t>
      </w:r>
      <w:r>
        <w:rPr>
          <w:strike/>
          <w:color w:val="2E97D3"/>
          <w:u w:val="single" w:color="2E97D3"/>
        </w:rPr>
        <w:t>15820.12</w:t>
      </w:r>
      <w:r>
        <w:rPr>
          <w:strike/>
          <w:color w:val="2E97D3"/>
        </w:rPr>
        <w:t>, </w:t>
      </w:r>
      <w:r>
        <w:rPr>
          <w:strike/>
          <w:color w:val="2E97D3"/>
          <w:u w:val="single" w:color="2E97D3"/>
        </w:rPr>
        <w:t>15820.19</w:t>
      </w:r>
      <w:r>
        <w:rPr>
          <w:strike/>
          <w:color w:val="2E97D3"/>
        </w:rPr>
        <w:t>, </w:t>
      </w:r>
      <w:r>
        <w:rPr>
          <w:strike/>
          <w:color w:val="2E97D3"/>
          <w:u w:val="single" w:color="2E97D3"/>
        </w:rPr>
        <w:t>15820.41 </w:t>
      </w:r>
      <w:r>
        <w:rPr>
          <w:strike/>
          <w:color w:val="2E97D3"/>
        </w:rPr>
        <w:t>and </w:t>
      </w:r>
      <w:r>
        <w:rPr>
          <w:strike/>
          <w:color w:val="2E97D3"/>
          <w:u w:val="single" w:color="2E97D3"/>
        </w:rPr>
        <w:t>15820.61 </w:t>
      </w:r>
      <w:r>
        <w:rPr>
          <w:strike/>
          <w:color w:val="2E97D3"/>
        </w:rPr>
        <w:t>provide General Fund loan authority for PWB higher education projects; however the Legislature must specifically approve such</w:t>
      </w:r>
      <w:r>
        <w:rPr>
          <w:strike/>
          <w:color w:val="2E97D3"/>
          <w:spacing w:val="-15"/>
        </w:rPr>
        <w:t> </w:t>
      </w:r>
      <w:r>
        <w:rPr>
          <w:strike/>
          <w:color w:val="2E97D3"/>
        </w:rPr>
        <w:t>loans</w:t>
      </w:r>
      <w:r>
        <w:rPr>
          <w:strike w:val="0"/>
        </w:rPr>
        <w:t>.</w:t>
      </w:r>
    </w:p>
    <w:p>
      <w:pPr>
        <w:pStyle w:val="BodyText"/>
        <w:spacing w:before="119"/>
        <w:ind w:left="686" w:right="135"/>
      </w:pPr>
      <w:r>
        <w:rPr/>
        <w:pict>
          <v:line style="position:absolute;mso-position-horizontal-relative:page;mso-position-vertical-relative:paragraph;z-index:36040" from="29.4pt,19.964869pt" to="29.4pt,33.765869pt" stroked="true" strokeweight=".72pt" strokecolor="#000000">
            <v:stroke dashstyle="solid"/>
            <w10:wrap type="none"/>
          </v:line>
        </w:pict>
      </w:r>
      <w:r>
        <w:rPr/>
        <w:pict>
          <v:line style="position:absolute;mso-position-horizontal-relative:page;mso-position-vertical-relative:paragraph;z-index:36064" from="29.4pt,75.165871pt" to="29.4pt,195.765871pt" stroked="true" strokeweight=".72pt" strokecolor="#000000">
            <v:stroke dashstyle="solid"/>
            <w10:wrap type="none"/>
          </v:line>
        </w:pict>
      </w:r>
      <w:r>
        <w:rPr>
          <w:b/>
        </w:rPr>
        <w:t>Pooled Money Investment Account loans: </w:t>
      </w:r>
      <w:r>
        <w:rPr/>
        <w:t>Government Code Section </w:t>
      </w:r>
      <w:hyperlink r:id="rId348">
        <w:r>
          <w:rPr/>
          <w:t>16470</w:t>
        </w:r>
      </w:hyperlink>
      <w:r>
        <w:rPr/>
        <w:t> et seq. </w:t>
      </w:r>
      <w:r>
        <w:rPr>
          <w:strike/>
          <w:color w:val="2E97D3"/>
        </w:rPr>
        <w:t>establish</w:t>
      </w:r>
      <w:r>
        <w:rPr>
          <w:strike w:val="0"/>
          <w:color w:val="2E97D3"/>
          <w:u w:val="single" w:color="2E97D3"/>
        </w:rPr>
        <w:t>establishes </w:t>
      </w:r>
      <w:r>
        <w:rPr>
          <w:strike w:val="0"/>
        </w:rPr>
        <w:t>the Pooled Money Investment Board (PMIB) and Pooled Money Investment Account (PMIA) for investment of surplus state and local government funds. Government Code Section </w:t>
      </w:r>
      <w:hyperlink r:id="rId349">
        <w:r>
          <w:rPr>
            <w:strike w:val="0"/>
          </w:rPr>
          <w:t>16312</w:t>
        </w:r>
      </w:hyperlink>
      <w:r>
        <w:rPr>
          <w:strike w:val="0"/>
        </w:rPr>
        <w:t> permits PMIB to make loans to projects otherwise eligible for interim financing through a General Fund loan. PMIB may also make loans to any special fund for a project authorized to be debt-financed. </w:t>
      </w:r>
      <w:r>
        <w:rPr>
          <w:strike w:val="0"/>
          <w:color w:val="2E97D3"/>
          <w:u w:val="single" w:color="2E97D3"/>
        </w:rPr>
        <w:t>The PMIB has adopted a PMIA Loan Policy which imposes additional restrictions and requirements on loans eligible for funding through the PMIB. For more information on PMIB and its policy, see the State Treasurer’s Office website.</w:t>
      </w:r>
    </w:p>
    <w:p>
      <w:pPr>
        <w:pStyle w:val="BodyText"/>
        <w:rPr>
          <w:sz w:val="20"/>
        </w:rPr>
      </w:pPr>
    </w:p>
    <w:p>
      <w:pPr>
        <w:pStyle w:val="BodyText"/>
        <w:spacing w:before="9"/>
        <w:rPr>
          <w:sz w:val="16"/>
        </w:rPr>
      </w:pPr>
    </w:p>
    <w:p>
      <w:pPr>
        <w:pStyle w:val="BodyText"/>
        <w:spacing w:before="92"/>
        <w:ind w:left="686"/>
      </w:pPr>
      <w:r>
        <w:rPr>
          <w:strike/>
          <w:color w:val="2E97D3"/>
        </w:rPr>
        <w:t>(Continued)</w:t>
      </w:r>
    </w:p>
    <w:p>
      <w:pPr>
        <w:spacing w:after="0"/>
        <w:sectPr>
          <w:pgSz w:w="12240" w:h="15840"/>
          <w:pgMar w:header="726" w:footer="792" w:top="980" w:bottom="980" w:left="480" w:right="1340"/>
        </w:sectPr>
      </w:pPr>
    </w:p>
    <w:p>
      <w:pPr>
        <w:pStyle w:val="BodyText"/>
        <w:rPr>
          <w:sz w:val="20"/>
        </w:rPr>
      </w:pPr>
    </w:p>
    <w:p>
      <w:pPr>
        <w:pStyle w:val="BodyText"/>
        <w:spacing w:before="211"/>
        <w:ind w:left="686"/>
      </w:pPr>
      <w:r>
        <w:rPr/>
        <w:pict>
          <v:line style="position:absolute;mso-position-horizontal-relative:page;mso-position-vertical-relative:paragraph;z-index:36112" from="29.4pt,10.765882pt" to="29.4pt,58.165882pt" stroked="true" strokeweight=".72pt" strokecolor="#000000">
            <v:stroke dashstyle="solid"/>
            <w10:wrap type="none"/>
          </v:line>
        </w:pict>
      </w:r>
      <w:r>
        <w:rPr>
          <w:strike/>
          <w:color w:val="2E97D3"/>
        </w:rPr>
        <w:t>(Continued)</w:t>
      </w:r>
    </w:p>
    <w:p>
      <w:pPr>
        <w:tabs>
          <w:tab w:pos="8786" w:val="left" w:leader="none"/>
        </w:tabs>
        <w:spacing w:before="0"/>
        <w:ind w:left="686" w:right="0" w:firstLine="0"/>
        <w:jc w:val="left"/>
        <w:rPr>
          <w:sz w:val="24"/>
        </w:rPr>
      </w:pPr>
      <w:r>
        <w:rPr/>
        <w:pict>
          <v:line style="position:absolute;mso-position-horizontal-relative:page;mso-position-vertical-relative:paragraph;z-index:-436576" from="58.32pt,8.435833pt" to="540.0pt,8.435833pt" stroked="true" strokeweight=".6pt" strokecolor="#2e97d3">
            <v:stroke dashstyle="solid"/>
            <w10:wrap type="none"/>
          </v:line>
        </w:pict>
      </w:r>
      <w:r>
        <w:rPr>
          <w:b/>
          <w:color w:val="2E97D3"/>
          <w:sz w:val="24"/>
        </w:rPr>
        <w:t>INTERIM</w:t>
      </w:r>
      <w:r>
        <w:rPr>
          <w:b/>
          <w:color w:val="2E97D3"/>
          <w:spacing w:val="-5"/>
          <w:sz w:val="24"/>
        </w:rPr>
        <w:t> </w:t>
      </w:r>
      <w:r>
        <w:rPr>
          <w:b/>
          <w:color w:val="2E97D3"/>
          <w:sz w:val="24"/>
        </w:rPr>
        <w:t>FINANCING</w:t>
        <w:tab/>
        <w:t>6878 </w:t>
      </w:r>
      <w:r>
        <w:rPr>
          <w:color w:val="2E97D3"/>
          <w:sz w:val="24"/>
        </w:rPr>
        <w:t>(Cont.</w:t>
      </w:r>
      <w:r>
        <w:rPr>
          <w:color w:val="2E97D3"/>
          <w:spacing w:val="-6"/>
          <w:sz w:val="24"/>
        </w:rPr>
        <w:t> </w:t>
      </w:r>
      <w:r>
        <w:rPr>
          <w:color w:val="2E97D3"/>
          <w:sz w:val="24"/>
        </w:rPr>
        <w:t>1)</w:t>
      </w:r>
    </w:p>
    <w:p>
      <w:pPr>
        <w:pStyle w:val="BodyText"/>
        <w:ind w:left="686"/>
      </w:pPr>
      <w:r>
        <w:rPr>
          <w:strike/>
          <w:color w:val="2E97D3"/>
        </w:rPr>
        <w:t>(New 5/1998)</w:t>
      </w:r>
    </w:p>
    <w:p>
      <w:pPr>
        <w:pStyle w:val="BodyText"/>
        <w:spacing w:before="119"/>
        <w:ind w:left="686"/>
      </w:pPr>
      <w:r>
        <w:rPr/>
        <w:t>PMIB meets monthly (usually the third Wednesday of each month).</w:t>
      </w:r>
    </w:p>
    <w:p>
      <w:pPr>
        <w:pStyle w:val="BodyText"/>
        <w:tabs>
          <w:tab w:pos="2126" w:val="left" w:leader="none"/>
        </w:tabs>
        <w:spacing w:before="179"/>
        <w:ind w:left="1406" w:right="800" w:hanging="360"/>
      </w:pPr>
      <w:r>
        <w:rPr/>
        <w:pict>
          <v:line style="position:absolute;mso-position-horizontal-relative:page;mso-position-vertical-relative:paragraph;z-index:36136" from="29.4pt,9.165869pt" to="29.4pt,22.965869pt" stroked="true" strokeweight=".72pt" strokecolor="#000000">
            <v:stroke dashstyle="solid"/>
            <w10:wrap type="none"/>
          </v:line>
        </w:pict>
      </w:r>
      <w:r>
        <w:rPr>
          <w:strike/>
          <w:color w:val="2E97D3"/>
        </w:rPr>
        <w:t>1.</w:t>
      </w:r>
      <w:r>
        <w:rPr>
          <w:strike w:val="0"/>
          <w:color w:val="2E97D3"/>
          <w:u w:val="single" w:color="2E97D3"/>
        </w:rPr>
        <w:t>a.</w:t>
        <w:tab/>
        <w:t>PMIB </w:t>
      </w:r>
      <w:r>
        <w:rPr>
          <w:strike w:val="0"/>
        </w:rPr>
        <w:t>Loans are made at taxable rates set by PMIB in</w:t>
      </w:r>
      <w:r>
        <w:rPr>
          <w:strike w:val="0"/>
          <w:spacing w:val="-29"/>
        </w:rPr>
        <w:t> </w:t>
      </w:r>
      <w:r>
        <w:rPr>
          <w:strike w:val="0"/>
        </w:rPr>
        <w:t>accordance</w:t>
      </w:r>
      <w:r>
        <w:rPr>
          <w:strike w:val="0"/>
          <w:spacing w:val="-2"/>
        </w:rPr>
        <w:t> </w:t>
      </w:r>
      <w:r>
        <w:rPr>
          <w:strike w:val="0"/>
        </w:rPr>
        <w:t>with</w:t>
      </w:r>
      <w:r>
        <w:rPr>
          <w:strike w:val="0"/>
          <w:w w:val="99"/>
        </w:rPr>
        <w:t> </w:t>
      </w:r>
      <w:r>
        <w:rPr>
          <w:strike w:val="0"/>
        </w:rPr>
        <w:t>policies set forth in Government Code Section</w:t>
      </w:r>
      <w:r>
        <w:rPr>
          <w:strike w:val="0"/>
          <w:spacing w:val="-26"/>
        </w:rPr>
        <w:t> </w:t>
      </w:r>
      <w:hyperlink r:id="rId350">
        <w:r>
          <w:rPr>
            <w:strike w:val="0"/>
          </w:rPr>
          <w:t>16314</w:t>
        </w:r>
      </w:hyperlink>
      <w:r>
        <w:rPr>
          <w:strike w:val="0"/>
        </w:rPr>
        <w:t>.</w:t>
      </w:r>
    </w:p>
    <w:p>
      <w:pPr>
        <w:pStyle w:val="BodyText"/>
        <w:spacing w:before="119"/>
        <w:ind w:left="1046" w:right="428" w:hanging="360"/>
      </w:pPr>
      <w:r>
        <w:rPr/>
        <w:pict>
          <v:line style="position:absolute;mso-position-horizontal-relative:page;mso-position-vertical-relative:paragraph;z-index:36160" from="29.4pt,6.164833pt" to="29.4pt,81.165833pt" stroked="true" strokeweight=".72pt" strokecolor="#000000">
            <v:stroke dashstyle="solid"/>
            <w10:wrap type="none"/>
          </v:line>
        </w:pict>
      </w:r>
      <w:r>
        <w:rPr>
          <w:strike/>
          <w:color w:val="2E97D3"/>
        </w:rPr>
        <w:t>2. Requests for interim financing for GO projects must first be approved by the appropriate bond finance committee. PWB projects must first be approved by PWB. Requests for state-membership JPA projects must be approved by resolution of the JPA’s governing board.</w:t>
      </w:r>
    </w:p>
    <w:p>
      <w:pPr>
        <w:pStyle w:val="BodyText"/>
        <w:tabs>
          <w:tab w:pos="2126" w:val="left" w:leader="none"/>
        </w:tabs>
        <w:spacing w:before="119"/>
        <w:ind w:left="1406" w:right="426" w:hanging="360"/>
      </w:pPr>
      <w:r>
        <w:rPr/>
        <w:pict>
          <v:line style="position:absolute;mso-position-horizontal-relative:page;mso-position-vertical-relative:paragraph;z-index:36184" from="29.4pt,33.765881pt" to="29.4pt,47.565881pt" stroked="true" strokeweight=".72pt" strokecolor="#000000">
            <v:stroke dashstyle="solid"/>
            <w10:wrap type="none"/>
          </v:line>
        </w:pict>
      </w:r>
      <w:r>
        <w:rPr>
          <w:strike/>
          <w:color w:val="2E97D3"/>
        </w:rPr>
        <w:t>3.</w:t>
      </w:r>
      <w:r>
        <w:rPr>
          <w:strike w:val="0"/>
          <w:color w:val="2E97D3"/>
          <w:u w:val="single" w:color="2E97D3"/>
        </w:rPr>
        <w:t>b.</w:t>
        <w:tab/>
      </w:r>
      <w:r>
        <w:rPr>
          <w:strike/>
          <w:color w:val="2E97D3"/>
        </w:rPr>
        <w:t>For preconstruction costs of lease-revenue bond programs,</w:t>
      </w:r>
      <w:r>
        <w:rPr>
          <w:strike/>
          <w:color w:val="2E97D3"/>
          <w:spacing w:val="-34"/>
        </w:rPr>
        <w:t> </w:t>
      </w:r>
      <w:r>
        <w:rPr>
          <w:strike w:val="0"/>
        </w:rPr>
        <w:t>PMIB</w:t>
      </w:r>
      <w:r>
        <w:rPr>
          <w:strike w:val="0"/>
          <w:spacing w:val="-4"/>
        </w:rPr>
        <w:t> </w:t>
      </w:r>
      <w:r>
        <w:rPr>
          <w:strike w:val="0"/>
        </w:rPr>
        <w:t>requires</w:t>
      </w:r>
      <w:r>
        <w:rPr>
          <w:strike w:val="0"/>
          <w:w w:val="99"/>
        </w:rPr>
        <w:t> </w:t>
      </w:r>
      <w:r>
        <w:rPr>
          <w:strike w:val="0"/>
        </w:rPr>
        <w:t>substantial assurance that the loan will be repaid. This is generally met for PWB lease-revenue projects with the following </w:t>
      </w:r>
      <w:r>
        <w:rPr>
          <w:strike/>
          <w:color w:val="2E97D3"/>
        </w:rPr>
        <w:t>Budget Act</w:t>
      </w:r>
      <w:r>
        <w:rPr>
          <w:strike w:val="0"/>
          <w:color w:val="2E97D3"/>
          <w:u w:val="single" w:color="2E97D3"/>
        </w:rPr>
        <w:t>provisional or statutory </w:t>
      </w:r>
      <w:r>
        <w:rPr>
          <w:strike w:val="0"/>
        </w:rPr>
        <w:t>language:</w:t>
      </w:r>
    </w:p>
    <w:p>
      <w:pPr>
        <w:spacing w:before="117"/>
        <w:ind w:left="1046" w:right="0" w:firstLine="0"/>
        <w:jc w:val="left"/>
        <w:rPr>
          <w:i/>
          <w:sz w:val="24"/>
        </w:rPr>
      </w:pPr>
      <w:r>
        <w:rPr>
          <w:i/>
          <w:sz w:val="24"/>
        </w:rPr>
        <w:t>In the event the bonds authorized for the project are not sold, the Department of</w:t>
      </w:r>
    </w:p>
    <w:p>
      <w:pPr>
        <w:tabs>
          <w:tab w:pos="2517" w:val="left" w:leader="none"/>
        </w:tabs>
        <w:spacing w:before="0"/>
        <w:ind w:left="1046" w:right="261" w:firstLine="0"/>
        <w:jc w:val="left"/>
        <w:rPr>
          <w:i/>
          <w:sz w:val="24"/>
        </w:rPr>
      </w:pPr>
      <w:r>
        <w:rPr>
          <w:i/>
          <w:w w:val="100"/>
          <w:sz w:val="24"/>
          <w:u w:val="single"/>
        </w:rPr>
        <w:t> </w:t>
      </w:r>
      <w:r>
        <w:rPr>
          <w:i/>
          <w:sz w:val="24"/>
          <w:u w:val="single"/>
        </w:rPr>
        <w:tab/>
      </w:r>
      <w:r>
        <w:rPr>
          <w:i/>
          <w:sz w:val="24"/>
        </w:rPr>
        <w:t> shall commit a sufficient portion of its support appropriation</w:t>
      </w:r>
      <w:r>
        <w:rPr>
          <w:i/>
          <w:spacing w:val="-31"/>
          <w:sz w:val="24"/>
        </w:rPr>
        <w:t> </w:t>
      </w:r>
      <w:r>
        <w:rPr>
          <w:i/>
          <w:sz w:val="24"/>
        </w:rPr>
        <w:t>provided</w:t>
      </w:r>
      <w:r>
        <w:rPr>
          <w:i/>
          <w:spacing w:val="-5"/>
          <w:sz w:val="24"/>
        </w:rPr>
        <w:t> </w:t>
      </w:r>
      <w:r>
        <w:rPr>
          <w:i/>
          <w:sz w:val="24"/>
        </w:rPr>
        <w:t>for</w:t>
      </w:r>
      <w:r>
        <w:rPr>
          <w:i/>
          <w:w w:val="99"/>
          <w:sz w:val="24"/>
        </w:rPr>
        <w:t> </w:t>
      </w:r>
      <w:r>
        <w:rPr>
          <w:i/>
          <w:sz w:val="24"/>
        </w:rPr>
        <w:t>in this act to repay any loans for interim financing. It is the intent of the legislature that this commitment shall be included in future Budget Acts until outstanding loans for interim financing are repaid either through the sale of bonds or from an</w:t>
      </w:r>
      <w:r>
        <w:rPr>
          <w:i/>
          <w:spacing w:val="-42"/>
          <w:sz w:val="24"/>
        </w:rPr>
        <w:t> </w:t>
      </w:r>
      <w:r>
        <w:rPr>
          <w:i/>
          <w:sz w:val="24"/>
        </w:rPr>
        <w:t>appropriation.</w:t>
      </w:r>
    </w:p>
    <w:p>
      <w:pPr>
        <w:pStyle w:val="BodyText"/>
        <w:spacing w:before="122"/>
        <w:ind w:left="1046" w:right="642" w:hanging="360"/>
      </w:pPr>
      <w:r>
        <w:rPr/>
        <w:pict>
          <v:line style="position:absolute;mso-position-horizontal-relative:page;mso-position-vertical-relative:paragraph;z-index:36208" from="29.4pt,6.315869pt" to="29.4pt,65.715869pt" stroked="true" strokeweight=".72pt" strokecolor="#000000">
            <v:stroke dashstyle="solid"/>
            <w10:wrap type="none"/>
          </v:line>
        </w:pict>
      </w:r>
      <w:r>
        <w:rPr>
          <w:strike/>
          <w:color w:val="2E97D3"/>
        </w:rPr>
        <w:t>4. </w:t>
      </w:r>
      <w:r>
        <w:rPr>
          <w:strike w:val="0"/>
        </w:rPr>
        <w:t>PMIA loans for interim financing </w:t>
      </w:r>
      <w:r>
        <w:rPr>
          <w:strike/>
          <w:color w:val="2E97D3"/>
        </w:rPr>
        <w:t>generally </w:t>
      </w:r>
      <w:r>
        <w:rPr>
          <w:strike w:val="0"/>
        </w:rPr>
        <w:t>do not exceed 12 months in length. If a project requires a longer loan, it must apply to PMIB annually for loan renewal.</w:t>
      </w:r>
    </w:p>
    <w:p>
      <w:pPr>
        <w:pStyle w:val="BodyText"/>
        <w:tabs>
          <w:tab w:pos="2126" w:val="left" w:leader="none"/>
        </w:tabs>
        <w:spacing w:before="119"/>
        <w:ind w:left="1046"/>
      </w:pPr>
      <w:r>
        <w:rPr>
          <w:strike/>
          <w:color w:val="2E97D3"/>
        </w:rPr>
        <w:t>5.</w:t>
      </w:r>
      <w:r>
        <w:rPr>
          <w:strike w:val="0"/>
          <w:color w:val="2E97D3"/>
          <w:u w:val="single" w:color="2E97D3"/>
        </w:rPr>
        <w:t>c.</w:t>
        <w:tab/>
      </w:r>
      <w:r>
        <w:rPr>
          <w:strike/>
          <w:color w:val="2E97D3"/>
        </w:rPr>
        <w:t>A PMIB loan application form is available from</w:t>
      </w:r>
      <w:r>
        <w:rPr>
          <w:strike/>
          <w:color w:val="2E97D3"/>
          <w:spacing w:val="-24"/>
        </w:rPr>
        <w:t> </w:t>
      </w:r>
      <w:r>
        <w:rPr>
          <w:strike/>
          <w:color w:val="2E97D3"/>
        </w:rPr>
        <w:t>STO.</w:t>
      </w:r>
    </w:p>
    <w:p>
      <w:pPr>
        <w:pStyle w:val="BodyText"/>
        <w:spacing w:before="9"/>
        <w:rPr>
          <w:sz w:val="20"/>
        </w:rPr>
      </w:pPr>
    </w:p>
    <w:p>
      <w:pPr>
        <w:pStyle w:val="BodyText"/>
        <w:ind w:left="686" w:right="131"/>
      </w:pPr>
      <w:r>
        <w:rPr/>
        <w:pict>
          <v:line style="position:absolute;mso-position-horizontal-relative:page;mso-position-vertical-relative:paragraph;z-index:36232" from="29.4pt,41.615845pt" to="29.4pt,136.415845pt" stroked="true" strokeweight=".72pt" strokecolor="#000000">
            <v:stroke dashstyle="solid"/>
            <w10:wrap type="none"/>
          </v:line>
        </w:pict>
      </w:r>
      <w:r>
        <w:rPr>
          <w:b/>
        </w:rPr>
        <w:t>Commercial paper program: </w:t>
      </w:r>
      <w:r>
        <w:rPr/>
        <w:t>Commercial paper notes are short-term negotiable instruments which may be used to meet a project’s interim financing needs. Government Code </w:t>
      </w:r>
      <w:hyperlink r:id="rId210">
        <w:r>
          <w:rPr/>
          <w:t>16731.6</w:t>
        </w:r>
      </w:hyperlink>
      <w:r>
        <w:rPr/>
        <w:t> authorizes the use of short-term negotiable instruments for interim financing needs for general obligation projects</w:t>
      </w:r>
      <w:r>
        <w:rPr>
          <w:strike/>
          <w:color w:val="2E97D3"/>
        </w:rPr>
        <w:t>; Government Code Section </w:t>
      </w:r>
      <w:r>
        <w:rPr>
          <w:strike/>
          <w:color w:val="2E97D3"/>
          <w:u w:val="single" w:color="2E97D3"/>
        </w:rPr>
        <w:t>15809 </w:t>
      </w:r>
      <w:r>
        <w:rPr>
          <w:strike/>
          <w:color w:val="2E97D3"/>
        </w:rPr>
        <w:t>does the same for PWB projects.   Commercial paper has maturities ranging from 1 to 270 days.  Borrowing is at variable, tax-exempt rates. (“All-in” financing costs historically are lower than PMIA loans.) Principal and interest are paid at maturity or refinanced by issuing new commercial paper</w:t>
      </w:r>
      <w:r>
        <w:rPr>
          <w:strike/>
          <w:color w:val="2E97D3"/>
          <w:spacing w:val="-6"/>
        </w:rPr>
        <w:t> </w:t>
      </w:r>
      <w:r>
        <w:rPr>
          <w:strike/>
          <w:color w:val="2E97D3"/>
        </w:rPr>
        <w:t>notes.</w:t>
      </w:r>
    </w:p>
    <w:p>
      <w:pPr>
        <w:spacing w:after="0"/>
        <w:sectPr>
          <w:pgSz w:w="12240" w:h="15840"/>
          <w:pgMar w:header="726" w:footer="792" w:top="980" w:bottom="980" w:left="480" w:right="1320"/>
        </w:sectPr>
      </w:pPr>
    </w:p>
    <w:p>
      <w:pPr>
        <w:pStyle w:val="BodyText"/>
        <w:rPr>
          <w:sz w:val="20"/>
        </w:rPr>
      </w:pPr>
    </w:p>
    <w:p>
      <w:pPr>
        <w:pStyle w:val="BodyText"/>
        <w:spacing w:before="211"/>
        <w:ind w:left="686"/>
      </w:pPr>
      <w:r>
        <w:rPr/>
        <w:pict>
          <v:line style="position:absolute;mso-position-horizontal-relative:page;mso-position-vertical-relative:paragraph;z-index:-436408" from="58.32pt,23.545382pt" to="61.68pt,23.545382pt" stroked="true" strokeweight=".841pt" strokecolor="#2e97d3">
            <v:stroke dashstyle="solid"/>
            <w10:wrap type="none"/>
          </v:line>
        </w:pict>
      </w:r>
      <w:r>
        <w:rPr/>
        <w:pict>
          <v:line style="position:absolute;mso-position-horizontal-relative:page;mso-position-vertical-relative:paragraph;z-index:36280" from="29.4pt,10.765882pt" to="29.4pt,24.565882pt" stroked="true" strokeweight=".72pt" strokecolor="#000000">
            <v:stroke dashstyle="solid"/>
            <w10:wrap type="none"/>
          </v:line>
        </w:pict>
      </w:r>
      <w:r>
        <w:rPr>
          <w:color w:val="2E97D3"/>
          <w:w w:val="100"/>
        </w:rPr>
        <w:t>.</w:t>
      </w:r>
    </w:p>
    <w:p>
      <w:pPr>
        <w:pStyle w:val="BodyText"/>
        <w:rPr>
          <w:sz w:val="20"/>
        </w:rPr>
      </w:pPr>
    </w:p>
    <w:p>
      <w:pPr>
        <w:pStyle w:val="BodyText"/>
        <w:rPr>
          <w:sz w:val="17"/>
        </w:rPr>
      </w:pPr>
    </w:p>
    <w:p>
      <w:pPr>
        <w:pStyle w:val="Heading2"/>
        <w:tabs>
          <w:tab w:pos="9784" w:val="left" w:leader="none"/>
        </w:tabs>
        <w:spacing w:before="92"/>
        <w:ind w:left="686"/>
      </w:pPr>
      <w:r>
        <w:rPr/>
        <w:t>THE</w:t>
      </w:r>
      <w:r>
        <w:rPr>
          <w:spacing w:val="-1"/>
        </w:rPr>
        <w:t> </w:t>
      </w:r>
      <w:r>
        <w:rPr/>
        <w:t>BOND</w:t>
      </w:r>
      <w:r>
        <w:rPr>
          <w:spacing w:val="-2"/>
        </w:rPr>
        <w:t> </w:t>
      </w:r>
      <w:r>
        <w:rPr/>
        <w:t>SALE</w:t>
        <w:tab/>
        <w:t>6880</w:t>
      </w:r>
    </w:p>
    <w:p>
      <w:pPr>
        <w:pStyle w:val="BodyText"/>
        <w:ind w:left="686"/>
      </w:pPr>
      <w:r>
        <w:rPr/>
        <w:t>(New 5/1998)</w:t>
      </w:r>
    </w:p>
    <w:p>
      <w:pPr>
        <w:pStyle w:val="BodyText"/>
        <w:spacing w:before="120"/>
        <w:ind w:left="686" w:right="167"/>
      </w:pPr>
      <w:r>
        <w:rPr/>
        <w:t>The bond sale process begins months in advance of the actual sale. Throughout the process, the framework for the sale is developed and the legal interests of the client department, the state, the prospective bondholders, and potential third-party financing entities (such as a vendor or local government entity) are reviewed and safeguarded. The brief discussion that follows assumes that the Legislature has authorized a financing, interim financing needs have been met, and the project is ready for a bond sale. For further information, contact the California Debt and Investment Advisory Commission which offers a course entitled </w:t>
      </w:r>
      <w:r>
        <w:rPr>
          <w:i/>
        </w:rPr>
        <w:t>Mechanics of a Bond Sale</w:t>
      </w:r>
      <w:r>
        <w:rPr/>
        <w:t>.</w:t>
      </w:r>
    </w:p>
    <w:p>
      <w:pPr>
        <w:pStyle w:val="BodyText"/>
        <w:spacing w:before="122"/>
        <w:ind w:left="686" w:right="241"/>
      </w:pPr>
      <w:r>
        <w:rPr>
          <w:b/>
        </w:rPr>
        <w:t>When STO is agent for sale</w:t>
      </w:r>
      <w:r>
        <w:rPr/>
        <w:t>: Pursuant to Government Code Section </w:t>
      </w:r>
      <w:hyperlink r:id="rId224">
        <w:r>
          <w:rPr>
            <w:color w:val="0000FF"/>
            <w:u w:val="single" w:color="0000FF"/>
          </w:rPr>
          <w:t>5700</w:t>
        </w:r>
      </w:hyperlink>
      <w:r>
        <w:rPr/>
        <w:t>, STO is the agent for sale for all state and JPA debt issuances, including those over $10 million, unless statute specifies otherwise. In this context, </w:t>
      </w:r>
      <w:r>
        <w:rPr>
          <w:i/>
        </w:rPr>
        <w:t>JPA </w:t>
      </w:r>
      <w:r>
        <w:rPr/>
        <w:t>means any joint powers authority whether or not the state is a member. By policy, STO reserves the right to be agent for sale for any issuance in which ongoing disclosure is required relative to state credit.</w:t>
      </w:r>
    </w:p>
    <w:p>
      <w:pPr>
        <w:pStyle w:val="BodyText"/>
        <w:spacing w:before="120"/>
        <w:ind w:left="686" w:right="162"/>
      </w:pPr>
      <w:r>
        <w:rPr>
          <w:b/>
        </w:rPr>
        <w:t>Bond sales calendar/timing restrictions: </w:t>
      </w:r>
      <w:r>
        <w:rPr/>
        <w:t>Each spring and fall, STO prepares a sales calendar for the following half of the calendar year. Bond sales usually require a minimum of eight weeks of preparation before pricing is conducted. Closing (which is when funds become available) is typically two to four weeks following pricing. No sales using state General Fund disclosure (appendix A of the Official Statement) are conducted during the “blackout periods”—from January 1 to the issuance of the Governor’s Budget and the time between the May Revise and the enactment of the annual budget bill. In addition, certain holiday periods are avoided when scheduling sales due to slack market interest.</w:t>
      </w:r>
    </w:p>
    <w:p>
      <w:pPr>
        <w:pStyle w:val="BodyText"/>
        <w:ind w:left="686" w:right="375"/>
      </w:pPr>
      <w:r>
        <w:rPr/>
        <w:t>Considering these timing factors, requests for a bond sale should be made </w:t>
      </w:r>
      <w:r>
        <w:rPr>
          <w:i/>
        </w:rPr>
        <w:t>at least eight </w:t>
      </w:r>
      <w:r>
        <w:rPr>
          <w:i/>
        </w:rPr>
        <w:t>months in advance </w:t>
      </w:r>
      <w:r>
        <w:rPr/>
        <w:t>of the proposed sale date, and preferably one year in advance.</w:t>
      </w:r>
    </w:p>
    <w:p>
      <w:pPr>
        <w:pStyle w:val="BodyText"/>
        <w:spacing w:before="124"/>
        <w:ind w:left="686" w:right="370"/>
      </w:pPr>
      <w:r>
        <w:rPr/>
        <w:t>Although STO routinely contacts client departments to determine sales needs, the responsibility for requesting a sales date lies with the client department (or DGS for projects it manages, and PWB for its projects). STO sets sales dates at its discretion, considering overall program priorities for access to the municipal bond market. See also Section 6860 for instructions on preparing PWB agenda requests bond sale.</w:t>
      </w:r>
    </w:p>
    <w:p>
      <w:pPr>
        <w:spacing w:line="240" w:lineRule="auto" w:before="119"/>
        <w:ind w:left="686" w:right="202" w:firstLine="0"/>
        <w:jc w:val="left"/>
        <w:rPr>
          <w:sz w:val="24"/>
        </w:rPr>
      </w:pPr>
      <w:r>
        <w:rPr>
          <w:b/>
          <w:sz w:val="24"/>
        </w:rPr>
        <w:t>Appointment of members to the financing team; kickoff meeting</w:t>
      </w:r>
      <w:r>
        <w:rPr>
          <w:sz w:val="24"/>
        </w:rPr>
        <w:t>: For negotiated sales, the issuer appoints bond counsel and financial advisors; STO appoints the underwriters. PWB has delegated to STO the appointment of bond counsel and the selection of financial advisors for pricing of bond sales.  These parties, the issuer, the client department, STO, DOF and other state agencies (and DGS for projects it manages) convene at a </w:t>
      </w:r>
      <w:r>
        <w:rPr>
          <w:i/>
          <w:sz w:val="24"/>
        </w:rPr>
        <w:t>kickoff meeting </w:t>
      </w:r>
      <w:r>
        <w:rPr>
          <w:sz w:val="24"/>
        </w:rPr>
        <w:t>to initiate the sale formally and to establish a </w:t>
      </w:r>
      <w:r>
        <w:rPr>
          <w:i/>
          <w:sz w:val="24"/>
        </w:rPr>
        <w:t>time and </w:t>
      </w:r>
      <w:r>
        <w:rPr>
          <w:i/>
          <w:sz w:val="24"/>
        </w:rPr>
        <w:t>responsibilities (T&amp;R) schedule </w:t>
      </w:r>
      <w:r>
        <w:rPr>
          <w:sz w:val="24"/>
        </w:rPr>
        <w:t>for the project.</w:t>
      </w:r>
    </w:p>
    <w:p>
      <w:pPr>
        <w:pStyle w:val="BodyText"/>
        <w:rPr>
          <w:sz w:val="26"/>
        </w:rPr>
      </w:pPr>
    </w:p>
    <w:p>
      <w:pPr>
        <w:pStyle w:val="BodyText"/>
        <w:spacing w:before="219"/>
        <w:ind w:left="686"/>
      </w:pPr>
      <w:r>
        <w:rPr/>
        <w:t>(Continued)</w:t>
      </w:r>
    </w:p>
    <w:p>
      <w:pPr>
        <w:spacing w:after="0"/>
        <w:sectPr>
          <w:pgSz w:w="12240" w:h="15840"/>
          <w:pgMar w:header="726" w:footer="792" w:top="980" w:bottom="980" w:left="480" w:right="1340"/>
        </w:sectPr>
      </w:pPr>
    </w:p>
    <w:p>
      <w:pPr>
        <w:pStyle w:val="BodyText"/>
        <w:rPr>
          <w:sz w:val="20"/>
        </w:rPr>
      </w:pPr>
    </w:p>
    <w:p>
      <w:pPr>
        <w:pStyle w:val="BodyText"/>
        <w:spacing w:before="211"/>
        <w:ind w:left="106"/>
      </w:pPr>
      <w:r>
        <w:rPr/>
        <w:t>(Continued)</w:t>
      </w:r>
    </w:p>
    <w:p>
      <w:pPr>
        <w:tabs>
          <w:tab w:pos="8203" w:val="left" w:leader="none"/>
        </w:tabs>
        <w:spacing w:before="0"/>
        <w:ind w:left="106" w:right="0" w:firstLine="0"/>
        <w:jc w:val="left"/>
        <w:rPr>
          <w:sz w:val="24"/>
        </w:rPr>
      </w:pPr>
      <w:r>
        <w:rPr>
          <w:b/>
          <w:sz w:val="24"/>
        </w:rPr>
        <w:t>THE</w:t>
      </w:r>
      <w:r>
        <w:rPr>
          <w:b/>
          <w:spacing w:val="-1"/>
          <w:sz w:val="24"/>
        </w:rPr>
        <w:t> </w:t>
      </w:r>
      <w:r>
        <w:rPr>
          <w:b/>
          <w:sz w:val="24"/>
        </w:rPr>
        <w:t>BOND</w:t>
      </w:r>
      <w:r>
        <w:rPr>
          <w:b/>
          <w:spacing w:val="-2"/>
          <w:sz w:val="24"/>
        </w:rPr>
        <w:t> </w:t>
      </w:r>
      <w:r>
        <w:rPr>
          <w:b/>
          <w:sz w:val="24"/>
        </w:rPr>
        <w:t>SALE</w:t>
        <w:tab/>
        <w:t>6880 </w:t>
      </w:r>
      <w:r>
        <w:rPr>
          <w:sz w:val="24"/>
        </w:rPr>
        <w:t>(Cont.</w:t>
      </w:r>
      <w:r>
        <w:rPr>
          <w:spacing w:val="-6"/>
          <w:sz w:val="24"/>
        </w:rPr>
        <w:t> </w:t>
      </w:r>
      <w:r>
        <w:rPr>
          <w:sz w:val="24"/>
        </w:rPr>
        <w:t>1)</w:t>
      </w:r>
    </w:p>
    <w:p>
      <w:pPr>
        <w:pStyle w:val="BodyText"/>
        <w:ind w:left="106"/>
      </w:pPr>
      <w:r>
        <w:rPr/>
        <w:t>(New 5/1998)</w:t>
      </w:r>
    </w:p>
    <w:p>
      <w:pPr>
        <w:pStyle w:val="BodyText"/>
        <w:spacing w:before="119"/>
        <w:ind w:left="106" w:right="169"/>
      </w:pPr>
      <w:r>
        <w:rPr>
          <w:b/>
        </w:rPr>
        <w:t>Document review and due diligence</w:t>
      </w:r>
      <w:r>
        <w:rPr/>
        <w:t>: Bond sales involve the preparation of a number of documents. STO, other state agencies, department representatives, DOF and the financing team jointly review bond sales documents throughout a series of meetings, ensuring that the documents are properly drawn and that disclosure requirements are fully met.  Brief definitions of key documents are provided in the following text:</w:t>
      </w:r>
    </w:p>
    <w:p>
      <w:pPr>
        <w:pStyle w:val="BodyText"/>
        <w:spacing w:before="4"/>
        <w:rPr>
          <w:sz w:val="34"/>
        </w:rPr>
      </w:pPr>
    </w:p>
    <w:p>
      <w:pPr>
        <w:pStyle w:val="ListParagraph"/>
        <w:numPr>
          <w:ilvl w:val="0"/>
          <w:numId w:val="138"/>
        </w:numPr>
        <w:tabs>
          <w:tab w:pos="467" w:val="left" w:leader="none"/>
        </w:tabs>
        <w:spacing w:line="240" w:lineRule="auto" w:before="0" w:after="0"/>
        <w:ind w:left="466" w:right="596" w:hanging="360"/>
        <w:jc w:val="both"/>
        <w:rPr>
          <w:sz w:val="24"/>
        </w:rPr>
      </w:pPr>
      <w:r>
        <w:rPr>
          <w:b/>
          <w:sz w:val="24"/>
        </w:rPr>
        <w:t>Authorizing resolution</w:t>
      </w:r>
      <w:r>
        <w:rPr>
          <w:sz w:val="24"/>
        </w:rPr>
        <w:t>: Authorizes the issuance of bonds, the execution of major legal documents, and delegates the authority to close the issue and administer the program. The resolution is executed by the governing body of the issuer (e.g., GO finance committee, PWB or a</w:t>
      </w:r>
      <w:r>
        <w:rPr>
          <w:spacing w:val="-13"/>
          <w:sz w:val="24"/>
        </w:rPr>
        <w:t> </w:t>
      </w:r>
      <w:r>
        <w:rPr>
          <w:sz w:val="24"/>
        </w:rPr>
        <w:t>JPA).</w:t>
      </w:r>
    </w:p>
    <w:p>
      <w:pPr>
        <w:pStyle w:val="BodyText"/>
        <w:spacing w:before="9"/>
        <w:rPr>
          <w:sz w:val="20"/>
        </w:rPr>
      </w:pPr>
    </w:p>
    <w:p>
      <w:pPr>
        <w:pStyle w:val="ListParagraph"/>
        <w:numPr>
          <w:ilvl w:val="0"/>
          <w:numId w:val="138"/>
        </w:numPr>
        <w:tabs>
          <w:tab w:pos="467" w:val="left" w:leader="none"/>
        </w:tabs>
        <w:spacing w:line="240" w:lineRule="auto" w:before="0" w:after="0"/>
        <w:ind w:left="466" w:right="196" w:hanging="360"/>
        <w:jc w:val="left"/>
        <w:rPr>
          <w:i/>
          <w:sz w:val="24"/>
        </w:rPr>
      </w:pPr>
      <w:r>
        <w:rPr>
          <w:b/>
          <w:sz w:val="24"/>
        </w:rPr>
        <w:t>Indenture</w:t>
      </w:r>
      <w:r>
        <w:rPr>
          <w:sz w:val="24"/>
        </w:rPr>
        <w:t>: Pledges certain revenues and other property as security for the repayment of the issue, sets forth the terms of the bonds, and contains the responsibilities and duties of the trustee and the rights of the bondholders. (The responsibilities of the trustee are discussed in Section 6882.) The indenture may be in the form of bond and sales resolutions or trust agreement and typically contains the text to be printed on the bond. A supplemental indenture is an indenture that amends or supplements a prior indenture, whether that prior indenture stands by itself, is a general indenture, or a series indenture. The indenture is executed by an issuer and the trustee (who may be the STO). </w:t>
      </w:r>
      <w:r>
        <w:rPr>
          <w:i/>
          <w:sz w:val="24"/>
        </w:rPr>
        <w:t>The client departments administering lease-revenue bond programs should </w:t>
      </w:r>
      <w:r>
        <w:rPr>
          <w:i/>
          <w:sz w:val="24"/>
        </w:rPr>
        <w:t>review the indenture carefully because it establishes the disposition of surplus project funds, if</w:t>
      </w:r>
      <w:r>
        <w:rPr>
          <w:i/>
          <w:spacing w:val="-5"/>
          <w:sz w:val="24"/>
        </w:rPr>
        <w:t> </w:t>
      </w:r>
      <w:r>
        <w:rPr>
          <w:i/>
          <w:sz w:val="24"/>
        </w:rPr>
        <w:t>any.</w:t>
      </w:r>
    </w:p>
    <w:p>
      <w:pPr>
        <w:pStyle w:val="BodyText"/>
        <w:rPr>
          <w:i/>
          <w:sz w:val="21"/>
        </w:rPr>
      </w:pPr>
    </w:p>
    <w:p>
      <w:pPr>
        <w:pStyle w:val="ListParagraph"/>
        <w:numPr>
          <w:ilvl w:val="0"/>
          <w:numId w:val="138"/>
        </w:numPr>
        <w:tabs>
          <w:tab w:pos="467" w:val="left" w:leader="none"/>
        </w:tabs>
        <w:spacing w:line="240" w:lineRule="auto" w:before="0" w:after="0"/>
        <w:ind w:left="466" w:right="261" w:hanging="360"/>
        <w:jc w:val="left"/>
        <w:rPr>
          <w:sz w:val="24"/>
        </w:rPr>
      </w:pPr>
      <w:r>
        <w:rPr>
          <w:b/>
          <w:sz w:val="24"/>
        </w:rPr>
        <w:t>Official statement (including preliminary official statement)</w:t>
      </w:r>
      <w:r>
        <w:rPr>
          <w:sz w:val="24"/>
        </w:rPr>
        <w:t>: Provides all information that would be “material” to a prospective purchaser of the bonds, including descriptions of the issuer, terms of the bonds, security for the bonds, major legal documents, risk factors and tax matters, and financial</w:t>
      </w:r>
      <w:r>
        <w:rPr>
          <w:spacing w:val="-29"/>
          <w:sz w:val="24"/>
        </w:rPr>
        <w:t> </w:t>
      </w:r>
      <w:r>
        <w:rPr>
          <w:sz w:val="24"/>
        </w:rPr>
        <w:t>statements.</w:t>
      </w:r>
    </w:p>
    <w:p>
      <w:pPr>
        <w:spacing w:line="240" w:lineRule="auto" w:before="196"/>
        <w:ind w:left="466" w:right="155" w:firstLine="0"/>
        <w:jc w:val="left"/>
        <w:rPr>
          <w:i/>
          <w:sz w:val="24"/>
        </w:rPr>
      </w:pPr>
      <w:r>
        <w:rPr>
          <w:sz w:val="24"/>
        </w:rPr>
        <w:t>The preliminary official statement is a version used by the issuer or underwriters to inform the marketplace of the terms of the bonds being issued prior to receipt of bids at a competitive sale or prior to the determination of interest rates and purchase price in a negotiated sale. </w:t>
      </w:r>
      <w:r>
        <w:rPr>
          <w:i/>
          <w:sz w:val="24"/>
        </w:rPr>
        <w:t>The official statement is of particular interest to the client departments </w:t>
      </w:r>
      <w:r>
        <w:rPr>
          <w:i/>
          <w:sz w:val="24"/>
        </w:rPr>
        <w:t>administering lease-revenue bond programs because it contains departmental disclosure requirements and project descriptions, as well as debt service requirements and the cost of issuance. However, not that because GO bonds are backed by the full faith and credit of the state, disclosure about the client department(s) is not necessary.</w:t>
      </w:r>
    </w:p>
    <w:p>
      <w:pPr>
        <w:pStyle w:val="BodyText"/>
        <w:spacing w:before="199"/>
        <w:ind w:left="173"/>
      </w:pPr>
      <w:r>
        <w:rPr/>
        <w:t>(Continued)</w:t>
      </w:r>
    </w:p>
    <w:p>
      <w:pPr>
        <w:spacing w:after="0"/>
        <w:sectPr>
          <w:footerReference w:type="default" r:id="rId351"/>
          <w:pgSz w:w="12240" w:h="15840"/>
          <w:pgMar w:footer="792" w:header="726" w:top="980" w:bottom="980" w:left="1060" w:right="1320"/>
        </w:sectPr>
      </w:pPr>
    </w:p>
    <w:p>
      <w:pPr>
        <w:pStyle w:val="BodyText"/>
        <w:rPr>
          <w:sz w:val="20"/>
        </w:rPr>
      </w:pPr>
    </w:p>
    <w:p>
      <w:pPr>
        <w:pStyle w:val="BodyText"/>
        <w:spacing w:before="211"/>
        <w:ind w:left="106"/>
      </w:pPr>
      <w:r>
        <w:rPr/>
        <w:t>(Continued)</w:t>
      </w:r>
    </w:p>
    <w:p>
      <w:pPr>
        <w:tabs>
          <w:tab w:pos="8203" w:val="left" w:leader="none"/>
        </w:tabs>
        <w:spacing w:before="0"/>
        <w:ind w:left="106" w:right="0" w:firstLine="0"/>
        <w:jc w:val="left"/>
        <w:rPr>
          <w:sz w:val="24"/>
        </w:rPr>
      </w:pPr>
      <w:r>
        <w:rPr>
          <w:b/>
          <w:sz w:val="24"/>
        </w:rPr>
        <w:t>THE</w:t>
      </w:r>
      <w:r>
        <w:rPr>
          <w:b/>
          <w:spacing w:val="-1"/>
          <w:sz w:val="24"/>
        </w:rPr>
        <w:t> </w:t>
      </w:r>
      <w:r>
        <w:rPr>
          <w:b/>
          <w:sz w:val="24"/>
        </w:rPr>
        <w:t>BOND</w:t>
      </w:r>
      <w:r>
        <w:rPr>
          <w:b/>
          <w:spacing w:val="-2"/>
          <w:sz w:val="24"/>
        </w:rPr>
        <w:t> </w:t>
      </w:r>
      <w:r>
        <w:rPr>
          <w:b/>
          <w:sz w:val="24"/>
        </w:rPr>
        <w:t>SALE</w:t>
        <w:tab/>
        <w:t>6880 </w:t>
      </w:r>
      <w:r>
        <w:rPr>
          <w:sz w:val="24"/>
        </w:rPr>
        <w:t>(Cont.</w:t>
      </w:r>
      <w:r>
        <w:rPr>
          <w:spacing w:val="-6"/>
          <w:sz w:val="24"/>
        </w:rPr>
        <w:t> </w:t>
      </w:r>
      <w:r>
        <w:rPr>
          <w:sz w:val="24"/>
        </w:rPr>
        <w:t>2)</w:t>
      </w:r>
    </w:p>
    <w:p>
      <w:pPr>
        <w:pStyle w:val="BodyText"/>
        <w:ind w:left="106"/>
      </w:pPr>
      <w:r>
        <w:rPr/>
        <w:t>(New 5/1998)</w:t>
      </w:r>
    </w:p>
    <w:p>
      <w:pPr>
        <w:pStyle w:val="BodyText"/>
        <w:spacing w:before="10"/>
        <w:rPr>
          <w:sz w:val="23"/>
        </w:rPr>
      </w:pPr>
    </w:p>
    <w:p>
      <w:pPr>
        <w:pStyle w:val="ListParagraph"/>
        <w:numPr>
          <w:ilvl w:val="0"/>
          <w:numId w:val="138"/>
        </w:numPr>
        <w:tabs>
          <w:tab w:pos="467" w:val="left" w:leader="none"/>
        </w:tabs>
        <w:spacing w:line="240" w:lineRule="auto" w:before="1" w:after="0"/>
        <w:ind w:left="466" w:right="127" w:hanging="360"/>
        <w:jc w:val="left"/>
        <w:rPr>
          <w:sz w:val="24"/>
        </w:rPr>
      </w:pPr>
      <w:r>
        <w:rPr>
          <w:b/>
          <w:sz w:val="24"/>
        </w:rPr>
        <w:t>Bond purchase agreement/contract</w:t>
      </w:r>
      <w:r>
        <w:rPr>
          <w:sz w:val="24"/>
        </w:rPr>
        <w:t>: In a negotiated sale, an agreement between an issuer and an underwriter or group of underwriters, i.e., a syndicate who has agreed to purchase the issue. The agreement sets forth the purchase price, interest rates and other terms of the bonds (often by reference to the official statement), date and time of closing, representations and warranties of the issuer, conditions to underwriters’ payment for bonds, and underwriter duties. In a competitive sale, the notice of sale serves the same function, specifying the factors used to determine the winning bid; the notice, the underwriter’s bid, and the issuer’s acceptance of the bid together constitute a bond purchase</w:t>
      </w:r>
      <w:r>
        <w:rPr>
          <w:spacing w:val="-11"/>
          <w:sz w:val="24"/>
        </w:rPr>
        <w:t> </w:t>
      </w:r>
      <w:r>
        <w:rPr>
          <w:sz w:val="24"/>
        </w:rPr>
        <w:t>agreement.</w:t>
      </w:r>
    </w:p>
    <w:p>
      <w:pPr>
        <w:pStyle w:val="ListParagraph"/>
        <w:numPr>
          <w:ilvl w:val="0"/>
          <w:numId w:val="138"/>
        </w:numPr>
        <w:tabs>
          <w:tab w:pos="467" w:val="left" w:leader="none"/>
        </w:tabs>
        <w:spacing w:line="240" w:lineRule="auto" w:before="197" w:after="0"/>
        <w:ind w:left="466" w:right="235" w:hanging="360"/>
        <w:jc w:val="left"/>
        <w:rPr>
          <w:i/>
          <w:sz w:val="24"/>
        </w:rPr>
      </w:pPr>
      <w:r>
        <w:rPr>
          <w:b/>
          <w:sz w:val="24"/>
        </w:rPr>
        <w:t>Continuing disclosure agreement</w:t>
      </w:r>
      <w:r>
        <w:rPr>
          <w:sz w:val="24"/>
        </w:rPr>
        <w:t>: Sets procedures for continuing disclosure, the contents of the annual report, and specific events to be disclosed. Parties to the document may include the issuer, trustee, dissemination agent, client department, and bond holders as third-party beneficiaries. See Section 6884 for a more complete discussion of continuing disclosure.  </w:t>
      </w:r>
      <w:r>
        <w:rPr>
          <w:i/>
          <w:sz w:val="24"/>
        </w:rPr>
        <w:t>The client department, if an obligated party, </w:t>
      </w:r>
      <w:r>
        <w:rPr>
          <w:i/>
          <w:sz w:val="24"/>
        </w:rPr>
        <w:t>should review its disclosure responsibilities carefully. Failure to disclose material events as required under the agreement can result in</w:t>
      </w:r>
      <w:r>
        <w:rPr>
          <w:i/>
          <w:spacing w:val="-30"/>
          <w:sz w:val="24"/>
        </w:rPr>
        <w:t> </w:t>
      </w:r>
      <w:r>
        <w:rPr>
          <w:i/>
          <w:sz w:val="24"/>
        </w:rPr>
        <w:t>liability.</w:t>
      </w:r>
    </w:p>
    <w:p>
      <w:pPr>
        <w:pStyle w:val="ListParagraph"/>
        <w:numPr>
          <w:ilvl w:val="0"/>
          <w:numId w:val="138"/>
        </w:numPr>
        <w:tabs>
          <w:tab w:pos="467" w:val="left" w:leader="none"/>
        </w:tabs>
        <w:spacing w:line="240" w:lineRule="auto" w:before="199" w:after="0"/>
        <w:ind w:left="466" w:right="448" w:hanging="360"/>
        <w:jc w:val="left"/>
        <w:rPr>
          <w:sz w:val="24"/>
        </w:rPr>
      </w:pPr>
      <w:r>
        <w:rPr>
          <w:b/>
          <w:sz w:val="24"/>
        </w:rPr>
        <w:t>Tax certificate or agreement</w:t>
      </w:r>
      <w:r>
        <w:rPr>
          <w:sz w:val="24"/>
        </w:rPr>
        <w:t>: Certifies to the facts and expectations necessary for the tax-exempt treatment of interest on the bonds. Those signing the document include the issuer, and other obligated parties. For GO bonds, the client department signs a department tax</w:t>
      </w:r>
      <w:r>
        <w:rPr>
          <w:spacing w:val="-15"/>
          <w:sz w:val="24"/>
        </w:rPr>
        <w:t> </w:t>
      </w:r>
      <w:r>
        <w:rPr>
          <w:sz w:val="24"/>
        </w:rPr>
        <w:t>certificate.</w:t>
      </w:r>
    </w:p>
    <w:p>
      <w:pPr>
        <w:pStyle w:val="ListParagraph"/>
        <w:numPr>
          <w:ilvl w:val="0"/>
          <w:numId w:val="138"/>
        </w:numPr>
        <w:tabs>
          <w:tab w:pos="467" w:val="left" w:leader="none"/>
        </w:tabs>
        <w:spacing w:line="240" w:lineRule="auto" w:before="199" w:after="0"/>
        <w:ind w:left="466" w:right="368" w:hanging="360"/>
        <w:jc w:val="left"/>
        <w:rPr>
          <w:sz w:val="24"/>
        </w:rPr>
      </w:pPr>
      <w:r>
        <w:rPr>
          <w:b/>
          <w:sz w:val="24"/>
        </w:rPr>
        <w:t>Reimbursement agreement</w:t>
      </w:r>
      <w:r>
        <w:rPr>
          <w:sz w:val="24"/>
        </w:rPr>
        <w:t>: If applicable, provides: the terms of the repayment of credit enhancement (e.g., a letter of credit); the terms of obligation to reimburse, including the maturity and interest rate; the pledge of security for reimbursement obligation; and covenants and security. Parties to the document are the issuer, other obligated parties and the credit enhancement</w:t>
      </w:r>
      <w:r>
        <w:rPr>
          <w:spacing w:val="-31"/>
          <w:sz w:val="24"/>
        </w:rPr>
        <w:t> </w:t>
      </w:r>
      <w:r>
        <w:rPr>
          <w:sz w:val="24"/>
        </w:rPr>
        <w:t>provider.</w:t>
      </w:r>
    </w:p>
    <w:p>
      <w:pPr>
        <w:pStyle w:val="ListParagraph"/>
        <w:numPr>
          <w:ilvl w:val="0"/>
          <w:numId w:val="138"/>
        </w:numPr>
        <w:tabs>
          <w:tab w:pos="467" w:val="left" w:leader="none"/>
        </w:tabs>
        <w:spacing w:line="240" w:lineRule="auto" w:before="197" w:after="0"/>
        <w:ind w:left="466" w:right="372" w:hanging="360"/>
        <w:jc w:val="left"/>
        <w:rPr>
          <w:i/>
          <w:sz w:val="24"/>
        </w:rPr>
      </w:pPr>
      <w:r>
        <w:rPr>
          <w:b/>
          <w:sz w:val="24"/>
        </w:rPr>
        <w:t>Revenue source agreements</w:t>
      </w:r>
      <w:r>
        <w:rPr>
          <w:sz w:val="24"/>
        </w:rPr>
        <w:t>: The following descriptions are written from the perspective of PWB, but they apply to other lease-purchase financings. </w:t>
      </w:r>
      <w:r>
        <w:rPr>
          <w:i/>
          <w:sz w:val="24"/>
        </w:rPr>
        <w:t>The revenue </w:t>
      </w:r>
      <w:r>
        <w:rPr>
          <w:i/>
          <w:sz w:val="24"/>
        </w:rPr>
        <w:t>source agreements require careful review by the client department because they outline departmental obligations to</w:t>
      </w:r>
      <w:r>
        <w:rPr>
          <w:i/>
          <w:spacing w:val="-20"/>
          <w:sz w:val="24"/>
        </w:rPr>
        <w:t> </w:t>
      </w:r>
      <w:r>
        <w:rPr>
          <w:i/>
          <w:sz w:val="24"/>
        </w:rPr>
        <w:t>PWB.</w:t>
      </w:r>
    </w:p>
    <w:p>
      <w:pPr>
        <w:pStyle w:val="BodyText"/>
        <w:tabs>
          <w:tab w:pos="1186" w:val="left" w:leader="none"/>
        </w:tabs>
        <w:spacing w:before="122"/>
        <w:ind w:left="466" w:right="200" w:hanging="360"/>
      </w:pPr>
      <w:r>
        <w:rPr>
          <w:strike/>
          <w:color w:val="2E97D3"/>
        </w:rPr>
        <w:t>a.</w:t>
      </w:r>
      <w:r>
        <w:rPr>
          <w:strike w:val="0"/>
          <w:color w:val="2E97D3"/>
          <w:u w:val="single" w:color="2E97D3"/>
        </w:rPr>
        <w:t>1.</w:t>
        <w:tab/>
      </w:r>
      <w:r>
        <w:rPr>
          <w:b/>
          <w:strike w:val="0"/>
        </w:rPr>
        <w:t>Site lease</w:t>
      </w:r>
      <w:r>
        <w:rPr>
          <w:strike w:val="0"/>
        </w:rPr>
        <w:t>:  The client department leases the site on which the project</w:t>
      </w:r>
      <w:r>
        <w:rPr>
          <w:strike w:val="0"/>
          <w:spacing w:val="-35"/>
        </w:rPr>
        <w:t> </w:t>
      </w:r>
      <w:r>
        <w:rPr>
          <w:strike w:val="0"/>
        </w:rPr>
        <w:t>will</w:t>
      </w:r>
      <w:r>
        <w:rPr>
          <w:strike w:val="0"/>
          <w:spacing w:val="-3"/>
        </w:rPr>
        <w:t> </w:t>
      </w:r>
      <w:r>
        <w:rPr>
          <w:strike w:val="0"/>
        </w:rPr>
        <w:t>be</w:t>
      </w:r>
      <w:r>
        <w:rPr>
          <w:strike w:val="0"/>
          <w:w w:val="99"/>
        </w:rPr>
        <w:t> </w:t>
      </w:r>
      <w:r>
        <w:rPr>
          <w:strike w:val="0"/>
        </w:rPr>
        <w:t>constructed to PWB for the term of the bonds. The rental fee is generally nominal and paid through the financing. PWB agrees to use the site solely for the purpose of constructing the project. It then leases the facility and site back to the department (see following facility lease).  The term of the lease is the same as the debt</w:t>
      </w:r>
      <w:r>
        <w:rPr>
          <w:strike w:val="0"/>
          <w:spacing w:val="-36"/>
        </w:rPr>
        <w:t> </w:t>
      </w:r>
      <w:r>
        <w:rPr>
          <w:strike w:val="0"/>
        </w:rPr>
        <w:t>repayment.</w:t>
      </w:r>
    </w:p>
    <w:p>
      <w:pPr>
        <w:pStyle w:val="BodyText"/>
        <w:rPr>
          <w:sz w:val="26"/>
        </w:rPr>
      </w:pPr>
    </w:p>
    <w:p>
      <w:pPr>
        <w:pStyle w:val="BodyText"/>
        <w:spacing w:before="216"/>
        <w:ind w:left="106"/>
      </w:pPr>
      <w:r>
        <w:rPr/>
        <w:t>(Continued)</w:t>
      </w:r>
    </w:p>
    <w:p>
      <w:pPr>
        <w:spacing w:after="0"/>
        <w:sectPr>
          <w:pgSz w:w="12240" w:h="15840"/>
          <w:pgMar w:header="726" w:footer="792" w:top="980" w:bottom="980" w:left="1060" w:right="1320"/>
        </w:sectPr>
      </w:pPr>
    </w:p>
    <w:p>
      <w:pPr>
        <w:pStyle w:val="BodyText"/>
        <w:rPr>
          <w:sz w:val="20"/>
        </w:rPr>
      </w:pPr>
    </w:p>
    <w:p>
      <w:pPr>
        <w:pStyle w:val="BodyText"/>
        <w:spacing w:before="211"/>
        <w:ind w:left="106"/>
      </w:pPr>
      <w:r>
        <w:rPr/>
        <w:t>(Continued)</w:t>
      </w:r>
    </w:p>
    <w:p>
      <w:pPr>
        <w:tabs>
          <w:tab w:pos="8206" w:val="left" w:leader="none"/>
        </w:tabs>
        <w:spacing w:before="0"/>
        <w:ind w:left="106" w:right="0" w:firstLine="0"/>
        <w:jc w:val="left"/>
        <w:rPr>
          <w:sz w:val="24"/>
        </w:rPr>
      </w:pPr>
      <w:r>
        <w:rPr>
          <w:b/>
          <w:sz w:val="24"/>
        </w:rPr>
        <w:t>THE</w:t>
      </w:r>
      <w:r>
        <w:rPr>
          <w:b/>
          <w:spacing w:val="-1"/>
          <w:sz w:val="24"/>
        </w:rPr>
        <w:t> </w:t>
      </w:r>
      <w:r>
        <w:rPr>
          <w:b/>
          <w:sz w:val="24"/>
        </w:rPr>
        <w:t>BOND</w:t>
      </w:r>
      <w:r>
        <w:rPr>
          <w:b/>
          <w:spacing w:val="-2"/>
          <w:sz w:val="24"/>
        </w:rPr>
        <w:t> </w:t>
      </w:r>
      <w:r>
        <w:rPr>
          <w:b/>
          <w:sz w:val="24"/>
        </w:rPr>
        <w:t>SALE</w:t>
        <w:tab/>
        <w:t>6880 </w:t>
      </w:r>
      <w:r>
        <w:rPr>
          <w:sz w:val="24"/>
        </w:rPr>
        <w:t>(Cont.</w:t>
      </w:r>
      <w:r>
        <w:rPr>
          <w:spacing w:val="-6"/>
          <w:sz w:val="24"/>
        </w:rPr>
        <w:t> </w:t>
      </w:r>
      <w:r>
        <w:rPr>
          <w:sz w:val="24"/>
        </w:rPr>
        <w:t>3)</w:t>
      </w:r>
    </w:p>
    <w:p>
      <w:pPr>
        <w:pStyle w:val="BodyText"/>
        <w:ind w:left="106"/>
      </w:pPr>
      <w:r>
        <w:rPr/>
        <w:t>(New 5/1998)</w:t>
      </w:r>
    </w:p>
    <w:p>
      <w:pPr>
        <w:pStyle w:val="BodyText"/>
        <w:spacing w:before="10"/>
        <w:rPr>
          <w:sz w:val="23"/>
        </w:rPr>
      </w:pPr>
    </w:p>
    <w:p>
      <w:pPr>
        <w:pStyle w:val="BodyText"/>
        <w:tabs>
          <w:tab w:pos="1186" w:val="left" w:leader="none"/>
        </w:tabs>
        <w:spacing w:before="1"/>
        <w:ind w:left="466" w:right="157" w:hanging="360"/>
      </w:pPr>
      <w:r>
        <w:rPr>
          <w:strike/>
          <w:color w:val="2E97D3"/>
        </w:rPr>
        <w:t>b.</w:t>
      </w:r>
      <w:r>
        <w:rPr>
          <w:strike w:val="0"/>
          <w:color w:val="2E97D3"/>
          <w:u w:val="single" w:color="2E97D3"/>
        </w:rPr>
        <w:t>2.</w:t>
        <w:tab/>
      </w:r>
      <w:r>
        <w:rPr>
          <w:b/>
          <w:strike w:val="0"/>
        </w:rPr>
        <w:t>Facility lease</w:t>
      </w:r>
      <w:r>
        <w:rPr>
          <w:strike w:val="0"/>
        </w:rPr>
        <w:t>:  PWB leases the facility, defined as the project and the</w:t>
      </w:r>
      <w:r>
        <w:rPr>
          <w:strike w:val="0"/>
          <w:spacing w:val="-34"/>
        </w:rPr>
        <w:t> </w:t>
      </w:r>
      <w:r>
        <w:rPr>
          <w:strike w:val="0"/>
        </w:rPr>
        <w:t>site,</w:t>
      </w:r>
      <w:r>
        <w:rPr>
          <w:strike w:val="0"/>
          <w:spacing w:val="-1"/>
        </w:rPr>
        <w:t> </w:t>
      </w:r>
      <w:r>
        <w:rPr>
          <w:strike w:val="0"/>
        </w:rPr>
        <w:t>to the client department including, without limitation, the terms and conditions of the site lease. The department covenants to use the facility during the term of the lease solely for public purposes and to take no actions related to the facility that would jeopardize the tax-exempt status of the bonds. The term of the lease is the same as that of the debt related to the project. The rental amount is equal to the annual principal and interest on the bond debt, plus any additional rental amounts ordered by PWB (such as trustee fees, accounting fees, PWB costs, etc.). The lease includes a requirement for the department to maintain replacement insurance for loss, damage, and earthquake (the latter only if available at a reasonable cost), liability insurance, and rental interruption insurance (normally to cover an interruption of up to two</w:t>
      </w:r>
      <w:r>
        <w:rPr>
          <w:strike w:val="0"/>
          <w:spacing w:val="-38"/>
        </w:rPr>
        <w:t> </w:t>
      </w:r>
      <w:r>
        <w:rPr>
          <w:strike w:val="0"/>
        </w:rPr>
        <w:t>years).</w:t>
      </w:r>
    </w:p>
    <w:p>
      <w:pPr>
        <w:pStyle w:val="BodyText"/>
        <w:tabs>
          <w:tab w:pos="1186" w:val="left" w:leader="none"/>
        </w:tabs>
        <w:spacing w:before="120"/>
        <w:ind w:left="466" w:right="132" w:hanging="360"/>
      </w:pPr>
      <w:r>
        <w:rPr>
          <w:strike/>
          <w:color w:val="2E97D3"/>
        </w:rPr>
        <w:t>c.</w:t>
      </w:r>
      <w:r>
        <w:rPr>
          <w:strike w:val="0"/>
          <w:color w:val="2E97D3"/>
          <w:u w:val="single" w:color="2E97D3"/>
        </w:rPr>
        <w:t>3.</w:t>
        <w:tab/>
      </w:r>
      <w:r>
        <w:rPr>
          <w:b/>
          <w:strike w:val="0"/>
        </w:rPr>
        <w:t>Equipment lease</w:t>
      </w:r>
      <w:r>
        <w:rPr>
          <w:strike w:val="0"/>
        </w:rPr>
        <w:t>:  PWB leases the facility equipment acquired with</w:t>
      </w:r>
      <w:r>
        <w:rPr>
          <w:strike w:val="0"/>
          <w:spacing w:val="-33"/>
        </w:rPr>
        <w:t> </w:t>
      </w:r>
      <w:r>
        <w:rPr>
          <w:strike w:val="0"/>
        </w:rPr>
        <w:t>proceeds</w:t>
      </w:r>
      <w:r>
        <w:rPr>
          <w:strike w:val="0"/>
          <w:spacing w:val="-5"/>
        </w:rPr>
        <w:t> </w:t>
      </w:r>
      <w:r>
        <w:rPr>
          <w:strike w:val="0"/>
        </w:rPr>
        <w:t>of</w:t>
      </w:r>
      <w:r>
        <w:rPr>
          <w:strike w:val="0"/>
          <w:w w:val="100"/>
        </w:rPr>
        <w:t> </w:t>
      </w:r>
      <w:r>
        <w:rPr>
          <w:strike w:val="0"/>
        </w:rPr>
        <w:t>either interim financing or the long-term bonds. The department covenants to use the equipment solely for public purposes. The term of the lease is consistent with the debt for the equipment (generally shorter than the facility lease). The rental amount is calculated in a manner similar to that for the facility lease. The lease contains a requirement that the department maintain both the equipment and insurance on</w:t>
      </w:r>
      <w:r>
        <w:rPr>
          <w:strike w:val="0"/>
          <w:spacing w:val="-39"/>
        </w:rPr>
        <w:t> </w:t>
      </w:r>
      <w:r>
        <w:rPr>
          <w:strike w:val="0"/>
        </w:rPr>
        <w:t>it.</w:t>
      </w:r>
    </w:p>
    <w:p>
      <w:pPr>
        <w:pStyle w:val="BodyText"/>
        <w:tabs>
          <w:tab w:pos="1186" w:val="left" w:leader="none"/>
        </w:tabs>
        <w:spacing w:before="120"/>
        <w:ind w:left="466" w:right="449" w:hanging="360"/>
      </w:pPr>
      <w:r>
        <w:rPr>
          <w:strike/>
          <w:color w:val="2E97D3"/>
        </w:rPr>
        <w:t>d.</w:t>
      </w:r>
      <w:r>
        <w:rPr>
          <w:strike w:val="0"/>
          <w:color w:val="2E97D3"/>
          <w:u w:val="single" w:color="2E97D3"/>
        </w:rPr>
        <w:t>4.</w:t>
        <w:tab/>
      </w:r>
      <w:r>
        <w:rPr>
          <w:b/>
          <w:strike w:val="0"/>
        </w:rPr>
        <w:t>Construction agreement</w:t>
      </w:r>
      <w:r>
        <w:rPr>
          <w:strike w:val="0"/>
        </w:rPr>
        <w:t>:  PWB and the client department enter</w:t>
      </w:r>
      <w:r>
        <w:rPr>
          <w:strike w:val="0"/>
          <w:spacing w:val="-31"/>
        </w:rPr>
        <w:t> </w:t>
      </w:r>
      <w:r>
        <w:rPr>
          <w:strike w:val="0"/>
        </w:rPr>
        <w:t>into</w:t>
      </w:r>
      <w:r>
        <w:rPr>
          <w:strike w:val="0"/>
          <w:spacing w:val="-2"/>
        </w:rPr>
        <w:t> </w:t>
      </w:r>
      <w:r>
        <w:rPr>
          <w:strike w:val="0"/>
        </w:rPr>
        <w:t>an</w:t>
      </w:r>
      <w:r>
        <w:rPr>
          <w:strike w:val="0"/>
          <w:w w:val="99"/>
        </w:rPr>
        <w:t> </w:t>
      </w:r>
      <w:r>
        <w:rPr>
          <w:strike w:val="0"/>
        </w:rPr>
        <w:t>agreement wherein PWB finances the facility and the department—acting as PWB’s agent—performs all activities required to plan, construct and equip the facility, in accordance with the applicable provisions of the State Building Construction Act and the Budget</w:t>
      </w:r>
      <w:r>
        <w:rPr>
          <w:strike w:val="0"/>
          <w:spacing w:val="-6"/>
        </w:rPr>
        <w:t> </w:t>
      </w:r>
      <w:r>
        <w:rPr>
          <w:strike w:val="0"/>
        </w:rPr>
        <w:t>Act.</w:t>
      </w:r>
    </w:p>
    <w:p>
      <w:pPr>
        <w:pStyle w:val="BodyText"/>
        <w:tabs>
          <w:tab w:pos="1546" w:val="left" w:leader="none"/>
        </w:tabs>
        <w:spacing w:line="242" w:lineRule="auto" w:before="120"/>
        <w:ind w:left="826" w:right="507" w:hanging="360"/>
      </w:pPr>
      <w:r>
        <w:rPr>
          <w:strike/>
          <w:color w:val="2E97D3"/>
        </w:rPr>
        <w:t>9.</w:t>
      </w:r>
      <w:r>
        <w:rPr>
          <w:strike w:val="0"/>
          <w:color w:val="2E97D3"/>
          <w:u w:val="single" w:color="2E97D3"/>
        </w:rPr>
        <w:t>a.</w:t>
        <w:tab/>
      </w:r>
      <w:r>
        <w:rPr>
          <w:b/>
          <w:strike w:val="0"/>
        </w:rPr>
        <w:t>Closing documents</w:t>
      </w:r>
      <w:r>
        <w:rPr>
          <w:strike w:val="0"/>
        </w:rPr>
        <w:t>: Documentation of satisfaction of</w:t>
      </w:r>
      <w:r>
        <w:rPr>
          <w:strike w:val="0"/>
          <w:spacing w:val="-29"/>
        </w:rPr>
        <w:t> </w:t>
      </w:r>
      <w:r>
        <w:rPr>
          <w:strike w:val="0"/>
        </w:rPr>
        <w:t>closing</w:t>
      </w:r>
      <w:r>
        <w:rPr>
          <w:strike w:val="0"/>
          <w:spacing w:val="-6"/>
        </w:rPr>
        <w:t> </w:t>
      </w:r>
      <w:r>
        <w:rPr>
          <w:strike w:val="0"/>
        </w:rPr>
        <w:t>conditions,</w:t>
      </w:r>
      <w:r>
        <w:rPr>
          <w:strike w:val="0"/>
          <w:w w:val="100"/>
        </w:rPr>
        <w:t> </w:t>
      </w:r>
      <w:r>
        <w:rPr>
          <w:strike w:val="0"/>
        </w:rPr>
        <w:t>receipts, and legal</w:t>
      </w:r>
      <w:r>
        <w:rPr>
          <w:strike w:val="0"/>
          <w:spacing w:val="-13"/>
        </w:rPr>
        <w:t> </w:t>
      </w:r>
      <w:r>
        <w:rPr>
          <w:strike w:val="0"/>
        </w:rPr>
        <w:t>opinions.</w:t>
      </w:r>
    </w:p>
    <w:p>
      <w:pPr>
        <w:pStyle w:val="BodyText"/>
        <w:spacing w:before="194"/>
        <w:ind w:left="106" w:right="156"/>
      </w:pPr>
      <w:r>
        <w:rPr/>
        <w:t>The term </w:t>
      </w:r>
      <w:r>
        <w:rPr>
          <w:b/>
          <w:i/>
        </w:rPr>
        <w:t>due diligence </w:t>
      </w:r>
      <w:r>
        <w:rPr/>
        <w:t>means the inquiry made to disclose all facts about the issuer, the client department, the issue, and the security for the issue that would be material to a prudent investor in making a decision to purchase the issue. Due diligence inquiries are made by underwriters, lawyers, and other members of the financing team to determine, for example, whether the issue follows the purpose and scope outlined by the enabling legislation, statutes, and resolutions of the issuer and whether all material facts have been accurately disclosed in the official statement.</w:t>
      </w:r>
    </w:p>
    <w:p>
      <w:pPr>
        <w:pStyle w:val="BodyText"/>
        <w:spacing w:before="120"/>
        <w:ind w:left="106" w:right="194"/>
      </w:pPr>
      <w:r>
        <w:rPr/>
        <w:t>In lease-revenue and financing lease transactions, the client department has an obligation to participate in the due diligence process and to disclose all material facts relating to the transaction. (This responsibility may also occur in third-party financings of operating leases; see Section 6876.) In GO bond sales, DOF, STO and the State Controller handle most due diligence tasks; the client department’s responsibility is limited to providing project cash flow needs.</w:t>
      </w:r>
    </w:p>
    <w:p>
      <w:pPr>
        <w:pStyle w:val="BodyText"/>
        <w:spacing w:line="390" w:lineRule="atLeast" w:before="6"/>
        <w:ind w:left="106" w:right="8479"/>
      </w:pPr>
      <w:r>
        <w:rPr/>
        <w:t>(Continued) (Continued)</w:t>
      </w:r>
    </w:p>
    <w:p>
      <w:pPr>
        <w:tabs>
          <w:tab w:pos="8203" w:val="left" w:leader="none"/>
        </w:tabs>
        <w:spacing w:before="0"/>
        <w:ind w:left="106" w:right="0" w:firstLine="0"/>
        <w:jc w:val="left"/>
        <w:rPr>
          <w:sz w:val="24"/>
        </w:rPr>
      </w:pPr>
      <w:r>
        <w:rPr>
          <w:b/>
          <w:sz w:val="24"/>
        </w:rPr>
        <w:t>THE</w:t>
      </w:r>
      <w:r>
        <w:rPr>
          <w:b/>
          <w:spacing w:val="-1"/>
          <w:sz w:val="24"/>
        </w:rPr>
        <w:t> </w:t>
      </w:r>
      <w:r>
        <w:rPr>
          <w:b/>
          <w:sz w:val="24"/>
        </w:rPr>
        <w:t>BOND</w:t>
      </w:r>
      <w:r>
        <w:rPr>
          <w:b/>
          <w:spacing w:val="-2"/>
          <w:sz w:val="24"/>
        </w:rPr>
        <w:t> </w:t>
      </w:r>
      <w:r>
        <w:rPr>
          <w:b/>
          <w:sz w:val="24"/>
        </w:rPr>
        <w:t>SALE</w:t>
        <w:tab/>
        <w:t>6880 </w:t>
      </w:r>
      <w:r>
        <w:rPr>
          <w:sz w:val="24"/>
        </w:rPr>
        <w:t>(Cont.</w:t>
      </w:r>
      <w:r>
        <w:rPr>
          <w:spacing w:val="-6"/>
          <w:sz w:val="24"/>
        </w:rPr>
        <w:t> </w:t>
      </w:r>
      <w:r>
        <w:rPr>
          <w:sz w:val="24"/>
        </w:rPr>
        <w:t>4)</w:t>
      </w:r>
    </w:p>
    <w:p>
      <w:pPr>
        <w:spacing w:after="0"/>
        <w:jc w:val="left"/>
        <w:rPr>
          <w:sz w:val="24"/>
        </w:rPr>
        <w:sectPr>
          <w:pgSz w:w="12240" w:h="15840"/>
          <w:pgMar w:header="726" w:footer="792" w:top="980" w:bottom="980" w:left="1060" w:right="1320"/>
        </w:sectPr>
      </w:pPr>
    </w:p>
    <w:p>
      <w:pPr>
        <w:pStyle w:val="BodyText"/>
        <w:rPr>
          <w:sz w:val="20"/>
        </w:rPr>
      </w:pPr>
    </w:p>
    <w:p>
      <w:pPr>
        <w:pStyle w:val="BodyText"/>
        <w:spacing w:before="211"/>
        <w:ind w:left="106"/>
      </w:pPr>
      <w:r>
        <w:rPr/>
        <w:t>(New 5/1998)</w:t>
      </w:r>
    </w:p>
    <w:p>
      <w:pPr>
        <w:pStyle w:val="BodyText"/>
        <w:spacing w:before="4"/>
        <w:rPr>
          <w:sz w:val="34"/>
        </w:rPr>
      </w:pPr>
    </w:p>
    <w:p>
      <w:pPr>
        <w:pStyle w:val="BodyText"/>
        <w:ind w:left="106" w:right="83"/>
      </w:pPr>
      <w:r>
        <w:rPr>
          <w:b/>
        </w:rPr>
        <w:t>Structuring the issuance: </w:t>
      </w:r>
      <w:r>
        <w:rPr/>
        <w:t>The structure of an issue refers to the amount and timing of principal repayments (maturities) and interest payments. GO issuances are typically structured with </w:t>
      </w:r>
      <w:r>
        <w:rPr>
          <w:i/>
        </w:rPr>
        <w:t>level principal repayment </w:t>
      </w:r>
      <w:r>
        <w:rPr/>
        <w:t>(Section 6871); lease-revenue issuances are structured with </w:t>
      </w:r>
      <w:r>
        <w:rPr>
          <w:i/>
        </w:rPr>
        <w:t>level total payments </w:t>
      </w:r>
      <w:r>
        <w:rPr/>
        <w:t>(Section 6872). STO normally prepares a schedule which has serial maturities for the first 10 to 15 years, and term maturities subsequent to that. A serial maturity is one which is due every year. A term maturity is usually due from two to ten years beyond the last serial maturity.  However, regardless of the structure of the serial and term maturities, departmental payments for debt service are still made every year into a bond sinking fund. The total repayment schedule for GO bonds may extend up to 50 years, although market pressures generally require maturities of half that length.</w:t>
      </w:r>
    </w:p>
    <w:p>
      <w:pPr>
        <w:pStyle w:val="BodyText"/>
        <w:ind w:left="106" w:right="188"/>
      </w:pPr>
      <w:r>
        <w:rPr/>
        <w:t>Lease-revenue repayment schedules may extend to 35 years but are also usually only 20 or 25 years in length.</w:t>
      </w:r>
    </w:p>
    <w:p>
      <w:pPr>
        <w:pStyle w:val="BodyText"/>
        <w:spacing w:before="120"/>
        <w:ind w:left="106" w:right="98"/>
      </w:pPr>
      <w:r>
        <w:rPr/>
        <w:t>STO solicits information from client departments and PWB (or DOF) to assist in structuring lease-revenue issuances. Client departments provide information on cash flow needs and whether sub-schedules are needed for assets (such as equipment) with shorter effective life-spans than the main facility. PWB (or DOF) provide direction on the overall length of the issue.</w:t>
      </w:r>
    </w:p>
    <w:p>
      <w:pPr>
        <w:pStyle w:val="BodyText"/>
        <w:spacing w:before="119"/>
        <w:ind w:left="106"/>
      </w:pPr>
      <w:r>
        <w:rPr>
          <w:b/>
        </w:rPr>
        <w:t>Obtaining the bond rating</w:t>
      </w:r>
      <w:r>
        <w:rPr/>
        <w:t>: The state generally sells only investment-grade municipal securities. An investment rating is secured prior to the bond sale from one or more independent third parties, called rating agencies.</w:t>
      </w:r>
    </w:p>
    <w:p>
      <w:pPr>
        <w:pStyle w:val="BodyText"/>
        <w:tabs>
          <w:tab w:pos="1546" w:val="left" w:leader="none"/>
        </w:tabs>
        <w:spacing w:before="119"/>
        <w:ind w:left="826" w:right="674" w:hanging="360"/>
      </w:pPr>
      <w:r>
        <w:rPr>
          <w:strike/>
          <w:color w:val="2E97D3"/>
        </w:rPr>
        <w:t>1.</w:t>
      </w:r>
      <w:r>
        <w:rPr>
          <w:strike w:val="0"/>
          <w:color w:val="2E97D3"/>
          <w:u w:val="single" w:color="2E97D3"/>
        </w:rPr>
        <w:t>a.</w:t>
        <w:tab/>
      </w:r>
      <w:r>
        <w:rPr>
          <w:strike w:val="0"/>
        </w:rPr>
        <w:t>Generally, an investment rating lowers interest rates by</w:t>
      </w:r>
      <w:r>
        <w:rPr>
          <w:strike w:val="0"/>
          <w:spacing w:val="-32"/>
        </w:rPr>
        <w:t> </w:t>
      </w:r>
      <w:r>
        <w:rPr>
          <w:strike w:val="0"/>
        </w:rPr>
        <w:t>giving</w:t>
      </w:r>
      <w:r>
        <w:rPr>
          <w:strike w:val="0"/>
          <w:spacing w:val="-5"/>
        </w:rPr>
        <w:t> </w:t>
      </w:r>
      <w:r>
        <w:rPr>
          <w:strike w:val="0"/>
        </w:rPr>
        <w:t>investors additional comfort and increasing the universe of</w:t>
      </w:r>
      <w:r>
        <w:rPr>
          <w:strike w:val="0"/>
          <w:spacing w:val="-25"/>
        </w:rPr>
        <w:t> </w:t>
      </w:r>
      <w:r>
        <w:rPr>
          <w:strike w:val="0"/>
        </w:rPr>
        <w:t>buyers.</w:t>
      </w:r>
    </w:p>
    <w:p>
      <w:pPr>
        <w:pStyle w:val="BodyText"/>
        <w:tabs>
          <w:tab w:pos="1546" w:val="left" w:leader="none"/>
        </w:tabs>
        <w:spacing w:before="119"/>
        <w:ind w:left="826" w:right="282" w:hanging="360"/>
      </w:pPr>
      <w:r>
        <w:rPr>
          <w:strike/>
          <w:color w:val="2E97D3"/>
        </w:rPr>
        <w:t>2.</w:t>
      </w:r>
      <w:r>
        <w:rPr>
          <w:strike w:val="0"/>
          <w:color w:val="2E97D3"/>
          <w:u w:val="single" w:color="2E97D3"/>
        </w:rPr>
        <w:t>b.</w:t>
        <w:tab/>
      </w:r>
      <w:r>
        <w:rPr>
          <w:strike w:val="0"/>
        </w:rPr>
        <w:t>Ratings are based on an analysis of the relative strengths</w:t>
      </w:r>
      <w:r>
        <w:rPr>
          <w:strike w:val="0"/>
          <w:spacing w:val="-31"/>
        </w:rPr>
        <w:t> </w:t>
      </w:r>
      <w:r>
        <w:rPr>
          <w:strike w:val="0"/>
        </w:rPr>
        <w:t>and</w:t>
      </w:r>
      <w:r>
        <w:rPr>
          <w:strike w:val="0"/>
          <w:spacing w:val="-3"/>
        </w:rPr>
        <w:t> </w:t>
      </w:r>
      <w:r>
        <w:rPr>
          <w:strike w:val="0"/>
        </w:rPr>
        <w:t>weaknesses</w:t>
      </w:r>
      <w:r>
        <w:rPr>
          <w:strike w:val="0"/>
          <w:w w:val="99"/>
        </w:rPr>
        <w:t> </w:t>
      </w:r>
      <w:r>
        <w:rPr>
          <w:strike w:val="0"/>
        </w:rPr>
        <w:t>of the various factors potentially affecting the likelihood of debt repayment for the specific obligation.  (The ratings applies only to that</w:t>
      </w:r>
      <w:r>
        <w:rPr>
          <w:strike w:val="0"/>
          <w:spacing w:val="-33"/>
        </w:rPr>
        <w:t> </w:t>
      </w:r>
      <w:r>
        <w:rPr>
          <w:strike w:val="0"/>
        </w:rPr>
        <w:t>obligation.)</w:t>
      </w:r>
    </w:p>
    <w:p>
      <w:pPr>
        <w:pStyle w:val="ListParagraph"/>
        <w:numPr>
          <w:ilvl w:val="1"/>
          <w:numId w:val="139"/>
        </w:numPr>
        <w:tabs>
          <w:tab w:pos="1546" w:val="left" w:leader="none"/>
          <w:tab w:pos="1547" w:val="left" w:leader="none"/>
        </w:tabs>
        <w:spacing w:line="240" w:lineRule="auto" w:before="117" w:after="0"/>
        <w:ind w:left="826" w:right="261" w:hanging="360"/>
        <w:jc w:val="left"/>
        <w:rPr>
          <w:sz w:val="24"/>
        </w:rPr>
      </w:pPr>
      <w:r>
        <w:rPr>
          <w:strike w:val="0"/>
          <w:sz w:val="24"/>
        </w:rPr>
        <w:t>Long-term debt ratings are expressed in symbol form: </w:t>
      </w:r>
      <w:r>
        <w:rPr>
          <w:i/>
          <w:strike w:val="0"/>
          <w:sz w:val="24"/>
        </w:rPr>
        <w:t>Aaa </w:t>
      </w:r>
      <w:r>
        <w:rPr>
          <w:strike w:val="0"/>
          <w:sz w:val="24"/>
        </w:rPr>
        <w:t>means the best quality, with extremely strong capacity to pay principal and interest. </w:t>
      </w:r>
      <w:r>
        <w:rPr>
          <w:i/>
          <w:strike w:val="0"/>
          <w:sz w:val="24"/>
        </w:rPr>
        <w:t>Baa </w:t>
      </w:r>
      <w:r>
        <w:rPr>
          <w:strike w:val="0"/>
          <w:sz w:val="24"/>
        </w:rPr>
        <w:t>means medium grade quality, with adequate capacity to pay principal and interest (the lowest “investment grade” long-term rating). </w:t>
      </w:r>
      <w:r>
        <w:rPr>
          <w:i/>
          <w:strike w:val="0"/>
          <w:sz w:val="24"/>
        </w:rPr>
        <w:t>Ba </w:t>
      </w:r>
      <w:r>
        <w:rPr>
          <w:strike w:val="0"/>
          <w:sz w:val="24"/>
        </w:rPr>
        <w:t>and lower means speculative quality with low capacity to pay principal and interest. Typically, the state receives ratings from three rating agencies: Moody’s Investor Services, Standard &amp; Poor’s and Fitch Investor</w:t>
      </w:r>
      <w:r>
        <w:rPr>
          <w:strike w:val="0"/>
          <w:spacing w:val="-18"/>
          <w:sz w:val="24"/>
        </w:rPr>
        <w:t> </w:t>
      </w:r>
      <w:r>
        <w:rPr>
          <w:strike w:val="0"/>
          <w:sz w:val="24"/>
        </w:rPr>
        <w:t>Services.</w:t>
      </w:r>
    </w:p>
    <w:p>
      <w:pPr>
        <w:pStyle w:val="BodyText"/>
        <w:spacing w:before="120"/>
        <w:ind w:left="106" w:right="1055"/>
      </w:pPr>
      <w:r>
        <w:rPr/>
        <w:t>Presentations made to the rating agencies generally involve STO, the issuer, and potentially the client department when a new market credit is being established.</w:t>
      </w:r>
    </w:p>
    <w:p>
      <w:pPr>
        <w:pStyle w:val="BodyText"/>
        <w:rPr>
          <w:sz w:val="26"/>
        </w:rPr>
      </w:pPr>
    </w:p>
    <w:p>
      <w:pPr>
        <w:pStyle w:val="BodyText"/>
        <w:spacing w:before="11"/>
        <w:rPr>
          <w:sz w:val="25"/>
        </w:rPr>
      </w:pPr>
    </w:p>
    <w:p>
      <w:pPr>
        <w:pStyle w:val="BodyText"/>
        <w:ind w:left="106"/>
      </w:pPr>
      <w:r>
        <w:rPr/>
        <w:t>(Continued)</w:t>
      </w:r>
    </w:p>
    <w:p>
      <w:pPr>
        <w:spacing w:after="0"/>
        <w:sectPr>
          <w:pgSz w:w="12240" w:h="15840"/>
          <w:pgMar w:header="726" w:footer="792" w:top="980" w:bottom="980" w:left="1060" w:right="1380"/>
        </w:sectPr>
      </w:pPr>
    </w:p>
    <w:p>
      <w:pPr>
        <w:pStyle w:val="BodyText"/>
        <w:rPr>
          <w:sz w:val="20"/>
        </w:rPr>
      </w:pPr>
    </w:p>
    <w:p>
      <w:pPr>
        <w:pStyle w:val="BodyText"/>
        <w:spacing w:before="211"/>
        <w:ind w:left="686"/>
      </w:pPr>
      <w:r>
        <w:rPr/>
        <w:t>(Continued)</w:t>
      </w:r>
    </w:p>
    <w:p>
      <w:pPr>
        <w:tabs>
          <w:tab w:pos="8783" w:val="left" w:leader="none"/>
        </w:tabs>
        <w:spacing w:before="0"/>
        <w:ind w:left="686" w:right="0" w:firstLine="0"/>
        <w:jc w:val="left"/>
        <w:rPr>
          <w:sz w:val="24"/>
        </w:rPr>
      </w:pPr>
      <w:r>
        <w:rPr>
          <w:b/>
          <w:sz w:val="24"/>
        </w:rPr>
        <w:t>THE</w:t>
      </w:r>
      <w:r>
        <w:rPr>
          <w:b/>
          <w:spacing w:val="-1"/>
          <w:sz w:val="24"/>
        </w:rPr>
        <w:t> </w:t>
      </w:r>
      <w:r>
        <w:rPr>
          <w:b/>
          <w:sz w:val="24"/>
        </w:rPr>
        <w:t>BOND</w:t>
      </w:r>
      <w:r>
        <w:rPr>
          <w:b/>
          <w:spacing w:val="-2"/>
          <w:sz w:val="24"/>
        </w:rPr>
        <w:t> </w:t>
      </w:r>
      <w:r>
        <w:rPr>
          <w:b/>
          <w:sz w:val="24"/>
        </w:rPr>
        <w:t>SALE</w:t>
        <w:tab/>
        <w:t>6880 </w:t>
      </w:r>
      <w:r>
        <w:rPr>
          <w:sz w:val="24"/>
        </w:rPr>
        <w:t>(Cont.</w:t>
      </w:r>
      <w:r>
        <w:rPr>
          <w:spacing w:val="-6"/>
          <w:sz w:val="24"/>
        </w:rPr>
        <w:t> </w:t>
      </w:r>
      <w:r>
        <w:rPr>
          <w:sz w:val="24"/>
        </w:rPr>
        <w:t>5)</w:t>
      </w:r>
    </w:p>
    <w:p>
      <w:pPr>
        <w:pStyle w:val="BodyText"/>
        <w:ind w:left="686"/>
      </w:pPr>
      <w:r>
        <w:rPr/>
        <w:t>(New 5/1998)</w:t>
      </w:r>
    </w:p>
    <w:p>
      <w:pPr>
        <w:pStyle w:val="BodyText"/>
        <w:spacing w:before="10"/>
        <w:rPr>
          <w:sz w:val="23"/>
        </w:rPr>
      </w:pPr>
    </w:p>
    <w:p>
      <w:pPr>
        <w:pStyle w:val="BodyText"/>
        <w:spacing w:before="1"/>
        <w:ind w:left="686" w:right="148"/>
      </w:pPr>
      <w:r>
        <w:rPr>
          <w:b/>
        </w:rPr>
        <w:t>Pricing: </w:t>
      </w:r>
      <w:r>
        <w:rPr/>
        <w:t>GO bonds are sold on a competitive basis; low bid establishes price (i.e., interest rates and other underwriting costs). Lease-revenue bonds are normally sold on a negotiated basis. STO prices the bonds (i.e., negotiates interest rates and any discounts with the market).  PWB delegates pricing to STO.  STO advises the client department of the final financing costs by maturity and in total.</w:t>
      </w:r>
    </w:p>
    <w:p>
      <w:pPr>
        <w:pStyle w:val="BodyText"/>
        <w:spacing w:before="120"/>
        <w:ind w:left="686" w:right="116"/>
      </w:pPr>
      <w:r>
        <w:rPr/>
        <w:pict>
          <v:line style="position:absolute;mso-position-horizontal-relative:page;mso-position-vertical-relative:paragraph;z-index:36304" from="29.4pt,89.016869pt" to="29.4pt,114.815869pt" stroked="true" strokeweight=".72pt" strokecolor="#000000">
            <v:stroke dashstyle="solid"/>
            <w10:wrap type="none"/>
          </v:line>
        </w:pict>
      </w:r>
      <w:r>
        <w:rPr>
          <w:b/>
        </w:rPr>
        <w:t>Bond closing</w:t>
      </w:r>
      <w:r>
        <w:rPr/>
        <w:t>: Moneys are not exchanged in a bond sale—and interest rates are not effective—until the bond sale closes, typically two to four weeks after pricing. The client department (in the case of lease-revenue bonds) and issuer must review and sign all pre- closing documents prior to closing to ensure a smooth conclusion to the sale, and should have a representative at the closing (except for GO sales). Net proceeds are normally transferred by the underwriter to the State Treasury by wire in immediately available funds.</w:t>
      </w:r>
    </w:p>
    <w:p>
      <w:pPr>
        <w:spacing w:after="0"/>
        <w:sectPr>
          <w:pgSz w:w="12240" w:h="15840"/>
          <w:pgMar w:header="726" w:footer="792" w:top="980" w:bottom="980" w:left="480" w:right="1320"/>
        </w:sectPr>
      </w:pPr>
    </w:p>
    <w:p>
      <w:pPr>
        <w:pStyle w:val="BodyText"/>
        <w:rPr>
          <w:sz w:val="20"/>
        </w:rPr>
      </w:pPr>
    </w:p>
    <w:p>
      <w:pPr>
        <w:tabs>
          <w:tab w:pos="9784" w:val="left" w:leader="none"/>
        </w:tabs>
        <w:spacing w:before="211"/>
        <w:ind w:left="686" w:right="0" w:firstLine="0"/>
        <w:jc w:val="left"/>
        <w:rPr>
          <w:b/>
          <w:sz w:val="24"/>
        </w:rPr>
      </w:pPr>
      <w:r>
        <w:rPr/>
        <w:pict>
          <v:line style="position:absolute;mso-position-horizontal-relative:page;mso-position-vertical-relative:paragraph;z-index:36328" from="29.4pt,24.565882pt" to="29.4pt,71.965882pt" stroked="true" strokeweight=".72pt" strokecolor="#000000">
            <v:stroke dashstyle="solid"/>
            <w10:wrap type="none"/>
          </v:line>
        </w:pict>
      </w:r>
      <w:r>
        <w:rPr>
          <w:b/>
          <w:sz w:val="24"/>
        </w:rPr>
        <w:t>POST-SALE</w:t>
      </w:r>
      <w:r>
        <w:rPr>
          <w:b/>
          <w:spacing w:val="-2"/>
          <w:sz w:val="24"/>
        </w:rPr>
        <w:t> </w:t>
      </w:r>
      <w:r>
        <w:rPr>
          <w:b/>
          <w:sz w:val="24"/>
        </w:rPr>
        <w:t>ACTIVITIES</w:t>
        <w:tab/>
        <w:t>6882</w:t>
      </w:r>
    </w:p>
    <w:p>
      <w:pPr>
        <w:pStyle w:val="BodyText"/>
        <w:ind w:left="686"/>
      </w:pPr>
      <w:r>
        <w:rPr/>
        <w:t>(</w:t>
      </w:r>
      <w:r>
        <w:rPr>
          <w:strike/>
          <w:color w:val="2E97D3"/>
        </w:rPr>
        <w:t>New 5/1998</w:t>
      </w:r>
      <w:r>
        <w:rPr>
          <w:strike w:val="0"/>
          <w:color w:val="2E97D3"/>
          <w:u w:val="single" w:color="2E97D3"/>
        </w:rPr>
        <w:t>Revised 09/2017</w:t>
      </w:r>
      <w:r>
        <w:rPr>
          <w:strike w:val="0"/>
        </w:rPr>
        <w:t>)</w:t>
      </w:r>
    </w:p>
    <w:p>
      <w:pPr>
        <w:pStyle w:val="BodyText"/>
        <w:spacing w:before="120"/>
        <w:ind w:left="686" w:right="147"/>
      </w:pPr>
      <w:r>
        <w:rPr/>
        <w:pict>
          <v:line style="position:absolute;mso-position-horizontal-relative:page;mso-position-vertical-relative:paragraph;z-index:36352" from="29.4pt,61.415844pt" to="29.4pt,75.215844pt" stroked="true" strokeweight=".72pt" strokecolor="#000000">
            <v:stroke dashstyle="solid"/>
            <w10:wrap type="none"/>
          </v:line>
        </w:pict>
      </w:r>
      <w:r>
        <w:rPr/>
        <w:pict>
          <v:line style="position:absolute;mso-position-horizontal-relative:page;mso-position-vertical-relative:paragraph;z-index:36376" from="29.4pt,144.215851pt" to="29.4pt,177.815851pt" stroked="true" strokeweight=".72pt" strokecolor="#000000">
            <v:stroke dashstyle="solid"/>
            <w10:wrap type="none"/>
          </v:line>
        </w:pict>
      </w:r>
      <w:r>
        <w:rPr>
          <w:b/>
        </w:rPr>
        <w:t>Establishing account records/transferring funds for debt service</w:t>
      </w:r>
      <w:r>
        <w:rPr/>
        <w:t>: </w:t>
      </w:r>
      <w:r>
        <w:rPr>
          <w:strike/>
          <w:color w:val="2E97D3"/>
        </w:rPr>
        <w:t>Client departments </w:t>
      </w:r>
      <w:r>
        <w:rPr>
          <w:strike w:val="0"/>
          <w:color w:val="2E97D3"/>
          <w:u w:val="single" w:color="2E97D3"/>
        </w:rPr>
        <w:t>Departments </w:t>
      </w:r>
      <w:r>
        <w:rPr>
          <w:strike w:val="0"/>
        </w:rPr>
        <w:t>must establish accounting and budgetary records so that lease rental payments can be budgeted and paid to provide for debt service during the life of the bonds. For lease-revenue bond projects, lease rental payments are generally budgeted as a separate item under the </w:t>
      </w:r>
      <w:r>
        <w:rPr>
          <w:strike/>
          <w:color w:val="2E97D3"/>
        </w:rPr>
        <w:t>client </w:t>
      </w:r>
      <w:r>
        <w:rPr>
          <w:strike w:val="0"/>
        </w:rPr>
        <w:t>department’s organization code in the annual budget. The department, in accordance with the terms of the lease agreement, pays the lessor the lease rental payments from the department’s lease rental appropriation. The lessor deposits the lease rental payment into the appropriate debt service accounts of the bonds. The trustee for the bonds (generally the STO) submits claims against the debt service accounts of the bonds on behalf of the bondholders. For GO debt service, STO arranges transfer of funds with SCO; the </w:t>
      </w:r>
      <w:r>
        <w:rPr>
          <w:strike/>
          <w:color w:val="2E97D3"/>
        </w:rPr>
        <w:t>client </w:t>
      </w:r>
      <w:r>
        <w:rPr>
          <w:strike w:val="0"/>
        </w:rPr>
        <w:t>department is not</w:t>
      </w:r>
      <w:r>
        <w:rPr>
          <w:strike w:val="0"/>
          <w:spacing w:val="-32"/>
        </w:rPr>
        <w:t> </w:t>
      </w:r>
      <w:r>
        <w:rPr>
          <w:strike w:val="0"/>
        </w:rPr>
        <w:t>involved.</w:t>
      </w:r>
    </w:p>
    <w:p>
      <w:pPr>
        <w:pStyle w:val="BodyText"/>
        <w:spacing w:before="119"/>
        <w:ind w:left="686" w:right="149"/>
      </w:pPr>
      <w:r>
        <w:rPr/>
        <w:pict>
          <v:line style="position:absolute;mso-position-horizontal-relative:page;mso-position-vertical-relative:paragraph;z-index:36400" from="29.4pt,33.765858pt" to="29.4pt,61.365858pt" stroked="true" strokeweight=".72pt" strokecolor="#000000">
            <v:stroke dashstyle="solid"/>
            <w10:wrap type="none"/>
          </v:line>
        </w:pict>
      </w:r>
      <w:r>
        <w:rPr/>
        <w:pict>
          <v:line style="position:absolute;mso-position-horizontal-relative:page;mso-position-vertical-relative:paragraph;z-index:36424" from="29.4pt,88.965858pt" to="29.4pt,102.765858pt" stroked="true" strokeweight=".72pt" strokecolor="#000000">
            <v:stroke dashstyle="solid"/>
            <w10:wrap type="none"/>
          </v:line>
        </w:pict>
      </w:r>
      <w:r>
        <w:rPr>
          <w:b/>
        </w:rPr>
        <w:t>Project management—staying within funds availability</w:t>
      </w:r>
      <w:r>
        <w:rPr/>
        <w:t>: The </w:t>
      </w:r>
      <w:r>
        <w:rPr>
          <w:strike/>
          <w:color w:val="2E97D3"/>
        </w:rPr>
        <w:t>client </w:t>
      </w:r>
      <w:r>
        <w:rPr>
          <w:strike w:val="0"/>
        </w:rPr>
        <w:t>department is responsible for completing its lease-revenue project within available bond proceeds. Lease-revenue projects </w:t>
      </w:r>
      <w:r>
        <w:rPr>
          <w:strike/>
          <w:color w:val="2E97D3"/>
        </w:rPr>
        <w:t>which</w:t>
      </w:r>
      <w:r>
        <w:rPr>
          <w:strike w:val="0"/>
          <w:color w:val="2E97D3"/>
          <w:u w:val="single" w:color="2E97D3"/>
        </w:rPr>
        <w:t>that </w:t>
      </w:r>
      <w:r>
        <w:rPr>
          <w:strike w:val="0"/>
        </w:rPr>
        <w:t>cannot be completed within available funds present a </w:t>
      </w:r>
      <w:r>
        <w:rPr>
          <w:strike/>
          <w:color w:val="2E97D3"/>
        </w:rPr>
        <w:t>grave </w:t>
      </w:r>
      <w:r>
        <w:rPr>
          <w:strike w:val="0"/>
        </w:rPr>
        <w:t>risk to bondholders and therefore to the state’s credit rating. For this reason, a construction reserve may be included when sizing lease-revenue or financing lease projects.  Any material threat to project progress or budget must be reported immediately to </w:t>
      </w:r>
      <w:r>
        <w:rPr>
          <w:strike/>
          <w:color w:val="2E97D3"/>
        </w:rPr>
        <w:t>DOF</w:t>
      </w:r>
      <w:r>
        <w:rPr>
          <w:strike w:val="0"/>
          <w:color w:val="2E97D3"/>
          <w:u w:val="single" w:color="2E97D3"/>
        </w:rPr>
        <w:t>Finance </w:t>
      </w:r>
      <w:r>
        <w:rPr>
          <w:strike w:val="0"/>
        </w:rPr>
        <w:t>and STO. (This is also an element of continuing disclosure responsibilities as described in Section 6884.)</w:t>
      </w:r>
    </w:p>
    <w:p>
      <w:pPr>
        <w:pStyle w:val="BodyText"/>
        <w:spacing w:before="119"/>
        <w:ind w:left="686" w:right="436"/>
      </w:pPr>
      <w:r>
        <w:rPr/>
        <w:pict>
          <v:line style="position:absolute;mso-position-horizontal-relative:page;mso-position-vertical-relative:paragraph;z-index:36448" from="29.4pt,19.964863pt" to="29.4pt,33.765863pt" stroked="true" strokeweight=".72pt" strokecolor="#000000">
            <v:stroke dashstyle="solid"/>
            <w10:wrap type="none"/>
          </v:line>
        </w:pict>
      </w:r>
      <w:r>
        <w:rPr>
          <w:b/>
        </w:rPr>
        <w:t>Trust services/payment of debt service</w:t>
      </w:r>
      <w:r>
        <w:rPr/>
        <w:t>: The state acts as trustee for GO bonds and PWB lease-revenue bonds; STO provides the majority of the services with </w:t>
      </w:r>
      <w:r>
        <w:rPr>
          <w:strike/>
          <w:color w:val="2E97D3"/>
        </w:rPr>
        <w:t>DOF</w:t>
      </w:r>
      <w:r>
        <w:rPr>
          <w:strike w:val="0"/>
          <w:color w:val="2E97D3"/>
          <w:u w:val="single" w:color="2E97D3"/>
        </w:rPr>
        <w:t>Finance </w:t>
      </w:r>
      <w:r>
        <w:rPr>
          <w:strike w:val="0"/>
        </w:rPr>
        <w:t>and SCO performing specific support functions. Trustee services for other state bonds may be provided by (or arranged through) STO. Other trustees, such as the trust departments of commercial banks, are used for some bond programs.</w:t>
      </w:r>
    </w:p>
    <w:p>
      <w:pPr>
        <w:pStyle w:val="BodyText"/>
        <w:spacing w:before="119"/>
        <w:ind w:left="686"/>
      </w:pPr>
      <w:r>
        <w:rPr/>
        <w:t>The responsibilities and duties of the trustee may include, among others, the following:</w:t>
      </w:r>
    </w:p>
    <w:p>
      <w:pPr>
        <w:pStyle w:val="ListParagraph"/>
        <w:numPr>
          <w:ilvl w:val="2"/>
          <w:numId w:val="139"/>
        </w:numPr>
        <w:tabs>
          <w:tab w:pos="1047" w:val="left" w:leader="none"/>
        </w:tabs>
        <w:spacing w:line="240" w:lineRule="auto" w:before="119" w:after="0"/>
        <w:ind w:left="1106" w:right="0" w:hanging="420"/>
        <w:jc w:val="left"/>
        <w:rPr>
          <w:sz w:val="24"/>
        </w:rPr>
      </w:pPr>
      <w:r>
        <w:rPr>
          <w:sz w:val="24"/>
        </w:rPr>
        <w:t>Regulating the disbursement of the proceeds of the issue for the intended</w:t>
      </w:r>
      <w:r>
        <w:rPr>
          <w:spacing w:val="-41"/>
          <w:sz w:val="24"/>
        </w:rPr>
        <w:t> </w:t>
      </w:r>
      <w:r>
        <w:rPr>
          <w:sz w:val="24"/>
        </w:rPr>
        <w:t>purposes;</w:t>
      </w:r>
    </w:p>
    <w:p>
      <w:pPr>
        <w:pStyle w:val="BodyText"/>
        <w:spacing w:before="9"/>
        <w:rPr>
          <w:sz w:val="20"/>
        </w:rPr>
      </w:pPr>
    </w:p>
    <w:p>
      <w:pPr>
        <w:pStyle w:val="ListParagraph"/>
        <w:numPr>
          <w:ilvl w:val="2"/>
          <w:numId w:val="139"/>
        </w:numPr>
        <w:tabs>
          <w:tab w:pos="1047" w:val="left" w:leader="none"/>
        </w:tabs>
        <w:spacing w:line="240" w:lineRule="auto" w:before="0" w:after="0"/>
        <w:ind w:left="1046" w:right="0" w:hanging="360"/>
        <w:jc w:val="left"/>
        <w:rPr>
          <w:sz w:val="24"/>
        </w:rPr>
      </w:pPr>
      <w:r>
        <w:rPr>
          <w:sz w:val="24"/>
        </w:rPr>
        <w:t>Fund transfers to assure that bondholders receive timely and complete</w:t>
      </w:r>
      <w:r>
        <w:rPr>
          <w:spacing w:val="-40"/>
          <w:sz w:val="24"/>
        </w:rPr>
        <w:t> </w:t>
      </w:r>
      <w:r>
        <w:rPr>
          <w:sz w:val="24"/>
        </w:rPr>
        <w:t>payment;</w:t>
      </w:r>
    </w:p>
    <w:p>
      <w:pPr>
        <w:pStyle w:val="BodyText"/>
        <w:spacing w:before="9"/>
        <w:rPr>
          <w:sz w:val="20"/>
        </w:rPr>
      </w:pPr>
    </w:p>
    <w:p>
      <w:pPr>
        <w:pStyle w:val="ListParagraph"/>
        <w:numPr>
          <w:ilvl w:val="2"/>
          <w:numId w:val="139"/>
        </w:numPr>
        <w:tabs>
          <w:tab w:pos="1047" w:val="left" w:leader="none"/>
        </w:tabs>
        <w:spacing w:line="240" w:lineRule="auto" w:before="0" w:after="0"/>
        <w:ind w:left="1046" w:right="0" w:hanging="360"/>
        <w:jc w:val="left"/>
        <w:rPr>
          <w:sz w:val="24"/>
        </w:rPr>
      </w:pPr>
      <w:r>
        <w:rPr>
          <w:sz w:val="24"/>
        </w:rPr>
        <w:t>Protecting the assets of the trust if a default occurs;</w:t>
      </w:r>
      <w:r>
        <w:rPr>
          <w:spacing w:val="-20"/>
          <w:sz w:val="24"/>
        </w:rPr>
        <w:t> </w:t>
      </w:r>
      <w:r>
        <w:rPr>
          <w:sz w:val="24"/>
        </w:rPr>
        <w:t>and</w:t>
      </w:r>
    </w:p>
    <w:p>
      <w:pPr>
        <w:pStyle w:val="BodyText"/>
        <w:spacing w:before="9"/>
        <w:rPr>
          <w:sz w:val="20"/>
        </w:rPr>
      </w:pPr>
    </w:p>
    <w:p>
      <w:pPr>
        <w:pStyle w:val="BodyText"/>
        <w:ind w:left="686" w:right="369"/>
      </w:pPr>
      <w:r>
        <w:rPr/>
        <w:t>Exercising a specified standard of care in the administration of those trusts (the timing of interest and principal payments, interest rate setting provisions, investment of funds, events of default, remedies, and the mailing of notices of various events).</w:t>
      </w:r>
    </w:p>
    <w:p>
      <w:pPr>
        <w:spacing w:before="117"/>
        <w:ind w:left="686" w:right="115" w:firstLine="0"/>
        <w:jc w:val="left"/>
        <w:rPr>
          <w:i/>
          <w:sz w:val="24"/>
        </w:rPr>
      </w:pPr>
      <w:r>
        <w:rPr/>
        <w:pict>
          <v:line style="position:absolute;mso-position-horizontal-relative:page;mso-position-vertical-relative:paragraph;z-index:36472" from="29.4pt,6.185852pt" to="29.4pt,19.985852pt" stroked="true" strokeweight=".72pt" strokecolor="#000000">
            <v:stroke dashstyle="solid"/>
            <w10:wrap type="none"/>
          </v:line>
        </w:pict>
      </w:r>
      <w:r>
        <w:rPr>
          <w:i/>
          <w:strike/>
          <w:color w:val="2E97D3"/>
          <w:sz w:val="24"/>
        </w:rPr>
        <w:t>Client departments </w:t>
      </w:r>
      <w:r>
        <w:rPr>
          <w:i/>
          <w:strike w:val="0"/>
          <w:color w:val="2E97D3"/>
          <w:sz w:val="24"/>
          <w:u w:val="single" w:color="2E97D3"/>
        </w:rPr>
        <w:t>Departments </w:t>
      </w:r>
      <w:r>
        <w:rPr>
          <w:i/>
          <w:strike w:val="0"/>
          <w:sz w:val="24"/>
        </w:rPr>
        <w:t>should refer questions from bondholders to STO (or other </w:t>
      </w:r>
      <w:r>
        <w:rPr>
          <w:i/>
          <w:strike w:val="0"/>
          <w:sz w:val="24"/>
        </w:rPr>
        <w:t>trustee). Communication of any confidential information to bondholders is not permitted (e.g., the possible refinancing of outstanding bonds).</w:t>
      </w:r>
    </w:p>
    <w:p>
      <w:pPr>
        <w:spacing w:before="122"/>
        <w:ind w:left="686" w:right="428" w:firstLine="0"/>
        <w:jc w:val="left"/>
        <w:rPr>
          <w:sz w:val="24"/>
        </w:rPr>
      </w:pPr>
      <w:r>
        <w:rPr>
          <w:b/>
          <w:sz w:val="24"/>
        </w:rPr>
        <w:t>Computation of lease-revenue debt service for budgetary purposes</w:t>
      </w:r>
      <w:r>
        <w:rPr>
          <w:sz w:val="24"/>
        </w:rPr>
        <w:t>: See Section 6888.</w:t>
      </w:r>
    </w:p>
    <w:p>
      <w:pPr>
        <w:pStyle w:val="BodyText"/>
        <w:rPr>
          <w:sz w:val="26"/>
        </w:rPr>
      </w:pPr>
    </w:p>
    <w:p>
      <w:pPr>
        <w:pStyle w:val="BodyText"/>
        <w:spacing w:before="219"/>
        <w:ind w:left="686"/>
      </w:pPr>
      <w:r>
        <w:rPr/>
        <w:t>(Continued)</w:t>
      </w:r>
    </w:p>
    <w:p>
      <w:pPr>
        <w:spacing w:after="0"/>
        <w:sectPr>
          <w:footerReference w:type="default" r:id="rId352"/>
          <w:pgSz w:w="12240" w:h="15840"/>
          <w:pgMar w:footer="792" w:header="726" w:top="980" w:bottom="980" w:left="480" w:right="1320"/>
        </w:sectPr>
      </w:pPr>
    </w:p>
    <w:p>
      <w:pPr>
        <w:pStyle w:val="BodyText"/>
        <w:rPr>
          <w:sz w:val="20"/>
        </w:rPr>
      </w:pPr>
    </w:p>
    <w:p>
      <w:pPr>
        <w:pStyle w:val="BodyText"/>
        <w:spacing w:before="211"/>
        <w:ind w:left="686"/>
      </w:pPr>
      <w:r>
        <w:rPr/>
        <w:t>(Continued)</w:t>
      </w:r>
    </w:p>
    <w:p>
      <w:pPr>
        <w:tabs>
          <w:tab w:pos="8848" w:val="left" w:leader="none"/>
        </w:tabs>
        <w:spacing w:before="0"/>
        <w:ind w:left="686" w:right="0" w:firstLine="0"/>
        <w:jc w:val="left"/>
        <w:rPr>
          <w:sz w:val="24"/>
        </w:rPr>
      </w:pPr>
      <w:r>
        <w:rPr/>
        <w:pict>
          <v:line style="position:absolute;mso-position-horizontal-relative:page;mso-position-vertical-relative:paragraph;z-index:36520" from="29.4pt,14.015833pt" to="29.4pt,33.815833pt" stroked="true" strokeweight=".72pt" strokecolor="#000000">
            <v:stroke dashstyle="solid"/>
            <w10:wrap type="none"/>
          </v:line>
        </w:pict>
      </w:r>
      <w:r>
        <w:rPr>
          <w:b/>
          <w:sz w:val="24"/>
        </w:rPr>
        <w:t>POST-SALE</w:t>
      </w:r>
      <w:r>
        <w:rPr>
          <w:b/>
          <w:spacing w:val="-2"/>
          <w:sz w:val="24"/>
        </w:rPr>
        <w:t> </w:t>
      </w:r>
      <w:r>
        <w:rPr>
          <w:b/>
          <w:sz w:val="24"/>
        </w:rPr>
        <w:t>ACTIVITIES</w:t>
        <w:tab/>
        <w:t>6882</w:t>
      </w:r>
      <w:r>
        <w:rPr>
          <w:b/>
          <w:spacing w:val="-6"/>
          <w:sz w:val="24"/>
        </w:rPr>
        <w:t> </w:t>
      </w:r>
      <w:r>
        <w:rPr>
          <w:sz w:val="24"/>
        </w:rPr>
        <w:t>(Cont.1)</w:t>
      </w:r>
    </w:p>
    <w:p>
      <w:pPr>
        <w:pStyle w:val="BodyText"/>
        <w:ind w:left="686"/>
      </w:pPr>
      <w:r>
        <w:rPr/>
        <w:t>(</w:t>
      </w:r>
      <w:r>
        <w:rPr>
          <w:strike/>
          <w:color w:val="2E97D3"/>
        </w:rPr>
        <w:t>New 5/1998</w:t>
      </w:r>
      <w:r>
        <w:rPr>
          <w:strike w:val="0"/>
          <w:color w:val="2E97D3"/>
          <w:u w:val="single" w:color="2E97D3"/>
        </w:rPr>
        <w:t>Revised 09/2017</w:t>
      </w:r>
      <w:r>
        <w:rPr>
          <w:strike w:val="0"/>
        </w:rPr>
        <w:t>)</w:t>
      </w:r>
    </w:p>
    <w:p>
      <w:pPr>
        <w:pStyle w:val="BodyText"/>
        <w:spacing w:before="119"/>
        <w:ind w:left="686" w:right="101"/>
      </w:pPr>
      <w:r>
        <w:rPr/>
        <w:pict>
          <v:line style="position:absolute;mso-position-horizontal-relative:page;mso-position-vertical-relative:paragraph;z-index:36544" from="29.4pt,19.965857pt" to="29.4pt,61.365857pt" stroked="true" strokeweight=".72pt" strokecolor="#000000">
            <v:stroke dashstyle="solid"/>
            <w10:wrap type="none"/>
          </v:line>
        </w:pict>
      </w:r>
      <w:r>
        <w:rPr>
          <w:b/>
        </w:rPr>
        <w:t>Project completion</w:t>
      </w:r>
      <w:r>
        <w:rPr/>
        <w:t>: When the lease-revenue project is complete and no additional funds are necessary to complete approved work, the </w:t>
      </w:r>
      <w:r>
        <w:rPr>
          <w:strike/>
          <w:color w:val="2E97D3"/>
        </w:rPr>
        <w:t>client </w:t>
      </w:r>
      <w:r>
        <w:rPr>
          <w:strike w:val="0"/>
        </w:rPr>
        <w:t>department files a Notice of Completion with STO and </w:t>
      </w:r>
      <w:r>
        <w:rPr>
          <w:strike/>
          <w:color w:val="2E97D3"/>
        </w:rPr>
        <w:t>DOF</w:t>
      </w:r>
      <w:r>
        <w:rPr>
          <w:strike w:val="0"/>
          <w:color w:val="2E97D3"/>
          <w:u w:val="single" w:color="2E97D3"/>
        </w:rPr>
        <w:t>Finance</w:t>
      </w:r>
      <w:r>
        <w:rPr>
          <w:strike w:val="0"/>
        </w:rPr>
        <w:t>. Any excess funds after completion of the project are budgeted by </w:t>
      </w:r>
      <w:r>
        <w:rPr>
          <w:strike/>
          <w:color w:val="2E97D3"/>
        </w:rPr>
        <w:t>DOF</w:t>
      </w:r>
      <w:r>
        <w:rPr>
          <w:strike w:val="0"/>
          <w:color w:val="2E97D3"/>
          <w:u w:val="single" w:color="2E97D3"/>
        </w:rPr>
        <w:t>Finance </w:t>
      </w:r>
      <w:r>
        <w:rPr>
          <w:strike w:val="0"/>
        </w:rPr>
        <w:t>and used by the trustee to pay debt service. </w:t>
      </w:r>
      <w:r>
        <w:rPr>
          <w:strike/>
          <w:color w:val="2E97D3"/>
        </w:rPr>
        <w:t>DOF</w:t>
      </w:r>
      <w:r>
        <w:rPr>
          <w:strike w:val="0"/>
          <w:color w:val="2E97D3"/>
          <w:u w:val="single" w:color="2E97D3"/>
        </w:rPr>
        <w:t>Finance </w:t>
      </w:r>
      <w:r>
        <w:rPr>
          <w:strike w:val="0"/>
        </w:rPr>
        <w:t>specifically discourages leaving the project status open to use surplus funds available for tasks not part of the approved project scope.</w:t>
      </w:r>
    </w:p>
    <w:p>
      <w:pPr>
        <w:pStyle w:val="BodyText"/>
        <w:spacing w:before="119"/>
        <w:ind w:left="686" w:right="101"/>
      </w:pPr>
      <w:r>
        <w:rPr/>
        <w:pict>
          <v:line style="position:absolute;mso-position-horizontal-relative:page;mso-position-vertical-relative:paragraph;z-index:36568" from="29.4pt,19.96587pt" to="29.4pt,33.76587pt" stroked="true" strokeweight=".72pt" strokecolor="#000000">
            <v:stroke dashstyle="solid"/>
            <w10:wrap type="none"/>
          </v:line>
        </w:pict>
      </w:r>
      <w:r>
        <w:rPr/>
        <w:t>If a department believes moneys are available to pay debt service from excess project funds or surplus revenue, it must submit a request to use such funds to </w:t>
      </w:r>
      <w:r>
        <w:rPr>
          <w:strike/>
          <w:color w:val="2E97D3"/>
        </w:rPr>
        <w:t>DOF</w:t>
      </w:r>
      <w:r>
        <w:rPr>
          <w:strike w:val="0"/>
          <w:color w:val="2E97D3"/>
          <w:u w:val="single" w:color="2E97D3"/>
        </w:rPr>
        <w:t>Finance </w:t>
      </w:r>
      <w:r>
        <w:rPr>
          <w:strike w:val="0"/>
        </w:rPr>
        <w:t>and STO. After approval, funds are then moved from the construction and/or surplus funds to the revenue fund to pay debt service.</w:t>
      </w:r>
    </w:p>
    <w:p>
      <w:pPr>
        <w:pStyle w:val="BodyText"/>
        <w:spacing w:before="193"/>
        <w:ind w:left="686" w:right="167"/>
      </w:pPr>
      <w:r>
        <w:rPr/>
        <w:pict>
          <v:line style="position:absolute;mso-position-horizontal-relative:page;mso-position-vertical-relative:paragraph;z-index:-436168" from="159.839996pt,87.205864pt" to="163.079996pt,87.205864pt" stroked="true" strokeweight=".6pt" strokecolor="#2e97d3">
            <v:stroke dashstyle="solid"/>
            <w10:wrap type="none"/>
          </v:line>
        </w:pict>
      </w:r>
      <w:r>
        <w:rPr/>
        <w:pict>
          <v:line style="position:absolute;mso-position-horizontal-relative:page;mso-position-vertical-relative:paragraph;z-index:36592" from="29.4pt,51.384861pt" to="29.4pt,65.185861pt" stroked="true" strokeweight=".72pt" strokecolor="#000000">
            <v:stroke dashstyle="solid"/>
            <w10:wrap type="none"/>
          </v:line>
        </w:pict>
      </w:r>
      <w:r>
        <w:rPr/>
        <w:pict>
          <v:line style="position:absolute;mso-position-horizontal-relative:page;mso-position-vertical-relative:paragraph;z-index:36616" from="29.4pt,78.985863pt" to="29.4pt,130.585863pt" stroked="true" strokeweight=".72pt" strokecolor="#000000">
            <v:stroke dashstyle="solid"/>
            <w10:wrap type="none"/>
          </v:line>
        </w:pict>
      </w:r>
      <w:r>
        <w:rPr>
          <w:b/>
        </w:rPr>
        <w:t>Continuing disclosure</w:t>
      </w:r>
      <w:r>
        <w:rPr/>
        <w:t>: All </w:t>
      </w:r>
      <w:r>
        <w:rPr>
          <w:i/>
        </w:rPr>
        <w:t>obligated persons </w:t>
      </w:r>
      <w:r>
        <w:rPr/>
        <w:t>to a municipal security have a requirement under Securities Exchange Commission (SEC) regulations to make continuing disclosure (i.e., until debt is fully repaid) of certain specified information which is material to investment decisions on the securities. This is a major responsibility for issuers and </w:t>
      </w:r>
      <w:r>
        <w:rPr>
          <w:strike/>
          <w:color w:val="2E97D3"/>
        </w:rPr>
        <w:t>client </w:t>
      </w:r>
      <w:r>
        <w:rPr>
          <w:strike w:val="0"/>
        </w:rPr>
        <w:t>departments, with serious legal ramifications for failure to perform. See Section 6884 for a detailed discussion</w:t>
      </w:r>
      <w:r>
        <w:rPr>
          <w:strike w:val="0"/>
          <w:color w:val="2E97D3"/>
        </w:rPr>
        <w:t>.</w:t>
      </w:r>
    </w:p>
    <w:p>
      <w:pPr>
        <w:spacing w:after="0"/>
        <w:sectPr>
          <w:pgSz w:w="12240" w:h="15840"/>
          <w:pgMar w:header="726" w:footer="792" w:top="980" w:bottom="980" w:left="480" w:right="1340"/>
        </w:sectPr>
      </w:pPr>
    </w:p>
    <w:p>
      <w:pPr>
        <w:pStyle w:val="BodyText"/>
        <w:rPr>
          <w:sz w:val="20"/>
        </w:rPr>
      </w:pPr>
    </w:p>
    <w:p>
      <w:pPr>
        <w:tabs>
          <w:tab w:pos="9727" w:val="left" w:leader="none"/>
        </w:tabs>
        <w:spacing w:before="211"/>
        <w:ind w:left="686" w:right="0" w:firstLine="0"/>
        <w:jc w:val="left"/>
        <w:rPr>
          <w:b/>
          <w:sz w:val="24"/>
        </w:rPr>
      </w:pPr>
      <w:r>
        <w:rPr/>
        <w:pict>
          <v:line style="position:absolute;mso-position-horizontal-relative:page;mso-position-vertical-relative:paragraph;z-index:36640" from="29.4pt,24.565882pt" to="29.4pt,44.365882pt" stroked="true" strokeweight=".72pt" strokecolor="#000000">
            <v:stroke dashstyle="solid"/>
            <w10:wrap type="none"/>
          </v:line>
        </w:pict>
      </w:r>
      <w:bookmarkStart w:name="CONTINUING DISCLOSURE              6884" w:id="140"/>
      <w:bookmarkEnd w:id="140"/>
      <w:r>
        <w:rPr/>
      </w:r>
      <w:r>
        <w:rPr>
          <w:b/>
          <w:sz w:val="24"/>
        </w:rPr>
        <w:t>CONTINUING</w:t>
      </w:r>
      <w:r>
        <w:rPr>
          <w:b/>
          <w:spacing w:val="-3"/>
          <w:sz w:val="24"/>
        </w:rPr>
        <w:t> </w:t>
      </w:r>
      <w:r>
        <w:rPr>
          <w:b/>
          <w:sz w:val="24"/>
        </w:rPr>
        <w:t>DISCLOSURE</w:t>
        <w:tab/>
        <w:t>6884</w:t>
      </w:r>
    </w:p>
    <w:p>
      <w:pPr>
        <w:pStyle w:val="BodyText"/>
        <w:ind w:left="686"/>
      </w:pPr>
      <w:r>
        <w:rPr/>
        <w:t>(</w:t>
      </w:r>
      <w:r>
        <w:rPr>
          <w:strike/>
          <w:color w:val="2E97D3"/>
        </w:rPr>
        <w:t>New 5/1998</w:t>
      </w:r>
      <w:r>
        <w:rPr>
          <w:strike w:val="0"/>
          <w:color w:val="2E97D3"/>
          <w:u w:val="single" w:color="2E97D3"/>
        </w:rPr>
        <w:t>Revised 09/2017</w:t>
      </w:r>
      <w:r>
        <w:rPr>
          <w:strike w:val="0"/>
        </w:rPr>
        <w:t>)</w:t>
      </w:r>
    </w:p>
    <w:p>
      <w:pPr>
        <w:pStyle w:val="BodyText"/>
        <w:spacing w:before="120"/>
        <w:ind w:left="686" w:right="126"/>
      </w:pPr>
      <w:r>
        <w:rPr/>
        <w:t>The Securities and Exchange Commission requires issuers and other parties to an issuance who meet the definition of </w:t>
      </w:r>
      <w:r>
        <w:rPr>
          <w:i/>
        </w:rPr>
        <w:t>obligated persons </w:t>
      </w:r>
      <w:r>
        <w:rPr/>
        <w:t>to make disclosures about their bonds after the date of issuance (Rule 15c2-12).  An </w:t>
      </w:r>
      <w:r>
        <w:rPr>
          <w:i/>
        </w:rPr>
        <w:t>obligated person </w:t>
      </w:r>
      <w:r>
        <w:rPr/>
        <w:t>is “any person who is either generally or through an enterprise, fund, or account of such person committed by contract or other arrangement to support payment of all, or part of the obligations on the municipal securities to be sold.” Therefore, continuing disclosure is required on virtually all lease-revenue bonds, financing lease issues, and even on operating lease transactions, unless the transaction meets narrow exceptions to continuing disclosure set forth in SEC rules (e.g., certain private placements of securities with a limited number of sophisticated investors, certain short-term issues, and variable rate issues with tender options).</w:t>
      </w:r>
    </w:p>
    <w:p>
      <w:pPr>
        <w:pStyle w:val="BodyText"/>
        <w:spacing w:before="119"/>
        <w:ind w:left="686" w:right="122"/>
      </w:pPr>
      <w:r>
        <w:rPr/>
        <w:t>Disclosure is made through annual reports and notices of certain events. Material misstatements or omissions in the annual reports or events notices may be the basis for claims of securities fraud under federal or state securities laws, actionable by the Securities and Exchange Commission or private plaintiffs, with substantial potential liability for issuers or other obligated persons.</w:t>
      </w:r>
    </w:p>
    <w:p>
      <w:pPr>
        <w:pStyle w:val="BodyText"/>
        <w:spacing w:before="119"/>
        <w:ind w:left="686" w:right="161"/>
      </w:pPr>
      <w:r>
        <w:rPr/>
        <w:pict>
          <v:line style="position:absolute;mso-position-horizontal-relative:page;mso-position-vertical-relative:paragraph;z-index:36664" from="29.4pt,6.165845pt" to="29.4pt,19.965845pt" stroked="true" strokeweight=".72pt" strokecolor="#000000">
            <v:stroke dashstyle="solid"/>
            <w10:wrap type="none"/>
          </v:line>
        </w:pict>
      </w:r>
      <w:r>
        <w:rPr/>
        <w:pict>
          <v:line style="position:absolute;mso-position-horizontal-relative:page;mso-position-vertical-relative:paragraph;z-index:36688" from="29.4pt,61.365845pt" to="29.4pt,75.165845pt" stroked="true" strokeweight=".72pt" strokecolor="#000000">
            <v:stroke dashstyle="solid"/>
            <w10:wrap type="none"/>
          </v:line>
        </w:pict>
      </w:r>
      <w:r>
        <w:rPr/>
        <w:t>When STO </w:t>
      </w:r>
      <w:r>
        <w:rPr>
          <w:strike/>
          <w:color w:val="2E97D3"/>
        </w:rPr>
        <w:t>act</w:t>
      </w:r>
      <w:r>
        <w:rPr>
          <w:strike w:val="0"/>
          <w:color w:val="2E97D3"/>
          <w:u w:val="single" w:color="2E97D3"/>
        </w:rPr>
        <w:t>acts </w:t>
      </w:r>
      <w:r>
        <w:rPr>
          <w:strike w:val="0"/>
        </w:rPr>
        <w:t>as the agent for sale, it will apprise </w:t>
      </w:r>
      <w:r>
        <w:rPr>
          <w:strike/>
          <w:color w:val="2E97D3"/>
        </w:rPr>
        <w:t>client </w:t>
      </w:r>
      <w:r>
        <w:rPr>
          <w:strike w:val="0"/>
        </w:rPr>
        <w:t>departments of their disclosure responsibilities.  These will relate primarily to any actions which might modify the rights of security holders or release, substitution or sale of property securing repayment of the securities, and maintenance of required insurance.  In transactions where STO is not the agent for sale, </w:t>
      </w:r>
      <w:r>
        <w:rPr>
          <w:strike/>
          <w:color w:val="2E97D3"/>
        </w:rPr>
        <w:t>client </w:t>
      </w:r>
      <w:r>
        <w:rPr>
          <w:strike w:val="0"/>
        </w:rPr>
        <w:t>departments are advised to obtain independent legal review of potential disclosure responsibilities.</w:t>
      </w:r>
    </w:p>
    <w:p>
      <w:pPr>
        <w:pStyle w:val="BodyText"/>
        <w:spacing w:before="119"/>
        <w:ind w:left="686" w:right="95"/>
      </w:pPr>
      <w:r>
        <w:rPr/>
        <w:pict>
          <v:line style="position:absolute;mso-position-horizontal-relative:page;mso-position-vertical-relative:paragraph;z-index:36712" from="29.4pt,61.365856pt" to="29.4pt,75.165856pt" stroked="true" strokeweight=".72pt" strokecolor="#000000">
            <v:stroke dashstyle="solid"/>
            <w10:wrap type="none"/>
          </v:line>
        </w:pict>
      </w:r>
      <w:r>
        <w:rPr/>
        <w:pict>
          <v:line style="position:absolute;mso-position-horizontal-relative:page;mso-position-vertical-relative:paragraph;z-index:36736" from="29.4pt,88.965858pt" to="29.4pt,114.765858pt" stroked="true" strokeweight=".72pt" strokecolor="#000000">
            <v:stroke dashstyle="solid"/>
            <w10:wrap type="none"/>
          </v:line>
        </w:pict>
      </w:r>
      <w:r>
        <w:rPr/>
        <w:t>In lease-revenue bond issues and other issues where rentals are payable from specific state special funds (e.g., the State Highway Account), the continuing disclosure agreement may require that particular information concerning the special fund be updated and provided in an annual report to investors. This information should be described in detail in the continuing disclosure agreement and carefully reviewed by the </w:t>
      </w:r>
      <w:r>
        <w:rPr>
          <w:strike/>
          <w:color w:val="2E97D3"/>
        </w:rPr>
        <w:t>client </w:t>
      </w:r>
      <w:r>
        <w:rPr>
          <w:strike w:val="0"/>
        </w:rPr>
        <w:t>department to be sure that it can be made available each year and that appropriate procedures have been established within the </w:t>
      </w:r>
      <w:r>
        <w:rPr>
          <w:strike/>
          <w:color w:val="2E97D3"/>
        </w:rPr>
        <w:t>client </w:t>
      </w:r>
      <w:r>
        <w:rPr>
          <w:strike w:val="0"/>
        </w:rPr>
        <w:t>department to assure compliance in future years.</w:t>
      </w:r>
    </w:p>
    <w:p>
      <w:pPr>
        <w:spacing w:after="0"/>
        <w:sectPr>
          <w:footerReference w:type="default" r:id="rId353"/>
          <w:pgSz w:w="12240" w:h="15840"/>
          <w:pgMar w:footer="803" w:header="726" w:top="980" w:bottom="1000" w:left="480" w:right="1340"/>
        </w:sectPr>
      </w:pPr>
    </w:p>
    <w:p>
      <w:pPr>
        <w:pStyle w:val="BodyText"/>
        <w:rPr>
          <w:sz w:val="20"/>
        </w:rPr>
      </w:pPr>
    </w:p>
    <w:p>
      <w:pPr>
        <w:pStyle w:val="Heading2"/>
        <w:tabs>
          <w:tab w:pos="9784" w:val="left" w:leader="none"/>
        </w:tabs>
        <w:spacing w:before="211"/>
        <w:ind w:left="686"/>
      </w:pPr>
      <w:r>
        <w:rPr/>
        <w:pict>
          <v:line style="position:absolute;mso-position-horizontal-relative:page;mso-position-vertical-relative:paragraph;z-index:36760" from="29.4pt,24.564882pt" to="29.4pt,58.165882pt" stroked="true" strokeweight=".72pt" strokecolor="#000000">
            <v:stroke dashstyle="solid"/>
            <w10:wrap type="none"/>
          </v:line>
        </w:pict>
      </w:r>
      <w:r>
        <w:rPr/>
        <w:t>CLIENT</w:t>
      </w:r>
      <w:r>
        <w:rPr>
          <w:spacing w:val="-5"/>
        </w:rPr>
        <w:t> </w:t>
      </w:r>
      <w:r>
        <w:rPr/>
        <w:t>DEPARTMENT’S</w:t>
      </w:r>
      <w:r>
        <w:rPr>
          <w:spacing w:val="-4"/>
        </w:rPr>
        <w:t> </w:t>
      </w:r>
      <w:r>
        <w:rPr/>
        <w:t>RESPONSIBILITIES</w:t>
        <w:tab/>
        <w:t>6886</w:t>
      </w:r>
    </w:p>
    <w:p>
      <w:pPr>
        <w:pStyle w:val="BodyText"/>
        <w:ind w:left="686"/>
      </w:pPr>
      <w:r>
        <w:rPr/>
        <w:t>(</w:t>
      </w:r>
      <w:r>
        <w:rPr>
          <w:strike/>
          <w:color w:val="2E97D3"/>
        </w:rPr>
        <w:t>New 5/1998</w:t>
      </w:r>
      <w:r>
        <w:rPr>
          <w:strike w:val="0"/>
          <w:color w:val="2E97D3"/>
          <w:u w:val="single" w:color="2E97D3"/>
        </w:rPr>
        <w:t>Revised 09/2017</w:t>
      </w:r>
      <w:r>
        <w:rPr>
          <w:strike w:val="0"/>
        </w:rPr>
        <w:t>)</w:t>
      </w:r>
    </w:p>
    <w:p>
      <w:pPr>
        <w:pStyle w:val="BodyText"/>
        <w:spacing w:before="120"/>
        <w:ind w:left="686" w:right="160"/>
      </w:pPr>
      <w:r>
        <w:rPr/>
        <w:t>The 6886 Illustration for this section summarizes key </w:t>
      </w:r>
      <w:r>
        <w:rPr>
          <w:strike/>
          <w:color w:val="2E97D3"/>
        </w:rPr>
        <w:t>client </w:t>
      </w:r>
      <w:r>
        <w:rPr>
          <w:strike w:val="0"/>
        </w:rPr>
        <w:t>department responsibilities when obtaining long-term financing for projects. For a more complete discussion, refer to Section 6871 for general obligation bonds, Section 6872 for lease-revenue bonds, Section 6873 for JPA lease-revenue bonds, Section 6876 for financing leases and operating leases used as security for vendor debt issuances, and Section 6884 on continuing disclosure.</w:t>
      </w:r>
    </w:p>
    <w:p>
      <w:pPr>
        <w:spacing w:after="0"/>
        <w:sectPr>
          <w:pgSz w:w="12240" w:h="15840"/>
          <w:pgMar w:header="726" w:footer="803" w:top="980" w:bottom="1000" w:left="480" w:right="1340"/>
        </w:sectPr>
      </w:pPr>
    </w:p>
    <w:p>
      <w:pPr>
        <w:pStyle w:val="BodyText"/>
        <w:spacing w:before="11"/>
        <w:rPr>
          <w:rFonts w:ascii="Times New Roman"/>
          <w:sz w:val="13"/>
        </w:rPr>
      </w:pPr>
      <w:r>
        <w:rPr/>
        <w:pict>
          <v:line style="position:absolute;mso-position-horizontal-relative:page;mso-position-vertical-relative:page;z-index:-435880" from="327.480011pt,199.620499pt" to="334.199011pt,199.620499pt" stroked="true" strokeweight=".599pt" strokecolor="#2e97d3">
            <v:stroke dashstyle="solid"/>
            <w10:wrap type="none"/>
          </v:line>
        </w:pict>
      </w:r>
      <w:r>
        <w:rPr/>
        <w:pict>
          <v:line style="position:absolute;mso-position-horizontal-relative:page;mso-position-vertical-relative:page;z-index:-435856" from="182.639999pt,241.139999pt" to="192.719999pt,241.139999pt" stroked="true" strokeweight=".6pt" strokecolor="#2e97d3">
            <v:stroke dashstyle="solid"/>
            <w10:wrap type="none"/>
          </v:line>
        </w:pict>
      </w:r>
      <w:r>
        <w:rPr/>
        <w:pict>
          <v:line style="position:absolute;mso-position-horizontal-relative:page;mso-position-vertical-relative:page;z-index:-435832" from="168.119995pt,268.740509pt" to="171.479995pt,268.740509pt" stroked="true" strokeweight=".599pt" strokecolor="#2e97d3">
            <v:stroke dashstyle="solid"/>
            <w10:wrap type="none"/>
          </v:line>
        </w:pict>
      </w:r>
      <w:r>
        <w:rPr/>
        <w:pict>
          <v:line style="position:absolute;mso-position-horizontal-relative:page;mso-position-vertical-relative:page;z-index:36856" from="27.360001pt,76.559998pt" to="27.360001pt,90.359998pt" stroked="true" strokeweight=".72pt" strokecolor="#000000">
            <v:stroke dashstyle="solid"/>
            <w10:wrap type="none"/>
          </v:line>
        </w:pict>
      </w:r>
      <w:r>
        <w:rPr/>
        <w:pict>
          <v:line style="position:absolute;mso-position-horizontal-relative:page;mso-position-vertical-relative:page;z-index:36880" from="27.360001pt,163.919006pt" to="27.360001pt,177.720006pt" stroked="true" strokeweight=".72pt" strokecolor="#000000">
            <v:stroke dashstyle="solid"/>
            <w10:wrap type="none"/>
          </v:line>
        </w:pict>
      </w:r>
      <w:r>
        <w:rPr/>
        <w:pict>
          <v:line style="position:absolute;mso-position-horizontal-relative:page;mso-position-vertical-relative:page;z-index:36904" from="27.360001pt,191.520004pt" to="27.360001pt,205.320004pt" stroked="true" strokeweight=".72pt" strokecolor="#000000">
            <v:stroke dashstyle="solid"/>
            <w10:wrap type="none"/>
          </v:line>
        </w:pict>
      </w:r>
      <w:r>
        <w:rPr/>
        <w:pict>
          <v:line style="position:absolute;mso-position-horizontal-relative:page;mso-position-vertical-relative:page;z-index:36928" from="27.360001pt,232.919998pt" to="27.360001pt,246.719998pt" stroked="true" strokeweight=".72pt" strokecolor="#000000">
            <v:stroke dashstyle="solid"/>
            <w10:wrap type="none"/>
          </v:line>
        </w:pict>
      </w:r>
      <w:r>
        <w:rPr/>
        <w:pict>
          <v:line style="position:absolute;mso-position-horizontal-relative:page;mso-position-vertical-relative:page;z-index:36952" from="27.360001pt,260.519989pt" to="27.360001pt,274.319989pt" stroked="true" strokeweight=".72pt" strokecolor="#000000">
            <v:stroke dashstyle="solid"/>
            <w10:wrap type="none"/>
          </v:line>
        </w:pict>
      </w:r>
      <w:r>
        <w:rPr/>
        <w:pict>
          <v:line style="position:absolute;mso-position-horizontal-relative:page;mso-position-vertical-relative:page;z-index:36976" from="27.360001pt,290.279999pt" to="27.360001pt,359.279999pt" stroked="true" strokeweight=".72pt" strokecolor="#000000">
            <v:stroke dashstyle="solid"/>
            <w10:wrap type="none"/>
          </v:line>
        </w:pict>
      </w:r>
      <w:r>
        <w:rPr/>
        <w:pict>
          <v:line style="position:absolute;mso-position-horizontal-relative:page;mso-position-vertical-relative:page;z-index:37000" from="27.360001pt,453.359009pt" to="27.360001pt,467.160009pt" stroked="true" strokeweight=".72pt" strokecolor="#000000">
            <v:stroke dashstyle="solid"/>
            <w10:wrap type="none"/>
          </v:line>
        </w:pict>
      </w:r>
    </w:p>
    <w:tbl>
      <w:tblPr>
        <w:tblW w:w="0" w:type="auto"/>
        <w:jc w:val="left"/>
        <w:tblInd w:w="64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7488"/>
        <w:gridCol w:w="1080"/>
        <w:gridCol w:w="1260"/>
        <w:gridCol w:w="1260"/>
        <w:gridCol w:w="1349"/>
        <w:gridCol w:w="1531"/>
      </w:tblGrid>
      <w:tr>
        <w:trPr>
          <w:trHeight w:val="322" w:hRule="exact"/>
        </w:trPr>
        <w:tc>
          <w:tcPr>
            <w:tcW w:w="7488" w:type="dxa"/>
            <w:shd w:val="clear" w:color="auto" w:fill="DADADA"/>
          </w:tcPr>
          <w:p>
            <w:pPr/>
          </w:p>
        </w:tc>
        <w:tc>
          <w:tcPr>
            <w:tcW w:w="6480" w:type="dxa"/>
            <w:gridSpan w:val="5"/>
            <w:shd w:val="clear" w:color="auto" w:fill="DADADA"/>
          </w:tcPr>
          <w:p>
            <w:pPr>
              <w:pStyle w:val="TableParagraph"/>
              <w:spacing w:line="274" w:lineRule="exact"/>
              <w:ind w:left="2331" w:right="2331"/>
              <w:jc w:val="center"/>
              <w:rPr>
                <w:b/>
                <w:sz w:val="24"/>
              </w:rPr>
            </w:pPr>
            <w:r>
              <w:rPr>
                <w:b/>
                <w:sz w:val="24"/>
              </w:rPr>
              <w:t>Type of Project</w:t>
            </w:r>
          </w:p>
        </w:tc>
      </w:tr>
      <w:tr>
        <w:trPr>
          <w:trHeight w:val="1147" w:hRule="exact"/>
        </w:trPr>
        <w:tc>
          <w:tcPr>
            <w:tcW w:w="7488" w:type="dxa"/>
            <w:shd w:val="clear" w:color="auto" w:fill="DADADA"/>
          </w:tcPr>
          <w:p>
            <w:pPr>
              <w:pStyle w:val="TableParagraph"/>
              <w:ind w:left="86" w:right="430"/>
              <w:rPr>
                <w:b/>
                <w:sz w:val="24"/>
              </w:rPr>
            </w:pPr>
            <w:r>
              <w:rPr>
                <w:b/>
                <w:strike/>
                <w:color w:val="2E97D3"/>
                <w:sz w:val="24"/>
              </w:rPr>
              <w:t>Client </w:t>
            </w:r>
            <w:r>
              <w:rPr>
                <w:b/>
                <w:strike w:val="0"/>
                <w:sz w:val="24"/>
              </w:rPr>
              <w:t>Department Key Responsibilities Related to Financing (DGS may handle certain tasks if managing the project)</w:t>
            </w:r>
          </w:p>
        </w:tc>
        <w:tc>
          <w:tcPr>
            <w:tcW w:w="1080" w:type="dxa"/>
            <w:shd w:val="clear" w:color="auto" w:fill="DADADA"/>
          </w:tcPr>
          <w:p>
            <w:pPr>
              <w:pStyle w:val="TableParagraph"/>
              <w:spacing w:line="272" w:lineRule="exact"/>
              <w:ind w:left="86"/>
              <w:rPr>
                <w:b/>
                <w:sz w:val="24"/>
              </w:rPr>
            </w:pPr>
            <w:r>
              <w:rPr>
                <w:b/>
                <w:sz w:val="24"/>
              </w:rPr>
              <w:t>GO</w:t>
            </w:r>
          </w:p>
          <w:p>
            <w:pPr>
              <w:pStyle w:val="TableParagraph"/>
              <w:ind w:left="86"/>
              <w:rPr>
                <w:b/>
                <w:sz w:val="24"/>
              </w:rPr>
            </w:pPr>
            <w:r>
              <w:rPr>
                <w:b/>
                <w:sz w:val="24"/>
              </w:rPr>
              <w:t>Bonds</w:t>
            </w:r>
          </w:p>
        </w:tc>
        <w:tc>
          <w:tcPr>
            <w:tcW w:w="1260" w:type="dxa"/>
            <w:shd w:val="clear" w:color="auto" w:fill="DADADA"/>
          </w:tcPr>
          <w:p>
            <w:pPr>
              <w:pStyle w:val="TableParagraph"/>
              <w:spacing w:line="272" w:lineRule="exact"/>
              <w:ind w:left="86"/>
              <w:rPr>
                <w:b/>
                <w:sz w:val="24"/>
              </w:rPr>
            </w:pPr>
            <w:r>
              <w:rPr>
                <w:b/>
                <w:sz w:val="24"/>
              </w:rPr>
              <w:t>PWB</w:t>
            </w:r>
          </w:p>
          <w:p>
            <w:pPr>
              <w:pStyle w:val="TableParagraph"/>
              <w:ind w:left="86"/>
              <w:rPr>
                <w:b/>
                <w:sz w:val="24"/>
              </w:rPr>
            </w:pPr>
            <w:r>
              <w:rPr>
                <w:b/>
                <w:sz w:val="24"/>
              </w:rPr>
              <w:t>Lease- Revenue</w:t>
            </w:r>
          </w:p>
        </w:tc>
        <w:tc>
          <w:tcPr>
            <w:tcW w:w="1260" w:type="dxa"/>
            <w:shd w:val="clear" w:color="auto" w:fill="DADADA"/>
          </w:tcPr>
          <w:p>
            <w:pPr>
              <w:pStyle w:val="TableParagraph"/>
              <w:spacing w:line="272" w:lineRule="exact"/>
              <w:ind w:left="86"/>
              <w:rPr>
                <w:b/>
                <w:sz w:val="24"/>
              </w:rPr>
            </w:pPr>
            <w:r>
              <w:rPr>
                <w:b/>
                <w:sz w:val="24"/>
              </w:rPr>
              <w:t>JPA</w:t>
            </w:r>
          </w:p>
          <w:p>
            <w:pPr>
              <w:pStyle w:val="TableParagraph"/>
              <w:ind w:left="86"/>
              <w:rPr>
                <w:b/>
                <w:sz w:val="24"/>
              </w:rPr>
            </w:pPr>
            <w:r>
              <w:rPr>
                <w:b/>
                <w:sz w:val="24"/>
              </w:rPr>
              <w:t>Lease- Revenue</w:t>
            </w:r>
          </w:p>
        </w:tc>
        <w:tc>
          <w:tcPr>
            <w:tcW w:w="1349" w:type="dxa"/>
            <w:shd w:val="clear" w:color="auto" w:fill="DADADA"/>
          </w:tcPr>
          <w:p>
            <w:pPr>
              <w:pStyle w:val="TableParagraph"/>
              <w:ind w:left="86" w:right="66"/>
              <w:rPr>
                <w:b/>
                <w:sz w:val="24"/>
              </w:rPr>
            </w:pPr>
            <w:r>
              <w:rPr>
                <w:b/>
                <w:sz w:val="24"/>
              </w:rPr>
              <w:t>Financing Lease</w:t>
            </w:r>
          </w:p>
        </w:tc>
        <w:tc>
          <w:tcPr>
            <w:tcW w:w="1531" w:type="dxa"/>
            <w:shd w:val="clear" w:color="auto" w:fill="DADADA"/>
          </w:tcPr>
          <w:p>
            <w:pPr>
              <w:pStyle w:val="TableParagraph"/>
              <w:ind w:left="86" w:right="101"/>
              <w:rPr>
                <w:b/>
                <w:sz w:val="24"/>
              </w:rPr>
            </w:pPr>
            <w:r>
              <w:rPr>
                <w:b/>
                <w:sz w:val="24"/>
              </w:rPr>
              <w:t>Securitized Operating Lease/ Contract</w:t>
            </w:r>
          </w:p>
        </w:tc>
      </w:tr>
      <w:tr>
        <w:trPr>
          <w:trHeight w:val="598" w:hRule="exact"/>
        </w:trPr>
        <w:tc>
          <w:tcPr>
            <w:tcW w:w="7488" w:type="dxa"/>
          </w:tcPr>
          <w:p>
            <w:pPr>
              <w:pStyle w:val="TableParagraph"/>
              <w:ind w:left="86" w:right="162"/>
              <w:rPr>
                <w:sz w:val="24"/>
              </w:rPr>
            </w:pPr>
            <w:r>
              <w:rPr>
                <w:sz w:val="24"/>
              </w:rPr>
              <w:t>Explain project requirements; determine which other responsibilities DGS will handle</w:t>
            </w:r>
          </w:p>
        </w:tc>
        <w:tc>
          <w:tcPr>
            <w:tcW w:w="1080" w:type="dxa"/>
          </w:tcPr>
          <w:p>
            <w:pPr>
              <w:pStyle w:val="TableParagraph"/>
              <w:spacing w:line="274" w:lineRule="exact"/>
              <w:ind w:left="86"/>
              <w:rPr>
                <w:sz w:val="24"/>
              </w:rPr>
            </w:pPr>
            <w:r>
              <w:rPr>
                <w:sz w:val="24"/>
              </w:rPr>
              <w:t>Yes</w:t>
            </w:r>
          </w:p>
        </w:tc>
        <w:tc>
          <w:tcPr>
            <w:tcW w:w="1260" w:type="dxa"/>
          </w:tcPr>
          <w:p>
            <w:pPr>
              <w:pStyle w:val="TableParagraph"/>
              <w:spacing w:line="274" w:lineRule="exact"/>
              <w:ind w:left="86"/>
              <w:rPr>
                <w:sz w:val="24"/>
              </w:rPr>
            </w:pPr>
            <w:r>
              <w:rPr>
                <w:sz w:val="24"/>
              </w:rPr>
              <w:t>Yes</w:t>
            </w:r>
          </w:p>
        </w:tc>
        <w:tc>
          <w:tcPr>
            <w:tcW w:w="1260" w:type="dxa"/>
          </w:tcPr>
          <w:p>
            <w:pPr>
              <w:pStyle w:val="TableParagraph"/>
              <w:spacing w:line="274" w:lineRule="exact"/>
              <w:ind w:left="86"/>
              <w:rPr>
                <w:sz w:val="24"/>
              </w:rPr>
            </w:pPr>
            <w:r>
              <w:rPr>
                <w:sz w:val="24"/>
              </w:rPr>
              <w:t>Yes</w:t>
            </w:r>
          </w:p>
        </w:tc>
        <w:tc>
          <w:tcPr>
            <w:tcW w:w="1349" w:type="dxa"/>
          </w:tcPr>
          <w:p>
            <w:pPr>
              <w:pStyle w:val="TableParagraph"/>
              <w:spacing w:line="274" w:lineRule="exact"/>
              <w:ind w:left="86"/>
              <w:rPr>
                <w:sz w:val="24"/>
              </w:rPr>
            </w:pPr>
            <w:r>
              <w:rPr>
                <w:sz w:val="24"/>
              </w:rPr>
              <w:t>Yes</w:t>
            </w:r>
          </w:p>
        </w:tc>
        <w:tc>
          <w:tcPr>
            <w:tcW w:w="1531" w:type="dxa"/>
          </w:tcPr>
          <w:p>
            <w:pPr/>
          </w:p>
        </w:tc>
      </w:tr>
      <w:tr>
        <w:trPr>
          <w:trHeight w:val="2530" w:hRule="exact"/>
        </w:trPr>
        <w:tc>
          <w:tcPr>
            <w:tcW w:w="7488" w:type="dxa"/>
          </w:tcPr>
          <w:p>
            <w:pPr>
              <w:pStyle w:val="TableParagraph"/>
              <w:tabs>
                <w:tab w:pos="2728" w:val="left" w:leader="none"/>
              </w:tabs>
              <w:ind w:left="86" w:right="271"/>
              <w:rPr>
                <w:sz w:val="24"/>
              </w:rPr>
            </w:pPr>
            <w:r>
              <w:rPr>
                <w:sz w:val="24"/>
              </w:rPr>
              <w:t>Notify </w:t>
            </w:r>
            <w:r>
              <w:rPr>
                <w:strike/>
                <w:color w:val="2E97D3"/>
                <w:sz w:val="24"/>
              </w:rPr>
              <w:t>DOF</w:t>
            </w:r>
            <w:r>
              <w:rPr>
                <w:strike w:val="0"/>
                <w:color w:val="2E97D3"/>
                <w:sz w:val="24"/>
                <w:u w:val="single" w:color="2E97D3"/>
              </w:rPr>
              <w:t>Finance </w:t>
            </w:r>
            <w:r>
              <w:rPr>
                <w:strike w:val="0"/>
                <w:sz w:val="24"/>
              </w:rPr>
              <w:t>and STO, at least eight months in advance— preferably one year—of any pending project outside the normal budget process </w:t>
            </w:r>
            <w:r>
              <w:rPr>
                <w:i/>
                <w:strike w:val="0"/>
                <w:sz w:val="24"/>
              </w:rPr>
              <w:t>which may require the services of  STO as agent </w:t>
            </w:r>
            <w:r>
              <w:rPr>
                <w:i/>
                <w:strike w:val="0"/>
                <w:sz w:val="24"/>
              </w:rPr>
              <w:t>for sale or continuing disclosure agent</w:t>
            </w:r>
            <w:r>
              <w:rPr>
                <w:strike w:val="0"/>
                <w:sz w:val="24"/>
              </w:rPr>
              <w:t>. Meet as necessary with STO to clarify agent-for-sale role. Make no commitments to local government</w:t>
            </w:r>
            <w:r>
              <w:rPr>
                <w:strike w:val="0"/>
                <w:spacing w:val="-2"/>
                <w:sz w:val="24"/>
              </w:rPr>
              <w:t> </w:t>
            </w:r>
            <w:r>
              <w:rPr>
                <w:strike w:val="0"/>
                <w:sz w:val="24"/>
              </w:rPr>
              <w:t>entities</w:t>
            </w:r>
            <w:r>
              <w:rPr>
                <w:strike w:val="0"/>
                <w:spacing w:val="-5"/>
                <w:sz w:val="24"/>
              </w:rPr>
              <w:t> </w:t>
            </w:r>
            <w:r>
              <w:rPr>
                <w:strike w:val="0"/>
                <w:sz w:val="24"/>
              </w:rPr>
              <w:t>or</w:t>
              <w:tab/>
              <w:t>private vendors</w:t>
            </w:r>
            <w:r>
              <w:rPr>
                <w:strike w:val="0"/>
                <w:spacing w:val="-12"/>
                <w:sz w:val="24"/>
              </w:rPr>
              <w:t> </w:t>
            </w:r>
            <w:r>
              <w:rPr>
                <w:strike w:val="0"/>
                <w:sz w:val="24"/>
              </w:rPr>
              <w:t>regarding</w:t>
            </w:r>
            <w:r>
              <w:rPr>
                <w:strike w:val="0"/>
                <w:spacing w:val="-8"/>
                <w:sz w:val="24"/>
              </w:rPr>
              <w:t> </w:t>
            </w:r>
            <w:r>
              <w:rPr>
                <w:strike w:val="0"/>
                <w:sz w:val="24"/>
              </w:rPr>
              <w:t>financing</w:t>
            </w:r>
            <w:r>
              <w:rPr>
                <w:strike w:val="0"/>
                <w:w w:val="99"/>
                <w:sz w:val="24"/>
              </w:rPr>
              <w:t> </w:t>
            </w:r>
            <w:r>
              <w:rPr>
                <w:strike w:val="0"/>
                <w:sz w:val="24"/>
              </w:rPr>
              <w:t>structure, timing, teams, or use of state credit until concurrence is received from STO. Meet </w:t>
            </w:r>
            <w:r>
              <w:rPr>
                <w:strike/>
                <w:color w:val="2E97D3"/>
                <w:sz w:val="24"/>
              </w:rPr>
              <w:t>DOF</w:t>
            </w:r>
            <w:r>
              <w:rPr>
                <w:strike w:val="0"/>
                <w:color w:val="2E97D3"/>
                <w:sz w:val="24"/>
                <w:u w:val="single" w:color="2E97D3"/>
              </w:rPr>
              <w:t>Finance </w:t>
            </w:r>
            <w:r>
              <w:rPr>
                <w:strike w:val="0"/>
                <w:sz w:val="24"/>
              </w:rPr>
              <w:t>requirements for economic analysis.</w:t>
            </w:r>
          </w:p>
        </w:tc>
        <w:tc>
          <w:tcPr>
            <w:tcW w:w="1080" w:type="dxa"/>
          </w:tcPr>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spacing w:before="182"/>
              <w:ind w:left="86"/>
              <w:rPr>
                <w:sz w:val="24"/>
              </w:rPr>
            </w:pPr>
            <w:r>
              <w:rPr>
                <w:sz w:val="24"/>
              </w:rPr>
              <w:t>NA</w:t>
            </w:r>
          </w:p>
        </w:tc>
        <w:tc>
          <w:tcPr>
            <w:tcW w:w="1260" w:type="dxa"/>
          </w:tcPr>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spacing w:before="182"/>
              <w:ind w:left="86"/>
              <w:rPr>
                <w:sz w:val="24"/>
              </w:rPr>
            </w:pPr>
            <w:r>
              <w:rPr>
                <w:sz w:val="24"/>
              </w:rPr>
              <w:t>NA</w:t>
            </w:r>
          </w:p>
        </w:tc>
        <w:tc>
          <w:tcPr>
            <w:tcW w:w="1260" w:type="dxa"/>
          </w:tcPr>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spacing w:before="182"/>
              <w:ind w:left="86"/>
              <w:rPr>
                <w:sz w:val="24"/>
              </w:rPr>
            </w:pPr>
            <w:r>
              <w:rPr>
                <w:sz w:val="24"/>
              </w:rPr>
              <w:t>Yes</w:t>
            </w:r>
          </w:p>
        </w:tc>
        <w:tc>
          <w:tcPr>
            <w:tcW w:w="1349" w:type="dxa"/>
          </w:tcPr>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spacing w:before="182"/>
              <w:ind w:left="86"/>
              <w:rPr>
                <w:sz w:val="24"/>
              </w:rPr>
            </w:pPr>
            <w:r>
              <w:rPr>
                <w:sz w:val="24"/>
              </w:rPr>
              <w:t>Yes</w:t>
            </w:r>
          </w:p>
        </w:tc>
        <w:tc>
          <w:tcPr>
            <w:tcW w:w="1531" w:type="dxa"/>
          </w:tcPr>
          <w:p>
            <w:pPr/>
          </w:p>
        </w:tc>
      </w:tr>
      <w:tr>
        <w:trPr>
          <w:trHeight w:val="1423" w:hRule="exact"/>
        </w:trPr>
        <w:tc>
          <w:tcPr>
            <w:tcW w:w="7488" w:type="dxa"/>
          </w:tcPr>
          <w:p>
            <w:pPr>
              <w:pStyle w:val="TableParagraph"/>
              <w:ind w:left="86" w:right="201"/>
              <w:rPr>
                <w:sz w:val="24"/>
              </w:rPr>
            </w:pPr>
            <w:r>
              <w:rPr>
                <w:strike/>
                <w:color w:val="2E97D3"/>
                <w:sz w:val="24"/>
              </w:rPr>
              <w:t>Request placement on STO’s bond sale calendar, as necessary, at least eight months in advance of desired bond sale date for project—preferably one year. </w:t>
            </w:r>
            <w:r>
              <w:rPr>
                <w:strike w:val="0"/>
                <w:color w:val="2E97D3"/>
                <w:sz w:val="24"/>
                <w:u w:val="single" w:color="2E97D3"/>
              </w:rPr>
              <w:t>Provide cash flow, project status, and other relevant project information to Finance and STO when requested to support bond sales.</w:t>
            </w:r>
          </w:p>
        </w:tc>
        <w:tc>
          <w:tcPr>
            <w:tcW w:w="1080" w:type="dxa"/>
          </w:tcPr>
          <w:p>
            <w:pPr>
              <w:pStyle w:val="TableParagraph"/>
              <w:spacing w:before="7"/>
              <w:rPr>
                <w:rFonts w:ascii="Times New Roman"/>
                <w:sz w:val="23"/>
              </w:rPr>
            </w:pPr>
          </w:p>
          <w:p>
            <w:pPr>
              <w:pStyle w:val="TableParagraph"/>
              <w:ind w:left="86"/>
              <w:rPr>
                <w:sz w:val="24"/>
              </w:rPr>
            </w:pPr>
            <w:r>
              <w:rPr>
                <w:sz w:val="24"/>
              </w:rPr>
              <w:t>Yes</w:t>
            </w:r>
          </w:p>
        </w:tc>
        <w:tc>
          <w:tcPr>
            <w:tcW w:w="1260" w:type="dxa"/>
          </w:tcPr>
          <w:p>
            <w:pPr>
              <w:pStyle w:val="TableParagraph"/>
              <w:spacing w:before="7"/>
              <w:rPr>
                <w:rFonts w:ascii="Times New Roman"/>
                <w:sz w:val="23"/>
              </w:rPr>
            </w:pPr>
          </w:p>
          <w:p>
            <w:pPr>
              <w:pStyle w:val="TableParagraph"/>
              <w:ind w:left="86"/>
              <w:rPr>
                <w:sz w:val="24"/>
              </w:rPr>
            </w:pPr>
            <w:r>
              <w:rPr>
                <w:sz w:val="24"/>
              </w:rPr>
              <w:t>Yes</w:t>
            </w:r>
          </w:p>
        </w:tc>
        <w:tc>
          <w:tcPr>
            <w:tcW w:w="1260" w:type="dxa"/>
          </w:tcPr>
          <w:p>
            <w:pPr>
              <w:pStyle w:val="TableParagraph"/>
              <w:spacing w:before="7"/>
              <w:rPr>
                <w:rFonts w:ascii="Times New Roman"/>
                <w:sz w:val="23"/>
              </w:rPr>
            </w:pPr>
          </w:p>
          <w:p>
            <w:pPr>
              <w:pStyle w:val="TableParagraph"/>
              <w:ind w:left="86"/>
              <w:rPr>
                <w:sz w:val="24"/>
              </w:rPr>
            </w:pPr>
            <w:r>
              <w:rPr>
                <w:sz w:val="24"/>
              </w:rPr>
              <w:t>Yes</w:t>
            </w:r>
          </w:p>
        </w:tc>
        <w:tc>
          <w:tcPr>
            <w:tcW w:w="1349" w:type="dxa"/>
          </w:tcPr>
          <w:p>
            <w:pPr>
              <w:pStyle w:val="TableParagraph"/>
              <w:spacing w:before="7"/>
              <w:rPr>
                <w:rFonts w:ascii="Times New Roman"/>
                <w:sz w:val="23"/>
              </w:rPr>
            </w:pPr>
          </w:p>
          <w:p>
            <w:pPr>
              <w:pStyle w:val="TableParagraph"/>
              <w:ind w:left="86"/>
              <w:rPr>
                <w:sz w:val="24"/>
              </w:rPr>
            </w:pPr>
            <w:r>
              <w:rPr>
                <w:sz w:val="24"/>
              </w:rPr>
              <w:t>Yes</w:t>
            </w:r>
          </w:p>
        </w:tc>
        <w:tc>
          <w:tcPr>
            <w:tcW w:w="1531" w:type="dxa"/>
          </w:tcPr>
          <w:p>
            <w:pPr>
              <w:pStyle w:val="TableParagraph"/>
              <w:spacing w:before="7"/>
              <w:rPr>
                <w:rFonts w:ascii="Times New Roman"/>
                <w:sz w:val="23"/>
              </w:rPr>
            </w:pPr>
          </w:p>
          <w:p>
            <w:pPr>
              <w:pStyle w:val="TableParagraph"/>
              <w:ind w:left="86" w:right="474"/>
              <w:rPr>
                <w:sz w:val="24"/>
              </w:rPr>
            </w:pPr>
            <w:r>
              <w:rPr>
                <w:sz w:val="24"/>
              </w:rPr>
              <w:t>See Sec 6876</w:t>
            </w:r>
          </w:p>
        </w:tc>
      </w:tr>
      <w:tr>
        <w:trPr>
          <w:trHeight w:val="322" w:hRule="exact"/>
        </w:trPr>
        <w:tc>
          <w:tcPr>
            <w:tcW w:w="7488" w:type="dxa"/>
          </w:tcPr>
          <w:p>
            <w:pPr>
              <w:pStyle w:val="TableParagraph"/>
              <w:spacing w:line="274" w:lineRule="exact"/>
              <w:ind w:left="86"/>
              <w:rPr>
                <w:sz w:val="24"/>
              </w:rPr>
            </w:pPr>
            <w:r>
              <w:rPr>
                <w:sz w:val="24"/>
              </w:rPr>
              <w:t>Projections of cash flow needs for design and construction</w:t>
            </w:r>
          </w:p>
        </w:tc>
        <w:tc>
          <w:tcPr>
            <w:tcW w:w="1080" w:type="dxa"/>
          </w:tcPr>
          <w:p>
            <w:pPr/>
          </w:p>
        </w:tc>
        <w:tc>
          <w:tcPr>
            <w:tcW w:w="1260" w:type="dxa"/>
          </w:tcPr>
          <w:p>
            <w:pPr/>
          </w:p>
        </w:tc>
        <w:tc>
          <w:tcPr>
            <w:tcW w:w="1260" w:type="dxa"/>
          </w:tcPr>
          <w:p>
            <w:pPr/>
          </w:p>
        </w:tc>
        <w:tc>
          <w:tcPr>
            <w:tcW w:w="1349" w:type="dxa"/>
          </w:tcPr>
          <w:p>
            <w:pPr/>
          </w:p>
        </w:tc>
        <w:tc>
          <w:tcPr>
            <w:tcW w:w="1531" w:type="dxa"/>
          </w:tcPr>
          <w:p>
            <w:pPr/>
          </w:p>
        </w:tc>
      </w:tr>
      <w:tr>
        <w:trPr>
          <w:trHeight w:val="322" w:hRule="exact"/>
        </w:trPr>
        <w:tc>
          <w:tcPr>
            <w:tcW w:w="7488" w:type="dxa"/>
          </w:tcPr>
          <w:p>
            <w:pPr>
              <w:pStyle w:val="TableParagraph"/>
              <w:spacing w:line="274" w:lineRule="exact"/>
              <w:ind w:left="446"/>
              <w:rPr>
                <w:sz w:val="24"/>
              </w:rPr>
            </w:pPr>
            <w:r>
              <w:rPr>
                <w:sz w:val="24"/>
              </w:rPr>
              <w:t>Make projection</w:t>
            </w:r>
          </w:p>
        </w:tc>
        <w:tc>
          <w:tcPr>
            <w:tcW w:w="1080" w:type="dxa"/>
          </w:tcPr>
          <w:p>
            <w:pPr>
              <w:pStyle w:val="TableParagraph"/>
              <w:spacing w:line="274" w:lineRule="exact"/>
              <w:ind w:left="86"/>
              <w:rPr>
                <w:sz w:val="24"/>
              </w:rPr>
            </w:pPr>
            <w:r>
              <w:rPr>
                <w:sz w:val="24"/>
              </w:rPr>
              <w:t>Yes</w:t>
            </w:r>
          </w:p>
        </w:tc>
        <w:tc>
          <w:tcPr>
            <w:tcW w:w="1260" w:type="dxa"/>
          </w:tcPr>
          <w:p>
            <w:pPr>
              <w:pStyle w:val="TableParagraph"/>
              <w:spacing w:line="274" w:lineRule="exact"/>
              <w:ind w:left="86"/>
              <w:rPr>
                <w:sz w:val="24"/>
              </w:rPr>
            </w:pPr>
            <w:r>
              <w:rPr>
                <w:sz w:val="24"/>
              </w:rPr>
              <w:t>Yes</w:t>
            </w:r>
          </w:p>
        </w:tc>
        <w:tc>
          <w:tcPr>
            <w:tcW w:w="1260" w:type="dxa"/>
          </w:tcPr>
          <w:p>
            <w:pPr>
              <w:pStyle w:val="TableParagraph"/>
              <w:spacing w:line="274" w:lineRule="exact"/>
              <w:ind w:left="86"/>
              <w:rPr>
                <w:sz w:val="24"/>
              </w:rPr>
            </w:pPr>
            <w:r>
              <w:rPr>
                <w:sz w:val="24"/>
              </w:rPr>
              <w:t>Yes</w:t>
            </w:r>
          </w:p>
        </w:tc>
        <w:tc>
          <w:tcPr>
            <w:tcW w:w="1349" w:type="dxa"/>
          </w:tcPr>
          <w:p>
            <w:pPr>
              <w:pStyle w:val="TableParagraph"/>
              <w:spacing w:line="274" w:lineRule="exact"/>
              <w:ind w:left="86"/>
              <w:rPr>
                <w:sz w:val="24"/>
              </w:rPr>
            </w:pPr>
            <w:r>
              <w:rPr>
                <w:sz w:val="24"/>
              </w:rPr>
              <w:t>No</w:t>
            </w:r>
          </w:p>
        </w:tc>
        <w:tc>
          <w:tcPr>
            <w:tcW w:w="1531" w:type="dxa"/>
          </w:tcPr>
          <w:p>
            <w:pPr>
              <w:pStyle w:val="TableParagraph"/>
              <w:spacing w:line="274" w:lineRule="exact"/>
              <w:ind w:left="86"/>
              <w:rPr>
                <w:sz w:val="24"/>
              </w:rPr>
            </w:pPr>
            <w:r>
              <w:rPr>
                <w:sz w:val="24"/>
              </w:rPr>
              <w:t>No</w:t>
            </w:r>
          </w:p>
        </w:tc>
      </w:tr>
      <w:tr>
        <w:trPr>
          <w:trHeight w:val="598" w:hRule="exact"/>
        </w:trPr>
        <w:tc>
          <w:tcPr>
            <w:tcW w:w="7488" w:type="dxa"/>
          </w:tcPr>
          <w:p>
            <w:pPr>
              <w:pStyle w:val="TableParagraph"/>
              <w:spacing w:line="274" w:lineRule="exact"/>
              <w:ind w:left="446"/>
              <w:rPr>
                <w:sz w:val="24"/>
              </w:rPr>
            </w:pPr>
            <w:r>
              <w:rPr>
                <w:sz w:val="24"/>
              </w:rPr>
              <w:t>Review vendor projections</w:t>
            </w:r>
          </w:p>
        </w:tc>
        <w:tc>
          <w:tcPr>
            <w:tcW w:w="1080" w:type="dxa"/>
          </w:tcPr>
          <w:p>
            <w:pPr>
              <w:pStyle w:val="TableParagraph"/>
              <w:spacing w:line="274" w:lineRule="exact"/>
              <w:ind w:left="86"/>
              <w:rPr>
                <w:sz w:val="24"/>
              </w:rPr>
            </w:pPr>
            <w:r>
              <w:rPr>
                <w:sz w:val="24"/>
              </w:rPr>
              <w:t>NA</w:t>
            </w:r>
          </w:p>
        </w:tc>
        <w:tc>
          <w:tcPr>
            <w:tcW w:w="1260" w:type="dxa"/>
          </w:tcPr>
          <w:p>
            <w:pPr>
              <w:pStyle w:val="TableParagraph"/>
              <w:spacing w:line="274" w:lineRule="exact"/>
              <w:ind w:left="86"/>
              <w:rPr>
                <w:sz w:val="24"/>
              </w:rPr>
            </w:pPr>
            <w:r>
              <w:rPr>
                <w:sz w:val="24"/>
              </w:rPr>
              <w:t>NA</w:t>
            </w:r>
          </w:p>
        </w:tc>
        <w:tc>
          <w:tcPr>
            <w:tcW w:w="1260" w:type="dxa"/>
          </w:tcPr>
          <w:p>
            <w:pPr>
              <w:pStyle w:val="TableParagraph"/>
              <w:spacing w:line="274" w:lineRule="exact"/>
              <w:ind w:left="86"/>
              <w:rPr>
                <w:sz w:val="24"/>
              </w:rPr>
            </w:pPr>
            <w:r>
              <w:rPr>
                <w:sz w:val="24"/>
              </w:rPr>
              <w:t>NA</w:t>
            </w:r>
          </w:p>
        </w:tc>
        <w:tc>
          <w:tcPr>
            <w:tcW w:w="1349" w:type="dxa"/>
          </w:tcPr>
          <w:p>
            <w:pPr>
              <w:pStyle w:val="TableParagraph"/>
              <w:spacing w:line="274" w:lineRule="exact"/>
              <w:ind w:left="86"/>
              <w:rPr>
                <w:sz w:val="24"/>
              </w:rPr>
            </w:pPr>
            <w:r>
              <w:rPr>
                <w:sz w:val="24"/>
              </w:rPr>
              <w:t>Yes</w:t>
            </w:r>
          </w:p>
        </w:tc>
        <w:tc>
          <w:tcPr>
            <w:tcW w:w="1531" w:type="dxa"/>
          </w:tcPr>
          <w:p>
            <w:pPr>
              <w:pStyle w:val="TableParagraph"/>
              <w:ind w:left="86" w:right="474"/>
              <w:rPr>
                <w:sz w:val="24"/>
              </w:rPr>
            </w:pPr>
            <w:r>
              <w:rPr>
                <w:sz w:val="24"/>
              </w:rPr>
              <w:t>See Sec 6876</w:t>
            </w:r>
          </w:p>
        </w:tc>
      </w:tr>
      <w:tr>
        <w:trPr>
          <w:trHeight w:val="595" w:hRule="exact"/>
        </w:trPr>
        <w:tc>
          <w:tcPr>
            <w:tcW w:w="7488" w:type="dxa"/>
          </w:tcPr>
          <w:p>
            <w:pPr>
              <w:pStyle w:val="TableParagraph"/>
              <w:ind w:left="86" w:right="909"/>
              <w:rPr>
                <w:sz w:val="24"/>
              </w:rPr>
            </w:pPr>
            <w:r>
              <w:rPr>
                <w:sz w:val="24"/>
              </w:rPr>
              <w:t>Submit all required information to issuer on a timely basis for authorizing resolutions for bond sales and interim financing.</w:t>
            </w:r>
          </w:p>
        </w:tc>
        <w:tc>
          <w:tcPr>
            <w:tcW w:w="1080" w:type="dxa"/>
          </w:tcPr>
          <w:p>
            <w:pPr>
              <w:pStyle w:val="TableParagraph"/>
              <w:spacing w:before="7"/>
              <w:rPr>
                <w:rFonts w:ascii="Times New Roman"/>
                <w:sz w:val="23"/>
              </w:rPr>
            </w:pPr>
          </w:p>
          <w:p>
            <w:pPr>
              <w:pStyle w:val="TableParagraph"/>
              <w:ind w:left="86"/>
              <w:rPr>
                <w:sz w:val="24"/>
              </w:rPr>
            </w:pPr>
            <w:r>
              <w:rPr>
                <w:sz w:val="24"/>
              </w:rPr>
              <w:t>Yes</w:t>
            </w:r>
          </w:p>
        </w:tc>
        <w:tc>
          <w:tcPr>
            <w:tcW w:w="1260" w:type="dxa"/>
          </w:tcPr>
          <w:p>
            <w:pPr>
              <w:pStyle w:val="TableParagraph"/>
              <w:spacing w:before="7"/>
              <w:rPr>
                <w:rFonts w:ascii="Times New Roman"/>
                <w:sz w:val="23"/>
              </w:rPr>
            </w:pPr>
          </w:p>
          <w:p>
            <w:pPr>
              <w:pStyle w:val="TableParagraph"/>
              <w:ind w:left="86"/>
              <w:rPr>
                <w:sz w:val="24"/>
              </w:rPr>
            </w:pPr>
            <w:r>
              <w:rPr>
                <w:sz w:val="24"/>
              </w:rPr>
              <w:t>Yes</w:t>
            </w:r>
          </w:p>
        </w:tc>
        <w:tc>
          <w:tcPr>
            <w:tcW w:w="1260" w:type="dxa"/>
          </w:tcPr>
          <w:p>
            <w:pPr>
              <w:pStyle w:val="TableParagraph"/>
              <w:spacing w:before="7"/>
              <w:rPr>
                <w:rFonts w:ascii="Times New Roman"/>
                <w:sz w:val="23"/>
              </w:rPr>
            </w:pPr>
          </w:p>
          <w:p>
            <w:pPr>
              <w:pStyle w:val="TableParagraph"/>
              <w:ind w:left="86"/>
              <w:rPr>
                <w:sz w:val="24"/>
              </w:rPr>
            </w:pPr>
            <w:r>
              <w:rPr>
                <w:sz w:val="24"/>
              </w:rPr>
              <w:t>Yes</w:t>
            </w:r>
          </w:p>
        </w:tc>
        <w:tc>
          <w:tcPr>
            <w:tcW w:w="1349" w:type="dxa"/>
          </w:tcPr>
          <w:p>
            <w:pPr>
              <w:pStyle w:val="TableParagraph"/>
              <w:ind w:left="86" w:right="292"/>
              <w:rPr>
                <w:sz w:val="24"/>
              </w:rPr>
            </w:pPr>
            <w:r>
              <w:rPr>
                <w:sz w:val="24"/>
              </w:rPr>
              <w:t>See Sec 6876</w:t>
            </w:r>
          </w:p>
        </w:tc>
        <w:tc>
          <w:tcPr>
            <w:tcW w:w="1531" w:type="dxa"/>
          </w:tcPr>
          <w:p>
            <w:pPr>
              <w:pStyle w:val="TableParagraph"/>
              <w:spacing w:before="7"/>
              <w:rPr>
                <w:rFonts w:ascii="Times New Roman"/>
                <w:sz w:val="23"/>
              </w:rPr>
            </w:pPr>
          </w:p>
          <w:p>
            <w:pPr>
              <w:pStyle w:val="TableParagraph"/>
              <w:ind w:left="86"/>
              <w:rPr>
                <w:sz w:val="24"/>
              </w:rPr>
            </w:pPr>
            <w:r>
              <w:rPr>
                <w:sz w:val="24"/>
              </w:rPr>
              <w:t>No</w:t>
            </w:r>
          </w:p>
        </w:tc>
      </w:tr>
      <w:tr>
        <w:trPr>
          <w:trHeight w:val="598" w:hRule="exact"/>
        </w:trPr>
        <w:tc>
          <w:tcPr>
            <w:tcW w:w="7488" w:type="dxa"/>
          </w:tcPr>
          <w:p>
            <w:pPr>
              <w:pStyle w:val="TableParagraph"/>
              <w:ind w:left="86" w:right="109"/>
              <w:rPr>
                <w:sz w:val="24"/>
              </w:rPr>
            </w:pPr>
            <w:r>
              <w:rPr>
                <w:sz w:val="24"/>
              </w:rPr>
              <w:t>Submit requests for interim financing </w:t>
            </w:r>
            <w:r>
              <w:rPr>
                <w:color w:val="2E97D3"/>
                <w:sz w:val="24"/>
                <w:u w:val="single" w:color="2E97D3"/>
              </w:rPr>
              <w:t>(commercial paper) </w:t>
            </w:r>
            <w:r>
              <w:rPr>
                <w:sz w:val="24"/>
              </w:rPr>
              <w:t>to PMIB or other provider of interim financing</w:t>
            </w:r>
          </w:p>
        </w:tc>
        <w:tc>
          <w:tcPr>
            <w:tcW w:w="1080" w:type="dxa"/>
          </w:tcPr>
          <w:p>
            <w:pPr>
              <w:pStyle w:val="TableParagraph"/>
              <w:spacing w:line="274" w:lineRule="exact"/>
              <w:ind w:left="86"/>
              <w:rPr>
                <w:sz w:val="24"/>
              </w:rPr>
            </w:pPr>
            <w:r>
              <w:rPr>
                <w:sz w:val="24"/>
              </w:rPr>
              <w:t>Yes</w:t>
            </w:r>
          </w:p>
        </w:tc>
        <w:tc>
          <w:tcPr>
            <w:tcW w:w="1260" w:type="dxa"/>
          </w:tcPr>
          <w:p>
            <w:pPr>
              <w:pStyle w:val="TableParagraph"/>
              <w:spacing w:line="274" w:lineRule="exact"/>
              <w:ind w:left="86"/>
              <w:rPr>
                <w:sz w:val="24"/>
              </w:rPr>
            </w:pPr>
            <w:r>
              <w:rPr>
                <w:sz w:val="24"/>
              </w:rPr>
              <w:t>Yes</w:t>
            </w:r>
          </w:p>
        </w:tc>
        <w:tc>
          <w:tcPr>
            <w:tcW w:w="1260" w:type="dxa"/>
          </w:tcPr>
          <w:p>
            <w:pPr>
              <w:pStyle w:val="TableParagraph"/>
              <w:spacing w:line="274" w:lineRule="exact"/>
              <w:ind w:left="86"/>
              <w:rPr>
                <w:sz w:val="24"/>
              </w:rPr>
            </w:pPr>
            <w:r>
              <w:rPr>
                <w:sz w:val="24"/>
              </w:rPr>
              <w:t>Yes</w:t>
            </w:r>
          </w:p>
        </w:tc>
        <w:tc>
          <w:tcPr>
            <w:tcW w:w="1349" w:type="dxa"/>
          </w:tcPr>
          <w:p>
            <w:pPr>
              <w:pStyle w:val="TableParagraph"/>
              <w:spacing w:line="274" w:lineRule="exact"/>
              <w:ind w:left="86"/>
              <w:rPr>
                <w:sz w:val="24"/>
              </w:rPr>
            </w:pPr>
            <w:r>
              <w:rPr>
                <w:sz w:val="24"/>
              </w:rPr>
              <w:t>No</w:t>
            </w:r>
          </w:p>
        </w:tc>
        <w:tc>
          <w:tcPr>
            <w:tcW w:w="1531" w:type="dxa"/>
          </w:tcPr>
          <w:p>
            <w:pPr>
              <w:pStyle w:val="TableParagraph"/>
              <w:spacing w:line="274" w:lineRule="exact"/>
              <w:ind w:left="86"/>
              <w:rPr>
                <w:sz w:val="24"/>
              </w:rPr>
            </w:pPr>
            <w:r>
              <w:rPr>
                <w:sz w:val="24"/>
              </w:rPr>
              <w:t>No</w:t>
            </w:r>
          </w:p>
        </w:tc>
      </w:tr>
      <w:tr>
        <w:trPr>
          <w:trHeight w:val="874" w:hRule="exact"/>
        </w:trPr>
        <w:tc>
          <w:tcPr>
            <w:tcW w:w="7488" w:type="dxa"/>
          </w:tcPr>
          <w:p>
            <w:pPr>
              <w:pStyle w:val="TableParagraph"/>
              <w:ind w:left="86" w:right="81"/>
              <w:rPr>
                <w:sz w:val="24"/>
              </w:rPr>
            </w:pPr>
            <w:r>
              <w:rPr>
                <w:sz w:val="24"/>
              </w:rPr>
              <w:t>Participate in pre-sale meetings, including document review and due diligence; provide information necessary to meet initial </w:t>
            </w:r>
            <w:r>
              <w:rPr>
                <w:i/>
                <w:sz w:val="24"/>
              </w:rPr>
              <w:t>and </w:t>
            </w:r>
            <w:r>
              <w:rPr>
                <w:i/>
                <w:sz w:val="24"/>
              </w:rPr>
              <w:t>continuing </w:t>
            </w:r>
            <w:r>
              <w:rPr>
                <w:sz w:val="24"/>
              </w:rPr>
              <w:t>disclosure requirements.</w:t>
            </w:r>
          </w:p>
        </w:tc>
        <w:tc>
          <w:tcPr>
            <w:tcW w:w="1080" w:type="dxa"/>
          </w:tcPr>
          <w:p>
            <w:pPr>
              <w:pStyle w:val="TableParagraph"/>
              <w:spacing w:before="9"/>
              <w:rPr>
                <w:rFonts w:ascii="Times New Roman"/>
                <w:sz w:val="23"/>
              </w:rPr>
            </w:pPr>
          </w:p>
          <w:p>
            <w:pPr>
              <w:pStyle w:val="TableParagraph"/>
              <w:ind w:left="86"/>
              <w:rPr>
                <w:sz w:val="24"/>
              </w:rPr>
            </w:pPr>
            <w:r>
              <w:rPr>
                <w:sz w:val="24"/>
              </w:rPr>
              <w:t>Yes</w:t>
            </w:r>
          </w:p>
        </w:tc>
        <w:tc>
          <w:tcPr>
            <w:tcW w:w="1260" w:type="dxa"/>
          </w:tcPr>
          <w:p>
            <w:pPr>
              <w:pStyle w:val="TableParagraph"/>
              <w:spacing w:before="9"/>
              <w:rPr>
                <w:rFonts w:ascii="Times New Roman"/>
                <w:sz w:val="23"/>
              </w:rPr>
            </w:pPr>
          </w:p>
          <w:p>
            <w:pPr>
              <w:pStyle w:val="TableParagraph"/>
              <w:ind w:left="86"/>
              <w:rPr>
                <w:sz w:val="24"/>
              </w:rPr>
            </w:pPr>
            <w:r>
              <w:rPr>
                <w:sz w:val="24"/>
              </w:rPr>
              <w:t>Yes</w:t>
            </w:r>
          </w:p>
        </w:tc>
        <w:tc>
          <w:tcPr>
            <w:tcW w:w="1260" w:type="dxa"/>
          </w:tcPr>
          <w:p>
            <w:pPr>
              <w:pStyle w:val="TableParagraph"/>
              <w:spacing w:before="9"/>
              <w:rPr>
                <w:rFonts w:ascii="Times New Roman"/>
                <w:sz w:val="23"/>
              </w:rPr>
            </w:pPr>
          </w:p>
          <w:p>
            <w:pPr>
              <w:pStyle w:val="TableParagraph"/>
              <w:ind w:left="86"/>
              <w:rPr>
                <w:sz w:val="24"/>
              </w:rPr>
            </w:pPr>
            <w:r>
              <w:rPr>
                <w:sz w:val="24"/>
              </w:rPr>
              <w:t>Yes</w:t>
            </w:r>
          </w:p>
        </w:tc>
        <w:tc>
          <w:tcPr>
            <w:tcW w:w="1349" w:type="dxa"/>
          </w:tcPr>
          <w:p>
            <w:pPr>
              <w:pStyle w:val="TableParagraph"/>
              <w:spacing w:before="9"/>
              <w:rPr>
                <w:rFonts w:ascii="Times New Roman"/>
                <w:sz w:val="23"/>
              </w:rPr>
            </w:pPr>
          </w:p>
          <w:p>
            <w:pPr>
              <w:pStyle w:val="TableParagraph"/>
              <w:ind w:left="86"/>
              <w:rPr>
                <w:sz w:val="24"/>
              </w:rPr>
            </w:pPr>
            <w:r>
              <w:rPr>
                <w:sz w:val="24"/>
              </w:rPr>
              <w:t>Yes</w:t>
            </w:r>
          </w:p>
        </w:tc>
        <w:tc>
          <w:tcPr>
            <w:tcW w:w="1531" w:type="dxa"/>
          </w:tcPr>
          <w:p>
            <w:pPr>
              <w:pStyle w:val="TableParagraph"/>
              <w:spacing w:before="9"/>
              <w:rPr>
                <w:rFonts w:ascii="Times New Roman"/>
                <w:sz w:val="23"/>
              </w:rPr>
            </w:pPr>
          </w:p>
          <w:p>
            <w:pPr>
              <w:pStyle w:val="TableParagraph"/>
              <w:ind w:left="86" w:right="474"/>
              <w:rPr>
                <w:sz w:val="24"/>
              </w:rPr>
            </w:pPr>
            <w:r>
              <w:rPr>
                <w:sz w:val="24"/>
              </w:rPr>
              <w:t>See Sec 6876</w:t>
            </w:r>
          </w:p>
        </w:tc>
      </w:tr>
    </w:tbl>
    <w:p>
      <w:pPr>
        <w:spacing w:after="0"/>
        <w:rPr>
          <w:sz w:val="24"/>
        </w:rPr>
        <w:sectPr>
          <w:headerReference w:type="default" r:id="rId354"/>
          <w:footerReference w:type="default" r:id="rId355"/>
          <w:pgSz w:w="15840" w:h="12240" w:orient="landscape"/>
          <w:pgMar w:header="648" w:footer="1079" w:top="1000" w:bottom="1260" w:left="440" w:right="620"/>
        </w:sectPr>
      </w:pPr>
    </w:p>
    <w:p>
      <w:pPr>
        <w:pStyle w:val="BodyText"/>
        <w:spacing w:before="4"/>
        <w:rPr>
          <w:rFonts w:ascii="Times New Roman"/>
          <w:sz w:val="17"/>
        </w:rPr>
      </w:pPr>
      <w:r>
        <w:rPr/>
        <w:pict>
          <v:line style="position:absolute;mso-position-horizontal-relative:page;mso-position-vertical-relative:page;z-index:37024" from="27.360001pt,78.120003pt" to="27.360001pt,103.920003pt" stroked="true" strokeweight=".72pt" strokecolor="#000000">
            <v:stroke dashstyle="solid"/>
            <w10:wrap type="none"/>
          </v:line>
        </w:pict>
      </w:r>
    </w:p>
    <w:p>
      <w:pPr>
        <w:spacing w:after="0"/>
        <w:rPr>
          <w:rFonts w:ascii="Times New Roman"/>
          <w:sz w:val="17"/>
        </w:rPr>
        <w:sectPr>
          <w:pgSz w:w="15840" w:h="12240" w:orient="landscape"/>
          <w:pgMar w:header="648" w:footer="1079" w:top="1000" w:bottom="1260" w:left="440" w:right="2260"/>
        </w:sectPr>
      </w:pPr>
    </w:p>
    <w:p>
      <w:pPr>
        <w:pStyle w:val="BodyText"/>
        <w:spacing w:before="11"/>
        <w:rPr>
          <w:rFonts w:ascii="Times New Roman"/>
          <w:sz w:val="13"/>
        </w:rPr>
      </w:pPr>
      <w:r>
        <w:rPr/>
        <w:pict>
          <v:line style="position:absolute;mso-position-horizontal-relative:page;mso-position-vertical-relative:page;z-index:37048" from="27.360001pt,76.559998pt" to="27.360001pt,90.359998pt" stroked="true" strokeweight=".72pt" strokecolor="#000000">
            <v:stroke dashstyle="solid"/>
            <w10:wrap type="none"/>
          </v:line>
        </w:pict>
      </w:r>
      <w:r>
        <w:rPr/>
        <w:pict>
          <v:line style="position:absolute;mso-position-horizontal-relative:page;mso-position-vertical-relative:page;z-index:37072" from="27.360001pt,189.240005pt" to="27.360001pt,203.040005pt" stroked="true" strokeweight=".72pt" strokecolor="#000000">
            <v:stroke dashstyle="solid"/>
            <w10:wrap type="none"/>
          </v:line>
        </w:pict>
      </w:r>
      <w:r>
        <w:rPr/>
        <w:pict>
          <v:line style="position:absolute;mso-position-horizontal-relative:page;mso-position-vertical-relative:page;z-index:37096" from="27.360001pt,219.119995pt" to="27.360001pt,232.919995pt" stroked="true" strokeweight=".72pt" strokecolor="#000000">
            <v:stroke dashstyle="solid"/>
            <w10:wrap type="none"/>
          </v:line>
        </w:pict>
      </w:r>
      <w:r>
        <w:rPr/>
        <w:pict>
          <v:line style="position:absolute;mso-position-horizontal-relative:page;mso-position-vertical-relative:page;z-index:37120" from="27.360001pt,382.07901pt" to="27.360001pt,395.88001pt" stroked="true" strokeweight=".72pt" strokecolor="#000000">
            <v:stroke dashstyle="solid"/>
            <w10:wrap type="none"/>
          </v:line>
        </w:pict>
      </w:r>
      <w:r>
        <w:rPr/>
        <w:pict>
          <v:line style="position:absolute;mso-position-horizontal-relative:page;mso-position-vertical-relative:page;z-index:37144" from="27.360001pt,441.839996pt" to="27.360001pt,487.439996pt" stroked="true" strokeweight=".72pt" strokecolor="#000000">
            <v:stroke dashstyle="solid"/>
            <w10:wrap type="none"/>
          </v:line>
        </w:pict>
      </w:r>
    </w:p>
    <w:tbl>
      <w:tblPr>
        <w:tblW w:w="0" w:type="auto"/>
        <w:jc w:val="left"/>
        <w:tblInd w:w="64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7488"/>
        <w:gridCol w:w="1080"/>
        <w:gridCol w:w="1260"/>
        <w:gridCol w:w="1260"/>
        <w:gridCol w:w="1349"/>
        <w:gridCol w:w="1531"/>
      </w:tblGrid>
      <w:tr>
        <w:trPr>
          <w:trHeight w:val="322" w:hRule="exact"/>
        </w:trPr>
        <w:tc>
          <w:tcPr>
            <w:tcW w:w="7488" w:type="dxa"/>
            <w:shd w:val="clear" w:color="auto" w:fill="DADADA"/>
          </w:tcPr>
          <w:p>
            <w:pPr/>
          </w:p>
        </w:tc>
        <w:tc>
          <w:tcPr>
            <w:tcW w:w="6480" w:type="dxa"/>
            <w:gridSpan w:val="5"/>
            <w:shd w:val="clear" w:color="auto" w:fill="DADADA"/>
          </w:tcPr>
          <w:p>
            <w:pPr>
              <w:pStyle w:val="TableParagraph"/>
              <w:spacing w:line="274" w:lineRule="exact"/>
              <w:ind w:left="2331" w:right="2331"/>
              <w:jc w:val="center"/>
              <w:rPr>
                <w:b/>
                <w:sz w:val="24"/>
              </w:rPr>
            </w:pPr>
            <w:r>
              <w:rPr>
                <w:b/>
                <w:sz w:val="24"/>
              </w:rPr>
              <w:t>Type of Project</w:t>
            </w:r>
          </w:p>
        </w:tc>
      </w:tr>
      <w:tr>
        <w:trPr>
          <w:trHeight w:val="1147" w:hRule="exact"/>
        </w:trPr>
        <w:tc>
          <w:tcPr>
            <w:tcW w:w="7488" w:type="dxa"/>
            <w:shd w:val="clear" w:color="auto" w:fill="DADADA"/>
          </w:tcPr>
          <w:p>
            <w:pPr>
              <w:pStyle w:val="TableParagraph"/>
              <w:ind w:left="86" w:right="430"/>
              <w:rPr>
                <w:b/>
                <w:sz w:val="24"/>
              </w:rPr>
            </w:pPr>
            <w:r>
              <w:rPr>
                <w:b/>
                <w:strike/>
                <w:color w:val="2E97D3"/>
                <w:sz w:val="24"/>
              </w:rPr>
              <w:t>Client </w:t>
            </w:r>
            <w:r>
              <w:rPr>
                <w:b/>
                <w:strike w:val="0"/>
                <w:sz w:val="24"/>
              </w:rPr>
              <w:t>Department Key Responsibilities Related to Financing (DGS may handle certain tasks if managing the project)</w:t>
            </w:r>
          </w:p>
        </w:tc>
        <w:tc>
          <w:tcPr>
            <w:tcW w:w="1080" w:type="dxa"/>
            <w:shd w:val="clear" w:color="auto" w:fill="DADADA"/>
          </w:tcPr>
          <w:p>
            <w:pPr>
              <w:pStyle w:val="TableParagraph"/>
              <w:spacing w:line="272" w:lineRule="exact"/>
              <w:ind w:left="86"/>
              <w:rPr>
                <w:b/>
                <w:sz w:val="24"/>
              </w:rPr>
            </w:pPr>
            <w:r>
              <w:rPr>
                <w:b/>
                <w:sz w:val="24"/>
              </w:rPr>
              <w:t>GO</w:t>
            </w:r>
          </w:p>
          <w:p>
            <w:pPr>
              <w:pStyle w:val="TableParagraph"/>
              <w:ind w:left="86"/>
              <w:rPr>
                <w:b/>
                <w:sz w:val="24"/>
              </w:rPr>
            </w:pPr>
            <w:r>
              <w:rPr>
                <w:b/>
                <w:sz w:val="24"/>
              </w:rPr>
              <w:t>Bonds</w:t>
            </w:r>
          </w:p>
        </w:tc>
        <w:tc>
          <w:tcPr>
            <w:tcW w:w="1260" w:type="dxa"/>
            <w:shd w:val="clear" w:color="auto" w:fill="DADADA"/>
          </w:tcPr>
          <w:p>
            <w:pPr>
              <w:pStyle w:val="TableParagraph"/>
              <w:spacing w:line="272" w:lineRule="exact"/>
              <w:ind w:left="86"/>
              <w:rPr>
                <w:b/>
                <w:sz w:val="24"/>
              </w:rPr>
            </w:pPr>
            <w:r>
              <w:rPr>
                <w:b/>
                <w:sz w:val="24"/>
              </w:rPr>
              <w:t>PWB</w:t>
            </w:r>
          </w:p>
          <w:p>
            <w:pPr>
              <w:pStyle w:val="TableParagraph"/>
              <w:ind w:left="86"/>
              <w:rPr>
                <w:b/>
                <w:sz w:val="24"/>
              </w:rPr>
            </w:pPr>
            <w:r>
              <w:rPr>
                <w:b/>
                <w:sz w:val="24"/>
              </w:rPr>
              <w:t>Lease- Revenue</w:t>
            </w:r>
          </w:p>
        </w:tc>
        <w:tc>
          <w:tcPr>
            <w:tcW w:w="1260" w:type="dxa"/>
            <w:shd w:val="clear" w:color="auto" w:fill="DADADA"/>
          </w:tcPr>
          <w:p>
            <w:pPr>
              <w:pStyle w:val="TableParagraph"/>
              <w:spacing w:line="272" w:lineRule="exact"/>
              <w:ind w:left="86"/>
              <w:rPr>
                <w:b/>
                <w:sz w:val="24"/>
              </w:rPr>
            </w:pPr>
            <w:r>
              <w:rPr>
                <w:b/>
                <w:sz w:val="24"/>
              </w:rPr>
              <w:t>JPA</w:t>
            </w:r>
          </w:p>
          <w:p>
            <w:pPr>
              <w:pStyle w:val="TableParagraph"/>
              <w:ind w:left="86"/>
              <w:rPr>
                <w:b/>
                <w:sz w:val="24"/>
              </w:rPr>
            </w:pPr>
            <w:r>
              <w:rPr>
                <w:b/>
                <w:sz w:val="24"/>
              </w:rPr>
              <w:t>Lease- Revenue</w:t>
            </w:r>
          </w:p>
        </w:tc>
        <w:tc>
          <w:tcPr>
            <w:tcW w:w="1349" w:type="dxa"/>
            <w:shd w:val="clear" w:color="auto" w:fill="DADADA"/>
          </w:tcPr>
          <w:p>
            <w:pPr>
              <w:pStyle w:val="TableParagraph"/>
              <w:ind w:left="86" w:right="66"/>
              <w:rPr>
                <w:b/>
                <w:sz w:val="24"/>
              </w:rPr>
            </w:pPr>
            <w:r>
              <w:rPr>
                <w:b/>
                <w:sz w:val="24"/>
              </w:rPr>
              <w:t>Financing Lease</w:t>
            </w:r>
          </w:p>
        </w:tc>
        <w:tc>
          <w:tcPr>
            <w:tcW w:w="1531" w:type="dxa"/>
            <w:shd w:val="clear" w:color="auto" w:fill="DADADA"/>
          </w:tcPr>
          <w:p>
            <w:pPr>
              <w:pStyle w:val="TableParagraph"/>
              <w:ind w:left="86" w:right="101"/>
              <w:rPr>
                <w:b/>
                <w:sz w:val="24"/>
              </w:rPr>
            </w:pPr>
            <w:r>
              <w:rPr>
                <w:b/>
                <w:sz w:val="24"/>
              </w:rPr>
              <w:t>Securitized Operating Lease/ Contract</w:t>
            </w:r>
          </w:p>
        </w:tc>
      </w:tr>
      <w:tr>
        <w:trPr>
          <w:trHeight w:val="1702" w:hRule="exact"/>
        </w:trPr>
        <w:tc>
          <w:tcPr>
            <w:tcW w:w="7488" w:type="dxa"/>
          </w:tcPr>
          <w:p>
            <w:pPr>
              <w:pStyle w:val="TableParagraph"/>
              <w:ind w:left="86" w:right="121"/>
              <w:rPr>
                <w:sz w:val="24"/>
              </w:rPr>
            </w:pPr>
            <w:r>
              <w:rPr>
                <w:sz w:val="24"/>
              </w:rPr>
              <w:t>Ensure that the issuer understands: STO’s roles and responsibilities when agent for sale;</w:t>
            </w:r>
          </w:p>
          <w:p>
            <w:pPr>
              <w:pStyle w:val="TableParagraph"/>
              <w:spacing w:before="2"/>
              <w:ind w:left="86" w:right="720" w:firstLine="201"/>
              <w:rPr>
                <w:sz w:val="24"/>
              </w:rPr>
            </w:pPr>
            <w:r>
              <w:rPr>
                <w:sz w:val="24"/>
              </w:rPr>
              <w:t>time-frames for bond sales scheduling and other preparation activities; any required</w:t>
            </w:r>
          </w:p>
          <w:p>
            <w:pPr>
              <w:pStyle w:val="TableParagraph"/>
              <w:ind w:left="86" w:right="495" w:firstLine="201"/>
              <w:rPr>
                <w:sz w:val="24"/>
              </w:rPr>
            </w:pPr>
            <w:r>
              <w:rPr>
                <w:strike/>
                <w:color w:val="2E97D3"/>
                <w:sz w:val="24"/>
              </w:rPr>
              <w:t>DOF</w:t>
            </w:r>
            <w:r>
              <w:rPr>
                <w:strike w:val="0"/>
                <w:color w:val="2E97D3"/>
                <w:sz w:val="24"/>
                <w:u w:val="single" w:color="2E97D3"/>
              </w:rPr>
              <w:t>Finance </w:t>
            </w:r>
            <w:r>
              <w:rPr>
                <w:strike w:val="0"/>
                <w:sz w:val="24"/>
              </w:rPr>
              <w:t>reviews for economic viability; any required lease notifications to the Legislature.</w:t>
            </w:r>
          </w:p>
        </w:tc>
        <w:tc>
          <w:tcPr>
            <w:tcW w:w="1080" w:type="dxa"/>
          </w:tcPr>
          <w:p>
            <w:pPr>
              <w:pStyle w:val="TableParagraph"/>
              <w:rPr>
                <w:rFonts w:ascii="Times New Roman"/>
                <w:sz w:val="26"/>
              </w:rPr>
            </w:pPr>
          </w:p>
          <w:p>
            <w:pPr>
              <w:pStyle w:val="TableParagraph"/>
              <w:spacing w:before="9"/>
              <w:rPr>
                <w:rFonts w:ascii="Times New Roman"/>
                <w:sz w:val="21"/>
              </w:rPr>
            </w:pPr>
          </w:p>
          <w:p>
            <w:pPr>
              <w:pStyle w:val="TableParagraph"/>
              <w:ind w:left="86"/>
              <w:rPr>
                <w:sz w:val="24"/>
              </w:rPr>
            </w:pPr>
            <w:r>
              <w:rPr>
                <w:sz w:val="24"/>
              </w:rPr>
              <w:t>NA</w:t>
            </w:r>
          </w:p>
        </w:tc>
        <w:tc>
          <w:tcPr>
            <w:tcW w:w="1260" w:type="dxa"/>
          </w:tcPr>
          <w:p>
            <w:pPr>
              <w:pStyle w:val="TableParagraph"/>
              <w:rPr>
                <w:rFonts w:ascii="Times New Roman"/>
                <w:sz w:val="26"/>
              </w:rPr>
            </w:pPr>
          </w:p>
          <w:p>
            <w:pPr>
              <w:pStyle w:val="TableParagraph"/>
              <w:spacing w:before="9"/>
              <w:rPr>
                <w:rFonts w:ascii="Times New Roman"/>
                <w:sz w:val="21"/>
              </w:rPr>
            </w:pPr>
          </w:p>
          <w:p>
            <w:pPr>
              <w:pStyle w:val="TableParagraph"/>
              <w:ind w:left="86"/>
              <w:rPr>
                <w:sz w:val="24"/>
              </w:rPr>
            </w:pPr>
            <w:r>
              <w:rPr>
                <w:sz w:val="24"/>
              </w:rPr>
              <w:t>NA</w:t>
            </w:r>
          </w:p>
        </w:tc>
        <w:tc>
          <w:tcPr>
            <w:tcW w:w="1260" w:type="dxa"/>
          </w:tcPr>
          <w:p>
            <w:pPr>
              <w:pStyle w:val="TableParagraph"/>
              <w:rPr>
                <w:rFonts w:ascii="Times New Roman"/>
                <w:sz w:val="26"/>
              </w:rPr>
            </w:pPr>
          </w:p>
          <w:p>
            <w:pPr>
              <w:pStyle w:val="TableParagraph"/>
              <w:spacing w:before="9"/>
              <w:rPr>
                <w:rFonts w:ascii="Times New Roman"/>
                <w:sz w:val="21"/>
              </w:rPr>
            </w:pPr>
          </w:p>
          <w:p>
            <w:pPr>
              <w:pStyle w:val="TableParagraph"/>
              <w:ind w:left="86"/>
              <w:rPr>
                <w:sz w:val="24"/>
              </w:rPr>
            </w:pPr>
            <w:r>
              <w:rPr>
                <w:sz w:val="24"/>
              </w:rPr>
              <w:t>Yes*</w:t>
            </w:r>
          </w:p>
        </w:tc>
        <w:tc>
          <w:tcPr>
            <w:tcW w:w="1349" w:type="dxa"/>
          </w:tcPr>
          <w:p>
            <w:pPr>
              <w:pStyle w:val="TableParagraph"/>
              <w:rPr>
                <w:rFonts w:ascii="Times New Roman"/>
                <w:sz w:val="26"/>
              </w:rPr>
            </w:pPr>
          </w:p>
          <w:p>
            <w:pPr>
              <w:pStyle w:val="TableParagraph"/>
              <w:spacing w:before="9"/>
              <w:rPr>
                <w:rFonts w:ascii="Times New Roman"/>
                <w:sz w:val="21"/>
              </w:rPr>
            </w:pPr>
          </w:p>
          <w:p>
            <w:pPr>
              <w:pStyle w:val="TableParagraph"/>
              <w:ind w:left="86"/>
              <w:rPr>
                <w:sz w:val="24"/>
              </w:rPr>
            </w:pPr>
            <w:r>
              <w:rPr>
                <w:sz w:val="24"/>
              </w:rPr>
              <w:t>Yes*</w:t>
            </w:r>
          </w:p>
        </w:tc>
        <w:tc>
          <w:tcPr>
            <w:tcW w:w="1531" w:type="dxa"/>
          </w:tcPr>
          <w:p>
            <w:pPr>
              <w:pStyle w:val="TableParagraph"/>
              <w:rPr>
                <w:rFonts w:ascii="Times New Roman"/>
                <w:sz w:val="26"/>
              </w:rPr>
            </w:pPr>
          </w:p>
          <w:p>
            <w:pPr>
              <w:pStyle w:val="TableParagraph"/>
              <w:spacing w:before="9"/>
              <w:rPr>
                <w:rFonts w:ascii="Times New Roman"/>
                <w:sz w:val="21"/>
              </w:rPr>
            </w:pPr>
          </w:p>
          <w:p>
            <w:pPr>
              <w:pStyle w:val="TableParagraph"/>
              <w:ind w:left="86" w:right="474"/>
              <w:rPr>
                <w:sz w:val="24"/>
              </w:rPr>
            </w:pPr>
            <w:r>
              <w:rPr>
                <w:sz w:val="24"/>
              </w:rPr>
              <w:t>See Sec 6876</w:t>
            </w:r>
          </w:p>
        </w:tc>
      </w:tr>
      <w:tr>
        <w:trPr>
          <w:trHeight w:val="1150" w:hRule="exact"/>
        </w:trPr>
        <w:tc>
          <w:tcPr>
            <w:tcW w:w="7488" w:type="dxa"/>
          </w:tcPr>
          <w:p>
            <w:pPr>
              <w:pStyle w:val="TableParagraph"/>
              <w:ind w:left="86" w:right="1256"/>
              <w:rPr>
                <w:sz w:val="24"/>
              </w:rPr>
            </w:pPr>
            <w:r>
              <w:rPr>
                <w:sz w:val="24"/>
              </w:rPr>
              <w:t>Stay within available funds; inform </w:t>
            </w:r>
            <w:r>
              <w:rPr>
                <w:strike/>
                <w:color w:val="2E97D3"/>
                <w:sz w:val="24"/>
              </w:rPr>
              <w:t>DOF</w:t>
            </w:r>
            <w:r>
              <w:rPr>
                <w:strike w:val="0"/>
                <w:color w:val="2E97D3"/>
                <w:sz w:val="24"/>
                <w:u w:val="single" w:color="2E97D3"/>
              </w:rPr>
              <w:t>Finance </w:t>
            </w:r>
            <w:r>
              <w:rPr>
                <w:strike w:val="0"/>
                <w:sz w:val="24"/>
              </w:rPr>
              <w:t>and STO immediately of any  material threat</w:t>
            </w:r>
          </w:p>
          <w:p>
            <w:pPr>
              <w:pStyle w:val="TableParagraph"/>
              <w:spacing w:before="2"/>
              <w:ind w:left="86" w:right="307" w:firstLine="201"/>
              <w:rPr>
                <w:sz w:val="24"/>
              </w:rPr>
            </w:pPr>
            <w:r>
              <w:rPr>
                <w:sz w:val="24"/>
              </w:rPr>
              <w:t>to project progress or budget which may affect completion within available funds.</w:t>
            </w:r>
          </w:p>
        </w:tc>
        <w:tc>
          <w:tcPr>
            <w:tcW w:w="1080" w:type="dxa"/>
          </w:tcPr>
          <w:p>
            <w:pPr>
              <w:pStyle w:val="TableParagraph"/>
              <w:spacing w:before="9"/>
              <w:rPr>
                <w:rFonts w:ascii="Times New Roman"/>
                <w:sz w:val="23"/>
              </w:rPr>
            </w:pPr>
          </w:p>
          <w:p>
            <w:pPr>
              <w:pStyle w:val="TableParagraph"/>
              <w:ind w:left="86"/>
              <w:rPr>
                <w:sz w:val="24"/>
              </w:rPr>
            </w:pPr>
            <w:r>
              <w:rPr>
                <w:sz w:val="24"/>
              </w:rPr>
              <w:t>Yes</w:t>
            </w:r>
          </w:p>
        </w:tc>
        <w:tc>
          <w:tcPr>
            <w:tcW w:w="1260" w:type="dxa"/>
          </w:tcPr>
          <w:p>
            <w:pPr>
              <w:pStyle w:val="TableParagraph"/>
              <w:spacing w:before="9"/>
              <w:rPr>
                <w:rFonts w:ascii="Times New Roman"/>
                <w:sz w:val="23"/>
              </w:rPr>
            </w:pPr>
          </w:p>
          <w:p>
            <w:pPr>
              <w:pStyle w:val="TableParagraph"/>
              <w:ind w:left="86"/>
              <w:rPr>
                <w:sz w:val="24"/>
              </w:rPr>
            </w:pPr>
            <w:r>
              <w:rPr>
                <w:sz w:val="24"/>
              </w:rPr>
              <w:t>Yes</w:t>
            </w:r>
          </w:p>
        </w:tc>
        <w:tc>
          <w:tcPr>
            <w:tcW w:w="1260" w:type="dxa"/>
          </w:tcPr>
          <w:p>
            <w:pPr>
              <w:pStyle w:val="TableParagraph"/>
              <w:spacing w:before="9"/>
              <w:rPr>
                <w:rFonts w:ascii="Times New Roman"/>
                <w:sz w:val="23"/>
              </w:rPr>
            </w:pPr>
          </w:p>
          <w:p>
            <w:pPr>
              <w:pStyle w:val="TableParagraph"/>
              <w:ind w:left="86"/>
              <w:rPr>
                <w:sz w:val="24"/>
              </w:rPr>
            </w:pPr>
            <w:r>
              <w:rPr>
                <w:sz w:val="24"/>
              </w:rPr>
              <w:t>Yes</w:t>
            </w:r>
          </w:p>
        </w:tc>
        <w:tc>
          <w:tcPr>
            <w:tcW w:w="1349" w:type="dxa"/>
          </w:tcPr>
          <w:p>
            <w:pPr>
              <w:pStyle w:val="TableParagraph"/>
              <w:spacing w:before="9"/>
              <w:rPr>
                <w:rFonts w:ascii="Times New Roman"/>
                <w:sz w:val="23"/>
              </w:rPr>
            </w:pPr>
          </w:p>
          <w:p>
            <w:pPr>
              <w:pStyle w:val="TableParagraph"/>
              <w:ind w:left="86"/>
              <w:rPr>
                <w:sz w:val="24"/>
              </w:rPr>
            </w:pPr>
            <w:r>
              <w:rPr>
                <w:sz w:val="24"/>
              </w:rPr>
              <w:t>Yes</w:t>
            </w:r>
          </w:p>
        </w:tc>
        <w:tc>
          <w:tcPr>
            <w:tcW w:w="1531" w:type="dxa"/>
          </w:tcPr>
          <w:p>
            <w:pPr>
              <w:pStyle w:val="TableParagraph"/>
              <w:spacing w:before="9"/>
              <w:rPr>
                <w:rFonts w:ascii="Times New Roman"/>
                <w:sz w:val="23"/>
              </w:rPr>
            </w:pPr>
          </w:p>
          <w:p>
            <w:pPr>
              <w:pStyle w:val="TableParagraph"/>
              <w:ind w:left="86"/>
              <w:rPr>
                <w:sz w:val="24"/>
              </w:rPr>
            </w:pPr>
            <w:r>
              <w:rPr>
                <w:sz w:val="24"/>
              </w:rPr>
              <w:t>No</w:t>
            </w:r>
          </w:p>
        </w:tc>
      </w:tr>
      <w:tr>
        <w:trPr>
          <w:trHeight w:val="595" w:hRule="exact"/>
        </w:trPr>
        <w:tc>
          <w:tcPr>
            <w:tcW w:w="7488" w:type="dxa"/>
          </w:tcPr>
          <w:p>
            <w:pPr>
              <w:pStyle w:val="TableParagraph"/>
              <w:spacing w:line="269" w:lineRule="exact"/>
              <w:ind w:left="86"/>
              <w:rPr>
                <w:sz w:val="24"/>
              </w:rPr>
            </w:pPr>
            <w:r>
              <w:rPr>
                <w:sz w:val="24"/>
              </w:rPr>
              <w:t>Send STO and issuer </w:t>
            </w:r>
            <w:r>
              <w:rPr>
                <w:i/>
                <w:sz w:val="24"/>
              </w:rPr>
              <w:t>Project Closure Memo </w:t>
            </w:r>
            <w:r>
              <w:rPr>
                <w:sz w:val="24"/>
              </w:rPr>
              <w:t>when project is done.</w:t>
            </w:r>
          </w:p>
        </w:tc>
        <w:tc>
          <w:tcPr>
            <w:tcW w:w="1080" w:type="dxa"/>
          </w:tcPr>
          <w:p>
            <w:pPr>
              <w:pStyle w:val="TableParagraph"/>
              <w:spacing w:line="272" w:lineRule="exact"/>
              <w:ind w:left="86"/>
              <w:rPr>
                <w:sz w:val="24"/>
              </w:rPr>
            </w:pPr>
            <w:r>
              <w:rPr>
                <w:sz w:val="24"/>
              </w:rPr>
              <w:t>Yes</w:t>
            </w:r>
          </w:p>
        </w:tc>
        <w:tc>
          <w:tcPr>
            <w:tcW w:w="1260" w:type="dxa"/>
          </w:tcPr>
          <w:p>
            <w:pPr>
              <w:pStyle w:val="TableParagraph"/>
              <w:spacing w:line="272" w:lineRule="exact"/>
              <w:ind w:left="86"/>
              <w:rPr>
                <w:sz w:val="24"/>
              </w:rPr>
            </w:pPr>
            <w:r>
              <w:rPr>
                <w:sz w:val="24"/>
              </w:rPr>
              <w:t>Yes</w:t>
            </w:r>
          </w:p>
        </w:tc>
        <w:tc>
          <w:tcPr>
            <w:tcW w:w="1260" w:type="dxa"/>
          </w:tcPr>
          <w:p>
            <w:pPr>
              <w:pStyle w:val="TableParagraph"/>
              <w:spacing w:line="272" w:lineRule="exact"/>
              <w:ind w:left="86"/>
              <w:rPr>
                <w:sz w:val="24"/>
              </w:rPr>
            </w:pPr>
            <w:r>
              <w:rPr>
                <w:sz w:val="24"/>
              </w:rPr>
              <w:t>Yes</w:t>
            </w:r>
          </w:p>
        </w:tc>
        <w:tc>
          <w:tcPr>
            <w:tcW w:w="1349" w:type="dxa"/>
          </w:tcPr>
          <w:p>
            <w:pPr>
              <w:pStyle w:val="TableParagraph"/>
              <w:spacing w:line="272" w:lineRule="exact"/>
              <w:ind w:left="86"/>
              <w:rPr>
                <w:sz w:val="24"/>
              </w:rPr>
            </w:pPr>
            <w:r>
              <w:rPr>
                <w:sz w:val="24"/>
              </w:rPr>
              <w:t>Yes</w:t>
            </w:r>
          </w:p>
        </w:tc>
        <w:tc>
          <w:tcPr>
            <w:tcW w:w="1531" w:type="dxa"/>
          </w:tcPr>
          <w:p>
            <w:pPr>
              <w:pStyle w:val="TableParagraph"/>
              <w:ind w:left="86" w:right="474"/>
              <w:rPr>
                <w:sz w:val="24"/>
              </w:rPr>
            </w:pPr>
            <w:r>
              <w:rPr>
                <w:sz w:val="24"/>
              </w:rPr>
              <w:t>See Sec 6876</w:t>
            </w:r>
          </w:p>
        </w:tc>
      </w:tr>
      <w:tr>
        <w:trPr>
          <w:trHeight w:val="322" w:hRule="exact"/>
        </w:trPr>
        <w:tc>
          <w:tcPr>
            <w:tcW w:w="7488" w:type="dxa"/>
          </w:tcPr>
          <w:p>
            <w:pPr>
              <w:pStyle w:val="TableParagraph"/>
              <w:spacing w:line="274" w:lineRule="exact"/>
              <w:ind w:left="86"/>
              <w:rPr>
                <w:sz w:val="24"/>
              </w:rPr>
            </w:pPr>
            <w:r>
              <w:rPr>
                <w:sz w:val="24"/>
              </w:rPr>
              <w:t>Obtain liability and rental interruption insurance for project.</w:t>
            </w:r>
          </w:p>
        </w:tc>
        <w:tc>
          <w:tcPr>
            <w:tcW w:w="1080" w:type="dxa"/>
          </w:tcPr>
          <w:p>
            <w:pPr>
              <w:pStyle w:val="TableParagraph"/>
              <w:spacing w:line="274" w:lineRule="exact"/>
              <w:ind w:left="86"/>
              <w:rPr>
                <w:sz w:val="24"/>
              </w:rPr>
            </w:pPr>
            <w:r>
              <w:rPr>
                <w:sz w:val="24"/>
              </w:rPr>
              <w:t>NA</w:t>
            </w:r>
          </w:p>
        </w:tc>
        <w:tc>
          <w:tcPr>
            <w:tcW w:w="1260" w:type="dxa"/>
          </w:tcPr>
          <w:p>
            <w:pPr>
              <w:pStyle w:val="TableParagraph"/>
              <w:spacing w:line="274" w:lineRule="exact"/>
              <w:ind w:left="86"/>
              <w:rPr>
                <w:sz w:val="24"/>
              </w:rPr>
            </w:pPr>
            <w:r>
              <w:rPr>
                <w:sz w:val="24"/>
              </w:rPr>
              <w:t>Yes</w:t>
            </w:r>
          </w:p>
        </w:tc>
        <w:tc>
          <w:tcPr>
            <w:tcW w:w="1260" w:type="dxa"/>
          </w:tcPr>
          <w:p>
            <w:pPr>
              <w:pStyle w:val="TableParagraph"/>
              <w:spacing w:line="274" w:lineRule="exact"/>
              <w:ind w:left="86"/>
              <w:rPr>
                <w:sz w:val="24"/>
              </w:rPr>
            </w:pPr>
            <w:r>
              <w:rPr>
                <w:sz w:val="24"/>
              </w:rPr>
              <w:t>Yes</w:t>
            </w:r>
          </w:p>
        </w:tc>
        <w:tc>
          <w:tcPr>
            <w:tcW w:w="1349" w:type="dxa"/>
          </w:tcPr>
          <w:p>
            <w:pPr>
              <w:pStyle w:val="TableParagraph"/>
              <w:spacing w:line="274" w:lineRule="exact"/>
              <w:ind w:left="86"/>
              <w:rPr>
                <w:sz w:val="24"/>
              </w:rPr>
            </w:pPr>
            <w:r>
              <w:rPr>
                <w:sz w:val="24"/>
              </w:rPr>
              <w:t>Yes</w:t>
            </w:r>
          </w:p>
        </w:tc>
        <w:tc>
          <w:tcPr>
            <w:tcW w:w="1531" w:type="dxa"/>
          </w:tcPr>
          <w:p>
            <w:pPr>
              <w:pStyle w:val="TableParagraph"/>
              <w:spacing w:line="274" w:lineRule="exact"/>
              <w:ind w:left="86"/>
              <w:rPr>
                <w:sz w:val="24"/>
              </w:rPr>
            </w:pPr>
            <w:r>
              <w:rPr>
                <w:sz w:val="24"/>
              </w:rPr>
              <w:t>No</w:t>
            </w:r>
          </w:p>
        </w:tc>
      </w:tr>
      <w:tr>
        <w:trPr>
          <w:trHeight w:val="598" w:hRule="exact"/>
        </w:trPr>
        <w:tc>
          <w:tcPr>
            <w:tcW w:w="7488" w:type="dxa"/>
          </w:tcPr>
          <w:p>
            <w:pPr>
              <w:pStyle w:val="TableParagraph"/>
              <w:ind w:left="86" w:right="814"/>
              <w:rPr>
                <w:sz w:val="24"/>
              </w:rPr>
            </w:pPr>
            <w:r>
              <w:rPr>
                <w:sz w:val="24"/>
              </w:rPr>
              <w:t>Set up accounting and budgetary records for payment of debt service.</w:t>
            </w:r>
          </w:p>
        </w:tc>
        <w:tc>
          <w:tcPr>
            <w:tcW w:w="1080" w:type="dxa"/>
          </w:tcPr>
          <w:p>
            <w:pPr>
              <w:pStyle w:val="TableParagraph"/>
              <w:spacing w:line="274" w:lineRule="exact"/>
              <w:ind w:left="86"/>
              <w:rPr>
                <w:sz w:val="24"/>
              </w:rPr>
            </w:pPr>
            <w:r>
              <w:rPr>
                <w:sz w:val="24"/>
              </w:rPr>
              <w:t>No</w:t>
            </w:r>
          </w:p>
        </w:tc>
        <w:tc>
          <w:tcPr>
            <w:tcW w:w="1260" w:type="dxa"/>
          </w:tcPr>
          <w:p>
            <w:pPr>
              <w:pStyle w:val="TableParagraph"/>
              <w:spacing w:line="274" w:lineRule="exact"/>
              <w:ind w:left="86"/>
              <w:rPr>
                <w:sz w:val="24"/>
              </w:rPr>
            </w:pPr>
            <w:r>
              <w:rPr>
                <w:sz w:val="24"/>
              </w:rPr>
              <w:t>Yes</w:t>
            </w:r>
          </w:p>
        </w:tc>
        <w:tc>
          <w:tcPr>
            <w:tcW w:w="1260" w:type="dxa"/>
          </w:tcPr>
          <w:p>
            <w:pPr>
              <w:pStyle w:val="TableParagraph"/>
              <w:spacing w:line="274" w:lineRule="exact"/>
              <w:ind w:left="86"/>
              <w:rPr>
                <w:sz w:val="24"/>
              </w:rPr>
            </w:pPr>
            <w:r>
              <w:rPr>
                <w:sz w:val="24"/>
              </w:rPr>
              <w:t>Yes</w:t>
            </w:r>
          </w:p>
        </w:tc>
        <w:tc>
          <w:tcPr>
            <w:tcW w:w="1349" w:type="dxa"/>
          </w:tcPr>
          <w:p>
            <w:pPr>
              <w:pStyle w:val="TableParagraph"/>
              <w:spacing w:line="274" w:lineRule="exact"/>
              <w:ind w:left="86"/>
              <w:rPr>
                <w:sz w:val="24"/>
              </w:rPr>
            </w:pPr>
            <w:r>
              <w:rPr>
                <w:sz w:val="24"/>
              </w:rPr>
              <w:t>Sec 6876</w:t>
            </w:r>
          </w:p>
        </w:tc>
        <w:tc>
          <w:tcPr>
            <w:tcW w:w="1531" w:type="dxa"/>
          </w:tcPr>
          <w:p>
            <w:pPr>
              <w:pStyle w:val="TableParagraph"/>
              <w:spacing w:line="274" w:lineRule="exact"/>
              <w:ind w:left="86"/>
              <w:rPr>
                <w:sz w:val="24"/>
              </w:rPr>
            </w:pPr>
            <w:r>
              <w:rPr>
                <w:sz w:val="24"/>
              </w:rPr>
              <w:t>No</w:t>
            </w:r>
          </w:p>
        </w:tc>
      </w:tr>
      <w:tr>
        <w:trPr>
          <w:trHeight w:val="598" w:hRule="exact"/>
        </w:trPr>
        <w:tc>
          <w:tcPr>
            <w:tcW w:w="7488" w:type="dxa"/>
          </w:tcPr>
          <w:p>
            <w:pPr>
              <w:pStyle w:val="TableParagraph"/>
              <w:ind w:left="86" w:right="1268"/>
              <w:rPr>
                <w:sz w:val="24"/>
              </w:rPr>
            </w:pPr>
            <w:r>
              <w:rPr>
                <w:sz w:val="24"/>
              </w:rPr>
              <w:t>Refer bondholder questions to STO; do not communicate confidential information.</w:t>
            </w:r>
          </w:p>
        </w:tc>
        <w:tc>
          <w:tcPr>
            <w:tcW w:w="1080" w:type="dxa"/>
          </w:tcPr>
          <w:p>
            <w:pPr>
              <w:pStyle w:val="TableParagraph"/>
              <w:spacing w:line="274" w:lineRule="exact"/>
              <w:ind w:left="86"/>
              <w:rPr>
                <w:sz w:val="24"/>
              </w:rPr>
            </w:pPr>
            <w:r>
              <w:rPr>
                <w:sz w:val="24"/>
              </w:rPr>
              <w:t>Yes</w:t>
            </w:r>
          </w:p>
        </w:tc>
        <w:tc>
          <w:tcPr>
            <w:tcW w:w="1260" w:type="dxa"/>
          </w:tcPr>
          <w:p>
            <w:pPr>
              <w:pStyle w:val="TableParagraph"/>
              <w:spacing w:line="274" w:lineRule="exact"/>
              <w:ind w:left="86"/>
              <w:rPr>
                <w:sz w:val="24"/>
              </w:rPr>
            </w:pPr>
            <w:r>
              <w:rPr>
                <w:sz w:val="24"/>
              </w:rPr>
              <w:t>Yes</w:t>
            </w:r>
          </w:p>
        </w:tc>
        <w:tc>
          <w:tcPr>
            <w:tcW w:w="1260" w:type="dxa"/>
          </w:tcPr>
          <w:p>
            <w:pPr>
              <w:pStyle w:val="TableParagraph"/>
              <w:spacing w:line="274" w:lineRule="exact"/>
              <w:ind w:left="86"/>
              <w:rPr>
                <w:sz w:val="24"/>
              </w:rPr>
            </w:pPr>
            <w:r>
              <w:rPr>
                <w:sz w:val="24"/>
              </w:rPr>
              <w:t>Yes</w:t>
            </w:r>
          </w:p>
        </w:tc>
        <w:tc>
          <w:tcPr>
            <w:tcW w:w="1349" w:type="dxa"/>
          </w:tcPr>
          <w:p>
            <w:pPr>
              <w:pStyle w:val="TableParagraph"/>
              <w:spacing w:line="274" w:lineRule="exact"/>
              <w:ind w:left="86"/>
              <w:rPr>
                <w:sz w:val="24"/>
              </w:rPr>
            </w:pPr>
            <w:r>
              <w:rPr>
                <w:sz w:val="24"/>
              </w:rPr>
              <w:t>Yes</w:t>
            </w:r>
          </w:p>
        </w:tc>
        <w:tc>
          <w:tcPr>
            <w:tcW w:w="1531" w:type="dxa"/>
          </w:tcPr>
          <w:p>
            <w:pPr>
              <w:pStyle w:val="TableParagraph"/>
              <w:ind w:left="86" w:right="474"/>
              <w:rPr>
                <w:sz w:val="24"/>
              </w:rPr>
            </w:pPr>
            <w:r>
              <w:rPr>
                <w:sz w:val="24"/>
              </w:rPr>
              <w:t>See Sec 6876</w:t>
            </w:r>
          </w:p>
        </w:tc>
      </w:tr>
      <w:tr>
        <w:trPr>
          <w:trHeight w:val="595" w:hRule="exact"/>
        </w:trPr>
        <w:tc>
          <w:tcPr>
            <w:tcW w:w="7488" w:type="dxa"/>
          </w:tcPr>
          <w:p>
            <w:pPr>
              <w:pStyle w:val="TableParagraph"/>
              <w:ind w:left="86" w:right="308"/>
              <w:rPr>
                <w:sz w:val="24"/>
              </w:rPr>
            </w:pPr>
            <w:r>
              <w:rPr>
                <w:sz w:val="24"/>
              </w:rPr>
              <w:t>Obtain </w:t>
            </w:r>
            <w:r>
              <w:rPr>
                <w:strike/>
                <w:color w:val="2E97D3"/>
                <w:sz w:val="24"/>
              </w:rPr>
              <w:t>DOF</w:t>
            </w:r>
            <w:r>
              <w:rPr>
                <w:strike w:val="0"/>
                <w:color w:val="2E97D3"/>
                <w:sz w:val="24"/>
                <w:u w:val="single" w:color="2E97D3"/>
              </w:rPr>
              <w:t>Finance </w:t>
            </w:r>
            <w:r>
              <w:rPr>
                <w:strike w:val="0"/>
                <w:sz w:val="24"/>
              </w:rPr>
              <w:t>and STO concurrence on use of any potential surplus or excess bond funds.</w:t>
            </w:r>
          </w:p>
        </w:tc>
        <w:tc>
          <w:tcPr>
            <w:tcW w:w="1080" w:type="dxa"/>
          </w:tcPr>
          <w:p>
            <w:pPr>
              <w:pStyle w:val="TableParagraph"/>
              <w:spacing w:line="272" w:lineRule="exact"/>
              <w:ind w:left="86"/>
              <w:rPr>
                <w:sz w:val="24"/>
              </w:rPr>
            </w:pPr>
            <w:r>
              <w:rPr>
                <w:sz w:val="24"/>
              </w:rPr>
              <w:t>Maybe</w:t>
            </w:r>
          </w:p>
        </w:tc>
        <w:tc>
          <w:tcPr>
            <w:tcW w:w="1260" w:type="dxa"/>
          </w:tcPr>
          <w:p>
            <w:pPr>
              <w:pStyle w:val="TableParagraph"/>
              <w:spacing w:line="272" w:lineRule="exact"/>
              <w:ind w:left="86"/>
              <w:rPr>
                <w:sz w:val="24"/>
              </w:rPr>
            </w:pPr>
            <w:r>
              <w:rPr>
                <w:sz w:val="24"/>
              </w:rPr>
              <w:t>Yes</w:t>
            </w:r>
          </w:p>
        </w:tc>
        <w:tc>
          <w:tcPr>
            <w:tcW w:w="1260" w:type="dxa"/>
          </w:tcPr>
          <w:p>
            <w:pPr>
              <w:pStyle w:val="TableParagraph"/>
              <w:spacing w:line="272" w:lineRule="exact"/>
              <w:ind w:left="86"/>
              <w:rPr>
                <w:sz w:val="24"/>
              </w:rPr>
            </w:pPr>
            <w:r>
              <w:rPr>
                <w:sz w:val="24"/>
              </w:rPr>
              <w:t>Yes</w:t>
            </w:r>
          </w:p>
        </w:tc>
        <w:tc>
          <w:tcPr>
            <w:tcW w:w="1349" w:type="dxa"/>
          </w:tcPr>
          <w:p>
            <w:pPr>
              <w:pStyle w:val="TableParagraph"/>
              <w:spacing w:line="272" w:lineRule="exact"/>
              <w:ind w:left="86"/>
              <w:rPr>
                <w:sz w:val="24"/>
              </w:rPr>
            </w:pPr>
            <w:r>
              <w:rPr>
                <w:sz w:val="24"/>
              </w:rPr>
              <w:t>Yes</w:t>
            </w:r>
          </w:p>
        </w:tc>
        <w:tc>
          <w:tcPr>
            <w:tcW w:w="1531" w:type="dxa"/>
          </w:tcPr>
          <w:p>
            <w:pPr>
              <w:pStyle w:val="TableParagraph"/>
              <w:ind w:left="86" w:right="474"/>
              <w:rPr>
                <w:sz w:val="24"/>
              </w:rPr>
            </w:pPr>
            <w:r>
              <w:rPr>
                <w:sz w:val="24"/>
              </w:rPr>
              <w:t>See Sec 6876</w:t>
            </w:r>
          </w:p>
        </w:tc>
      </w:tr>
      <w:tr>
        <w:trPr>
          <w:trHeight w:val="598" w:hRule="exact"/>
        </w:trPr>
        <w:tc>
          <w:tcPr>
            <w:tcW w:w="7488" w:type="dxa"/>
          </w:tcPr>
          <w:p>
            <w:pPr>
              <w:pStyle w:val="TableParagraph"/>
              <w:ind w:left="86" w:right="335"/>
              <w:rPr>
                <w:sz w:val="24"/>
              </w:rPr>
            </w:pPr>
            <w:r>
              <w:rPr>
                <w:sz w:val="24"/>
              </w:rPr>
              <w:t>Repay interim financing from support appropriation if project is not completed.</w:t>
            </w:r>
          </w:p>
        </w:tc>
        <w:tc>
          <w:tcPr>
            <w:tcW w:w="1080" w:type="dxa"/>
          </w:tcPr>
          <w:p>
            <w:pPr>
              <w:pStyle w:val="TableParagraph"/>
              <w:spacing w:line="274" w:lineRule="exact"/>
              <w:ind w:left="86"/>
              <w:rPr>
                <w:sz w:val="24"/>
              </w:rPr>
            </w:pPr>
            <w:r>
              <w:rPr>
                <w:sz w:val="24"/>
              </w:rPr>
              <w:t>No</w:t>
            </w:r>
          </w:p>
        </w:tc>
        <w:tc>
          <w:tcPr>
            <w:tcW w:w="1260" w:type="dxa"/>
          </w:tcPr>
          <w:p>
            <w:pPr>
              <w:pStyle w:val="TableParagraph"/>
              <w:ind w:left="86" w:right="230"/>
              <w:rPr>
                <w:sz w:val="24"/>
              </w:rPr>
            </w:pPr>
            <w:r>
              <w:rPr>
                <w:sz w:val="24"/>
              </w:rPr>
              <w:t>If required</w:t>
            </w:r>
          </w:p>
        </w:tc>
        <w:tc>
          <w:tcPr>
            <w:tcW w:w="1260" w:type="dxa"/>
          </w:tcPr>
          <w:p>
            <w:pPr>
              <w:pStyle w:val="TableParagraph"/>
              <w:ind w:left="86" w:right="363"/>
              <w:rPr>
                <w:sz w:val="24"/>
              </w:rPr>
            </w:pPr>
            <w:r>
              <w:rPr>
                <w:sz w:val="24"/>
              </w:rPr>
              <w:t>Not usually</w:t>
            </w:r>
          </w:p>
        </w:tc>
        <w:tc>
          <w:tcPr>
            <w:tcW w:w="1349" w:type="dxa"/>
          </w:tcPr>
          <w:p>
            <w:pPr>
              <w:pStyle w:val="TableParagraph"/>
              <w:spacing w:line="274" w:lineRule="exact"/>
              <w:ind w:left="86"/>
              <w:rPr>
                <w:sz w:val="24"/>
              </w:rPr>
            </w:pPr>
            <w:r>
              <w:rPr>
                <w:sz w:val="24"/>
              </w:rPr>
              <w:t>No</w:t>
            </w:r>
          </w:p>
        </w:tc>
        <w:tc>
          <w:tcPr>
            <w:tcW w:w="1531" w:type="dxa"/>
          </w:tcPr>
          <w:p>
            <w:pPr>
              <w:pStyle w:val="TableParagraph"/>
              <w:spacing w:line="274" w:lineRule="exact"/>
              <w:ind w:left="86"/>
              <w:rPr>
                <w:sz w:val="24"/>
              </w:rPr>
            </w:pPr>
            <w:r>
              <w:rPr>
                <w:sz w:val="24"/>
              </w:rPr>
              <w:t>No</w:t>
            </w:r>
          </w:p>
        </w:tc>
      </w:tr>
    </w:tbl>
    <w:p>
      <w:pPr>
        <w:spacing w:after="0" w:line="274" w:lineRule="exact"/>
        <w:rPr>
          <w:sz w:val="24"/>
        </w:rPr>
        <w:sectPr>
          <w:footerReference w:type="default" r:id="rId356"/>
          <w:pgSz w:w="15840" w:h="12240" w:orient="landscape"/>
          <w:pgMar w:footer="1068" w:header="648" w:top="1000" w:bottom="1260" w:left="440" w:right="620"/>
        </w:sectPr>
      </w:pPr>
    </w:p>
    <w:p>
      <w:pPr>
        <w:pStyle w:val="BodyText"/>
        <w:rPr>
          <w:rFonts w:ascii="Times New Roman"/>
          <w:sz w:val="20"/>
        </w:rPr>
      </w:pPr>
      <w:r>
        <w:rPr/>
        <w:pict>
          <v:line style="position:absolute;mso-position-horizontal-relative:page;mso-position-vertical-relative:page;z-index:37168" from="27.360001pt,58.32pt" to="27.360001pt,84.12pt" stroked="true" strokeweight=".72pt" strokecolor="#000000">
            <v:stroke dashstyle="solid"/>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1"/>
        </w:rPr>
      </w:pPr>
    </w:p>
    <w:p>
      <w:pPr>
        <w:spacing w:before="92"/>
        <w:ind w:left="6792" w:right="5332" w:firstLine="0"/>
        <w:jc w:val="center"/>
        <w:rPr>
          <w:b/>
          <w:sz w:val="24"/>
        </w:rPr>
      </w:pPr>
      <w:r>
        <w:rPr>
          <w:b/>
          <w:sz w:val="24"/>
        </w:rPr>
        <w:t>Rev. 439</w:t>
      </w:r>
    </w:p>
    <w:p>
      <w:pPr>
        <w:spacing w:after="0"/>
        <w:jc w:val="center"/>
        <w:rPr>
          <w:sz w:val="24"/>
        </w:rPr>
        <w:sectPr>
          <w:footerReference w:type="default" r:id="rId357"/>
          <w:pgSz w:w="15840" w:h="12240" w:orient="landscape"/>
          <w:pgMar w:footer="0" w:header="648" w:top="1000" w:bottom="280" w:left="440" w:right="2260"/>
        </w:sectPr>
      </w:pPr>
    </w:p>
    <w:p>
      <w:pPr>
        <w:pStyle w:val="BodyText"/>
        <w:rPr>
          <w:b/>
          <w:sz w:val="20"/>
        </w:rPr>
      </w:pPr>
    </w:p>
    <w:p>
      <w:pPr>
        <w:tabs>
          <w:tab w:pos="9739" w:val="left" w:leader="none"/>
        </w:tabs>
        <w:spacing w:before="216"/>
        <w:ind w:left="640" w:right="0" w:firstLine="0"/>
        <w:jc w:val="left"/>
        <w:rPr>
          <w:b/>
          <w:sz w:val="24"/>
        </w:rPr>
      </w:pPr>
      <w:r>
        <w:rPr/>
        <w:pict>
          <v:line style="position:absolute;mso-position-horizontal-relative:page;mso-position-vertical-relative:paragraph;z-index:37192" from="26.76pt,24.81583pt" to="26.76pt,44.61583pt" stroked="true" strokeweight=".72pt" strokecolor="#000000">
            <v:stroke dashstyle="solid"/>
            <w10:wrap type="none"/>
          </v:line>
        </w:pict>
      </w:r>
      <w:r>
        <w:rPr>
          <w:b/>
          <w:sz w:val="24"/>
        </w:rPr>
        <w:t>BUDGET TREATMENT OF LEASE-REVENUE DEBT</w:t>
      </w:r>
      <w:r>
        <w:rPr>
          <w:b/>
          <w:spacing w:val="-16"/>
          <w:sz w:val="24"/>
        </w:rPr>
        <w:t> </w:t>
      </w:r>
      <w:r>
        <w:rPr>
          <w:b/>
          <w:sz w:val="24"/>
        </w:rPr>
        <w:t>SERVICE</w:t>
      </w:r>
      <w:r>
        <w:rPr>
          <w:b/>
          <w:spacing w:val="-6"/>
          <w:sz w:val="24"/>
        </w:rPr>
        <w:t> </w:t>
      </w:r>
      <w:r>
        <w:rPr>
          <w:b/>
          <w:sz w:val="24"/>
        </w:rPr>
        <w:t>PAYMENTS</w:t>
        <w:tab/>
        <w:t>6888</w:t>
      </w:r>
    </w:p>
    <w:p>
      <w:pPr>
        <w:pStyle w:val="BodyText"/>
        <w:ind w:left="640"/>
      </w:pPr>
      <w:r>
        <w:rPr/>
        <w:t>(</w:t>
      </w:r>
      <w:r>
        <w:rPr>
          <w:strike/>
          <w:color w:val="2E97D3"/>
        </w:rPr>
        <w:t>New 5/1998</w:t>
      </w:r>
      <w:r>
        <w:rPr>
          <w:strike w:val="0"/>
          <w:color w:val="2E97D3"/>
          <w:u w:val="single" w:color="2E97D3"/>
        </w:rPr>
        <w:t>Revised 9/2017</w:t>
      </w:r>
      <w:r>
        <w:rPr>
          <w:strike w:val="0"/>
        </w:rPr>
        <w:t>)</w:t>
      </w:r>
    </w:p>
    <w:p>
      <w:pPr>
        <w:pStyle w:val="BodyText"/>
        <w:spacing w:before="120"/>
        <w:ind w:left="640" w:right="234"/>
      </w:pPr>
      <w:r>
        <w:rPr/>
        <w:pict>
          <v:line style="position:absolute;mso-position-horizontal-relative:page;mso-position-vertical-relative:paragraph;z-index:37216" from="26.76pt,20.014854pt" to="26.76pt,33.815854pt" stroked="true" strokeweight=".72pt" strokecolor="#000000">
            <v:stroke dashstyle="solid"/>
            <w10:wrap type="none"/>
          </v:line>
        </w:pict>
      </w:r>
      <w:r>
        <w:rPr/>
        <w:t>The STO prepares a schedule annually of debt service payments for all programs with outstanding issuances. STO works with </w:t>
      </w:r>
      <w:r>
        <w:rPr>
          <w:strike/>
          <w:color w:val="2E97D3"/>
        </w:rPr>
        <w:t>client </w:t>
      </w:r>
      <w:r>
        <w:rPr>
          <w:strike w:val="0"/>
        </w:rPr>
        <w:t>departments and </w:t>
      </w:r>
      <w:r>
        <w:rPr>
          <w:strike/>
          <w:color w:val="2E97D3"/>
        </w:rPr>
        <w:t>DOF</w:t>
      </w:r>
      <w:r>
        <w:rPr>
          <w:strike w:val="0"/>
          <w:color w:val="2E97D3"/>
          <w:u w:val="single" w:color="2E97D3"/>
        </w:rPr>
        <w:t>Finance </w:t>
      </w:r>
      <w:r>
        <w:rPr>
          <w:strike w:val="0"/>
        </w:rPr>
        <w:t>to estimate debt service for any new programs (or additional issuances for existing programs) for the budget year. This information, in addition to administrative and insurance costs, is used to prepare the </w:t>
      </w:r>
      <w:r>
        <w:rPr>
          <w:i/>
          <w:strike w:val="0"/>
        </w:rPr>
        <w:t>Governor’s Budget </w:t>
      </w:r>
      <w:r>
        <w:rPr>
          <w:strike w:val="0"/>
        </w:rPr>
        <w:t>and the debt service payment items in the budget bill for lease-revenue projects.</w:t>
      </w:r>
    </w:p>
    <w:p>
      <w:pPr>
        <w:pStyle w:val="BodyText"/>
        <w:spacing w:before="119"/>
        <w:ind w:left="640"/>
      </w:pPr>
      <w:r>
        <w:rPr/>
        <w:pict>
          <v:line style="position:absolute;mso-position-horizontal-relative:page;mso-position-vertical-relative:paragraph;z-index:37240" from="26.76pt,6.165867pt" to="26.76pt,19.965867pt" stroked="true" strokeweight=".72pt" strokecolor="#000000">
            <v:stroke dashstyle="solid"/>
            <w10:wrap type="none"/>
          </v:line>
        </w:pict>
      </w:r>
      <w:r>
        <w:rPr/>
        <w:pict>
          <v:line style="position:absolute;mso-position-horizontal-relative:page;mso-position-vertical-relative:paragraph;z-index:37264" from="26.76pt,47.565868pt" to="26.76pt,61.365868pt" stroked="true" strokeweight=".72pt" strokecolor="#000000">
            <v:stroke dashstyle="solid"/>
            <w10:wrap type="none"/>
          </v:line>
        </w:pict>
      </w:r>
      <w:r>
        <w:rPr/>
        <w:t>Prior to budgeting annual debt service items, </w:t>
      </w:r>
      <w:r>
        <w:rPr>
          <w:strike/>
          <w:color w:val="2E97D3"/>
        </w:rPr>
        <w:t>DOF</w:t>
      </w:r>
      <w:r>
        <w:rPr>
          <w:strike w:val="0"/>
          <w:color w:val="2E97D3"/>
          <w:u w:val="single" w:color="2E97D3"/>
        </w:rPr>
        <w:t>Finance </w:t>
      </w:r>
      <w:r>
        <w:rPr>
          <w:strike w:val="0"/>
        </w:rPr>
        <w:t>reviews lease-revenue bond accounts to determine whether surplus bond funds are available (in advance of project completion) to schedule as reimbursements towards debt service, thereby reducing the net cost of the appropriation. The </w:t>
      </w:r>
      <w:r>
        <w:rPr>
          <w:strike/>
          <w:color w:val="2E97D3"/>
        </w:rPr>
        <w:t>client </w:t>
      </w:r>
      <w:r>
        <w:rPr>
          <w:strike w:val="0"/>
        </w:rPr>
        <w:t>department is required to maintain a forecast of project cash flow needs and budget requirements to assist in these tasks.</w:t>
      </w:r>
    </w:p>
    <w:p>
      <w:pPr>
        <w:spacing w:after="0"/>
        <w:sectPr>
          <w:headerReference w:type="default" r:id="rId358"/>
          <w:footerReference w:type="default" r:id="rId359"/>
          <w:pgSz w:w="12240" w:h="15840"/>
          <w:pgMar w:header="726" w:footer="726" w:top="980" w:bottom="920" w:left="420" w:right="1360"/>
        </w:sectPr>
      </w:pPr>
    </w:p>
    <w:p>
      <w:pPr>
        <w:pStyle w:val="Heading2"/>
        <w:spacing w:line="268" w:lineRule="exact"/>
        <w:ind w:left="640"/>
      </w:pPr>
      <w:r>
        <w:rPr/>
        <w:t>GLOSSARY AND INDEX FOR CAPITAL OUTLAY</w:t>
      </w:r>
    </w:p>
    <w:p>
      <w:pPr>
        <w:tabs>
          <w:tab w:pos="9847" w:val="left" w:leader="none"/>
        </w:tabs>
        <w:spacing w:before="0"/>
        <w:ind w:left="640" w:right="0" w:firstLine="0"/>
        <w:jc w:val="left"/>
        <w:rPr>
          <w:b/>
          <w:sz w:val="24"/>
        </w:rPr>
      </w:pPr>
      <w:r>
        <w:rPr/>
        <w:pict>
          <v:line style="position:absolute;mso-position-horizontal-relative:page;mso-position-vertical-relative:paragraph;z-index:37888" from="26.76pt,14.015842pt" to="26.76pt,53.615842pt" stroked="true" strokeweight=".72pt" strokecolor="#000000">
            <v:stroke dashstyle="solid"/>
            <w10:wrap type="none"/>
          </v:line>
        </w:pict>
      </w:r>
      <w:r>
        <w:rPr>
          <w:b/>
          <w:sz w:val="24"/>
        </w:rPr>
        <w:t>TERMINOLOGY</w:t>
      </w:r>
      <w:r>
        <w:rPr>
          <w:b/>
          <w:spacing w:val="-3"/>
          <w:sz w:val="24"/>
        </w:rPr>
        <w:t> </w:t>
      </w:r>
      <w:r>
        <w:rPr>
          <w:b/>
          <w:sz w:val="24"/>
        </w:rPr>
        <w:t>AND</w:t>
      </w:r>
      <w:r>
        <w:rPr>
          <w:b/>
          <w:spacing w:val="-4"/>
          <w:sz w:val="24"/>
        </w:rPr>
        <w:t> </w:t>
      </w:r>
      <w:r>
        <w:rPr>
          <w:b/>
          <w:sz w:val="24"/>
        </w:rPr>
        <w:t>FORMS</w:t>
        <w:tab/>
        <w:t>6899</w:t>
      </w:r>
    </w:p>
    <w:p>
      <w:pPr>
        <w:pStyle w:val="BodyText"/>
        <w:ind w:left="640"/>
      </w:pPr>
      <w:r>
        <w:rPr/>
        <w:t>(</w:t>
      </w:r>
      <w:r>
        <w:rPr>
          <w:strike/>
          <w:color w:val="2E97D3"/>
        </w:rPr>
        <w:t>New 5/1998</w:t>
      </w:r>
      <w:r>
        <w:rPr>
          <w:strike w:val="0"/>
          <w:color w:val="2E97D3"/>
          <w:u w:val="single" w:color="2E97D3"/>
        </w:rPr>
        <w:t>Revised 09/2017</w:t>
      </w:r>
      <w:r>
        <w:rPr>
          <w:strike w:val="0"/>
        </w:rPr>
        <w:t>)</w:t>
      </w:r>
    </w:p>
    <w:p>
      <w:pPr>
        <w:pStyle w:val="BodyText"/>
        <w:spacing w:before="10"/>
        <w:rPr>
          <w:sz w:val="20"/>
        </w:rPr>
      </w:pPr>
    </w:p>
    <w:p>
      <w:pPr>
        <w:pStyle w:val="BodyText"/>
        <w:ind w:left="640"/>
      </w:pPr>
      <w:r>
        <w:rPr/>
        <w:pict>
          <v:line style="position:absolute;mso-position-horizontal-relative:page;mso-position-vertical-relative:paragraph;z-index:-435352" from="492.720001pt,8.435866pt" to="495.960001pt,8.435866pt" stroked="true" strokeweight=".6pt" strokecolor="#2e97d3">
            <v:stroke dashstyle="solid"/>
            <w10:wrap type="none"/>
          </v:line>
        </w:pict>
      </w:r>
      <w:r>
        <w:rPr/>
        <w:t>The following definitions and discussions clarify capital outlay and financing terms. These definitions are only a guide; statutory definitions and context take precedence.</w:t>
      </w:r>
    </w:p>
    <w:p>
      <w:pPr>
        <w:pStyle w:val="BodyText"/>
        <w:ind w:left="107"/>
        <w:rPr>
          <w:sz w:val="20"/>
        </w:rPr>
      </w:pPr>
      <w:r>
        <w:rPr>
          <w:sz w:val="20"/>
        </w:rPr>
        <w:pict>
          <v:group style="width:.75pt;height:12.75pt;mso-position-horizontal-relative:char;mso-position-vertical-relative:line" coordorigin="0,0" coordsize="15,255">
            <v:line style="position:absolute" from="8,8" to="8,248" stroked="true" strokeweight=".72pt" strokecolor="#000000">
              <v:stroke dashstyle="solid"/>
            </v:line>
          </v:group>
        </w:pict>
      </w:r>
      <w:r>
        <w:rPr>
          <w:sz w:val="20"/>
        </w:rPr>
      </w:r>
    </w:p>
    <w:p>
      <w:pPr>
        <w:pStyle w:val="BodyText"/>
        <w:ind w:left="640"/>
      </w:pPr>
      <w:r>
        <w:rPr/>
        <w:pict>
          <v:line style="position:absolute;mso-position-horizontal-relative:page;mso-position-vertical-relative:paragraph;z-index:37912" from="26.76pt,14.01583pt" to="26.76pt,136.41583pt" stroked="true" strokeweight=".72pt" strokecolor="#000000">
            <v:stroke dashstyle="solid"/>
            <w10:wrap type="none"/>
          </v:line>
        </w:pict>
      </w:r>
      <w:bookmarkStart w:name="20-day letters/ notifications:  A notifi" w:id="141"/>
      <w:bookmarkEnd w:id="141"/>
      <w:r>
        <w:rPr/>
      </w:r>
      <w:r>
        <w:rPr>
          <w:b/>
        </w:rPr>
        <w:t>20-day letters/ notifications</w:t>
      </w:r>
      <w:r>
        <w:rPr/>
        <w:t>: A notification to the Legislature that a project is proposed for </w:t>
      </w:r>
      <w:r>
        <w:rPr>
          <w:strike/>
          <w:color w:val="2E97D3"/>
        </w:rPr>
        <w:t>either </w:t>
      </w:r>
      <w:r>
        <w:rPr>
          <w:strike w:val="0"/>
        </w:rPr>
        <w:t>an augmentation between 10 and 20 percent, </w:t>
      </w:r>
      <w:r>
        <w:rPr>
          <w:strike/>
          <w:color w:val="2E97D3"/>
        </w:rPr>
        <w:t>or </w:t>
      </w:r>
      <w:r>
        <w:rPr>
          <w:strike w:val="0"/>
        </w:rPr>
        <w:t>a scope change</w:t>
      </w:r>
      <w:r>
        <w:rPr>
          <w:strike/>
          <w:color w:val="2E97D3"/>
        </w:rPr>
        <w:t>. </w:t>
      </w:r>
      <w:r>
        <w:rPr>
          <w:strike w:val="0"/>
          <w:color w:val="2E97D3"/>
          <w:u w:val="single" w:color="2E97D3"/>
        </w:rPr>
        <w:t>, or other specific circumstances. </w:t>
      </w:r>
      <w:r>
        <w:rPr>
          <w:strike w:val="0"/>
        </w:rPr>
        <w:t>Section 6861, </w:t>
      </w:r>
      <w:r>
        <w:rPr>
          <w:strike/>
          <w:color w:val="2E97D3"/>
        </w:rPr>
        <w:t>augmentations. </w:t>
      </w:r>
      <w:r>
        <w:rPr>
          <w:strike w:val="0"/>
          <w:color w:val="2E97D3"/>
          <w:u w:val="single" w:color="2E97D3"/>
        </w:rPr>
        <w:t>(“Augmentations”),; </w:t>
      </w:r>
      <w:r>
        <w:rPr>
          <w:strike w:val="0"/>
        </w:rPr>
        <w:t>Section 6863, </w:t>
      </w:r>
      <w:r>
        <w:rPr>
          <w:strike/>
          <w:color w:val="2E97D3"/>
        </w:rPr>
        <w:t>scope changes. </w:t>
      </w:r>
      <w:r>
        <w:rPr>
          <w:strike w:val="0"/>
          <w:color w:val="2E97D3"/>
          <w:u w:val="single" w:color="2E97D3"/>
        </w:rPr>
        <w:t>(“Scope Changes”); and </w:t>
      </w:r>
      <w:r>
        <w:rPr>
          <w:strike w:val="0"/>
        </w:rPr>
        <w:t>Section 6844, </w:t>
      </w:r>
      <w:r>
        <w:rPr>
          <w:strike/>
          <w:color w:val="2E97D3"/>
        </w:rPr>
        <w:t>PWB processing requirements.</w:t>
      </w:r>
      <w:r>
        <w:rPr>
          <w:strike w:val="0"/>
          <w:color w:val="2E97D3"/>
          <w:u w:val="single" w:color="2E97D3"/>
        </w:rPr>
        <w:t>(“Monthly Public Works Board Process”).</w:t>
      </w:r>
    </w:p>
    <w:p>
      <w:pPr>
        <w:pStyle w:val="BodyText"/>
        <w:spacing w:before="120"/>
        <w:ind w:left="640" w:right="117"/>
        <w:jc w:val="both"/>
      </w:pPr>
      <w:r>
        <w:rPr/>
        <w:pict>
          <v:line style="position:absolute;mso-position-horizontal-relative:page;mso-position-vertical-relative:paragraph;z-index:-435328" from="476.160004pt,28.23633pt" to="480.719004pt,28.23633pt" stroked="true" strokeweight=".599pt" strokecolor="#2e97d3">
            <v:stroke dashstyle="solid"/>
            <w10:wrap type="none"/>
          </v:line>
        </w:pict>
      </w:r>
      <w:r>
        <w:rPr/>
        <w:pict>
          <v:line style="position:absolute;mso-position-horizontal-relative:page;mso-position-vertical-relative:paragraph;z-index:-435304" from="324pt,42.035831pt" to="327.36pt,42.035831pt" stroked="true" strokeweight=".6pt" strokecolor="#2e97d3">
            <v:stroke dashstyle="solid"/>
            <w10:wrap type="none"/>
          </v:line>
        </w:pict>
      </w:r>
      <w:r>
        <w:rPr>
          <w:b/>
        </w:rPr>
        <w:t>Additional costs within appropriation</w:t>
      </w:r>
      <w:r>
        <w:rPr/>
        <w:t>: </w:t>
      </w:r>
      <w:r>
        <w:rPr>
          <w:color w:val="2E97D3"/>
          <w:u w:val="single" w:color="2E97D3"/>
        </w:rPr>
        <w:t>The </w:t>
      </w:r>
      <w:r>
        <w:rPr/>
        <w:t>PWB may approve additional project costs within the approved appropriation if there are bid savings to cover the costs. This action normally takes place within the construction phase.  Section 6861.</w:t>
      </w:r>
    </w:p>
    <w:p>
      <w:pPr>
        <w:pStyle w:val="BodyText"/>
        <w:spacing w:line="237" w:lineRule="auto" w:before="122"/>
        <w:ind w:left="640" w:right="568"/>
      </w:pPr>
      <w:r>
        <w:rPr/>
        <w:pict>
          <v:line style="position:absolute;mso-position-horizontal-relative:page;mso-position-vertical-relative:paragraph;z-index:-435280" from="185.160004pt,14.423308pt" to="188.521004pt,14.423308pt" stroked="true" strokeweight=".6pt" strokecolor="#2e97d3">
            <v:stroke dashstyle="solid"/>
            <w10:wrap type="none"/>
          </v:line>
        </w:pict>
      </w:r>
      <w:r>
        <w:rPr/>
        <w:pict>
          <v:line style="position:absolute;mso-position-horizontal-relative:page;mso-position-vertical-relative:paragraph;z-index:-435256" from="313.920013pt,42.023808pt" to="317.280013pt,42.023808pt" stroked="true" strokeweight=".599pt" strokecolor="#2e97d3">
            <v:stroke dashstyle="solid"/>
            <w10:wrap type="none"/>
          </v:line>
        </w:pict>
      </w:r>
      <w:r>
        <w:rPr/>
        <w:pict>
          <v:line style="position:absolute;mso-position-horizontal-relative:page;mso-position-vertical-relative:paragraph;z-index:37936" from="26.76pt,33.803307pt" to="26.76pt,257.003307pt" stroked="true" strokeweight=".72pt" strokecolor="#000000">
            <v:stroke dashstyle="solid"/>
            <w10:wrap type="none"/>
          </v:line>
        </w:pict>
      </w:r>
      <w:r>
        <w:rPr>
          <w:b/>
        </w:rPr>
        <w:t>Agency-retained items</w:t>
      </w:r>
      <w:r>
        <w:rPr/>
        <w:t>: Project elements which the department rather than the architect/engineer or contractor provides. Typical examples include equipment, moving, easements, installation, resource protection, etc. Section 6818, requirements related to COBCPs.  Approval process uses a DF-14D form (see following </w:t>
      </w:r>
      <w:r>
        <w:rPr>
          <w:i/>
        </w:rPr>
        <w:t>forms</w:t>
      </w:r>
      <w:r>
        <w:rPr/>
        <w:t>).</w:t>
      </w:r>
    </w:p>
    <w:p>
      <w:pPr>
        <w:pStyle w:val="BodyText"/>
        <w:spacing w:before="125"/>
        <w:ind w:left="640" w:right="261"/>
      </w:pPr>
      <w:r>
        <w:rPr/>
        <w:pict>
          <v:line style="position:absolute;mso-position-horizontal-relative:page;mso-position-vertical-relative:paragraph;z-index:-435232" from="136.440002pt,14.685855pt" to="139.800002pt,14.685855pt" stroked="true" strokeweight=".6pt" strokecolor="#2e97d3">
            <v:stroke dashstyle="solid"/>
            <w10:wrap type="none"/>
          </v:line>
        </w:pict>
      </w:r>
      <w:r>
        <w:rPr/>
        <w:pict>
          <v:line style="position:absolute;mso-position-horizontal-relative:page;mso-position-vertical-relative:paragraph;z-index:-435208" from="396pt,28.485855pt" to="399.36pt,28.485855pt" stroked="true" strokeweight=".6pt" strokecolor="#2e97d3">
            <v:stroke dashstyle="solid"/>
            <w10:wrap type="none"/>
          </v:line>
        </w:pict>
      </w:r>
      <w:r>
        <w:rPr>
          <w:b/>
        </w:rPr>
        <w:t>Agent for sale</w:t>
      </w:r>
      <w:r>
        <w:rPr/>
        <w:t>: The entity providing sales services for the bonds on behalf of the issuer; for state and JPA issuances, this is the State Treasurer’s Office.  Sections 6805 and 6880.</w:t>
      </w:r>
    </w:p>
    <w:p>
      <w:pPr>
        <w:spacing w:before="120"/>
        <w:ind w:left="640" w:right="491" w:firstLine="0"/>
        <w:jc w:val="both"/>
        <w:rPr>
          <w:sz w:val="24"/>
        </w:rPr>
      </w:pPr>
      <w:r>
        <w:rPr/>
        <w:pict>
          <v:line style="position:absolute;mso-position-horizontal-relative:page;mso-position-vertical-relative:paragraph;z-index:-435184" from="119.760002pt,14.435848pt" to="123.599002pt,14.435848pt" stroked="true" strokeweight=".6pt" strokecolor="#2e97d3">
            <v:stroke dashstyle="solid"/>
            <w10:wrap type="none"/>
          </v:line>
        </w:pict>
      </w:r>
      <w:r>
        <w:rPr/>
        <w:pict>
          <v:line style="position:absolute;mso-position-horizontal-relative:page;mso-position-vertical-relative:paragraph;z-index:-435160" from="394.200012pt,28.236349pt" to="397.920012pt,28.236349pt" stroked="true" strokeweight=".599pt" strokecolor="#2e97d3">
            <v:stroke dashstyle="solid"/>
            <w10:wrap type="none"/>
          </v:line>
        </w:pict>
      </w:r>
      <w:r>
        <w:rPr/>
        <w:pict>
          <v:line style="position:absolute;mso-position-horizontal-relative:page;mso-position-vertical-relative:paragraph;z-index:-435136" from="346.200012pt,55.83585pt" to="349.560012pt,55.83585pt" stroked="true" strokeweight=".6pt" strokecolor="#2e97d3">
            <v:stroke dashstyle="solid"/>
            <w10:wrap type="none"/>
          </v:line>
        </w:pict>
      </w:r>
      <w:r>
        <w:rPr>
          <w:b/>
          <w:sz w:val="24"/>
        </w:rPr>
        <w:t>Alterations: </w:t>
      </w:r>
      <w:r>
        <w:rPr>
          <w:sz w:val="24"/>
        </w:rPr>
        <w:t>Any modification of existing space (buildings, structures or other facilities) that changes the use as to function, layout, capacity, or quality. Must be budgeted as a capital outlay expenditure; for exceptions, see Section </w:t>
      </w:r>
      <w:r>
        <w:rPr>
          <w:color w:val="2E97D3"/>
          <w:sz w:val="24"/>
          <w:u w:val="single" w:color="2E97D3"/>
        </w:rPr>
        <w:t>6806  (“</w:t>
      </w:r>
      <w:hyperlink r:id="rId360">
        <w:r>
          <w:rPr>
            <w:color w:val="2E97D3"/>
            <w:sz w:val="22"/>
            <w:u w:val="single" w:color="2E97D3"/>
          </w:rPr>
          <w:t>Capital  Outlay  Versus</w:t>
        </w:r>
      </w:hyperlink>
      <w:r>
        <w:rPr>
          <w:color w:val="2E97D3"/>
          <w:sz w:val="22"/>
          <w:u w:val="single" w:color="2E97D3"/>
        </w:rPr>
        <w:t> </w:t>
      </w:r>
      <w:hyperlink r:id="rId360">
        <w:r>
          <w:rPr>
            <w:color w:val="2E97D3"/>
            <w:sz w:val="22"/>
            <w:u w:val="single" w:color="2E97D3"/>
          </w:rPr>
          <w:t>State Operations and Local Assistance</w:t>
        </w:r>
      </w:hyperlink>
      <w:r>
        <w:rPr>
          <w:color w:val="2E97D3"/>
          <w:sz w:val="22"/>
          <w:u w:val="single" w:color="2E97D3"/>
        </w:rPr>
        <w:t>“) </w:t>
      </w:r>
      <w:r>
        <w:rPr>
          <w:color w:val="2E97D3"/>
          <w:sz w:val="24"/>
          <w:u w:val="single" w:color="2E97D3"/>
        </w:rPr>
        <w:t>and Section </w:t>
      </w:r>
      <w:r>
        <w:rPr>
          <w:sz w:val="24"/>
        </w:rPr>
        <w:t>6807</w:t>
      </w:r>
      <w:r>
        <w:rPr>
          <w:color w:val="2E97D3"/>
          <w:sz w:val="24"/>
        </w:rPr>
        <w:t>.</w:t>
      </w:r>
      <w:r>
        <w:rPr>
          <w:color w:val="2E97D3"/>
          <w:sz w:val="24"/>
          <w:u w:val="single" w:color="2E97D3"/>
        </w:rPr>
        <w:t>(“Minor Capital Outlay”).</w:t>
      </w:r>
    </w:p>
    <w:p>
      <w:pPr>
        <w:spacing w:before="115"/>
        <w:ind w:left="640" w:right="0" w:firstLine="0"/>
        <w:jc w:val="left"/>
        <w:rPr>
          <w:sz w:val="24"/>
        </w:rPr>
      </w:pPr>
      <w:r>
        <w:rPr/>
        <w:pict>
          <v:line style="position:absolute;mso-position-horizontal-relative:page;mso-position-vertical-relative:paragraph;z-index:-435112" from="164.520004pt,14.186357pt" to="167.760004pt,14.186357pt" stroked="true" strokeweight=".599pt" strokecolor="#2e97d3">
            <v:stroke dashstyle="solid"/>
            <w10:wrap type="none"/>
          </v:line>
        </w:pict>
      </w:r>
      <w:r>
        <w:rPr>
          <w:b/>
          <w:sz w:val="24"/>
        </w:rPr>
        <w:t>Anticipated deficit:  </w:t>
      </w:r>
      <w:r>
        <w:rPr>
          <w:sz w:val="24"/>
        </w:rPr>
        <w:t>See </w:t>
      </w:r>
      <w:r>
        <w:rPr>
          <w:i/>
          <w:sz w:val="24"/>
        </w:rPr>
        <w:t>recognized anticipated deficit</w:t>
      </w:r>
      <w:r>
        <w:rPr>
          <w:sz w:val="24"/>
        </w:rPr>
        <w:t>.</w:t>
      </w:r>
    </w:p>
    <w:p>
      <w:pPr>
        <w:pStyle w:val="BodyText"/>
        <w:spacing w:before="124"/>
        <w:ind w:left="640"/>
      </w:pPr>
      <w:r>
        <w:rPr/>
        <w:pict>
          <v:line style="position:absolute;mso-position-horizontal-relative:page;mso-position-vertical-relative:paragraph;z-index:-435088" from="109.68pt,14.635848pt" to="113.04pt,14.635848pt" stroked="true" strokeweight=".6pt" strokecolor="#2e97d3">
            <v:stroke dashstyle="solid"/>
            <w10:wrap type="none"/>
          </v:line>
        </w:pict>
      </w:r>
      <w:r>
        <w:rPr/>
        <w:pict>
          <v:line style="position:absolute;mso-position-horizontal-relative:page;mso-position-vertical-relative:paragraph;z-index:-435064" from="197.880005pt,28.436348pt" to="201.240005pt,28.436348pt" stroked="true" strokeweight=".599pt" strokecolor="#2e97d3">
            <v:stroke dashstyle="solid"/>
            <w10:wrap type="none"/>
          </v:line>
        </w:pict>
      </w:r>
      <w:r>
        <w:rPr>
          <w:b/>
        </w:rPr>
        <w:t>Arbitrage</w:t>
      </w:r>
      <w:r>
        <w:rPr/>
        <w:t>: Interest earnings on the investment of bond proceeds that result in a return in excess of borrowing costs.  Section 6873.</w:t>
      </w:r>
    </w:p>
    <w:p>
      <w:pPr>
        <w:pStyle w:val="BodyText"/>
        <w:spacing w:before="119"/>
        <w:ind w:left="640" w:right="342"/>
      </w:pPr>
      <w:r>
        <w:rPr/>
        <w:pict>
          <v:line style="position:absolute;mso-position-horizontal-relative:page;mso-position-vertical-relative:paragraph;z-index:-435040" from="165.839996pt,14.386373pt" to="169.079996pt,14.386373pt" stroked="true" strokeweight=".599pt" strokecolor="#2e97d3">
            <v:stroke dashstyle="solid"/>
            <w10:wrap type="none"/>
          </v:line>
        </w:pict>
      </w:r>
      <w:r>
        <w:rPr/>
        <w:pict>
          <v:line style="position:absolute;mso-position-horizontal-relative:page;mso-position-vertical-relative:paragraph;z-index:-435016" from="169.919998pt,28.185873pt" to="173.159998pt,28.185873pt" stroked="true" strokeweight=".6pt" strokecolor="#2e97d3">
            <v:stroke dashstyle="solid"/>
            <w10:wrap type="none"/>
          </v:line>
        </w:pict>
      </w:r>
      <w:r>
        <w:rPr>
          <w:b/>
        </w:rPr>
        <w:t>Architect/engineer: </w:t>
      </w:r>
      <w:r>
        <w:rPr/>
        <w:t>Usually design work is done under the general direction of a professional architect. However, for very technical work (e.g., electrical upgrading, personal alarm systems, etc.), the lead may be assumed by an engineer.</w:t>
      </w:r>
    </w:p>
    <w:p>
      <w:pPr>
        <w:pStyle w:val="BodyText"/>
        <w:ind w:left="640" w:right="302"/>
      </w:pPr>
      <w:r>
        <w:rPr/>
        <w:pict>
          <v:line style="position:absolute;mso-position-horizontal-relative:page;mso-position-vertical-relative:paragraph;z-index:-434992" from="164.520004pt,22.235863pt" to="167.760004pt,22.235863pt" stroked="true" strokeweight=".6pt" strokecolor="#2e97d3">
            <v:stroke dashstyle="solid"/>
            <w10:wrap type="none"/>
          </v:line>
        </w:pict>
      </w:r>
      <w:r>
        <w:rPr/>
        <w:pict>
          <v:line style="position:absolute;mso-position-horizontal-relative:page;mso-position-vertical-relative:paragraph;z-index:37960" from="26.76pt,14.015863pt" to="26.76pt,89.015863pt" stroked="true" strokeweight=".72pt" strokecolor="#000000">
            <v:stroke dashstyle="solid"/>
            <w10:wrap type="none"/>
          </v:line>
        </w:pict>
      </w:r>
      <w:r>
        <w:rPr/>
        <w:t>Architect/engineer services are provided by DGS or through contracts with approved firms in the private sector. Certain departments </w:t>
      </w:r>
      <w:r>
        <w:rPr>
          <w:strike/>
          <w:color w:val="2E97D3"/>
        </w:rPr>
        <w:t>(such as the higher education segments) </w:t>
      </w:r>
      <w:r>
        <w:rPr>
          <w:strike w:val="0"/>
        </w:rPr>
        <w:t>are authorized to secure these services directly</w:t>
      </w:r>
      <w:r>
        <w:rPr>
          <w:strike/>
          <w:color w:val="2E97D3"/>
        </w:rPr>
        <w:t>.  </w:t>
      </w:r>
      <w:r>
        <w:rPr>
          <w:strike w:val="0"/>
          <w:color w:val="2E97D3"/>
          <w:u w:val="single" w:color="2E97D3"/>
        </w:rPr>
        <w:t>by statute.</w:t>
      </w:r>
    </w:p>
    <w:p>
      <w:pPr>
        <w:pStyle w:val="BodyText"/>
        <w:spacing w:before="120"/>
        <w:ind w:left="640" w:right="342"/>
      </w:pPr>
      <w:r>
        <w:rPr/>
        <w:pict>
          <v:line style="position:absolute;mso-position-horizontal-relative:page;mso-position-vertical-relative:paragraph;z-index:-434968" from="219.839996pt,19.175854pt" to="223.199996pt,19.175854pt" stroked="true" strokeweight="1.2pt" strokecolor="#2e97d3">
            <v:stroke dashstyle="solid"/>
            <w10:wrap type="none"/>
          </v:line>
        </w:pict>
      </w:r>
      <w:r>
        <w:rPr/>
        <w:pict>
          <v:line style="position:absolute;mso-position-horizontal-relative:page;mso-position-vertical-relative:paragraph;z-index:-434944" from="291.119995pt,14.435855pt" to="294.359995pt,14.435855pt" stroked="true" strokeweight=".6pt" strokecolor="#2e97d3">
            <v:stroke dashstyle="solid"/>
            <w10:wrap type="none"/>
          </v:line>
        </w:pict>
      </w:r>
      <w:r>
        <w:rPr/>
        <w:pict>
          <v:line style="position:absolute;mso-position-horizontal-relative:page;mso-position-vertical-relative:paragraph;z-index:-434920" from="214.559998pt,28.236355pt" to="217.799998pt,28.236355pt" stroked="true" strokeweight=".599pt" strokecolor="#2e97d3">
            <v:stroke dashstyle="solid"/>
            <w10:wrap type="none"/>
          </v:line>
        </w:pict>
      </w:r>
      <w:r>
        <w:rPr/>
        <w:pict>
          <v:line style="position:absolute;mso-position-horizontal-relative:page;mso-position-vertical-relative:paragraph;z-index:-434896" from="214.440002pt,42.035854pt" to="217.800002pt,42.035854pt" stroked="true" strokeweight=".6pt" strokecolor="#2e97d3">
            <v:stroke dashstyle="solid"/>
            <w10:wrap type="none"/>
          </v:line>
        </w:pict>
      </w:r>
      <w:r>
        <w:rPr/>
        <w:pict>
          <v:line style="position:absolute;mso-position-horizontal-relative:page;mso-position-vertical-relative:paragraph;z-index:-434872" from="231.119995pt,69.636353pt" to="234.479995pt,69.636353pt" stroked="true" strokeweight=".599pt" strokecolor="#2e97d3">
            <v:stroke dashstyle="solid"/>
            <w10:wrap type="none"/>
          </v:line>
        </w:pict>
      </w:r>
      <w:r>
        <w:rPr/>
        <w:pict>
          <v:line style="position:absolute;mso-position-horizontal-relative:page;mso-position-vertical-relative:paragraph;z-index:-434848" from="263.279999pt,97.235855pt" to="266.640999pt,97.235855pt" stroked="true" strokeweight=".6pt" strokecolor="#2e97d3">
            <v:stroke dashstyle="solid"/>
            <w10:wrap type="none"/>
          </v:line>
        </w:pict>
      </w:r>
      <w:r>
        <w:rPr/>
        <w:pict>
          <v:line style="position:absolute;mso-position-horizontal-relative:page;mso-position-vertical-relative:paragraph;z-index:37984" from="26.76pt,61.415855pt" to="26.76pt,75.215855pt" stroked="true" strokeweight=".72pt" strokecolor="#000000">
            <v:stroke dashstyle="solid"/>
            <w10:wrap type="none"/>
          </v:line>
        </w:pict>
      </w:r>
      <w:r>
        <w:rPr/>
        <w:pict>
          <v:line style="position:absolute;mso-position-horizontal-relative:page;mso-position-vertical-relative:paragraph;z-index:38008" from="26.76pt,89.015854pt" to="26.76pt,150.215854pt" stroked="true" strokeweight=".72pt" strokecolor="#000000">
            <v:stroke dashstyle="solid"/>
            <w10:wrap type="none"/>
          </v:line>
        </w:pict>
      </w:r>
      <w:r>
        <w:rPr>
          <w:b/>
        </w:rPr>
        <w:t>Architecture and engineering (A&amp;E) fees: </w:t>
      </w:r>
      <w:r>
        <w:rPr/>
        <w:t>Fees (basic and nonbasic) charged for architectural and engineering. These fees could be internal to the department or for external professional services. Items include professional charges for A&amp;E construction management support that are project-related, such as construction inspection, travel, bidding expenses, and drawings. Depending on the nature of the project, A&amp;E fees typically do not exceed 13 percent of the proposed construction contract amounts (excluding construction contingencies). See Section 6818 for requirements related to COBCPs.</w:t>
      </w:r>
    </w:p>
    <w:p>
      <w:pPr>
        <w:spacing w:before="119"/>
        <w:ind w:left="640" w:right="208" w:firstLine="0"/>
        <w:jc w:val="left"/>
        <w:rPr>
          <w:sz w:val="24"/>
        </w:rPr>
      </w:pPr>
      <w:r>
        <w:rPr/>
        <w:pict>
          <v:line style="position:absolute;mso-position-horizontal-relative:page;mso-position-vertical-relative:paragraph;z-index:-434824" from="263.640015pt,14.38636pt" to="267.001015pt,14.38636pt" stroked="true" strokeweight=".599pt" strokecolor="#2e97d3">
            <v:stroke dashstyle="solid"/>
            <w10:wrap type="none"/>
          </v:line>
        </w:pict>
      </w:r>
      <w:r>
        <w:rPr/>
        <w:pict>
          <v:line style="position:absolute;mso-position-horizontal-relative:page;mso-position-vertical-relative:paragraph;z-index:-434800" from="169.199997pt,28.18586pt" to="172.439997pt,28.18586pt" stroked="true" strokeweight=".6pt" strokecolor="#2e97d3">
            <v:stroke dashstyle="solid"/>
            <w10:wrap type="none"/>
          </v:line>
        </w:pict>
      </w:r>
      <w:r>
        <w:rPr>
          <w:b/>
          <w:sz w:val="24"/>
        </w:rPr>
        <w:t>Architectural Revolving Fund (ARF):  </w:t>
      </w:r>
      <w:r>
        <w:rPr>
          <w:sz w:val="24"/>
        </w:rPr>
        <w:t>A DGS non-governmental cost fund used for project management.  Client departments transfer project monies to DGS which are held in</w:t>
      </w:r>
    </w:p>
    <w:p>
      <w:pPr>
        <w:spacing w:after="0"/>
        <w:jc w:val="left"/>
        <w:rPr>
          <w:sz w:val="24"/>
        </w:rPr>
        <w:sectPr>
          <w:pgSz w:w="12240" w:h="15840"/>
          <w:pgMar w:header="726" w:footer="726" w:top="1440" w:bottom="980" w:left="420" w:right="1320"/>
        </w:sectPr>
      </w:pPr>
    </w:p>
    <w:p>
      <w:pPr>
        <w:pStyle w:val="BodyText"/>
        <w:spacing w:line="343" w:lineRule="auto" w:before="173"/>
        <w:ind w:left="640" w:right="5344"/>
      </w:pPr>
      <w:r>
        <w:rPr/>
        <w:pict>
          <v:line style="position:absolute;mso-position-horizontal-relative:page;mso-position-vertical-relative:paragraph;z-index:38032" from="26.76pt,8.865884pt" to="26.76pt,22.545884pt" stroked="true" strokeweight=".72pt" strokecolor="#000000">
            <v:stroke dashstyle="solid"/>
            <w10:wrap type="none"/>
          </v:line>
        </w:pict>
      </w:r>
      <w:r>
        <w:rPr/>
        <w:t>this account. Section 6868. (Continued)</w:t>
      </w:r>
    </w:p>
    <w:p>
      <w:pPr>
        <w:spacing w:after="0" w:line="343" w:lineRule="auto"/>
        <w:sectPr>
          <w:pgSz w:w="12240" w:h="15840"/>
          <w:pgMar w:header="726" w:footer="726" w:top="980" w:bottom="980" w:left="420" w:right="1720"/>
        </w:sectPr>
      </w:pPr>
    </w:p>
    <w:p>
      <w:pPr>
        <w:pStyle w:val="BodyText"/>
        <w:spacing w:before="4"/>
        <w:rPr>
          <w:sz w:val="10"/>
        </w:rPr>
      </w:pPr>
    </w:p>
    <w:p>
      <w:pPr>
        <w:pStyle w:val="Heading2"/>
        <w:spacing w:before="92"/>
        <w:ind w:left="640"/>
      </w:pPr>
      <w:r>
        <w:rPr/>
        <w:pict>
          <v:line style="position:absolute;mso-position-horizontal-relative:page;mso-position-vertical-relative:paragraph;z-index:38608" from="26.76pt,4.815879pt" to="26.76pt,18.615879pt" stroked="true" strokeweight=".72pt" strokecolor="#000000">
            <v:stroke dashstyle="solid"/>
            <w10:wrap type="none"/>
          </v:line>
        </w:pict>
      </w:r>
      <w:bookmarkStart w:name="GLOSSARY AND INDEX FOR CAPITAL OUTLAY" w:id="142"/>
      <w:bookmarkEnd w:id="142"/>
      <w:r>
        <w:rPr>
          <w:b w:val="0"/>
        </w:rPr>
      </w:r>
      <w:r>
        <w:rPr/>
        <w:t>GLOSSARY AND INDEX FOR CAPITAL OUTLAY</w:t>
      </w:r>
    </w:p>
    <w:p>
      <w:pPr>
        <w:tabs>
          <w:tab w:pos="8846" w:val="left" w:leader="none"/>
        </w:tabs>
        <w:spacing w:before="0"/>
        <w:ind w:left="640" w:right="0" w:firstLine="0"/>
        <w:jc w:val="left"/>
        <w:rPr>
          <w:sz w:val="24"/>
        </w:rPr>
      </w:pPr>
      <w:r>
        <w:rPr/>
        <w:pict>
          <v:line style="position:absolute;mso-position-horizontal-relative:page;mso-position-vertical-relative:paragraph;z-index:38632" from="26.76pt,14.01583pt" to="26.76pt,194.85583pt" stroked="true" strokeweight=".72pt" strokecolor="#000000">
            <v:stroke dashstyle="solid"/>
            <w10:wrap type="none"/>
          </v:line>
        </w:pict>
      </w:r>
      <w:r>
        <w:rPr>
          <w:b/>
          <w:sz w:val="24"/>
        </w:rPr>
        <w:t>TERMINOLOGY</w:t>
      </w:r>
      <w:r>
        <w:rPr>
          <w:b/>
          <w:spacing w:val="-3"/>
          <w:sz w:val="24"/>
        </w:rPr>
        <w:t> </w:t>
      </w:r>
      <w:r>
        <w:rPr>
          <w:b/>
          <w:sz w:val="24"/>
        </w:rPr>
        <w:t>AND</w:t>
      </w:r>
      <w:r>
        <w:rPr>
          <w:b/>
          <w:spacing w:val="-4"/>
          <w:sz w:val="24"/>
        </w:rPr>
        <w:t> </w:t>
      </w:r>
      <w:r>
        <w:rPr>
          <w:b/>
          <w:sz w:val="24"/>
        </w:rPr>
        <w:t>FORMS</w:t>
        <w:tab/>
        <w:t>6899</w:t>
      </w:r>
      <w:r>
        <w:rPr>
          <w:b/>
          <w:spacing w:val="-6"/>
          <w:sz w:val="24"/>
        </w:rPr>
        <w:t> </w:t>
      </w:r>
      <w:r>
        <w:rPr>
          <w:sz w:val="24"/>
        </w:rPr>
        <w:t>(Cont.</w:t>
      </w:r>
    </w:p>
    <w:p>
      <w:pPr>
        <w:pStyle w:val="BodyText"/>
        <w:ind w:left="640"/>
      </w:pPr>
      <w:r>
        <w:rPr>
          <w:strike/>
          <w:color w:val="2E97D3"/>
        </w:rPr>
        <w:t>1</w:t>
      </w:r>
      <w:r>
        <w:rPr>
          <w:strike w:val="0"/>
          <w:color w:val="2E97D3"/>
          <w:u w:val="single" w:color="2E97D3"/>
        </w:rPr>
        <w:t>1) (Revised 09/2017</w:t>
      </w:r>
      <w:r>
        <w:rPr>
          <w:strike w:val="0"/>
        </w:rPr>
        <w:t>)</w:t>
      </w:r>
    </w:p>
    <w:p>
      <w:pPr>
        <w:pStyle w:val="BodyText"/>
        <w:spacing w:before="9"/>
        <w:rPr>
          <w:sz w:val="20"/>
        </w:rPr>
      </w:pPr>
    </w:p>
    <w:p>
      <w:pPr>
        <w:pStyle w:val="BodyText"/>
        <w:spacing w:before="1"/>
        <w:ind w:left="640"/>
      </w:pPr>
      <w:bookmarkStart w:name="(New 5/1998)" w:id="143"/>
      <w:bookmarkEnd w:id="143"/>
      <w:r>
        <w:rPr/>
      </w:r>
      <w:r>
        <w:rPr>
          <w:strike/>
          <w:color w:val="2E97D3"/>
        </w:rPr>
        <w:t>(New 5/1998)</w:t>
      </w:r>
    </w:p>
    <w:p>
      <w:pPr>
        <w:spacing w:before="58"/>
        <w:ind w:left="640" w:right="0" w:firstLine="0"/>
        <w:jc w:val="left"/>
        <w:rPr>
          <w:i/>
          <w:sz w:val="24"/>
        </w:rPr>
      </w:pPr>
      <w:r>
        <w:rPr/>
        <w:pict>
          <v:line style="position:absolute;mso-position-horizontal-relative:page;mso-position-vertical-relative:paragraph;z-index:-434608" from="84.239998pt,11.336362pt" to="87.599998pt,11.336362pt" stroked="true" strokeweight=".599pt" strokecolor="#2e97d3">
            <v:stroke dashstyle="solid"/>
            <w10:wrap type="none"/>
          </v:line>
        </w:pict>
      </w:r>
      <w:r>
        <w:rPr>
          <w:b/>
          <w:sz w:val="24"/>
        </w:rPr>
        <w:t>ARF</w:t>
      </w:r>
      <w:r>
        <w:rPr>
          <w:sz w:val="24"/>
        </w:rPr>
        <w:t>:  See </w:t>
      </w:r>
      <w:r>
        <w:rPr>
          <w:i/>
          <w:sz w:val="24"/>
        </w:rPr>
        <w:t>Architectural Revolving Fund.</w:t>
      </w:r>
    </w:p>
    <w:p>
      <w:pPr>
        <w:pStyle w:val="BodyText"/>
        <w:spacing w:before="202"/>
        <w:ind w:left="640"/>
      </w:pPr>
      <w:r>
        <w:rPr/>
        <w:pict>
          <v:line style="position:absolute;mso-position-horizontal-relative:page;mso-position-vertical-relative:paragraph;z-index:-434584" from="136.919998pt,18.535856pt" to="140.280998pt,18.535856pt" stroked="true" strokeweight=".6pt" strokecolor="#2e97d3">
            <v:stroke dashstyle="solid"/>
            <w10:wrap type="none"/>
          </v:line>
        </w:pict>
      </w:r>
      <w:r>
        <w:rPr/>
        <w:pict>
          <v:line style="position:absolute;mso-position-horizontal-relative:page;mso-position-vertical-relative:paragraph;z-index:-434560" from="304.079987pt,32.335857pt" to="307.439987pt,32.335857pt" stroked="true" strokeweight=".6pt" strokecolor="#2e97d3">
            <v:stroke dashstyle="solid"/>
            <w10:wrap type="none"/>
          </v:line>
        </w:pict>
      </w:r>
      <w:r>
        <w:rPr>
          <w:b/>
        </w:rPr>
        <w:t>Augmentation</w:t>
      </w:r>
      <w:r>
        <w:rPr/>
        <w:t>: PWB may approve allocations of additional funds to a project, up to 20 percent, subject to reporting to the Legislature.  Sections 6842 and 6861.</w:t>
      </w:r>
    </w:p>
    <w:p>
      <w:pPr>
        <w:pStyle w:val="BodyText"/>
        <w:spacing w:before="115"/>
        <w:ind w:left="640"/>
      </w:pPr>
      <w:r>
        <w:rPr/>
        <w:pict>
          <v:line style="position:absolute;mso-position-horizontal-relative:page;mso-position-vertical-relative:paragraph;z-index:-434536" from="81.720001pt,14.186372pt" to="85.080001pt,14.186372pt" stroked="true" strokeweight=".599pt" strokecolor="#2e97d3">
            <v:stroke dashstyle="solid"/>
            <w10:wrap type="none"/>
          </v:line>
        </w:pict>
      </w:r>
      <w:r>
        <w:rPr>
          <w:b/>
        </w:rPr>
        <w:t>BCP</w:t>
      </w:r>
      <w:r>
        <w:rPr/>
        <w:t>:  Budget change proposal—usually meaning a </w:t>
      </w:r>
      <w:r>
        <w:rPr>
          <w:i/>
        </w:rPr>
        <w:t>support </w:t>
      </w:r>
      <w:r>
        <w:rPr/>
        <w:t>proposal.</w:t>
      </w:r>
    </w:p>
    <w:p>
      <w:pPr>
        <w:pStyle w:val="BodyText"/>
        <w:spacing w:line="274" w:lineRule="exact" w:before="130"/>
        <w:ind w:left="640" w:right="515"/>
      </w:pPr>
      <w:r>
        <w:rPr/>
        <w:pict>
          <v:line style="position:absolute;mso-position-horizontal-relative:page;mso-position-vertical-relative:paragraph;z-index:-434512" from="126.480003pt,14.639973pt" to="129.841003pt,14.639973pt" stroked="true" strokeweight=".6pt" strokecolor="#2e97d3">
            <v:stroke dashstyle="solid"/>
            <w10:wrap type="none"/>
          </v:line>
        </w:pict>
      </w:r>
      <w:r>
        <w:rPr/>
        <w:pict>
          <v:line style="position:absolute;mso-position-horizontal-relative:page;mso-position-vertical-relative:paragraph;z-index:-434488" from="315.959991pt,28.319973pt" to="319.319991pt,28.319973pt" stroked="true" strokeweight=".6pt" strokecolor="#2e97d3">
            <v:stroke dashstyle="solid"/>
            <w10:wrap type="none"/>
          </v:line>
        </w:pict>
      </w:r>
      <w:r>
        <w:rPr>
          <w:b/>
        </w:rPr>
        <w:t>Betterments</w:t>
      </w:r>
      <w:r>
        <w:rPr/>
        <w:t>: Any modification that increases the designed level of services or life expectancy of a facility or program infrastructure.  Section 6806.</w:t>
      </w:r>
    </w:p>
    <w:p>
      <w:pPr>
        <w:pStyle w:val="BodyText"/>
        <w:spacing w:before="115"/>
        <w:ind w:left="640" w:right="515"/>
      </w:pPr>
      <w:r>
        <w:rPr/>
        <w:pict>
          <v:line style="position:absolute;mso-position-horizontal-relative:page;mso-position-vertical-relative:paragraph;z-index:-434464" from="136.440002pt,14.185852pt" to="139.800002pt,14.185852pt" stroked="true" strokeweight=".6pt" strokecolor="#2e97d3">
            <v:stroke dashstyle="solid"/>
            <w10:wrap type="none"/>
          </v:line>
        </w:pict>
      </w:r>
      <w:r>
        <w:rPr/>
        <w:pict>
          <v:line style="position:absolute;mso-position-horizontal-relative:page;mso-position-vertical-relative:paragraph;z-index:-434440" from="315.959991pt,27.986353pt" to="319.319991pt,27.986353pt" stroked="true" strokeweight=".599pt" strokecolor="#2e97d3">
            <v:stroke dashstyle="solid"/>
            <w10:wrap type="none"/>
          </v:line>
        </w:pict>
      </w:r>
      <w:r>
        <w:rPr/>
        <w:pict>
          <v:line style="position:absolute;mso-position-horizontal-relative:page;mso-position-vertical-relative:paragraph;z-index:38656" from="26.76pt,47.364853pt" to="26.76pt,61.165853pt" stroked="true" strokeweight=".72pt" strokecolor="#000000">
            <v:stroke dashstyle="solid"/>
            <w10:wrap type="none"/>
          </v:line>
        </w:pict>
      </w:r>
      <w:r>
        <w:rPr/>
        <w:pict>
          <v:line style="position:absolute;mso-position-horizontal-relative:page;mso-position-vertical-relative:paragraph;z-index:38680" from="26.76pt,74.965851pt" to="26.76pt,122.365851pt" stroked="true" strokeweight=".72pt" strokecolor="#000000">
            <v:stroke dashstyle="solid"/>
            <w10:wrap type="none"/>
          </v:line>
        </w:pict>
      </w:r>
      <w:r>
        <w:rPr>
          <w:b/>
        </w:rPr>
        <w:t>Bid alternates: </w:t>
      </w:r>
      <w:r>
        <w:rPr/>
        <w:t>Additions to or deductions from a basic project bid, not to exceed ten percent of the estimated cost of the base project. If a project comes in over budget, deductive alternates can help avoid the need to re-bid the project; conversely, if bids comes in under budget, additive alternates can allow project improvements. </w:t>
      </w:r>
      <w:r>
        <w:rPr>
          <w:strike/>
          <w:color w:val="2E97D3"/>
        </w:rPr>
        <w:t>DOF</w:t>
      </w:r>
      <w:r>
        <w:rPr>
          <w:strike w:val="0"/>
          <w:color w:val="2E97D3"/>
          <w:u w:val="single" w:color="2E97D3"/>
        </w:rPr>
        <w:t>Finance </w:t>
      </w:r>
      <w:r>
        <w:rPr>
          <w:strike w:val="0"/>
        </w:rPr>
        <w:t>approval is required. Section 6852.</w:t>
      </w:r>
    </w:p>
    <w:p>
      <w:pPr>
        <w:pStyle w:val="BodyText"/>
        <w:spacing w:before="119"/>
        <w:ind w:left="640" w:right="714"/>
      </w:pPr>
      <w:r>
        <w:rPr/>
        <w:pict>
          <v:line style="position:absolute;mso-position-horizontal-relative:page;mso-position-vertical-relative:paragraph;z-index:-434416" from="139.800003pt,14.386352pt" to="143.161003pt,14.386352pt" stroked="true" strokeweight=".599pt" strokecolor="#2e97d3">
            <v:stroke dashstyle="solid"/>
            <w10:wrap type="none"/>
          </v:line>
        </w:pict>
      </w:r>
      <w:r>
        <w:rPr/>
        <w:pict>
          <v:line style="position:absolute;mso-position-horizontal-relative:page;mso-position-vertical-relative:paragraph;z-index:-434392" from="390.720001pt,69.585854pt" to="394.680001pt,69.585854pt" stroked="true" strokeweight=".6pt" strokecolor="#2e97d3">
            <v:stroke dashstyle="solid"/>
            <w10:wrap type="none"/>
          </v:line>
        </w:pict>
      </w:r>
      <w:r>
        <w:rPr/>
        <w:pict>
          <v:line style="position:absolute;mso-position-horizontal-relative:page;mso-position-vertical-relative:paragraph;z-index:-434368" from="502.200012pt,69.585854pt" to="506.160012pt,69.585854pt" stroked="true" strokeweight=".6pt" strokecolor="#2e97d3">
            <v:stroke dashstyle="solid"/>
            <w10:wrap type="none"/>
          </v:line>
        </w:pict>
      </w:r>
      <w:r>
        <w:rPr/>
        <w:pict>
          <v:line style="position:absolute;mso-position-horizontal-relative:page;mso-position-vertical-relative:paragraph;z-index:-434344" from="309.239990pt,83.385849pt" to="312.59999pt,83.385849pt" stroked="true" strokeweight=".6pt" strokecolor="#2e97d3">
            <v:stroke dashstyle="solid"/>
            <w10:wrap type="none"/>
          </v:line>
        </w:pict>
      </w:r>
      <w:r>
        <w:rPr/>
        <w:pict>
          <v:line style="position:absolute;mso-position-horizontal-relative:page;mso-position-vertical-relative:paragraph;z-index:38704" from="26.76pt,61.365852pt" to="26.76pt,183.645852pt" stroked="true" strokeweight=".72pt" strokecolor="#000000">
            <v:stroke dashstyle="solid"/>
            <w10:wrap type="none"/>
          </v:line>
        </w:pict>
      </w:r>
      <w:r>
        <w:rPr>
          <w:b/>
        </w:rPr>
        <w:t>Bidding phase: </w:t>
      </w:r>
      <w:r>
        <w:rPr/>
        <w:t>The bidding phase is a set of activities, starting after completion of working drawings, which results in the selection of a contractor</w:t>
      </w:r>
      <w:r>
        <w:rPr>
          <w:strike/>
          <w:color w:val="2E97D3"/>
        </w:rPr>
        <w:t>. </w:t>
      </w:r>
      <w:r>
        <w:rPr>
          <w:strike w:val="0"/>
          <w:color w:val="2E97D3"/>
          <w:u w:val="single" w:color="2E97D3"/>
        </w:rPr>
        <w:t>for a design-bid-build project. </w:t>
      </w:r>
      <w:r>
        <w:rPr>
          <w:strike w:val="0"/>
        </w:rPr>
        <w:t>Typical activities in this period are advertising the project in construction trade papers, submission of bids by interested parties; analysis of those bids, selection of the lowest responsible bidder, contract execution, and delivery of a </w:t>
      </w:r>
      <w:r>
        <w:rPr>
          <w:strike w:val="0"/>
          <w:color w:val="2E97D3"/>
        </w:rPr>
        <w:t>“</w:t>
      </w:r>
      <w:r>
        <w:rPr>
          <w:strike w:val="0"/>
          <w:color w:val="2E97D3"/>
          <w:u w:val="single" w:color="2E97D3"/>
        </w:rPr>
        <w:t>―</w:t>
      </w:r>
      <w:r>
        <w:rPr>
          <w:strike w:val="0"/>
        </w:rPr>
        <w:t>Notice to Proceed</w:t>
      </w:r>
      <w:r>
        <w:rPr>
          <w:strike w:val="0"/>
          <w:color w:val="2E97D3"/>
        </w:rPr>
        <w:t>”</w:t>
      </w:r>
      <w:r>
        <w:rPr>
          <w:strike w:val="0"/>
          <w:color w:val="2E97D3"/>
          <w:u w:val="single" w:color="2E97D3"/>
        </w:rPr>
        <w:t>‖ </w:t>
      </w:r>
      <w:r>
        <w:rPr>
          <w:strike w:val="0"/>
        </w:rPr>
        <w:t>to the contractor to begin the construction work. Section 6809</w:t>
      </w:r>
      <w:r>
        <w:rPr>
          <w:strike/>
          <w:color w:val="2E97D3"/>
        </w:rPr>
        <w:t>, overview </w:t>
      </w:r>
      <w:r>
        <w:rPr>
          <w:strike w:val="0"/>
          <w:color w:val="2E97D3"/>
          <w:u w:val="single" w:color="2E97D3"/>
        </w:rPr>
        <w:t>(“Overview </w:t>
      </w:r>
      <w:r>
        <w:rPr>
          <w:strike w:val="0"/>
        </w:rPr>
        <w:t>of </w:t>
      </w:r>
      <w:r>
        <w:rPr>
          <w:strike/>
          <w:color w:val="2E97D3"/>
        </w:rPr>
        <w:t>capital outlay phases. </w:t>
      </w:r>
      <w:r>
        <w:rPr>
          <w:strike w:val="0"/>
          <w:color w:val="2E97D3"/>
          <w:u w:val="single" w:color="2E97D3"/>
        </w:rPr>
        <w:t>Capital Outlay Phases”) and </w:t>
      </w:r>
      <w:r>
        <w:rPr>
          <w:strike w:val="0"/>
        </w:rPr>
        <w:t>Section 6852</w:t>
      </w:r>
      <w:r>
        <w:rPr>
          <w:strike/>
          <w:color w:val="2E97D3"/>
        </w:rPr>
        <w:t>, working drawings </w:t>
      </w:r>
      <w:r>
        <w:rPr>
          <w:strike w:val="0"/>
          <w:color w:val="2E97D3"/>
          <w:u w:val="single" w:color="2E97D3"/>
        </w:rPr>
        <w:t>(“Working Drawings </w:t>
      </w:r>
      <w:r>
        <w:rPr>
          <w:strike w:val="0"/>
        </w:rPr>
        <w:t>and </w:t>
      </w:r>
      <w:r>
        <w:rPr>
          <w:strike/>
          <w:color w:val="2E97D3"/>
        </w:rPr>
        <w:t>proceeding</w:t>
      </w:r>
      <w:r>
        <w:rPr>
          <w:strike w:val="0"/>
          <w:color w:val="2E97D3"/>
          <w:u w:val="single" w:color="2E97D3"/>
        </w:rPr>
        <w:t>Proceeding </w:t>
      </w:r>
      <w:r>
        <w:rPr>
          <w:strike w:val="0"/>
        </w:rPr>
        <w:t>to </w:t>
      </w:r>
      <w:r>
        <w:rPr>
          <w:strike/>
          <w:color w:val="2E97D3"/>
        </w:rPr>
        <w:t>bid. </w:t>
      </w:r>
      <w:r>
        <w:rPr>
          <w:strike w:val="0"/>
          <w:color w:val="2E97D3"/>
          <w:u w:val="single" w:color="2E97D3"/>
        </w:rPr>
        <w:t>Bid”).</w:t>
      </w:r>
    </w:p>
    <w:p>
      <w:pPr>
        <w:pStyle w:val="BodyText"/>
        <w:spacing w:before="119"/>
        <w:ind w:left="640" w:right="515"/>
      </w:pPr>
      <w:r>
        <w:rPr/>
        <w:pict>
          <v:line style="position:absolute;mso-position-horizontal-relative:page;mso-position-vertical-relative:paragraph;z-index:-434320" from="137.160004pt,14.385859pt" to="140.520004pt,14.385859pt" stroked="true" strokeweight=".6pt" strokecolor="#2e97d3">
            <v:stroke dashstyle="solid"/>
            <w10:wrap type="none"/>
          </v:line>
        </w:pict>
      </w:r>
      <w:r>
        <w:rPr>
          <w:b/>
        </w:rPr>
        <w:t>Bid tabulation: </w:t>
      </w:r>
      <w:r>
        <w:rPr/>
        <w:t>A listing of bids received for a project; must be submitted to DOF when requesting release of construction funds</w:t>
      </w:r>
      <w:r>
        <w:rPr>
          <w:strike/>
          <w:color w:val="2E97D3"/>
        </w:rPr>
        <w:t>. </w:t>
      </w:r>
      <w:r>
        <w:rPr>
          <w:strike w:val="0"/>
          <w:color w:val="2E97D3"/>
          <w:u w:val="single" w:color="2E97D3"/>
        </w:rPr>
        <w:t>and the awarding of a construction contract. </w:t>
      </w:r>
      <w:r>
        <w:rPr>
          <w:strike w:val="0"/>
        </w:rPr>
        <w:t>Section 6853.</w:t>
      </w:r>
    </w:p>
    <w:p>
      <w:pPr>
        <w:pStyle w:val="BodyText"/>
        <w:spacing w:before="119"/>
        <w:ind w:left="640" w:right="331"/>
        <w:jc w:val="both"/>
      </w:pPr>
      <w:r>
        <w:rPr/>
        <w:pict>
          <v:line style="position:absolute;mso-position-horizontal-relative:page;mso-position-vertical-relative:paragraph;z-index:-434296" from="136.080002pt,14.385859pt" to="139.680002pt,14.385859pt" stroked="true" strokeweight=".6pt" strokecolor="#2e97d3">
            <v:stroke dashstyle="solid"/>
            <w10:wrap type="none"/>
          </v:line>
        </w:pict>
      </w:r>
      <w:r>
        <w:rPr/>
        <w:pict>
          <v:line style="position:absolute;mso-position-horizontal-relative:page;mso-position-vertical-relative:paragraph;z-index:-434272" from="153.240005pt,55.785858pt" to="156.480005pt,55.785858pt" stroked="true" strokeweight=".6pt" strokecolor="#2e97d3">
            <v:stroke dashstyle="solid"/>
            <w10:wrap type="none"/>
          </v:line>
        </w:pict>
      </w:r>
      <w:r>
        <w:rPr/>
        <w:pict>
          <v:line style="position:absolute;mso-position-horizontal-relative:page;mso-position-vertical-relative:paragraph;z-index:38728" from="26.76pt,47.565861pt" to="26.76pt,136.725861pt" stroked="true" strokeweight=".72pt" strokecolor="#000000">
            <v:stroke dashstyle="solid"/>
            <w10:wrap type="none"/>
          </v:line>
        </w:pict>
      </w:r>
      <w:r>
        <w:rPr>
          <w:b/>
        </w:rPr>
        <w:t>Bond counsel</w:t>
      </w:r>
      <w:r>
        <w:rPr/>
        <w:t>: An attorney (or firm) retained by the issuer to give a legal opinion that the issuer is authorized to issuer proposed securities, has met all legal requirements, and that the interest will be exempt from federal income taxation and, where applicable, from state and local taxation.  Sections 6873 and 6874.</w:t>
      </w:r>
    </w:p>
    <w:p>
      <w:pPr>
        <w:pStyle w:val="BodyText"/>
        <w:spacing w:line="274" w:lineRule="exact" w:before="125"/>
        <w:ind w:left="640"/>
      </w:pPr>
      <w:r>
        <w:rPr/>
        <w:pict>
          <v:line style="position:absolute;mso-position-horizontal-relative:page;mso-position-vertical-relative:paragraph;z-index:-434248" from="193.080002pt,14.390003pt" to="196.441002pt,14.390003pt" stroked="true" strokeweight=".6pt" strokecolor="#2e97d3">
            <v:stroke dashstyle="solid"/>
            <w10:wrap type="none"/>
          </v:line>
        </w:pict>
      </w:r>
      <w:r>
        <w:rPr/>
        <w:pict>
          <v:line style="position:absolute;mso-position-horizontal-relative:page;mso-position-vertical-relative:paragraph;z-index:-434224" from="261.239990pt,28.070004pt" to="264.59999pt,28.070004pt" stroked="true" strokeweight=".6pt" strokecolor="#2e97d3">
            <v:stroke dashstyle="solid"/>
            <w10:wrap type="none"/>
          </v:line>
        </w:pict>
      </w:r>
      <w:r>
        <w:rPr>
          <w:b/>
        </w:rPr>
        <w:t>Bond anticipation notes</w:t>
      </w:r>
      <w:r>
        <w:rPr/>
        <w:t>: Short-term negotiable instruments with a fixed maturity used to meet projects’ interim financing needs.  Section 6878.</w:t>
      </w:r>
    </w:p>
    <w:p>
      <w:pPr>
        <w:pStyle w:val="BodyText"/>
        <w:spacing w:before="4"/>
        <w:rPr>
          <w:sz w:val="16"/>
        </w:rPr>
      </w:pPr>
    </w:p>
    <w:p>
      <w:pPr>
        <w:spacing w:line="240" w:lineRule="auto" w:before="93"/>
        <w:ind w:left="640" w:right="515" w:firstLine="0"/>
        <w:jc w:val="left"/>
        <w:rPr>
          <w:sz w:val="24"/>
        </w:rPr>
      </w:pPr>
      <w:r>
        <w:rPr/>
        <w:pict>
          <v:line style="position:absolute;mso-position-horizontal-relative:page;mso-position-vertical-relative:paragraph;z-index:-434200" from="94.440002pt,13.085853pt" to="97.801002pt,13.085853pt" stroked="true" strokeweight=".6pt" strokecolor="#2e97d3">
            <v:stroke dashstyle="solid"/>
            <w10:wrap type="none"/>
          </v:line>
        </w:pict>
      </w:r>
      <w:r>
        <w:rPr/>
        <w:pict>
          <v:line style="position:absolute;mso-position-horizontal-relative:page;mso-position-vertical-relative:paragraph;z-index:-434176" from="354pt,26.765852pt" to="357.361pt,26.765852pt" stroked="true" strokeweight=".6pt" strokecolor="#2e97d3">
            <v:stroke dashstyle="solid"/>
            <w10:wrap type="none"/>
          </v:line>
        </w:pict>
      </w:r>
      <w:r>
        <w:rPr/>
        <w:pict>
          <v:line style="position:absolute;mso-position-horizontal-relative:page;mso-position-vertical-relative:paragraph;z-index:-434152" from="430.799988pt,26.765852pt" to="434.159988pt,26.765852pt" stroked="true" strokeweight=".6pt" strokecolor="#2e97d3">
            <v:stroke dashstyle="solid"/>
            <w10:wrap type="none"/>
          </v:line>
        </w:pict>
      </w:r>
      <w:r>
        <w:rPr/>
        <w:pict>
          <v:line style="position:absolute;mso-position-horizontal-relative:page;mso-position-vertical-relative:paragraph;z-index:38752" from="26.76pt,46.265854pt" to="26.76pt,74.345854pt" stroked="true" strokeweight=".72pt" strokecolor="#000000">
            <v:stroke dashstyle="solid"/>
            <w10:wrap type="none"/>
          </v:line>
        </w:pict>
      </w:r>
      <w:r>
        <w:rPr>
          <w:b/>
          <w:sz w:val="24"/>
        </w:rPr>
        <w:t>Bonds: </w:t>
      </w:r>
      <w:r>
        <w:rPr>
          <w:sz w:val="24"/>
        </w:rPr>
        <w:t>A method of financing capital projects through long-term borrowing. The state raises money by issuing financial securities to investors. Section 6870. See also </w:t>
      </w:r>
      <w:r>
        <w:rPr>
          <w:i/>
          <w:sz w:val="24"/>
        </w:rPr>
        <w:t>general </w:t>
      </w:r>
      <w:r>
        <w:rPr>
          <w:i/>
          <w:sz w:val="24"/>
        </w:rPr>
        <w:t>obligation bonds </w:t>
      </w:r>
      <w:r>
        <w:rPr>
          <w:sz w:val="24"/>
        </w:rPr>
        <w:t>and </w:t>
      </w:r>
      <w:r>
        <w:rPr>
          <w:i/>
          <w:sz w:val="24"/>
        </w:rPr>
        <w:t>lease-revenue </w:t>
      </w:r>
      <w:r>
        <w:rPr>
          <w:sz w:val="24"/>
        </w:rPr>
        <w:t>bonds.</w:t>
      </w:r>
    </w:p>
    <w:p>
      <w:pPr>
        <w:pStyle w:val="BodyText"/>
        <w:rPr>
          <w:sz w:val="25"/>
        </w:rPr>
      </w:pPr>
    </w:p>
    <w:p>
      <w:pPr>
        <w:pStyle w:val="BodyText"/>
        <w:ind w:left="640" w:right="148"/>
      </w:pPr>
      <w:r>
        <w:rPr/>
        <w:pict>
          <v:line style="position:absolute;mso-position-horizontal-relative:page;mso-position-vertical-relative:paragraph;z-index:-434128" from="147.119995pt,8.43586pt" to="150.479995pt,8.43586pt" stroked="true" strokeweight=".6pt" strokecolor="#2e97d3">
            <v:stroke dashstyle="solid"/>
            <w10:wrap type="none"/>
          </v:line>
        </w:pict>
      </w:r>
      <w:r>
        <w:rPr/>
        <w:pict>
          <v:line style="position:absolute;mso-position-horizontal-relative:page;mso-position-vertical-relative:paragraph;z-index:-434104" from="393.959991pt,49.835861pt" to="397.199991pt,49.835861pt" stroked="true" strokeweight=".6pt" strokecolor="#2e97d3">
            <v:stroke dashstyle="solid"/>
            <w10:wrap type="none"/>
          </v:line>
        </w:pict>
      </w:r>
      <w:r>
        <w:rPr/>
        <w:pict>
          <v:line style="position:absolute;mso-position-horizontal-relative:page;mso-position-vertical-relative:paragraph;z-index:-434080" from="383.279999pt,63.63586pt" to="386.639999pt,63.63586pt" stroked="true" strokeweight=".6pt" strokecolor="#2e97d3">
            <v:stroke dashstyle="solid"/>
            <w10:wrap type="none"/>
          </v:line>
        </w:pict>
      </w:r>
      <w:r>
        <w:rPr/>
        <w:pict>
          <v:line style="position:absolute;mso-position-horizontal-relative:page;mso-position-vertical-relative:paragraph;z-index:38776" from="26.76pt,41.61586pt" to="26.76pt,89.01586pt" stroked="true" strokeweight=".72pt" strokecolor="#000000">
            <v:stroke dashstyle="solid"/>
            <w10:wrap type="none"/>
          </v:line>
        </w:pict>
      </w:r>
      <w:r>
        <w:rPr>
          <w:b/>
        </w:rPr>
        <w:t>Bond insurance</w:t>
      </w:r>
      <w:r>
        <w:rPr/>
        <w:t>: Noncancellable insurance purchased by the issuer from a bond insurer where the insurer promises to make scheduled payments of interest, principal and mandatory sinking fund payments if the issuer fails to make timely payments. In an insured issue, the investor relies on the insurer’s credit, not the issuer’s. The insurer’s payment of an installment does not relieve the issuer of repaying the insurer.  Sections 6873 and</w:t>
      </w:r>
      <w:r>
        <w:rPr>
          <w:spacing w:val="-44"/>
        </w:rPr>
        <w:t> </w:t>
      </w:r>
      <w:r>
        <w:rPr/>
        <w:t>6874.</w:t>
      </w:r>
    </w:p>
    <w:p>
      <w:pPr>
        <w:spacing w:after="0"/>
        <w:sectPr>
          <w:headerReference w:type="default" r:id="rId361"/>
          <w:pgSz w:w="12240" w:h="15840"/>
          <w:pgMar w:header="726" w:footer="726" w:top="1240" w:bottom="980" w:left="420" w:right="1200"/>
        </w:sectPr>
      </w:pPr>
    </w:p>
    <w:p>
      <w:pPr>
        <w:pStyle w:val="BodyText"/>
        <w:spacing w:before="4"/>
        <w:rPr>
          <w:rFonts w:ascii="Times New Roman"/>
          <w:sz w:val="17"/>
        </w:rPr>
      </w:pPr>
    </w:p>
    <w:p>
      <w:pPr>
        <w:spacing w:after="0"/>
        <w:rPr>
          <w:rFonts w:ascii="Times New Roman"/>
          <w:sz w:val="17"/>
        </w:rPr>
        <w:sectPr>
          <w:pgSz w:w="12240" w:h="15840"/>
          <w:pgMar w:header="726" w:footer="726" w:top="1240" w:bottom="980" w:left="960" w:right="1720"/>
        </w:sectPr>
      </w:pPr>
    </w:p>
    <w:p>
      <w:pPr>
        <w:pStyle w:val="BodyText"/>
        <w:spacing w:before="6"/>
        <w:rPr>
          <w:rFonts w:ascii="Times New Roman"/>
          <w:sz w:val="10"/>
        </w:rPr>
      </w:pPr>
    </w:p>
    <w:p>
      <w:pPr>
        <w:tabs>
          <w:tab w:pos="8743" w:val="left" w:leader="none"/>
        </w:tabs>
        <w:spacing w:before="92"/>
        <w:ind w:left="640" w:right="0" w:firstLine="0"/>
        <w:jc w:val="left"/>
        <w:rPr>
          <w:sz w:val="24"/>
        </w:rPr>
      </w:pPr>
      <w:r>
        <w:rPr/>
        <w:pict>
          <v:line style="position:absolute;mso-position-horizontal-relative:page;mso-position-vertical-relative:paragraph;z-index:39136" from="26.76pt,-8.984170pt" to="26.76pt,44.41583pt" stroked="true" strokeweight=".72pt" strokecolor="#000000">
            <v:stroke dashstyle="solid"/>
            <w10:wrap type="none"/>
          </v:line>
        </w:pict>
      </w:r>
      <w:bookmarkStart w:name="GLOSSARY AND INDEX FOR CAPITAL OUTLAY" w:id="144"/>
      <w:bookmarkEnd w:id="144"/>
      <w:r>
        <w:rPr/>
      </w:r>
      <w:r>
        <w:rPr>
          <w:b/>
          <w:sz w:val="24"/>
        </w:rPr>
        <w:t>TERMINOLOGY</w:t>
      </w:r>
      <w:r>
        <w:rPr>
          <w:b/>
          <w:spacing w:val="-3"/>
          <w:sz w:val="24"/>
        </w:rPr>
        <w:t> </w:t>
      </w:r>
      <w:r>
        <w:rPr>
          <w:b/>
          <w:sz w:val="24"/>
        </w:rPr>
        <w:t>AND</w:t>
      </w:r>
      <w:r>
        <w:rPr>
          <w:b/>
          <w:spacing w:val="-4"/>
          <w:sz w:val="24"/>
        </w:rPr>
        <w:t> </w:t>
      </w:r>
      <w:r>
        <w:rPr>
          <w:b/>
          <w:sz w:val="24"/>
        </w:rPr>
        <w:t>FORMS</w:t>
        <w:tab/>
        <w:t>6899 </w:t>
      </w:r>
      <w:r>
        <w:rPr>
          <w:sz w:val="24"/>
        </w:rPr>
        <w:t>(Cont.</w:t>
      </w:r>
      <w:r>
        <w:rPr>
          <w:spacing w:val="-10"/>
          <w:sz w:val="24"/>
        </w:rPr>
        <w:t> </w:t>
      </w:r>
      <w:r>
        <w:rPr>
          <w:sz w:val="24"/>
        </w:rPr>
        <w:t>2)</w:t>
      </w:r>
    </w:p>
    <w:p>
      <w:pPr>
        <w:pStyle w:val="BodyText"/>
        <w:ind w:left="640"/>
      </w:pPr>
      <w:r>
        <w:rPr>
          <w:strike/>
          <w:color w:val="2E97D3"/>
        </w:rPr>
        <w:t>(New 5/1998 </w:t>
      </w:r>
      <w:r>
        <w:rPr>
          <w:strike w:val="0"/>
          <w:color w:val="2E97D3"/>
          <w:u w:val="single" w:color="2E97D3"/>
        </w:rPr>
        <w:t>(Revised 09/2017</w:t>
      </w:r>
      <w:r>
        <w:rPr>
          <w:strike w:val="0"/>
        </w:rPr>
        <w:t>)</w:t>
      </w:r>
    </w:p>
    <w:p>
      <w:pPr>
        <w:pStyle w:val="BodyText"/>
        <w:spacing w:before="8"/>
        <w:rPr>
          <w:sz w:val="20"/>
        </w:rPr>
      </w:pPr>
    </w:p>
    <w:p>
      <w:pPr>
        <w:spacing w:before="0"/>
        <w:ind w:left="640" w:right="0" w:firstLine="0"/>
        <w:jc w:val="left"/>
        <w:rPr>
          <w:sz w:val="24"/>
        </w:rPr>
      </w:pPr>
      <w:r>
        <w:rPr/>
        <w:pict>
          <v:line style="position:absolute;mso-position-horizontal-relative:page;mso-position-vertical-relative:paragraph;z-index:39160" from="26.76pt,14.13585pt" to="26.76pt,34.05585pt" stroked="true" strokeweight=".72pt" strokecolor="#000000">
            <v:stroke dashstyle="solid"/>
            <w10:wrap type="none"/>
          </v:line>
        </w:pict>
      </w:r>
      <w:r>
        <w:rPr>
          <w:b/>
          <w:sz w:val="24"/>
        </w:rPr>
        <w:t>Bridging design-build</w:t>
      </w:r>
      <w:r>
        <w:rPr>
          <w:sz w:val="24"/>
        </w:rPr>
        <w:t>:  See </w:t>
      </w:r>
      <w:r>
        <w:rPr>
          <w:i/>
          <w:sz w:val="24"/>
        </w:rPr>
        <w:t>design-build</w:t>
      </w:r>
      <w:r>
        <w:rPr>
          <w:sz w:val="24"/>
        </w:rPr>
        <w:t>.</w:t>
      </w:r>
    </w:p>
    <w:p>
      <w:pPr>
        <w:pStyle w:val="BodyText"/>
        <w:spacing w:before="124"/>
        <w:ind w:left="640"/>
      </w:pPr>
      <w:r>
        <w:rPr/>
        <w:pict>
          <v:line style="position:absolute;mso-position-horizontal-relative:page;mso-position-vertical-relative:paragraph;z-index:-433864" from="130.440002pt,14.636372pt" to="133.801002pt,14.636372pt" stroked="true" strokeweight=".599pt" strokecolor="#2e97d3">
            <v:stroke dashstyle="solid"/>
            <w10:wrap type="none"/>
          </v:line>
        </w:pict>
      </w:r>
      <w:r>
        <w:rPr/>
        <w:pict>
          <v:line style="position:absolute;mso-position-horizontal-relative:page;mso-position-vertical-relative:paragraph;z-index:39184" from="26.76pt,34.015873pt" to="26.76pt,95.215873pt" stroked="true" strokeweight=".72pt" strokecolor="#000000">
            <v:stroke dashstyle="solid"/>
            <w10:wrap type="none"/>
          </v:line>
        </w:pict>
      </w:r>
      <w:r>
        <w:rPr>
          <w:b/>
        </w:rPr>
        <w:t>Budget letter</w:t>
      </w:r>
      <w:r>
        <w:rPr/>
        <w:t>: A statewide communication from the Department of Finance containing budget development or implementation instructions.</w:t>
      </w:r>
    </w:p>
    <w:p>
      <w:pPr>
        <w:pStyle w:val="BodyText"/>
        <w:spacing w:before="119"/>
        <w:ind w:left="640" w:right="115"/>
      </w:pPr>
      <w:r>
        <w:rPr/>
        <w:pict>
          <v:line style="position:absolute;mso-position-horizontal-relative:page;mso-position-vertical-relative:paragraph;z-index:-433840" from="306.600006pt,14.385835pt" to="309.840006pt,14.385835pt" stroked="true" strokeweight=".6pt" strokecolor="#2e97d3">
            <v:stroke dashstyle="solid"/>
            <w10:wrap type="none"/>
          </v:line>
        </w:pict>
      </w:r>
      <w:r>
        <w:rPr/>
        <w:pict>
          <v:line style="position:absolute;mso-position-horizontal-relative:page;mso-position-vertical-relative:paragraph;z-index:-433816" from="335.399994pt,41.986336pt" to="338.639994pt,41.986336pt" stroked="true" strokeweight=".599pt" strokecolor="#2e97d3">
            <v:stroke dashstyle="solid"/>
            <w10:wrap type="none"/>
          </v:line>
        </w:pict>
      </w:r>
      <w:r>
        <w:rPr/>
        <w:pict>
          <v:line style="position:absolute;mso-position-horizontal-relative:page;mso-position-vertical-relative:paragraph;z-index:-433792" from="479.519989pt,55.785835pt" to="482.879989pt,55.785835pt" stroked="true" strokeweight=".6pt" strokecolor="#2e97d3">
            <v:stroke dashstyle="solid"/>
            <w10:wrap type="none"/>
          </v:line>
        </w:pict>
      </w:r>
      <w:r>
        <w:rPr/>
        <w:pict>
          <v:line style="position:absolute;mso-position-horizontal-relative:page;mso-position-vertical-relative:paragraph;z-index:-433768" from="126.480003pt,97.185837pt" to="129.841003pt,97.185837pt" stroked="true" strokeweight=".6pt" strokecolor="#2e97d3">
            <v:stroke dashstyle="solid"/>
            <w10:wrap type="none"/>
          </v:line>
        </w:pict>
      </w:r>
      <w:r>
        <w:rPr/>
        <w:pict>
          <v:line style="position:absolute;mso-position-horizontal-relative:page;mso-position-vertical-relative:paragraph;z-index:39208" from="26.76pt,88.965836pt" to="26.76pt,102.765836pt" stroked="true" strokeweight=".72pt" strokecolor="#000000">
            <v:stroke dashstyle="solid"/>
            <w10:wrap type="none"/>
          </v:line>
        </w:pict>
      </w:r>
      <w:r>
        <w:rPr>
          <w:b/>
        </w:rPr>
        <w:t>Budget packages, budget package estimate: </w:t>
      </w:r>
      <w:r>
        <w:rPr/>
        <w:t>Prepared under the direction of DGS, budget packages refine departments’ initial project estimates and are used by </w:t>
      </w:r>
      <w:r>
        <w:rPr>
          <w:strike/>
          <w:color w:val="2E97D3"/>
        </w:rPr>
        <w:t>DOF</w:t>
      </w:r>
      <w:r>
        <w:rPr>
          <w:strike w:val="0"/>
          <w:color w:val="2E97D3"/>
          <w:u w:val="single" w:color="2E97D3"/>
        </w:rPr>
        <w:t>Finance </w:t>
      </w:r>
      <w:r>
        <w:rPr>
          <w:strike w:val="0"/>
        </w:rPr>
        <w:t>to evaluate a project and size a project appropriation. They generally contain a project description, pre-schematic drawings, outline specifications, and a cost estimate. Refined cost estimates developed in this process are referred to as budget package estimates (as distinguished from preliminary cost estimates of a project provided by the department in the COBCP).  Section</w:t>
      </w:r>
      <w:r>
        <w:rPr>
          <w:strike w:val="0"/>
          <w:spacing w:val="-13"/>
        </w:rPr>
        <w:t> </w:t>
      </w:r>
      <w:r>
        <w:rPr>
          <w:strike w:val="0"/>
        </w:rPr>
        <w:t>6828.</w:t>
      </w:r>
    </w:p>
    <w:p>
      <w:pPr>
        <w:spacing w:before="114"/>
        <w:ind w:left="640" w:right="0" w:firstLine="0"/>
        <w:jc w:val="left"/>
        <w:rPr>
          <w:sz w:val="24"/>
        </w:rPr>
      </w:pPr>
      <w:r>
        <w:rPr/>
        <w:pict>
          <v:line style="position:absolute;mso-position-horizontal-relative:page;mso-position-vertical-relative:paragraph;z-index:39232" from="26.76pt,19.83585pt" to="26.76pt,67.23585pt" stroked="true" strokeweight=".72pt" strokecolor="#000000">
            <v:stroke dashstyle="solid"/>
            <w10:wrap type="none"/>
          </v:line>
        </w:pict>
      </w:r>
      <w:r>
        <w:rPr>
          <w:b/>
          <w:sz w:val="24"/>
        </w:rPr>
        <w:t>Building Cost Index</w:t>
      </w:r>
      <w:r>
        <w:rPr>
          <w:sz w:val="24"/>
        </w:rPr>
        <w:t>:  See </w:t>
      </w:r>
      <w:r>
        <w:rPr>
          <w:i/>
          <w:sz w:val="24"/>
        </w:rPr>
        <w:t>California Construction Cost Index</w:t>
      </w:r>
      <w:r>
        <w:rPr>
          <w:sz w:val="24"/>
        </w:rPr>
        <w:t>.</w:t>
      </w:r>
    </w:p>
    <w:p>
      <w:pPr>
        <w:pStyle w:val="BodyText"/>
        <w:spacing w:before="124"/>
        <w:ind w:left="640" w:right="408"/>
      </w:pPr>
      <w:r>
        <w:rPr/>
        <w:pict>
          <v:line style="position:absolute;mso-position-horizontal-relative:page;mso-position-vertical-relative:paragraph;z-index:-433744" from="299.160004pt,14.635872pt" to="302.400004pt,14.635872pt" stroked="true" strokeweight=".6pt" strokecolor="#2e97d3">
            <v:stroke dashstyle="solid"/>
            <w10:wrap type="none"/>
          </v:line>
        </w:pict>
      </w:r>
      <w:r>
        <w:rPr/>
        <w:pict>
          <v:line style="position:absolute;mso-position-horizontal-relative:page;mso-position-vertical-relative:paragraph;z-index:-433720" from="274.559998pt,28.315872pt" to="277.919998pt,28.315872pt" stroked="true" strokeweight=".6pt" strokecolor="#2e97d3">
            <v:stroke dashstyle="solid"/>
            <w10:wrap type="none"/>
          </v:line>
        </w:pict>
      </w:r>
      <w:r>
        <w:rPr/>
        <w:pict>
          <v:line style="position:absolute;mso-position-horizontal-relative:page;mso-position-vertical-relative:paragraph;z-index:39256" from="26.76pt,61.495872pt" to="26.76pt,95.095872pt" stroked="true" strokeweight=".72pt" strokecolor="#000000">
            <v:stroke dashstyle="solid"/>
            <w10:wrap type="none"/>
          </v:line>
        </w:pict>
      </w:r>
      <w:r>
        <w:rPr>
          <w:b/>
        </w:rPr>
        <w:t>California Construction Cost Index (CCCI): </w:t>
      </w:r>
      <w:r>
        <w:rPr/>
        <w:t>The construction cost index departments must use in escalating construction costs. Based on the average Building Cost Index (BCI) for Los Angeles and San Francisco as published in the Engineering News Record. Section 6818, technical notes.</w:t>
      </w:r>
    </w:p>
    <w:p>
      <w:pPr>
        <w:spacing w:before="120"/>
        <w:ind w:left="640" w:right="143" w:firstLine="0"/>
        <w:jc w:val="both"/>
        <w:rPr>
          <w:sz w:val="24"/>
        </w:rPr>
      </w:pPr>
      <w:r>
        <w:rPr/>
        <w:pict>
          <v:line style="position:absolute;mso-position-horizontal-relative:page;mso-position-vertical-relative:paragraph;z-index:-433696" from="312.959991pt,14.436355pt" to="316.799991pt,14.436355pt" stroked="true" strokeweight=".599pt" strokecolor="#2e97d3">
            <v:stroke dashstyle="solid"/>
            <w10:wrap type="none"/>
          </v:line>
        </w:pict>
      </w:r>
      <w:r>
        <w:rPr/>
        <w:pict>
          <v:line style="position:absolute;mso-position-horizontal-relative:page;mso-position-vertical-relative:paragraph;z-index:-433672" from="450.959991pt,28.235855pt" to="454.798991pt,28.235855pt" stroked="true" strokeweight=".6pt" strokecolor="#2e97d3">
            <v:stroke dashstyle="solid"/>
            <w10:wrap type="none"/>
          </v:line>
        </w:pict>
      </w:r>
      <w:r>
        <w:rPr/>
        <w:pict>
          <v:line style="position:absolute;mso-position-horizontal-relative:page;mso-position-vertical-relative:paragraph;z-index:39280" from="26.76pt,47.616856pt" to="26.76pt,67.295856pt" stroked="true" strokeweight=".72pt" strokecolor="#000000">
            <v:stroke dashstyle="solid"/>
            <w10:wrap type="none"/>
          </v:line>
        </w:pict>
      </w:r>
      <w:r>
        <w:rPr>
          <w:b/>
          <w:sz w:val="24"/>
        </w:rPr>
        <w:t>California Environmental Quality Act (CEQA)</w:t>
      </w:r>
      <w:r>
        <w:rPr>
          <w:sz w:val="24"/>
        </w:rPr>
        <w:t>: A body of law and regulation setting out environmental review requirements for projects, including capital projects. Sections 6808, 6812, and 6850.</w:t>
      </w:r>
    </w:p>
    <w:p>
      <w:pPr>
        <w:pStyle w:val="BodyText"/>
        <w:spacing w:before="115"/>
        <w:ind w:left="640" w:right="101"/>
      </w:pPr>
      <w:r>
        <w:rPr/>
        <w:pict>
          <v:line style="position:absolute;mso-position-horizontal-relative:page;mso-position-vertical-relative:paragraph;z-index:-433648" from="160.559998pt,14.186351pt" to="163.799998pt,14.186351pt" stroked="true" strokeweight=".599pt" strokecolor="#2e97d3">
            <v:stroke dashstyle="solid"/>
            <w10:wrap type="none"/>
          </v:line>
        </w:pict>
      </w:r>
      <w:r>
        <w:rPr/>
        <w:pict>
          <v:line style="position:absolute;mso-position-horizontal-relative:page;mso-position-vertical-relative:paragraph;z-index:-433624" from="372.600006pt,41.785851pt" to="375.960006pt,41.785851pt" stroked="true" strokeweight=".6pt" strokecolor="#2e97d3">
            <v:stroke dashstyle="solid"/>
            <w10:wrap type="none"/>
          </v:line>
        </w:pict>
      </w:r>
      <w:r>
        <w:rPr/>
        <w:pict>
          <v:line style="position:absolute;mso-position-horizontal-relative:page;mso-position-vertical-relative:paragraph;z-index:39304" from="26.76pt,33.685852pt" to="26.76pt,47.485852pt" stroked="true" strokeweight=".72pt" strokecolor="#000000">
            <v:stroke dashstyle="solid"/>
            <w10:wrap type="none"/>
          </v:line>
        </w:pict>
      </w:r>
      <w:r>
        <w:rPr/>
        <w:pict>
          <v:line style="position:absolute;mso-position-horizontal-relative:page;mso-position-vertical-relative:paragraph;z-index:39328" from="26.76pt,75.086853pt" to="26.76pt,98.725853pt" stroked="true" strokeweight=".72pt" strokecolor="#000000">
            <v:stroke dashstyle="solid"/>
            <w10:wrap type="none"/>
          </v:line>
        </w:pict>
      </w:r>
      <w:r>
        <w:rPr>
          <w:b/>
        </w:rPr>
        <w:t>Capitalized assets</w:t>
      </w:r>
      <w:r>
        <w:rPr/>
        <w:t>: As used in this chapter, all processes which </w:t>
      </w:r>
      <w:r>
        <w:rPr>
          <w:i/>
        </w:rPr>
        <w:t>may </w:t>
      </w:r>
      <w:r>
        <w:rPr/>
        <w:t>result in the acquisition, new construction, alteration, renovation, extension or betterment of real assets, </w:t>
      </w:r>
      <w:r>
        <w:rPr>
          <w:i/>
        </w:rPr>
        <w:t>regardless of character of appropriation </w:t>
      </w:r>
      <w:r>
        <w:rPr/>
        <w:t>for the expenditure. Includes capitalized leases as well as processes which may result in a capital acquisition, such as leases with purchase options.  Sections 6801, 6806, and 6876.</w:t>
      </w:r>
    </w:p>
    <w:p>
      <w:pPr>
        <w:pStyle w:val="BodyText"/>
        <w:spacing w:before="199"/>
        <w:ind w:left="640" w:right="421"/>
      </w:pPr>
      <w:r>
        <w:rPr/>
        <w:pict>
          <v:line style="position:absolute;mso-position-horizontal-relative:page;mso-position-vertical-relative:paragraph;z-index:-433600" from="219.119995pt,18.385864pt" to="222.479995pt,18.385864pt" stroked="true" strokeweight=".6pt" strokecolor="#2e97d3">
            <v:stroke dashstyle="solid"/>
            <w10:wrap type="none"/>
          </v:line>
        </w:pict>
      </w:r>
      <w:r>
        <w:rPr/>
        <w:pict>
          <v:line style="position:absolute;mso-position-horizontal-relative:page;mso-position-vertical-relative:paragraph;z-index:-433576" from="199.199997pt,45.866364pt" to="202.560997pt,45.866364pt" stroked="true" strokeweight=".599pt" strokecolor="#2e97d3">
            <v:stroke dashstyle="solid"/>
            <w10:wrap type="none"/>
          </v:line>
        </w:pict>
      </w:r>
      <w:r>
        <w:rPr/>
        <w:pict>
          <v:line style="position:absolute;mso-position-horizontal-relative:page;mso-position-vertical-relative:paragraph;z-index:39352" from="26.76pt,37.645863pt" to="26.76pt,79.045863pt" stroked="true" strokeweight=".72pt" strokecolor="#000000">
            <v:stroke dashstyle="solid"/>
            <w10:wrap type="none"/>
          </v:line>
        </w:pict>
      </w:r>
      <w:r>
        <w:rPr/>
        <w:pict>
          <v:line style="position:absolute;mso-position-horizontal-relative:page;mso-position-vertical-relative:paragraph;z-index:39376" from="26.76pt,92.845863pt" to="26.76pt,112.645863pt" stroked="true" strokeweight=".72pt" strokecolor="#000000">
            <v:stroke dashstyle="solid"/>
            <w10:wrap type="none"/>
          </v:line>
        </w:pict>
      </w:r>
      <w:r>
        <w:rPr>
          <w:b/>
        </w:rPr>
        <w:t>Capitalized interest account</w:t>
      </w:r>
      <w:r>
        <w:rPr/>
        <w:t>: Bond proceeds which are reserved to pay interest on a revenue (or lease-revenue) bond issue for a period of time early in the term of the issue; also called funded interest. Commonly, in a project financing, interest is capitalized through the date on which it is anticipated that construction will be completed </w:t>
      </w:r>
      <w:r>
        <w:rPr>
          <w:color w:val="2E97D3"/>
          <w:u w:val="single" w:color="2E97D3"/>
        </w:rPr>
        <w:t>(and up to six months after the completion of construction at the discretion of the PWB) </w:t>
      </w:r>
      <w:r>
        <w:rPr/>
        <w:t>and the project capable of providing lease payments for repayment of debt service.</w:t>
      </w:r>
    </w:p>
    <w:p>
      <w:pPr>
        <w:pStyle w:val="BodyText"/>
        <w:spacing w:before="120"/>
        <w:ind w:left="640" w:right="154"/>
      </w:pPr>
      <w:r>
        <w:rPr/>
        <w:pict>
          <v:line style="position:absolute;mso-position-horizontal-relative:page;mso-position-vertical-relative:paragraph;z-index:-433552" from="157.199997pt,14.436357pt" to="160.559997pt,14.436357pt" stroked="true" strokeweight=".599pt" strokecolor="#2e97d3">
            <v:stroke dashstyle="solid"/>
            <w10:wrap type="none"/>
          </v:line>
        </w:pict>
      </w:r>
      <w:r>
        <w:rPr/>
        <w:pict>
          <v:line style="position:absolute;mso-position-horizontal-relative:page;mso-position-vertical-relative:paragraph;z-index:39400" from="26.76pt,47.616856pt" to="26.76pt,73.415856pt" stroked="true" strokeweight=".72pt" strokecolor="#000000">
            <v:stroke dashstyle="solid"/>
            <w10:wrap type="none"/>
          </v:line>
        </w:pict>
      </w:r>
      <w:r>
        <w:rPr>
          <w:b/>
        </w:rPr>
        <w:t>Capitalized lease: </w:t>
      </w:r>
      <w:r>
        <w:rPr/>
        <w:t>A lease agreement is classified as a capital lease (in-substance purchase) when substantially all of the risks and benefits of ownership are assumed by the lessee. Sections 6818 and 6820.</w:t>
      </w:r>
    </w:p>
    <w:p>
      <w:pPr>
        <w:pStyle w:val="BodyText"/>
        <w:spacing w:before="2"/>
        <w:ind w:left="640"/>
      </w:pPr>
      <w:r>
        <w:rPr>
          <w:strike/>
          <w:color w:val="2E97D3"/>
        </w:rPr>
        <w:t>(Continued)</w:t>
      </w:r>
    </w:p>
    <w:p>
      <w:pPr>
        <w:spacing w:after="0"/>
        <w:sectPr>
          <w:headerReference w:type="default" r:id="rId362"/>
          <w:pgSz w:w="12240" w:h="15840"/>
          <w:pgMar w:header="726" w:footer="726" w:top="1520" w:bottom="980" w:left="420" w:right="1400"/>
        </w:sectPr>
      </w:pPr>
    </w:p>
    <w:p>
      <w:pPr>
        <w:tabs>
          <w:tab w:pos="8743" w:val="left" w:leader="none"/>
        </w:tabs>
        <w:spacing w:before="0"/>
        <w:ind w:left="640" w:right="102" w:firstLine="0"/>
        <w:jc w:val="left"/>
        <w:rPr>
          <w:sz w:val="24"/>
        </w:rPr>
      </w:pPr>
      <w:r>
        <w:rPr/>
        <w:pict>
          <v:group style="position:absolute;margin-left:52.740002pt;margin-top:7.535884pt;width:482.2pt;height:1.8pt;mso-position-horizontal-relative:page;mso-position-vertical-relative:paragraph;z-index:-433240" coordorigin="1055,151" coordsize="9644,36">
            <v:shape style="position:absolute;left:1061;top:157;width:9420;height:24" coordorigin="1061,157" coordsize="9420,24" path="m1061,181l10481,181m1061,157l10481,157e" filled="false" stroked="true" strokeweight=".6pt" strokecolor="#2c6234">
              <v:path arrowok="t"/>
              <v:stroke dashstyle="solid"/>
            </v:shape>
            <v:line style="position:absolute" from="10481,169" to="10692,169" stroked="true" strokeweight=".599pt" strokecolor="#2e97d3">
              <v:stroke dashstyle="solid"/>
            </v:line>
            <w10:wrap type="none"/>
          </v:group>
        </w:pict>
      </w:r>
      <w:r>
        <w:rPr/>
        <w:pict>
          <v:line style="position:absolute;mso-position-horizontal-relative:page;mso-position-vertical-relative:page;z-index:39544" from="26.76pt,48.959999pt" to="26.76pt,162.359999pt" stroked="true" strokeweight=".72pt" strokecolor="#000000">
            <v:stroke dashstyle="solid"/>
            <w10:wrap type="none"/>
          </v:line>
        </w:pict>
      </w:r>
      <w:bookmarkStart w:name="(New 5/1998)" w:id="145"/>
      <w:bookmarkEnd w:id="145"/>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w:t>
      </w:r>
      <w:r>
        <w:rPr>
          <w:b/>
          <w:color w:val="2C6234"/>
          <w:spacing w:val="-4"/>
          <w:sz w:val="24"/>
        </w:rPr>
        <w:t> </w:t>
      </w:r>
      <w:r>
        <w:rPr>
          <w:color w:val="2C6234"/>
          <w:sz w:val="24"/>
        </w:rPr>
        <w:t>(Cont.</w:t>
      </w:r>
      <w:r>
        <w:rPr>
          <w:color w:val="2C6234"/>
          <w:spacing w:val="-7"/>
          <w:sz w:val="24"/>
        </w:rPr>
        <w:t> </w:t>
      </w:r>
      <w:r>
        <w:rPr>
          <w:color w:val="2E97D3"/>
          <w:sz w:val="24"/>
        </w:rPr>
        <w:t>3)</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spacing w:before="57"/>
        <w:ind w:left="640" w:right="315"/>
      </w:pPr>
      <w:r>
        <w:rPr/>
        <w:pict>
          <v:line style="position:absolute;mso-position-horizontal-relative:page;mso-position-vertical-relative:paragraph;z-index:-433216" from="135pt,11.285842pt" to="138.360pt,11.285842pt" stroked="true" strokeweight=".6pt" strokecolor="#2e97d3">
            <v:stroke dashstyle="solid"/>
            <w10:wrap type="none"/>
          </v:line>
        </w:pict>
      </w:r>
      <w:r>
        <w:rPr/>
        <w:pict>
          <v:line style="position:absolute;mso-position-horizontal-relative:page;mso-position-vertical-relative:paragraph;z-index:-433192" from="269.880005pt,25.205843pt" to="273.240005pt,25.205843pt" stroked="true" strokeweight=".6pt" strokecolor="#2e97d3">
            <v:stroke dashstyle="solid"/>
            <w10:wrap type="none"/>
          </v:line>
        </w:pict>
      </w:r>
      <w:r>
        <w:rPr/>
        <w:pict>
          <v:line style="position:absolute;mso-position-horizontal-relative:page;mso-position-vertical-relative:paragraph;z-index:-433168" from="341.399994pt,39.005844pt" to="344.760994pt,39.005844pt" stroked="true" strokeweight=".6pt" strokecolor="#2e97d3">
            <v:stroke dashstyle="solid"/>
            <w10:wrap type="none"/>
          </v:line>
        </w:pict>
      </w:r>
      <w:r>
        <w:rPr/>
        <w:pict>
          <v:line style="position:absolute;mso-position-horizontal-relative:page;mso-position-vertical-relative:paragraph;z-index:-433144" from="417.23999pt,52.806343pt" to="420.59999pt,52.806343pt" stroked="true" strokeweight=".599pt" strokecolor="#2e97d3">
            <v:stroke dashstyle="solid"/>
            <w10:wrap type="none"/>
          </v:line>
        </w:pict>
      </w:r>
      <w:r>
        <w:rPr/>
        <w:pict>
          <v:line style="position:absolute;mso-position-horizontal-relative:page;mso-position-vertical-relative:paragraph;z-index:39568" from="26.76pt,72.184845pt" to="26.76pt,92.105845pt" stroked="true" strokeweight=".72pt" strokecolor="#000000">
            <v:stroke dashstyle="solid"/>
            <w10:wrap type="none"/>
          </v:line>
        </w:pict>
      </w:r>
      <w:r>
        <w:rPr>
          <w:b/>
        </w:rPr>
        <w:t>Capital outlay</w:t>
      </w:r>
      <w:r>
        <w:rPr/>
        <w:t>: A subset of </w:t>
      </w:r>
      <w:r>
        <w:rPr>
          <w:i/>
        </w:rPr>
        <w:t>capitalized asset </w:t>
      </w:r>
      <w:r>
        <w:rPr/>
        <w:t>activities, funded specifically under the capital outlay character of appropriation. Includes acquisitions, new construction, alterations, renovations, extensions, and betterments. Does not include capitalized (financing) leases where payment is made through the rent line item. Sections 6801 and 6806.</w:t>
      </w:r>
    </w:p>
    <w:p>
      <w:pPr>
        <w:pStyle w:val="BodyText"/>
        <w:spacing w:before="124"/>
        <w:ind w:left="640"/>
      </w:pPr>
      <w:r>
        <w:rPr>
          <w:color w:val="2C6234"/>
          <w:u w:val="thick" w:color="2C6234"/>
        </w:rPr>
        <w:t>(Continued)</w:t>
      </w:r>
    </w:p>
    <w:p>
      <w:pPr>
        <w:spacing w:after="0"/>
        <w:sectPr>
          <w:pgSz w:w="12240" w:h="15840"/>
          <w:pgMar w:header="726" w:footer="726" w:top="1520" w:bottom="980" w:left="420" w:right="1440"/>
        </w:sectPr>
      </w:pPr>
    </w:p>
    <w:p>
      <w:pPr>
        <w:tabs>
          <w:tab w:pos="8846" w:val="left" w:leader="none"/>
        </w:tabs>
        <w:spacing w:before="0"/>
        <w:ind w:left="640" w:right="0" w:firstLine="0"/>
        <w:jc w:val="left"/>
        <w:rPr>
          <w:sz w:val="24"/>
        </w:rPr>
      </w:pPr>
      <w:r>
        <w:rPr/>
        <w:pict>
          <v:group style="position:absolute;margin-left:52.740002pt;margin-top:11.73583pt;width:487.6pt;height:2.2pt;mso-position-horizontal-relative:page;mso-position-vertical-relative:paragraph;z-index:-433048" coordorigin="1055,235" coordsize="9752,44">
            <v:line style="position:absolute" from="1061,241" to="10584,241" stroked="true" strokeweight=".6pt" strokecolor="#2c6234">
              <v:stroke dashstyle="solid"/>
            </v:line>
            <v:line style="position:absolute" from="1061,272" to="10584,272" stroked="true" strokeweight=".599pt" strokecolor="#2c6234">
              <v:stroke dashstyle="solid"/>
            </v:line>
            <v:line style="position:absolute" from="10584,260" to="10798,260" stroked="true" strokeweight=".84pt" strokecolor="#2e97d3">
              <v:stroke dashstyle="solid"/>
            </v:line>
            <w10:wrap type="none"/>
          </v:group>
        </w:pict>
      </w:r>
      <w:r>
        <w:rPr/>
        <w:pict>
          <v:line style="position:absolute;mso-position-horizontal-relative:page;mso-position-vertical-relative:page;z-index:40120" from="26.76pt,48.959999pt" to="26.76pt,134.639999pt" stroked="true" strokeweight=".72pt" strokecolor="#000000">
            <v:stroke dashstyle="solid"/>
            <w10:wrap type="none"/>
          </v:line>
        </w:pict>
      </w:r>
      <w:bookmarkStart w:name="GLOSSARY AND INDEX FOR CAPITAL OUTLAY" w:id="146"/>
      <w:bookmarkEnd w:id="146"/>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 </w:t>
      </w:r>
      <w:r>
        <w:rPr>
          <w:color w:val="2C6234"/>
          <w:sz w:val="24"/>
        </w:rPr>
        <w:t>(Cont.</w:t>
      </w:r>
      <w:r>
        <w:rPr>
          <w:color w:val="2C6234"/>
          <w:spacing w:val="-10"/>
          <w:sz w:val="24"/>
        </w:rPr>
        <w:t> </w:t>
      </w:r>
      <w:r>
        <w:rPr>
          <w:color w:val="2E97D3"/>
          <w:sz w:val="24"/>
        </w:rPr>
        <w:t>3)</w:t>
      </w:r>
    </w:p>
    <w:p>
      <w:pPr>
        <w:pStyle w:val="BodyText"/>
        <w:ind w:left="640"/>
      </w:pPr>
      <w:r>
        <w:rPr>
          <w:color w:val="2E97D3"/>
          <w:u w:val="single" w:color="2E97D3"/>
        </w:rPr>
        <w:t>(Revised 09/2017)</w:t>
      </w:r>
    </w:p>
    <w:p>
      <w:pPr>
        <w:spacing w:before="120"/>
        <w:ind w:left="640" w:right="954" w:firstLine="0"/>
        <w:jc w:val="left"/>
        <w:rPr>
          <w:sz w:val="24"/>
        </w:rPr>
      </w:pPr>
      <w:r>
        <w:rPr/>
        <w:pict>
          <v:line style="position:absolute;mso-position-horizontal-relative:page;mso-position-vertical-relative:paragraph;z-index:-433024" from="336.480011pt,14.436355pt" to="339.840011pt,14.436355pt" stroked="true" strokeweight=".599pt" strokecolor="#2e97d3">
            <v:stroke dashstyle="solid"/>
            <w10:wrap type="none"/>
          </v:line>
        </w:pict>
      </w:r>
      <w:r>
        <w:rPr/>
        <w:pict>
          <v:line style="position:absolute;mso-position-horizontal-relative:page;mso-position-vertical-relative:paragraph;z-index:-433000" from="316.559998pt,42.035854pt" to="319.920998pt,42.035854pt" stroked="true" strokeweight=".6pt" strokecolor="#2e97d3">
            <v:stroke dashstyle="solid"/>
            <w10:wrap type="none"/>
          </v:line>
        </w:pict>
      </w:r>
      <w:r>
        <w:rPr/>
        <w:pict>
          <v:line style="position:absolute;mso-position-horizontal-relative:page;mso-position-vertical-relative:paragraph;z-index:40144" from="26.76pt,33.814854pt" to="26.76pt,108.815854pt" stroked="true" strokeweight=".72pt" strokecolor="#000000">
            <v:stroke dashstyle="solid"/>
            <w10:wrap type="none"/>
          </v:line>
        </w:pict>
      </w:r>
      <w:r>
        <w:rPr>
          <w:b/>
          <w:sz w:val="24"/>
        </w:rPr>
        <w:t>Capital outlay budget change proposal (COBCP): </w:t>
      </w:r>
      <w:r>
        <w:rPr>
          <w:sz w:val="24"/>
        </w:rPr>
        <w:t>A written request for funding required for each project proposed in the Governor’s Budget (both new projects and continuing phases of previously funded projects).  Section 6818.</w:t>
      </w:r>
    </w:p>
    <w:p>
      <w:pPr>
        <w:pStyle w:val="BodyText"/>
        <w:spacing w:before="120"/>
        <w:ind w:left="640" w:right="954"/>
      </w:pPr>
      <w:r>
        <w:rPr>
          <w:b/>
          <w:color w:val="2E97D3"/>
          <w:u w:val="single" w:color="2E97D3"/>
        </w:rPr>
        <w:t>Capital outlay concept papers (COCP)</w:t>
      </w:r>
      <w:r>
        <w:rPr>
          <w:color w:val="2E97D3"/>
          <w:u w:val="single" w:color="2E97D3"/>
        </w:rPr>
        <w:t>: A written request for funding required for each project or program area where specific project detail is not available. These proposals may to be used as part of the department’s five-year infrastructure plan except for budget year proposals that require a COBCP.</w:t>
      </w:r>
    </w:p>
    <w:p>
      <w:pPr>
        <w:pStyle w:val="BodyText"/>
        <w:spacing w:before="11"/>
        <w:rPr>
          <w:sz w:val="15"/>
        </w:rPr>
      </w:pPr>
    </w:p>
    <w:p>
      <w:pPr>
        <w:pStyle w:val="BodyText"/>
        <w:spacing w:before="92"/>
        <w:ind w:left="640"/>
      </w:pPr>
      <w:r>
        <w:rPr/>
        <w:pict>
          <v:line style="position:absolute;mso-position-horizontal-relative:page;mso-position-vertical-relative:paragraph;z-index:-432976" from="192.600006pt,13.03583pt" to="195.960006pt,13.03583pt" stroked="true" strokeweight=".6pt" strokecolor="#2e97d3">
            <v:stroke dashstyle="solid"/>
            <w10:wrap type="none"/>
          </v:line>
        </w:pict>
      </w:r>
      <w:r>
        <w:rPr/>
        <w:pict>
          <v:line style="position:absolute;mso-position-horizontal-relative:page;mso-position-vertical-relative:paragraph;z-index:-432952" from="295.200012pt,26.835831pt" to="298.560012pt,26.835831pt" stroked="true" strokeweight=".6pt" strokecolor="#2e97d3">
            <v:stroke dashstyle="solid"/>
            <w10:wrap type="none"/>
          </v:line>
        </w:pict>
      </w:r>
      <w:r>
        <w:rPr/>
        <w:pict>
          <v:line style="position:absolute;mso-position-horizontal-relative:page;mso-position-vertical-relative:paragraph;z-index:40168" from="26.76pt,4.81583pt" to="26.76pt,65.89583pt" stroked="true" strokeweight=".72pt" strokecolor="#000000">
            <v:stroke dashstyle="solid"/>
            <w10:wrap type="none"/>
          </v:line>
        </w:pict>
      </w:r>
      <w:r>
        <w:rPr>
          <w:b/>
        </w:rPr>
        <w:t>Categorical exemptions: </w:t>
      </w:r>
      <w:r>
        <w:rPr/>
        <w:t>An exemption from CEQA based on one or more classes of actions/projects, as established in regulation.  Section 6850.</w:t>
      </w:r>
    </w:p>
    <w:p>
      <w:pPr>
        <w:pStyle w:val="BodyText"/>
        <w:spacing w:before="114"/>
        <w:ind w:left="640" w:right="342"/>
        <w:rPr>
          <w:b/>
        </w:rPr>
      </w:pPr>
      <w:r>
        <w:rPr/>
        <w:pict>
          <v:line style="position:absolute;mso-position-horizontal-relative:page;mso-position-vertical-relative:paragraph;z-index:-432928" from="147.119995pt,14.136345pt" to="150.479995pt,14.136345pt" stroked="true" strokeweight=".599pt" strokecolor="#2e97d3">
            <v:stroke dashstyle="solid"/>
            <w10:wrap type="none"/>
          </v:line>
        </w:pict>
      </w:r>
      <w:r>
        <w:rPr/>
        <w:pict>
          <v:line style="position:absolute;mso-position-horizontal-relative:page;mso-position-vertical-relative:paragraph;z-index:-432904" from="389.279999pt,28.055845pt" to="392.640999pt,28.055845pt" stroked="true" strokeweight=".6pt" strokecolor="#2e97d3">
            <v:stroke dashstyle="solid"/>
            <w10:wrap type="none"/>
          </v:line>
        </w:pict>
      </w:r>
      <w:r>
        <w:rPr/>
        <w:pict>
          <v:line style="position:absolute;mso-position-horizontal-relative:page;mso-position-vertical-relative:paragraph;z-index:-432880" from="248.639999pt,55.655846pt" to="251.879999pt,55.655846pt" stroked="true" strokeweight=".6pt" strokecolor="#2e97d3">
            <v:stroke dashstyle="solid"/>
            <w10:wrap type="none"/>
          </v:line>
        </w:pict>
      </w:r>
      <w:r>
        <w:rPr/>
        <w:pict>
          <v:line style="position:absolute;mso-position-horizontal-relative:page;mso-position-vertical-relative:paragraph;z-index:40192" from="26.76pt,47.435844pt" to="26.76pt,61.235844pt" stroked="true" strokeweight=".72pt" strokecolor="#000000">
            <v:stroke dashstyle="solid"/>
            <w10:wrap type="none"/>
          </v:line>
        </w:pict>
      </w:r>
      <w:r>
        <w:rPr>
          <w:b/>
        </w:rPr>
        <w:t>Category codes: </w:t>
      </w:r>
      <w:r>
        <w:rPr>
          <w:i/>
        </w:rPr>
        <w:t>Program </w:t>
      </w:r>
      <w:r>
        <w:rPr/>
        <w:t>categories and </w:t>
      </w:r>
      <w:r>
        <w:rPr>
          <w:i/>
        </w:rPr>
        <w:t>project type </w:t>
      </w:r>
      <w:r>
        <w:rPr/>
        <w:t>categories are used on the COBCP to classify the broad purpose for the proposed project. Public safety and education are examples of program categories; fire/life safety, code correction are examples of project type categories.  Section 6839</w:t>
      </w:r>
      <w:r>
        <w:rPr>
          <w:b/>
        </w:rPr>
        <w:t>.</w:t>
      </w:r>
    </w:p>
    <w:p>
      <w:pPr>
        <w:spacing w:before="114"/>
        <w:ind w:left="640" w:right="0" w:firstLine="0"/>
        <w:jc w:val="left"/>
        <w:rPr>
          <w:i/>
          <w:sz w:val="24"/>
        </w:rPr>
      </w:pPr>
      <w:r>
        <w:rPr/>
        <w:pict>
          <v:line style="position:absolute;mso-position-horizontal-relative:page;mso-position-vertical-relative:paragraph;z-index:40216" from="26.76pt,19.835857pt" to="26.76pt,39.755857pt" stroked="true" strokeweight=".72pt" strokecolor="#000000">
            <v:stroke dashstyle="solid"/>
            <w10:wrap type="none"/>
          </v:line>
        </w:pict>
      </w:r>
      <w:r>
        <w:rPr>
          <w:b/>
          <w:sz w:val="24"/>
        </w:rPr>
        <w:t>CEQA</w:t>
      </w:r>
      <w:r>
        <w:rPr>
          <w:sz w:val="24"/>
        </w:rPr>
        <w:t>:  See </w:t>
      </w:r>
      <w:r>
        <w:rPr>
          <w:i/>
          <w:sz w:val="24"/>
        </w:rPr>
        <w:t>California Environmental Quality Act.</w:t>
      </w:r>
    </w:p>
    <w:p>
      <w:pPr>
        <w:pStyle w:val="BodyText"/>
        <w:spacing w:before="124"/>
        <w:ind w:left="640"/>
      </w:pPr>
      <w:r>
        <w:rPr/>
        <w:pict>
          <v:line style="position:absolute;mso-position-horizontal-relative:page;mso-position-vertical-relative:paragraph;z-index:-432856" from="166.440002pt,14.63585pt" to="169.801002pt,14.63585pt" stroked="true" strokeweight=".6pt" strokecolor="#2e97d3">
            <v:stroke dashstyle="solid"/>
            <w10:wrap type="none"/>
          </v:line>
        </w:pict>
      </w:r>
      <w:r>
        <w:rPr/>
        <w:pict>
          <v:line style="position:absolute;mso-position-horizontal-relative:page;mso-position-vertical-relative:paragraph;z-index:-432832" from="360pt,42.236351pt" to="363.36pt,42.236351pt" stroked="true" strokeweight=".599pt" strokecolor="#2e97d3">
            <v:stroke dashstyle="solid"/>
            <w10:wrap type="none"/>
          </v:line>
        </w:pict>
      </w:r>
      <w:r>
        <w:rPr/>
        <w:pict>
          <v:line style="position:absolute;mso-position-horizontal-relative:page;mso-position-vertical-relative:paragraph;z-index:40240" from="26.76pt,34.01585pt" to="26.76pt,67.615850pt" stroked="true" strokeweight=".72pt" strokecolor="#000000">
            <v:stroke dashstyle="solid"/>
            <w10:wrap type="none"/>
          </v:line>
        </w:pict>
      </w:r>
      <w:r>
        <w:rPr>
          <w:b/>
        </w:rPr>
        <w:t>Certification letters: </w:t>
      </w:r>
      <w:r>
        <w:rPr/>
        <w:t>A periodic notification from PWB to the Legislature certifying that projects on which it is taking action at its next meeting are within scope and cost, or (otherwise) the dates and amounts of approved changes.  Sections 6842 and 6844.</w:t>
      </w:r>
    </w:p>
    <w:p>
      <w:pPr>
        <w:pStyle w:val="BodyText"/>
        <w:spacing w:before="119"/>
        <w:ind w:left="640" w:right="147"/>
      </w:pPr>
      <w:r>
        <w:rPr/>
        <w:pict>
          <v:line style="position:absolute;mso-position-horizontal-relative:page;mso-position-vertical-relative:paragraph;z-index:-432808" from="256.559998pt,14.386355pt" to="259.919998pt,14.386355pt" stroked="true" strokeweight=".599pt" strokecolor="#2e97d3">
            <v:stroke dashstyle="solid"/>
            <w10:wrap type="none"/>
          </v:line>
        </w:pict>
      </w:r>
      <w:r>
        <w:rPr/>
        <w:pict>
          <v:line style="position:absolute;mso-position-horizontal-relative:page;mso-position-vertical-relative:paragraph;z-index:-432784" from="301.200012pt,41.985855pt" to="304.560012pt,41.985855pt" stroked="true" strokeweight=".6pt" strokecolor="#2e97d3">
            <v:stroke dashstyle="solid"/>
            <w10:wrap type="none"/>
          </v:line>
        </w:pict>
      </w:r>
      <w:r>
        <w:rPr/>
        <w:pict>
          <v:line style="position:absolute;mso-position-horizontal-relative:page;mso-position-vertical-relative:paragraph;z-index:-432760" from="398.040009pt,55.786354pt" to="401.400009pt,55.786354pt" stroked="true" strokeweight=".599pt" strokecolor="#2e97d3">
            <v:stroke dashstyle="solid"/>
            <w10:wrap type="none"/>
          </v:line>
        </w:pict>
      </w:r>
      <w:r>
        <w:rPr/>
        <w:pict>
          <v:line style="position:absolute;mso-position-horizontal-relative:page;mso-position-vertical-relative:paragraph;z-index:40264" from="26.76pt,33.765854pt" to="26.76pt,156.165854pt" stroked="true" strokeweight=".72pt" strokecolor="#000000">
            <v:stroke dashstyle="solid"/>
            <w10:wrap type="none"/>
          </v:line>
        </w:pict>
      </w:r>
      <w:r>
        <w:rPr>
          <w:b/>
        </w:rPr>
        <w:t>Certificates of participation (COPs): </w:t>
      </w:r>
      <w:r>
        <w:rPr/>
        <w:t>A certificate (which looks like a bond) representing an undivided interest in the payments made by a public agency pursuant to a financing lease (or an installment purchase agreement). Although not treated as state constitutional debt, federal tax law treats the lease obligation as if it were debt.  Section 6876.</w:t>
      </w:r>
    </w:p>
    <w:p>
      <w:pPr>
        <w:pStyle w:val="BodyText"/>
        <w:spacing w:before="119"/>
        <w:ind w:left="640" w:right="180"/>
      </w:pPr>
      <w:r>
        <w:rPr/>
        <w:pict>
          <v:line style="position:absolute;mso-position-horizontal-relative:page;mso-position-vertical-relative:paragraph;z-index:-432736" from="145.199997pt,14.386374pt" to="148.560997pt,14.386374pt" stroked="true" strokeweight=".599pt" strokecolor="#2e97d3">
            <v:stroke dashstyle="solid"/>
            <w10:wrap type="none"/>
          </v:line>
        </w:pict>
      </w:r>
      <w:r>
        <w:rPr/>
        <w:pict>
          <v:line style="position:absolute;mso-position-horizontal-relative:page;mso-position-vertical-relative:paragraph;z-index:-432712" from="275.880005pt,28.185875pt" to="279.241005pt,28.185875pt" stroked="true" strokeweight=".6pt" strokecolor="#2e97d3">
            <v:stroke dashstyle="solid"/>
            <w10:wrap type="none"/>
          </v:line>
        </w:pict>
      </w:r>
      <w:r>
        <w:rPr/>
        <w:pict>
          <v:line style="position:absolute;mso-position-horizontal-relative:page;mso-position-vertical-relative:paragraph;z-index:-432688" from="169.199997pt,55.786373pt" to="172.439997pt,55.786373pt" stroked="true" strokeweight=".599pt" strokecolor="#2e97d3">
            <v:stroke dashstyle="solid"/>
            <w10:wrap type="none"/>
          </v:line>
        </w:pict>
      </w:r>
      <w:r>
        <w:rPr>
          <w:b/>
        </w:rPr>
        <w:t>Change orders: </w:t>
      </w:r>
      <w:r>
        <w:rPr/>
        <w:t>Formal revisions of the construction contract based on approved modifications to the capital outlay project. Change orders must be approved by DGS </w:t>
      </w:r>
      <w:r>
        <w:rPr>
          <w:color w:val="2E97D3"/>
          <w:u w:val="single" w:color="2E97D3"/>
        </w:rPr>
        <w:t>or other department managing the construction </w:t>
      </w:r>
      <w:r>
        <w:rPr/>
        <w:t>and are funded from the contingency line-item of the project budget.  Section 6854.</w:t>
      </w:r>
    </w:p>
    <w:p>
      <w:pPr>
        <w:pStyle w:val="BodyText"/>
        <w:spacing w:before="119"/>
        <w:ind w:left="640" w:right="342"/>
      </w:pPr>
      <w:r>
        <w:rPr/>
        <w:pict>
          <v:line style="position:absolute;mso-position-horizontal-relative:page;mso-position-vertical-relative:paragraph;z-index:-432664" from="207.720001pt,14.386362pt" to="211.080001pt,14.386362pt" stroked="true" strokeweight=".599pt" strokecolor="#2e97d3">
            <v:stroke dashstyle="solid"/>
            <w10:wrap type="none"/>
          </v:line>
        </w:pict>
      </w:r>
      <w:r>
        <w:rPr/>
        <w:pict>
          <v:line style="position:absolute;mso-position-horizontal-relative:page;mso-position-vertical-relative:paragraph;z-index:-432640" from="404.040009pt,28.185862pt" to="407.401009pt,28.185862pt" stroked="true" strokeweight=".6pt" strokecolor="#2e97d3">
            <v:stroke dashstyle="solid"/>
            <w10:wrap type="none"/>
          </v:line>
        </w:pict>
      </w:r>
      <w:r>
        <w:rPr/>
        <w:pict>
          <v:line style="position:absolute;mso-position-horizontal-relative:page;mso-position-vertical-relative:paragraph;z-index:-432616" from="337.320007pt,60.345863pt" to="340.560007pt,60.345863pt" stroked="true" strokeweight=".84pt" strokecolor="#2e97d3">
            <v:stroke dashstyle="solid"/>
            <w10:wrap type="none"/>
          </v:line>
        </w:pict>
      </w:r>
      <w:r>
        <w:rPr/>
        <w:pict>
          <v:line style="position:absolute;mso-position-horizontal-relative:page;mso-position-vertical-relative:paragraph;z-index:40288" from="26.76pt,47.56686pt" to="26.76pt,174.16586pt" stroked="true" strokeweight=".72pt" strokecolor="#000000">
            <v:stroke dashstyle="solid"/>
            <w10:wrap type="none"/>
          </v:line>
        </w:pict>
      </w:r>
      <w:r>
        <w:rPr>
          <w:b/>
        </w:rPr>
        <w:t>Character of appropriation</w:t>
      </w:r>
      <w:r>
        <w:rPr/>
        <w:t>: The three broad classifications: (state operations, local assistance, and capital outlay) the state uses when appropriating. Generally, once a program or activity is budgeted as one of the three characters, it must follow the expenditure rules for that classification.  Section 6806</w:t>
      </w:r>
      <w:r>
        <w:rPr>
          <w:color w:val="2E97D3"/>
        </w:rPr>
        <w:t>.</w:t>
      </w:r>
    </w:p>
    <w:p>
      <w:pPr>
        <w:pStyle w:val="BodyText"/>
        <w:spacing w:line="274" w:lineRule="exact" w:before="125"/>
        <w:ind w:left="640"/>
      </w:pPr>
      <w:r>
        <w:rPr/>
        <w:pict>
          <v:line style="position:absolute;mso-position-horizontal-relative:page;mso-position-vertical-relative:paragraph;z-index:-432592" from="219.240005pt,28.070505pt" to="222.600005pt,28.070505pt" stroked="true" strokeweight=".599pt" strokecolor="#2e97d3">
            <v:stroke dashstyle="solid"/>
            <w10:wrap type="none"/>
          </v:line>
        </w:pict>
      </w:r>
      <w:r>
        <w:rPr>
          <w:b/>
          <w:strike/>
          <w:color w:val="2E97D3"/>
        </w:rPr>
        <w:t>Client</w:t>
      </w:r>
      <w:r>
        <w:rPr>
          <w:b/>
          <w:strike w:val="0"/>
          <w:color w:val="2E97D3"/>
          <w:u w:val="thick" w:color="2E97D3"/>
        </w:rPr>
        <w:t>Department: </w:t>
      </w:r>
      <w:r>
        <w:rPr>
          <w:strike w:val="0"/>
          <w:color w:val="2E97D3"/>
          <w:u w:val="thick" w:color="2E97D3"/>
        </w:rPr>
        <w:t>The </w:t>
      </w:r>
      <w:r>
        <w:rPr>
          <w:strike w:val="0"/>
        </w:rPr>
        <w:t>department</w:t>
      </w:r>
      <w:r>
        <w:rPr>
          <w:b/>
          <w:strike/>
          <w:color w:val="2E97D3"/>
        </w:rPr>
        <w:t>: </w:t>
      </w:r>
      <w:r>
        <w:rPr>
          <w:strike/>
          <w:color w:val="2E97D3"/>
        </w:rPr>
        <w:t>Department which </w:t>
      </w:r>
      <w:r>
        <w:rPr>
          <w:strike w:val="0"/>
          <w:color w:val="2E97D3"/>
          <w:u w:val="single" w:color="2E97D3"/>
        </w:rPr>
        <w:t>that </w:t>
      </w:r>
      <w:r>
        <w:rPr>
          <w:strike w:val="0"/>
        </w:rPr>
        <w:t>manages the programs for which capital outlay is needed.  Section 6805.</w:t>
      </w:r>
    </w:p>
    <w:p>
      <w:pPr>
        <w:spacing w:before="111"/>
        <w:ind w:left="640" w:right="0" w:firstLine="0"/>
        <w:jc w:val="left"/>
        <w:rPr>
          <w:sz w:val="24"/>
        </w:rPr>
      </w:pPr>
      <w:r>
        <w:rPr/>
        <w:pict>
          <v:line style="position:absolute;mso-position-horizontal-relative:page;mso-position-vertical-relative:paragraph;z-index:-432568" from="103.080002pt,13.985859pt" to="106.441002pt,13.985859pt" stroked="true" strokeweight=".6pt" strokecolor="#2e97d3">
            <v:stroke dashstyle="solid"/>
            <w10:wrap type="none"/>
          </v:line>
        </w:pict>
      </w:r>
      <w:r>
        <w:rPr>
          <w:b/>
          <w:sz w:val="24"/>
        </w:rPr>
        <w:t>COBCP</w:t>
      </w:r>
      <w:r>
        <w:rPr>
          <w:sz w:val="24"/>
        </w:rPr>
        <w:t>:  See </w:t>
      </w:r>
      <w:r>
        <w:rPr>
          <w:i/>
          <w:sz w:val="24"/>
        </w:rPr>
        <w:t>capital outlay budget change proposal</w:t>
      </w:r>
      <w:r>
        <w:rPr>
          <w:sz w:val="24"/>
        </w:rPr>
        <w:t>.</w:t>
      </w:r>
    </w:p>
    <w:p>
      <w:pPr>
        <w:pStyle w:val="BodyText"/>
        <w:spacing w:before="5"/>
        <w:rPr>
          <w:sz w:val="21"/>
        </w:rPr>
      </w:pPr>
    </w:p>
    <w:p>
      <w:pPr>
        <w:pStyle w:val="BodyText"/>
        <w:ind w:left="640"/>
      </w:pPr>
      <w:r>
        <w:rPr>
          <w:b/>
          <w:color w:val="2E97D3"/>
          <w:u w:val="single" w:color="2E97D3"/>
        </w:rPr>
        <w:t>COCP:  </w:t>
      </w:r>
      <w:r>
        <w:rPr>
          <w:color w:val="2E97D3"/>
          <w:u w:val="single" w:color="2E97D3"/>
        </w:rPr>
        <w:t>See capital outlay concept paper.</w:t>
      </w:r>
    </w:p>
    <w:p>
      <w:pPr>
        <w:pStyle w:val="BodyText"/>
        <w:spacing w:before="119"/>
        <w:ind w:left="640" w:right="1036"/>
      </w:pPr>
      <w:r>
        <w:rPr>
          <w:b/>
          <w:color w:val="2E97D3"/>
          <w:u w:val="single" w:color="2E97D3"/>
        </w:rPr>
        <w:t>Combined bids</w:t>
      </w:r>
      <w:r>
        <w:rPr>
          <w:color w:val="2E97D3"/>
          <w:u w:val="single" w:color="2E97D3"/>
        </w:rPr>
        <w:t>: Bidding construction for two different projects as if they were one. Requires Finance and PWB approval. Section 6852.</w:t>
      </w:r>
    </w:p>
    <w:p>
      <w:pPr>
        <w:pStyle w:val="BodyText"/>
        <w:spacing w:before="215"/>
        <w:ind w:left="640"/>
      </w:pPr>
      <w:r>
        <w:rPr/>
        <w:t>(Continued)</w:t>
      </w:r>
    </w:p>
    <w:p>
      <w:pPr>
        <w:pStyle w:val="BodyText"/>
        <w:ind w:left="107"/>
        <w:rPr>
          <w:sz w:val="20"/>
        </w:rPr>
      </w:pPr>
      <w:r>
        <w:rPr>
          <w:sz w:val="20"/>
        </w:rPr>
        <w:pict>
          <v:group style="width:.75pt;height:14.55pt;mso-position-horizontal-relative:char;mso-position-vertical-relative:line" coordorigin="0,0" coordsize="15,291">
            <v:line style="position:absolute" from="8,8" to="8,283" stroked="true" strokeweight=".72pt" strokecolor="#000000">
              <v:stroke dashstyle="solid"/>
            </v:line>
          </v:group>
        </w:pict>
      </w:r>
      <w:r>
        <w:rPr>
          <w:sz w:val="20"/>
        </w:rPr>
      </w:r>
    </w:p>
    <w:p>
      <w:pPr>
        <w:spacing w:after="0"/>
        <w:rPr>
          <w:sz w:val="20"/>
        </w:rPr>
        <w:sectPr>
          <w:pgSz w:w="12240" w:h="15840"/>
          <w:pgMar w:header="726" w:footer="726" w:top="1740" w:bottom="980" w:left="420" w:right="1320"/>
        </w:sectPr>
      </w:pPr>
    </w:p>
    <w:p>
      <w:pPr>
        <w:pStyle w:val="Heading2"/>
        <w:tabs>
          <w:tab w:pos="8846" w:val="left" w:leader="none"/>
        </w:tabs>
        <w:ind w:left="640"/>
        <w:rPr>
          <w:b w:val="0"/>
        </w:rPr>
      </w:pPr>
      <w:r>
        <w:rPr/>
        <w:pict>
          <v:line style="position:absolute;mso-position-horizontal-relative:page;mso-position-vertical-relative:page;z-index:40816" from="26.76pt,62.758999pt" to="26.76pt,76.559999pt" stroked="true" strokeweight=".72pt" strokecolor="#000000">
            <v:stroke dashstyle="solid"/>
            <w10:wrap type="none"/>
          </v:line>
        </w:pict>
      </w:r>
      <w:r>
        <w:rPr/>
        <w:pict>
          <v:line style="position:absolute;mso-position-horizontal-relative:page;mso-position-vertical-relative:paragraph;z-index:40840" from="26.76pt,14.015883pt" to="26.76pt,134.615883pt" stroked="true" strokeweight=".72pt" strokecolor="#000000">
            <v:stroke dashstyle="solid"/>
            <w10:wrap type="none"/>
          </v:line>
        </w:pict>
      </w:r>
      <w:bookmarkStart w:name="GLOSSARY AND INDEX FOR CAPITAL OUTLAY" w:id="147"/>
      <w:bookmarkEnd w:id="147"/>
      <w:r>
        <w:rPr>
          <w:b w:val="0"/>
        </w:rPr>
      </w:r>
      <w:r>
        <w:rPr/>
        <w:t>TERMINOLOGY</w:t>
      </w:r>
      <w:r>
        <w:rPr>
          <w:spacing w:val="-3"/>
        </w:rPr>
        <w:t> </w:t>
      </w:r>
      <w:r>
        <w:rPr/>
        <w:t>AND</w:t>
      </w:r>
      <w:r>
        <w:rPr>
          <w:spacing w:val="-4"/>
        </w:rPr>
        <w:t> </w:t>
      </w:r>
      <w:r>
        <w:rPr/>
        <w:t>FORMS</w:t>
        <w:tab/>
        <w:t>6899</w:t>
      </w:r>
      <w:r>
        <w:rPr>
          <w:spacing w:val="-6"/>
        </w:rPr>
        <w:t> </w:t>
      </w:r>
      <w:r>
        <w:rPr>
          <w:b w:val="0"/>
        </w:rPr>
        <w:t>(Cont.</w:t>
      </w:r>
    </w:p>
    <w:p>
      <w:pPr>
        <w:pStyle w:val="BodyText"/>
        <w:ind w:left="640" w:right="7305"/>
      </w:pPr>
      <w:r>
        <w:rPr>
          <w:strike/>
          <w:color w:val="2E97D3"/>
        </w:rPr>
        <w:t>4</w:t>
      </w:r>
      <w:r>
        <w:rPr>
          <w:strike w:val="0"/>
          <w:color w:val="2E97D3"/>
          <w:u w:val="single" w:color="2E97D3"/>
        </w:rPr>
        <w:t>4) (Revised 09/2017</w:t>
      </w:r>
      <w:r>
        <w:rPr>
          <w:strike w:val="0"/>
        </w:rPr>
        <w:t>) </w:t>
      </w:r>
      <w:bookmarkStart w:name="(New 5/1998)" w:id="148"/>
      <w:bookmarkEnd w:id="148"/>
      <w:r>
        <w:rPr>
          <w:strike w:val="0"/>
        </w:rPr>
      </w:r>
      <w:r>
        <w:rPr>
          <w:strike/>
          <w:color w:val="2E97D3"/>
        </w:rPr>
        <w:t>(New 5/1998)</w:t>
      </w:r>
    </w:p>
    <w:p>
      <w:pPr>
        <w:pStyle w:val="BodyText"/>
        <w:spacing w:before="10"/>
        <w:rPr>
          <w:sz w:val="20"/>
        </w:rPr>
      </w:pPr>
    </w:p>
    <w:p>
      <w:pPr>
        <w:pStyle w:val="BodyText"/>
        <w:ind w:left="640"/>
      </w:pPr>
      <w:r>
        <w:rPr>
          <w:b/>
          <w:strike/>
          <w:color w:val="2E97D3"/>
        </w:rPr>
        <w:t>Combined bids</w:t>
      </w:r>
      <w:r>
        <w:rPr>
          <w:strike/>
          <w:color w:val="2E97D3"/>
        </w:rPr>
        <w:t>: Bidding construction for two different projects as if they were one. Requires DOF and PWB approval.  Section 6852.</w:t>
      </w:r>
    </w:p>
    <w:p>
      <w:pPr>
        <w:pStyle w:val="BodyText"/>
        <w:spacing w:before="120"/>
        <w:ind w:left="640"/>
      </w:pPr>
      <w:r>
        <w:rPr/>
        <w:pict>
          <v:line style="position:absolute;mso-position-horizontal-relative:page;mso-position-vertical-relative:paragraph;z-index:-432352" from="161.160004pt,14.435884pt" to="164.520004pt,14.435884pt" stroked="true" strokeweight=".6pt" strokecolor="#2e97d3">
            <v:stroke dashstyle="solid"/>
            <w10:wrap type="none"/>
          </v:line>
        </w:pict>
      </w:r>
      <w:r>
        <w:rPr/>
        <w:pict>
          <v:line style="position:absolute;mso-position-horizontal-relative:page;mso-position-vertical-relative:paragraph;z-index:-432328" from="333.959991pt,28.236383pt" to="337.319991pt,28.236383pt" stroked="true" strokeweight=".599pt" strokecolor="#2e97d3">
            <v:stroke dashstyle="solid"/>
            <w10:wrap type="none"/>
          </v:line>
        </w:pict>
      </w:r>
      <w:r>
        <w:rPr>
          <w:b/>
        </w:rPr>
        <w:t>Commercial paper</w:t>
      </w:r>
      <w:r>
        <w:rPr/>
        <w:t>: Short-term negotiable instruments with variable maturity and interest rates used to meet projects’ interim financing needs.  Section 6878.</w:t>
      </w:r>
    </w:p>
    <w:p>
      <w:pPr>
        <w:pStyle w:val="BodyText"/>
        <w:spacing w:before="120"/>
        <w:ind w:left="640" w:right="133"/>
      </w:pPr>
      <w:r>
        <w:rPr/>
        <w:pict>
          <v:line style="position:absolute;mso-position-horizontal-relative:page;mso-position-vertical-relative:paragraph;z-index:-432304" from="189.119995pt,14.436347pt" to="192.480995pt,14.436347pt" stroked="true" strokeweight=".599pt" strokecolor="#2e97d3">
            <v:stroke dashstyle="solid"/>
            <w10:wrap type="none"/>
          </v:line>
        </w:pict>
      </w:r>
      <w:r>
        <w:rPr/>
        <w:pict>
          <v:line style="position:absolute;mso-position-horizontal-relative:page;mso-position-vertical-relative:paragraph;z-index:-432280" from="325.200012pt,42.035847pt" to="328.561012pt,42.035847pt" stroked="true" strokeweight=".6pt" strokecolor="#2e97d3">
            <v:stroke dashstyle="solid"/>
            <w10:wrap type="none"/>
          </v:line>
        </w:pict>
      </w:r>
      <w:r>
        <w:rPr/>
        <w:pict>
          <v:line style="position:absolute;mso-position-horizontal-relative:page;mso-position-vertical-relative:paragraph;z-index:40864" from="26.76pt,33.814846pt" to="26.76pt,87.215846pt" stroked="true" strokeweight=".72pt" strokecolor="#000000">
            <v:stroke dashstyle="solid"/>
            <w10:wrap type="none"/>
          </v:line>
        </w:pict>
      </w:r>
      <w:r>
        <w:rPr>
          <w:b/>
        </w:rPr>
        <w:t>Concession agreement: </w:t>
      </w:r>
      <w:r>
        <w:rPr/>
        <w:t>Subject to legislative notification, PWB has the power to review and approve the Department of Parks and Recreation’s park concession agreements where the need arises off the normal budget cycle.  Section 6842.</w:t>
      </w:r>
    </w:p>
    <w:p>
      <w:pPr>
        <w:spacing w:before="117"/>
        <w:ind w:left="640" w:right="0" w:firstLine="0"/>
        <w:jc w:val="left"/>
        <w:rPr>
          <w:i/>
          <w:sz w:val="24"/>
        </w:rPr>
      </w:pPr>
      <w:r>
        <w:rPr/>
        <w:pict>
          <v:line style="position:absolute;mso-position-horizontal-relative:page;mso-position-vertical-relative:paragraph;z-index:-432256" from="198.240005pt,14.285879pt" to="201.600005pt,14.285879pt" stroked="true" strokeweight=".6pt" strokecolor="#2e97d3">
            <v:stroke dashstyle="solid"/>
            <w10:wrap type="none"/>
          </v:line>
        </w:pict>
      </w:r>
      <w:r>
        <w:rPr>
          <w:b/>
          <w:sz w:val="24"/>
        </w:rPr>
        <w:t>Condemnation authority</w:t>
      </w:r>
      <w:r>
        <w:rPr>
          <w:sz w:val="24"/>
        </w:rPr>
        <w:t>:  See </w:t>
      </w:r>
      <w:r>
        <w:rPr>
          <w:i/>
          <w:sz w:val="24"/>
        </w:rPr>
        <w:t>eminent domain.</w:t>
      </w:r>
    </w:p>
    <w:p>
      <w:pPr>
        <w:pStyle w:val="BodyText"/>
        <w:spacing w:before="122"/>
        <w:ind w:left="640" w:right="133"/>
      </w:pPr>
      <w:r>
        <w:rPr/>
        <w:pict>
          <v:line style="position:absolute;mso-position-horizontal-relative:page;mso-position-vertical-relative:paragraph;z-index:-432232" from="166.440002pt,14.535835pt" to="169.801002pt,14.535835pt" stroked="true" strokeweight=".6pt" strokecolor="#2e97d3">
            <v:stroke dashstyle="solid"/>
            <w10:wrap type="none"/>
          </v:line>
        </w:pict>
      </w:r>
      <w:r>
        <w:rPr/>
        <w:pict>
          <v:line style="position:absolute;mso-position-horizontal-relative:page;mso-position-vertical-relative:paragraph;z-index:40888" from="26.76pt,33.915836pt" to="26.76pt,118.755836pt" stroked="true" strokeweight=".72pt" strokecolor="#000000">
            <v:stroke dashstyle="solid"/>
            <w10:wrap type="none"/>
          </v:line>
        </w:pict>
      </w:r>
      <w:r>
        <w:rPr>
          <w:b/>
        </w:rPr>
        <w:t>Constitutional debt: </w:t>
      </w:r>
      <w:r>
        <w:rPr/>
        <w:t>Article XVI of the California Constitution prohibits the Legislature from creating debt or liability which exceeds $300,000 without a majority vote by the people, except in case of war.</w:t>
      </w:r>
    </w:p>
    <w:p>
      <w:pPr>
        <w:spacing w:line="274" w:lineRule="exact" w:before="203"/>
        <w:ind w:left="640" w:right="133" w:firstLine="0"/>
        <w:jc w:val="left"/>
        <w:rPr>
          <w:i/>
          <w:sz w:val="24"/>
        </w:rPr>
      </w:pPr>
      <w:r>
        <w:rPr/>
        <w:pict>
          <v:line style="position:absolute;mso-position-horizontal-relative:page;mso-position-vertical-relative:paragraph;z-index:-432208" from="197.759995pt,18.290485pt" to="201.120995pt,18.290485pt" stroked="true" strokeweight=".599pt" strokecolor="#2e97d3">
            <v:stroke dashstyle="solid"/>
            <w10:wrap type="none"/>
          </v:line>
        </w:pict>
      </w:r>
      <w:r>
        <w:rPr/>
        <w:pict>
          <v:line style="position:absolute;mso-position-horizontal-relative:page;mso-position-vertical-relative:paragraph;z-index:-432184" from="109.199997pt,31.970486pt" to="112.439997pt,31.970486pt" stroked="true" strokeweight=".599pt" strokecolor="#2e97d3">
            <v:stroke dashstyle="solid"/>
            <w10:wrap type="none"/>
          </v:line>
        </w:pict>
      </w:r>
      <w:r>
        <w:rPr/>
        <w:pict>
          <v:line style="position:absolute;mso-position-horizontal-relative:page;mso-position-vertical-relative:paragraph;z-index:-432160" from="465.359985pt,31.970486pt" to="468.719985pt,31.970486pt" stroked="true" strokeweight=".599pt" strokecolor="#2e97d3">
            <v:stroke dashstyle="solid"/>
            <w10:wrap type="none"/>
          </v:line>
        </w:pict>
      </w:r>
      <w:r>
        <w:rPr/>
        <w:pict>
          <v:line style="position:absolute;mso-position-horizontal-relative:page;mso-position-vertical-relative:paragraph;z-index:-432136" from="282.600006pt,45.650486pt" to="285.960006pt,45.650486pt" stroked="true" strokeweight=".599pt" strokecolor="#2e97d3">
            <v:stroke dashstyle="solid"/>
            <w10:wrap type="none"/>
          </v:line>
        </w:pict>
      </w:r>
      <w:r>
        <w:rPr>
          <w:b/>
          <w:sz w:val="24"/>
        </w:rPr>
        <w:t>Construction cost index: </w:t>
      </w:r>
      <w:r>
        <w:rPr>
          <w:sz w:val="24"/>
        </w:rPr>
        <w:t>Standardized value for estimating construction cost escalation over time. In application, generally projected to the mid-point of construction. See </w:t>
      </w:r>
      <w:r>
        <w:rPr>
          <w:i/>
          <w:sz w:val="24"/>
        </w:rPr>
        <w:t>California Construction Cost Index (CCCI).  </w:t>
      </w:r>
      <w:r>
        <w:rPr>
          <w:sz w:val="24"/>
        </w:rPr>
        <w:t>Section 6818, technical notes</w:t>
      </w:r>
      <w:r>
        <w:rPr>
          <w:i/>
          <w:sz w:val="24"/>
        </w:rPr>
        <w:t>.</w:t>
      </w:r>
    </w:p>
    <w:p>
      <w:pPr>
        <w:pStyle w:val="BodyText"/>
        <w:spacing w:before="121"/>
        <w:ind w:left="640"/>
      </w:pPr>
      <w:r>
        <w:rPr/>
        <w:pict>
          <v:line style="position:absolute;mso-position-horizontal-relative:page;mso-position-vertical-relative:paragraph;z-index:-432112" from="169.800003pt,14.485851pt" to="173.040003pt,14.485851pt" stroked="true" strokeweight=".6pt" strokecolor="#2e97d3">
            <v:stroke dashstyle="solid"/>
            <w10:wrap type="none"/>
          </v:line>
        </w:pict>
      </w:r>
      <w:r>
        <w:rPr/>
        <w:pict>
          <v:line style="position:absolute;mso-position-horizontal-relative:page;mso-position-vertical-relative:paragraph;z-index:-432088" from="450.720001pt,42.08585pt" to="454.080001pt,42.08585pt" stroked="true" strokeweight=".6pt" strokecolor="#2e97d3">
            <v:stroke dashstyle="solid"/>
            <w10:wrap type="none"/>
          </v:line>
        </w:pict>
      </w:r>
      <w:r>
        <w:rPr/>
        <w:pict>
          <v:line style="position:absolute;mso-position-horizontal-relative:page;mso-position-vertical-relative:paragraph;z-index:40912" from="26.76pt,33.865852pt" to="26.76pt,81.265852pt" stroked="true" strokeweight=".72pt" strokecolor="#000000">
            <v:stroke dashstyle="solid"/>
            <w10:wrap type="none"/>
          </v:line>
        </w:pict>
      </w:r>
      <w:r>
        <w:rPr>
          <w:b/>
        </w:rPr>
        <w:t>Construction phase: </w:t>
      </w:r>
      <w:r>
        <w:rPr/>
        <w:t>The construction phase begins with the award of the construction contract (see Section 6853) and ends when construction is complete and a Notice of Completion is filed with DGS or other project manager (see Section 6854). An overview of capital outlay phases is provided in Section 6808.</w:t>
      </w:r>
    </w:p>
    <w:p>
      <w:pPr>
        <w:pStyle w:val="BodyText"/>
        <w:spacing w:before="120"/>
        <w:ind w:left="640" w:right="133"/>
      </w:pPr>
      <w:r>
        <w:rPr/>
        <w:pict>
          <v:line style="position:absolute;mso-position-horizontal-relative:page;mso-position-vertical-relative:paragraph;z-index:-432064" from="209.160004pt,14.435869pt" to="212.400004pt,14.435869pt" stroked="true" strokeweight=".6pt" strokecolor="#2e97d3">
            <v:stroke dashstyle="solid"/>
            <w10:wrap type="none"/>
          </v:line>
        </w:pict>
      </w:r>
      <w:r>
        <w:rPr/>
        <w:pict>
          <v:line style="position:absolute;mso-position-horizontal-relative:page;mso-position-vertical-relative:paragraph;z-index:-432040" from="223.199997pt,69.636368pt" to="226.559997pt,69.636368pt" stroked="true" strokeweight=".599pt" strokecolor="#2e97d3">
            <v:stroke dashstyle="solid"/>
            <w10:wrap type="none"/>
          </v:line>
        </w:pict>
      </w:r>
      <w:r>
        <w:rPr/>
        <w:pict>
          <v:line style="position:absolute;mso-position-horizontal-relative:page;mso-position-vertical-relative:paragraph;z-index:-432016" from="216.360001pt,97.23587pt" to="219.720001pt,97.23587pt" stroked="true" strokeweight=".6pt" strokecolor="#2e97d3">
            <v:stroke dashstyle="solid"/>
            <w10:wrap type="none"/>
          </v:line>
        </w:pict>
      </w:r>
      <w:r>
        <w:rPr/>
        <w:pict>
          <v:line style="position:absolute;mso-position-horizontal-relative:page;mso-position-vertical-relative:paragraph;z-index:-431992" from="353.160004pt,111.036369pt" to="356.520004pt,111.036369pt" stroked="true" strokeweight=".599pt" strokecolor="#2e97d3">
            <v:stroke dashstyle="solid"/>
            <w10:wrap type="none"/>
          </v:line>
        </w:pict>
      </w:r>
      <w:r>
        <w:rPr/>
        <w:pict>
          <v:line style="position:absolute;mso-position-horizontal-relative:page;mso-position-vertical-relative:paragraph;z-index:-431968" from="371.279999pt,124.835869pt" to="374.640999pt,124.835869pt" stroked="true" strokeweight=".6pt" strokecolor="#2e97d3">
            <v:stroke dashstyle="solid"/>
            <w10:wrap type="none"/>
          </v:line>
        </w:pict>
      </w:r>
      <w:r>
        <w:rPr/>
        <w:pict>
          <v:line style="position:absolute;mso-position-horizontal-relative:page;mso-position-vertical-relative:paragraph;z-index:-431944" from="258.480011pt,138.635864pt" to="261.840011pt,138.635864pt" stroked="true" strokeweight=".6pt" strokecolor="#2e97d3">
            <v:stroke dashstyle="solid"/>
            <w10:wrap type="none"/>
          </v:line>
        </w:pict>
      </w:r>
      <w:r>
        <w:rPr/>
        <w:pict>
          <v:line style="position:absolute;mso-position-horizontal-relative:page;mso-position-vertical-relative:paragraph;z-index:40936" from="26.76pt,61.415871pt" to="26.76pt,75.215871pt" stroked="true" strokeweight=".72pt" strokecolor="#000000">
            <v:stroke dashstyle="solid"/>
            <w10:wrap type="none"/>
          </v:line>
        </w:pict>
      </w:r>
      <w:r>
        <w:rPr/>
        <w:pict>
          <v:line style="position:absolute;mso-position-horizontal-relative:page;mso-position-vertical-relative:paragraph;z-index:40960" from="26.76pt,89.015869pt" to="26.76pt,163.895869pt" stroked="true" strokeweight=".72pt" strokecolor="#000000">
            <v:stroke dashstyle="solid"/>
            <w10:wrap type="none"/>
          </v:line>
        </w:pict>
      </w:r>
      <w:r>
        <w:rPr>
          <w:b/>
        </w:rPr>
        <w:t>Construction management: </w:t>
      </w:r>
      <w:r>
        <w:rPr/>
        <w:t>Construction management services include reviewing construction documents; clarifying contract documents during construction, including change order analysis and estimating; coordinating among designers, contractors, inspectors, facilities operations, etc.; monitoring schedules; and generally overseeing daily on-site construction operations. DGS is the project manager for most state departments. Departments which have the authority to manage their own projects may use contracted project management services. Such services are most commonly used for large or complex projects, (e.g. the construction of new prisons). Fees for these services typically range from 1.0 to 4.5 percent of the estimated contract cost and do not include fees for architectural and engineering services.  Section 6854.</w:t>
      </w:r>
    </w:p>
    <w:p>
      <w:pPr>
        <w:spacing w:line="240" w:lineRule="auto" w:before="115"/>
        <w:ind w:left="640" w:right="261" w:firstLine="0"/>
        <w:jc w:val="left"/>
        <w:rPr>
          <w:sz w:val="24"/>
        </w:rPr>
      </w:pPr>
      <w:r>
        <w:rPr/>
        <w:pict>
          <v:line style="position:absolute;mso-position-horizontal-relative:page;mso-position-vertical-relative:paragraph;z-index:-431920" from="320.399994pt,14.186359pt" to="323.639994pt,14.186359pt" stroked="true" strokeweight=".599pt" strokecolor="#2e97d3">
            <v:stroke dashstyle="solid"/>
            <w10:wrap type="none"/>
          </v:line>
        </w:pict>
      </w:r>
      <w:r>
        <w:rPr/>
        <w:pict>
          <v:line style="position:absolute;mso-position-horizontal-relative:page;mso-position-vertical-relative:paragraph;z-index:-431896" from="291.839996pt,41.906361pt" to="295.199996pt,41.906361pt" stroked="true" strokeweight=".599pt" strokecolor="#2e97d3">
            <v:stroke dashstyle="solid"/>
            <w10:wrap type="none"/>
          </v:line>
        </w:pict>
      </w:r>
      <w:r>
        <w:rPr/>
        <w:pict>
          <v:line style="position:absolute;mso-position-horizontal-relative:page;mso-position-vertical-relative:paragraph;z-index:-431872" from="115.800003pt,83.306358pt" to="119.160003pt,83.306358pt" stroked="true" strokeweight=".599pt" strokecolor="#2e97d3">
            <v:stroke dashstyle="solid"/>
            <w10:wrap type="none"/>
          </v:line>
        </w:pict>
      </w:r>
      <w:r>
        <w:rPr/>
        <w:pict>
          <v:line style="position:absolute;mso-position-horizontal-relative:page;mso-position-vertical-relative:paragraph;z-index:40984" from="26.76pt,33.68586pt" to="26.76pt,47.48586pt" stroked="true" strokeweight=".72pt" strokecolor="#000000">
            <v:stroke dashstyle="solid"/>
            <w10:wrap type="none"/>
          </v:line>
        </w:pict>
      </w:r>
      <w:r>
        <w:rPr/>
        <w:pict>
          <v:line style="position:absolute;mso-position-horizontal-relative:page;mso-position-vertical-relative:paragraph;z-index:41008" from="26.76pt,75.085861pt" to="26.76pt,134.605861pt" stroked="true" strokeweight=".72pt" strokecolor="#000000">
            <v:stroke dashstyle="solid"/>
            <w10:wrap type="none"/>
          </v:line>
        </w:pict>
      </w:r>
      <w:r>
        <w:rPr>
          <w:b/>
          <w:sz w:val="24"/>
        </w:rPr>
        <w:t>Construction support (project administration): </w:t>
      </w:r>
      <w:r>
        <w:rPr>
          <w:sz w:val="24"/>
        </w:rPr>
        <w:t>The terms </w:t>
      </w:r>
      <w:r>
        <w:rPr>
          <w:i/>
          <w:sz w:val="24"/>
        </w:rPr>
        <w:t>construction support </w:t>
      </w:r>
      <w:r>
        <w:rPr>
          <w:sz w:val="24"/>
        </w:rPr>
        <w:t>or </w:t>
      </w:r>
      <w:r>
        <w:rPr>
          <w:i/>
          <w:sz w:val="24"/>
        </w:rPr>
        <w:t>project administration </w:t>
      </w:r>
      <w:r>
        <w:rPr>
          <w:sz w:val="24"/>
        </w:rPr>
        <w:t>are applied to all project expenses other than construction contract costs incurred during the construction phase. The major construction support/project administration cost items are inspection, construction management, architect/engineer review, and special consultants—primarily materials testing and asbestos abatement monitoring.  Section 6854.</w:t>
      </w:r>
    </w:p>
    <w:p>
      <w:pPr>
        <w:pStyle w:val="BodyText"/>
        <w:spacing w:before="122"/>
        <w:ind w:left="640"/>
      </w:pPr>
      <w:r>
        <w:rPr>
          <w:strike/>
          <w:color w:val="2C6234"/>
        </w:rPr>
        <w:t>(Continued)</w:t>
      </w:r>
    </w:p>
    <w:p>
      <w:pPr>
        <w:spacing w:after="0"/>
        <w:sectPr>
          <w:pgSz w:w="12240" w:h="15840"/>
          <w:pgMar w:header="726" w:footer="726" w:top="1520" w:bottom="980" w:left="420" w:right="1480"/>
        </w:sectPr>
      </w:pPr>
    </w:p>
    <w:p>
      <w:pPr>
        <w:tabs>
          <w:tab w:pos="8743" w:val="left" w:leader="none"/>
        </w:tabs>
        <w:spacing w:before="0"/>
        <w:ind w:left="640" w:right="101" w:firstLine="0"/>
        <w:jc w:val="left"/>
        <w:rPr>
          <w:sz w:val="24"/>
        </w:rPr>
      </w:pPr>
      <w:r>
        <w:rPr/>
        <w:pict>
          <v:group style="position:absolute;margin-left:52.740002pt;margin-top:7.535884pt;width:482.2pt;height:1.8pt;mso-position-horizontal-relative:page;mso-position-vertical-relative:paragraph;z-index:-431632" coordorigin="1055,151" coordsize="9644,36">
            <v:shape style="position:absolute;left:1061;top:157;width:9420;height:24" coordorigin="1061,157" coordsize="9420,24" path="m1061,181l10481,181m1061,157l10481,157e" filled="false" stroked="true" strokeweight=".6pt" strokecolor="#2c6234">
              <v:path arrowok="t"/>
              <v:stroke dashstyle="solid"/>
            </v:shape>
            <v:line style="position:absolute" from="10481,169" to="10692,169" stroked="true" strokeweight=".599pt" strokecolor="#2e97d3">
              <v:stroke dashstyle="solid"/>
            </v:line>
            <w10:wrap type="none"/>
          </v:group>
        </w:pict>
      </w:r>
      <w:r>
        <w:rPr/>
        <w:pict>
          <v:line style="position:absolute;mso-position-horizontal-relative:page;mso-position-vertical-relative:page;z-index:41128" from="26.76pt,48.959999pt" to="26.76pt,120.959999pt" stroked="true" strokeweight=".72pt" strokecolor="#000000">
            <v:stroke dashstyle="solid"/>
            <w10:wrap type="none"/>
          </v:line>
        </w:pict>
      </w:r>
      <w:bookmarkStart w:name="(New 5/1998)" w:id="149"/>
      <w:bookmarkEnd w:id="149"/>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w:t>
      </w:r>
      <w:r>
        <w:rPr>
          <w:b/>
          <w:color w:val="2C6234"/>
          <w:spacing w:val="-4"/>
          <w:sz w:val="24"/>
        </w:rPr>
        <w:t> </w:t>
      </w:r>
      <w:r>
        <w:rPr>
          <w:color w:val="2C6234"/>
          <w:sz w:val="24"/>
        </w:rPr>
        <w:t>(Cont.</w:t>
      </w:r>
      <w:r>
        <w:rPr>
          <w:color w:val="2C6234"/>
          <w:spacing w:val="-7"/>
          <w:sz w:val="24"/>
        </w:rPr>
        <w:t> </w:t>
      </w:r>
      <w:r>
        <w:rPr>
          <w:color w:val="2E97D3"/>
          <w:sz w:val="24"/>
        </w:rPr>
        <w:t>5)</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spacing w:before="60"/>
        <w:ind w:left="640" w:right="301"/>
      </w:pPr>
      <w:r>
        <w:rPr/>
        <w:pict>
          <v:line style="position:absolute;mso-position-horizontal-relative:page;mso-position-vertical-relative:paragraph;z-index:-431608" from="165.720001pt,11.436347pt" to="169.081001pt,11.436347pt" stroked="true" strokeweight=".599pt" strokecolor="#2e97d3">
            <v:stroke dashstyle="solid"/>
            <w10:wrap type="none"/>
          </v:line>
        </w:pict>
      </w:r>
      <w:r>
        <w:rPr/>
        <w:pict>
          <v:line style="position:absolute;mso-position-horizontal-relative:page;mso-position-vertical-relative:paragraph;z-index:-431584" from="372pt,39.035847pt" to="375.361pt,39.035847pt" stroked="true" strokeweight=".6pt" strokecolor="#2e97d3">
            <v:stroke dashstyle="solid"/>
            <w10:wrap type="none"/>
          </v:line>
        </w:pict>
      </w:r>
      <w:r>
        <w:rPr/>
        <w:pict>
          <v:line style="position:absolute;mso-position-horizontal-relative:page;mso-position-vertical-relative:paragraph;z-index:-431560" from="394.079987pt,66.635849pt" to="397.319987pt,66.635849pt" stroked="true" strokeweight=".6pt" strokecolor="#2e97d3">
            <v:stroke dashstyle="solid"/>
            <w10:wrap type="none"/>
          </v:line>
        </w:pict>
      </w:r>
      <w:r>
        <w:rPr/>
        <w:pict>
          <v:line style="position:absolute;mso-position-horizontal-relative:page;mso-position-vertical-relative:paragraph;z-index:41152" from="26.76pt,30.814848pt" to="26.76pt,44.615848pt" stroked="true" strokeweight=".72pt" strokecolor="#000000">
            <v:stroke dashstyle="solid"/>
            <w10:wrap type="none"/>
          </v:line>
        </w:pict>
      </w:r>
      <w:r>
        <w:rPr/>
        <w:pict>
          <v:line style="position:absolute;mso-position-horizontal-relative:page;mso-position-vertical-relative:paragraph;z-index:41176" from="26.76pt,58.415848pt" to="26.76pt,92.135848pt" stroked="true" strokeweight=".72pt" strokecolor="#000000">
            <v:stroke dashstyle="solid"/>
            <w10:wrap type="none"/>
          </v:line>
        </w:pict>
      </w:r>
      <w:r>
        <w:rPr>
          <w:b/>
        </w:rPr>
        <w:t>Contingency funds: </w:t>
      </w:r>
      <w:r>
        <w:rPr/>
        <w:t>The construction contingency is a prescribed percentage of the construction contract amount which is budgeted for unforeseen emergencies or design shortfalls identified after a construction project commences. Construction contingencies are limited to 5 percent of the construction estimate/bid for a new facility and 7 percent of the construction estimate/bid for remodeling/renovation projects.  Section 6854.</w:t>
      </w:r>
    </w:p>
    <w:p>
      <w:pPr>
        <w:pStyle w:val="BodyText"/>
        <w:spacing w:before="122"/>
        <w:ind w:left="640"/>
      </w:pPr>
      <w:r>
        <w:rPr>
          <w:color w:val="2C6234"/>
          <w:u w:val="thick" w:color="2C6234"/>
        </w:rPr>
        <w:t>(Continued)</w:t>
      </w:r>
    </w:p>
    <w:p>
      <w:pPr>
        <w:spacing w:after="0"/>
        <w:sectPr>
          <w:pgSz w:w="12240" w:h="15840"/>
          <w:pgMar w:header="726" w:footer="726" w:top="1520" w:bottom="980" w:left="420" w:right="1440"/>
        </w:sectPr>
      </w:pPr>
    </w:p>
    <w:p>
      <w:pPr>
        <w:tabs>
          <w:tab w:pos="8846" w:val="left" w:leader="none"/>
        </w:tabs>
        <w:spacing w:before="0"/>
        <w:ind w:left="640" w:right="0" w:firstLine="0"/>
        <w:jc w:val="left"/>
        <w:rPr>
          <w:sz w:val="24"/>
        </w:rPr>
      </w:pPr>
      <w:r>
        <w:rPr/>
        <w:pict>
          <v:group style="position:absolute;margin-left:52.740002pt;margin-top:11.73583pt;width:487.6pt;height:2.2pt;mso-position-horizontal-relative:page;mso-position-vertical-relative:paragraph;z-index:-431464" coordorigin="1055,235" coordsize="9752,44">
            <v:line style="position:absolute" from="1061,241" to="10584,241" stroked="true" strokeweight=".6pt" strokecolor="#2c6234">
              <v:stroke dashstyle="solid"/>
            </v:line>
            <v:line style="position:absolute" from="1061,272" to="10584,272" stroked="true" strokeweight=".599pt" strokecolor="#2c6234">
              <v:stroke dashstyle="solid"/>
            </v:line>
            <v:line style="position:absolute" from="10584,260" to="10798,260" stroked="true" strokeweight=".84pt" strokecolor="#2e97d3">
              <v:stroke dashstyle="solid"/>
            </v:line>
            <w10:wrap type="none"/>
          </v:group>
        </w:pict>
      </w:r>
      <w:r>
        <w:rPr/>
        <w:pict>
          <v:line style="position:absolute;mso-position-horizontal-relative:page;mso-position-vertical-relative:page;z-index:41608" from="26.76pt,48.959999pt" to="26.76pt,134.639999pt" stroked="true" strokeweight=".72pt" strokecolor="#000000">
            <v:stroke dashstyle="solid"/>
            <w10:wrap type="none"/>
          </v:line>
        </w:pict>
      </w:r>
      <w:bookmarkStart w:name="GLOSSARY AND INDEX FOR CAPITAL OUTLAY" w:id="150"/>
      <w:bookmarkEnd w:id="150"/>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 </w:t>
      </w:r>
      <w:r>
        <w:rPr>
          <w:color w:val="2C6234"/>
          <w:sz w:val="24"/>
        </w:rPr>
        <w:t>(Cont.</w:t>
      </w:r>
      <w:r>
        <w:rPr>
          <w:color w:val="2C6234"/>
          <w:spacing w:val="-10"/>
          <w:sz w:val="24"/>
        </w:rPr>
        <w:t> </w:t>
      </w:r>
      <w:r>
        <w:rPr>
          <w:color w:val="2E97D3"/>
          <w:sz w:val="24"/>
        </w:rPr>
        <w:t>5)</w:t>
      </w:r>
    </w:p>
    <w:p>
      <w:pPr>
        <w:pStyle w:val="BodyText"/>
        <w:ind w:left="640"/>
      </w:pPr>
      <w:r>
        <w:rPr>
          <w:color w:val="2E97D3"/>
          <w:u w:val="single" w:color="2E97D3"/>
        </w:rPr>
        <w:t>(Revised 09/2017)</w:t>
      </w:r>
    </w:p>
    <w:p>
      <w:pPr>
        <w:pStyle w:val="BodyText"/>
        <w:spacing w:before="120"/>
        <w:ind w:left="640" w:right="261"/>
      </w:pPr>
      <w:r>
        <w:rPr/>
        <w:pict>
          <v:line style="position:absolute;mso-position-horizontal-relative:page;mso-position-vertical-relative:paragraph;z-index:-431440" from="173.759995pt,14.436355pt" to="177.119995pt,14.436355pt" stroked="true" strokeweight=".599pt" strokecolor="#2e97d3">
            <v:stroke dashstyle="solid"/>
            <w10:wrap type="none"/>
          </v:line>
        </w:pict>
      </w:r>
      <w:r>
        <w:rPr/>
        <w:pict>
          <v:line style="position:absolute;mso-position-horizontal-relative:page;mso-position-vertical-relative:paragraph;z-index:-431416" from="450.839996pt,55.836353pt" to="454.079996pt,55.836353pt" stroked="true" strokeweight=".599pt" strokecolor="#2e97d3">
            <v:stroke dashstyle="solid"/>
            <w10:wrap type="none"/>
          </v:line>
        </w:pict>
      </w:r>
      <w:r>
        <w:rPr/>
        <w:pict>
          <v:line style="position:absolute;mso-position-horizontal-relative:page;mso-position-vertical-relative:paragraph;z-index:41632" from="26.76pt,47.615856pt" to="26.76pt,61.415856pt" stroked="true" strokeweight=".72pt" strokecolor="#000000">
            <v:stroke dashstyle="solid"/>
            <w10:wrap type="none"/>
          </v:line>
        </w:pict>
      </w:r>
      <w:r>
        <w:rPr/>
        <w:pict>
          <v:line style="position:absolute;mso-position-horizontal-relative:page;mso-position-vertical-relative:paragraph;z-index:41656" from="26.76pt,75.215851pt" to="26.76pt,197.495851pt" stroked="true" strokeweight=".72pt" strokecolor="#000000">
            <v:stroke dashstyle="solid"/>
            <w10:wrap type="none"/>
          </v:line>
        </w:pict>
      </w:r>
      <w:r>
        <w:rPr>
          <w:b/>
        </w:rPr>
        <w:t>Contract documents: </w:t>
      </w:r>
      <w:r>
        <w:rPr/>
        <w:t>The agreement between the state and the contractor, notices to contractors, instructions to bidders, the written and diagrammatic instructions prepared by the architect/engineer for constructing a project, general and supplementary conditions, contract bonds, addenda, change orders, and supplementary agreements. Generally, the written source is referred to as the specifications and the diagrammatic source is referred to as the working drawings.  The contract documents are typically developed in phases.</w:t>
      </w:r>
    </w:p>
    <w:p>
      <w:pPr>
        <w:pStyle w:val="BodyText"/>
        <w:ind w:left="640"/>
      </w:pPr>
      <w:r>
        <w:rPr/>
        <w:t>Section 6854.</w:t>
      </w:r>
    </w:p>
    <w:p>
      <w:pPr>
        <w:pStyle w:val="BodyText"/>
        <w:spacing w:before="120"/>
        <w:ind w:left="640" w:right="235"/>
      </w:pPr>
      <w:r>
        <w:rPr/>
        <w:pict>
          <v:line style="position:absolute;mso-position-horizontal-relative:page;mso-position-vertical-relative:paragraph;z-index:-431392" from="121.800003pt,14.436378pt" to="125.040003pt,14.436378pt" stroked="true" strokeweight=".599pt" strokecolor="#2e97d3">
            <v:stroke dashstyle="solid"/>
            <w10:wrap type="none"/>
          </v:line>
        </w:pict>
      </w:r>
      <w:r>
        <w:rPr/>
        <w:pict>
          <v:line style="position:absolute;mso-position-horizontal-relative:page;mso-position-vertical-relative:paragraph;z-index:-431368" from="445.200012pt,14.436378pt" to="448.560012pt,14.436378pt" stroked="true" strokeweight=".599pt" strokecolor="#2e97d3">
            <v:stroke dashstyle="solid"/>
            <w10:wrap type="none"/>
          </v:line>
        </w:pict>
      </w:r>
      <w:r>
        <w:rPr/>
        <w:pict>
          <v:line style="position:absolute;mso-position-horizontal-relative:page;mso-position-vertical-relative:paragraph;z-index:-431344" from="275.880005pt,42.035877pt" to="279.120005pt,42.035877pt" stroked="true" strokeweight=".6pt" strokecolor="#2e97d3">
            <v:stroke dashstyle="solid"/>
            <w10:wrap type="none"/>
          </v:line>
        </w:pict>
      </w:r>
      <w:r>
        <w:rPr>
          <w:b/>
        </w:rPr>
        <w:t>Contractor: </w:t>
      </w:r>
      <w:r>
        <w:rPr/>
        <w:t>The builder; generally selected through competitive bidding. In some instances, the contractor is DGS, the Inmate </w:t>
      </w:r>
      <w:r>
        <w:rPr>
          <w:strike/>
          <w:color w:val="2E97D3"/>
        </w:rPr>
        <w:t>Day</w:t>
      </w:r>
      <w:r>
        <w:rPr>
          <w:strike w:val="0"/>
          <w:color w:val="2E97D3"/>
          <w:u w:val="single" w:color="2E97D3"/>
        </w:rPr>
        <w:t>/Ward </w:t>
      </w:r>
      <w:r>
        <w:rPr>
          <w:strike w:val="0"/>
        </w:rPr>
        <w:t>Labor Branch of the Department of Corrections, or the individual department. The contractor uses the contract documents prepared by the architect/engineer to build the project.</w:t>
      </w:r>
    </w:p>
    <w:p>
      <w:pPr>
        <w:pStyle w:val="BodyText"/>
        <w:spacing w:before="120"/>
        <w:ind w:left="640"/>
      </w:pPr>
      <w:r>
        <w:rPr/>
        <w:pict>
          <v:line style="position:absolute;mso-position-horizontal-relative:page;mso-position-vertical-relative:paragraph;z-index:-431320" from="135.119995pt,14.436367pt" to="138.480995pt,14.436367pt" stroked="true" strokeweight=".599pt" strokecolor="#2e97d3">
            <v:stroke dashstyle="solid"/>
            <w10:wrap type="none"/>
          </v:line>
        </w:pict>
      </w:r>
      <w:r>
        <w:rPr/>
        <w:pict>
          <v:line style="position:absolute;mso-position-horizontal-relative:page;mso-position-vertical-relative:paragraph;z-index:-431296" from="196.559998pt,28.235867pt" to="199.919998pt,28.235867pt" stroked="true" strokeweight=".6pt" strokecolor="#2e97d3">
            <v:stroke dashstyle="solid"/>
            <w10:wrap type="none"/>
          </v:line>
        </w:pict>
      </w:r>
      <w:r>
        <w:rPr/>
        <w:pict>
          <v:line style="position:absolute;mso-position-horizontal-relative:page;mso-position-vertical-relative:paragraph;z-index:-431272" from="456.600006pt,28.235867pt" to="459.961006pt,28.235867pt" stroked="true" strokeweight=".6pt" strokecolor="#2e97d3">
            <v:stroke dashstyle="solid"/>
            <w10:wrap type="none"/>
          </v:line>
        </w:pict>
      </w:r>
      <w:r>
        <w:rPr>
          <w:b/>
        </w:rPr>
        <w:t>Cost changes</w:t>
      </w:r>
      <w:r>
        <w:rPr/>
        <w:t>: For augmentations, additional costs (within appropriation) and recognized deficits, see Section 6861. For bid savings, project savings, and reversions. See Section 6862.</w:t>
      </w:r>
    </w:p>
    <w:p>
      <w:pPr>
        <w:spacing w:before="115"/>
        <w:ind w:left="640" w:right="0" w:firstLine="0"/>
        <w:jc w:val="left"/>
        <w:rPr>
          <w:i/>
          <w:sz w:val="24"/>
        </w:rPr>
      </w:pPr>
      <w:r>
        <w:rPr/>
        <w:pict>
          <v:line style="position:absolute;mso-position-horizontal-relative:page;mso-position-vertical-relative:paragraph;z-index:41680" from="26.76pt,19.885859pt" to="26.76pt,59.605859pt" stroked="true" strokeweight=".72pt" strokecolor="#000000">
            <v:stroke dashstyle="solid"/>
            <w10:wrap type="none"/>
          </v:line>
        </w:pict>
      </w:r>
      <w:r>
        <w:rPr>
          <w:b/>
          <w:sz w:val="24"/>
        </w:rPr>
        <w:t>Cost increase within appropriation</w:t>
      </w:r>
      <w:r>
        <w:rPr>
          <w:sz w:val="24"/>
        </w:rPr>
        <w:t>:  See </w:t>
      </w:r>
      <w:r>
        <w:rPr>
          <w:i/>
          <w:sz w:val="24"/>
        </w:rPr>
        <w:t>additional cost within appropriation.</w:t>
      </w:r>
    </w:p>
    <w:p>
      <w:pPr>
        <w:spacing w:before="119"/>
        <w:ind w:left="640" w:right="0" w:firstLine="0"/>
        <w:jc w:val="left"/>
        <w:rPr>
          <w:sz w:val="24"/>
        </w:rPr>
      </w:pPr>
      <w:r>
        <w:rPr>
          <w:b/>
          <w:sz w:val="24"/>
        </w:rPr>
        <w:t>Cost index</w:t>
      </w:r>
      <w:r>
        <w:rPr>
          <w:sz w:val="24"/>
        </w:rPr>
        <w:t>:  See </w:t>
      </w:r>
      <w:r>
        <w:rPr>
          <w:i/>
          <w:sz w:val="24"/>
        </w:rPr>
        <w:t>construction cost index</w:t>
      </w:r>
      <w:r>
        <w:rPr>
          <w:sz w:val="24"/>
        </w:rPr>
        <w:t>.</w:t>
      </w:r>
    </w:p>
    <w:p>
      <w:pPr>
        <w:pStyle w:val="BodyText"/>
        <w:spacing w:before="124"/>
        <w:ind w:left="640" w:right="341"/>
      </w:pPr>
      <w:r>
        <w:rPr/>
        <w:pict>
          <v:line style="position:absolute;mso-position-horizontal-relative:page;mso-position-vertical-relative:paragraph;z-index:-431248" from="157.199997pt,14.635861pt" to="160.559997pt,14.635861pt" stroked="true" strokeweight=".6pt" strokecolor="#2e97d3">
            <v:stroke dashstyle="solid"/>
            <w10:wrap type="none"/>
          </v:line>
        </w:pict>
      </w:r>
      <w:r>
        <w:rPr/>
        <w:pict>
          <v:line style="position:absolute;mso-position-horizontal-relative:page;mso-position-vertical-relative:paragraph;z-index:41704" from="26.76pt,34.015862pt" to="26.76pt,101.095862pt" stroked="true" strokeweight=".72pt" strokecolor="#000000">
            <v:stroke dashstyle="solid"/>
            <w10:wrap type="none"/>
          </v:line>
        </w:pict>
      </w:r>
      <w:r>
        <w:rPr>
          <w:b/>
        </w:rPr>
        <w:t>Debt service ratio</w:t>
      </w:r>
      <w:r>
        <w:rPr/>
        <w:t>:  Annual debt service (for non self-liquidating bonds) as a percentage of General Fund revenues or receipts.  One of the most commonly used measure of debt.</w:t>
      </w:r>
    </w:p>
    <w:p>
      <w:pPr>
        <w:pStyle w:val="BodyText"/>
        <w:spacing w:before="120"/>
        <w:ind w:left="640"/>
      </w:pPr>
      <w:r>
        <w:rPr/>
        <w:pict>
          <v:line style="position:absolute;mso-position-horizontal-relative:page;mso-position-vertical-relative:paragraph;z-index:-431224" from="227.880005pt,18.995855pt" to="231.240005pt,18.995855pt" stroked="true" strokeweight=".84pt" strokecolor="#2e97d3">
            <v:stroke dashstyle="solid"/>
            <w10:wrap type="none"/>
          </v:line>
        </w:pict>
      </w:r>
      <w:r>
        <w:rPr/>
        <w:pict>
          <v:line style="position:absolute;mso-position-horizontal-relative:page;mso-position-vertical-relative:paragraph;z-index:-431200" from="151.800003pt,14.435856pt" to="155.160003pt,14.435856pt" stroked="true" strokeweight=".6pt" strokecolor="#2e97d3">
            <v:stroke dashstyle="solid"/>
            <w10:wrap type="none"/>
          </v:line>
        </w:pict>
      </w:r>
      <w:r>
        <w:rPr/>
        <w:pict>
          <v:line style="position:absolute;mso-position-horizontal-relative:page;mso-position-vertical-relative:paragraph;z-index:-431176" from="224.520004pt,14.435856pt" to="227.880004pt,14.435856pt" stroked="true" strokeweight=".6pt" strokecolor="#2e97d3">
            <v:stroke dashstyle="solid"/>
            <w10:wrap type="none"/>
          </v:line>
        </w:pict>
      </w:r>
      <w:r>
        <w:rPr/>
        <w:pict>
          <v:line style="position:absolute;mso-position-horizontal-relative:page;mso-position-vertical-relative:paragraph;z-index:-431152" from="191.039993pt,28.236355pt" to="194.399993pt,28.236355pt" stroked="true" strokeweight=".599pt" strokecolor="#2e97d3">
            <v:stroke dashstyle="solid"/>
            <w10:wrap type="none"/>
          </v:line>
        </w:pict>
      </w:r>
      <w:r>
        <w:rPr>
          <w:b/>
        </w:rPr>
        <w:t>Delegated items</w:t>
      </w:r>
      <w:r>
        <w:rPr/>
        <w:t>: By resolution</w:t>
      </w:r>
      <w:r>
        <w:rPr>
          <w:color w:val="2E97D3"/>
        </w:rPr>
        <w:t>., </w:t>
      </w:r>
      <w:r>
        <w:rPr/>
        <w:t>PWB has delegated selected non-policy actions to </w:t>
      </w:r>
      <w:r>
        <w:rPr>
          <w:strike/>
          <w:color w:val="2E97D3"/>
        </w:rPr>
        <w:t>DOF</w:t>
      </w:r>
      <w:r>
        <w:rPr>
          <w:strike w:val="0"/>
          <w:color w:val="2E97D3"/>
          <w:u w:val="single" w:color="2E97D3"/>
        </w:rPr>
        <w:t>Finance </w:t>
      </w:r>
      <w:r>
        <w:rPr>
          <w:strike w:val="0"/>
        </w:rPr>
        <w:t>for approval.  Section 6844.</w:t>
      </w:r>
    </w:p>
    <w:p>
      <w:pPr>
        <w:pStyle w:val="BodyText"/>
        <w:spacing w:before="120"/>
        <w:ind w:left="640" w:right="141"/>
      </w:pPr>
      <w:r>
        <w:rPr/>
        <w:pict>
          <v:line style="position:absolute;mso-position-horizontal-relative:page;mso-position-vertical-relative:paragraph;z-index:-431128" from="482.519989pt,14.43635pt" to="485.880989pt,14.43635pt" stroked="true" strokeweight=".599pt" strokecolor="#2e97d3">
            <v:stroke dashstyle="solid"/>
            <w10:wrap type="none"/>
          </v:line>
        </w:pict>
      </w:r>
      <w:r>
        <w:rPr/>
        <w:pict>
          <v:line style="position:absolute;mso-position-horizontal-relative:page;mso-position-vertical-relative:paragraph;z-index:41728" from="26.76pt,61.295849pt" to="26.76pt,94.895849pt" stroked="true" strokeweight=".72pt" strokecolor="#000000">
            <v:stroke dashstyle="solid"/>
            <w10:wrap type="none"/>
          </v:line>
        </w:pict>
      </w:r>
      <w:r>
        <w:rPr>
          <w:b/>
        </w:rPr>
        <w:t>Department of Finance (</w:t>
      </w:r>
      <w:r>
        <w:rPr>
          <w:b/>
          <w:strike/>
          <w:color w:val="2E97D3"/>
        </w:rPr>
        <w:t>DOF)</w:t>
      </w:r>
      <w:r>
        <w:rPr>
          <w:strike/>
          <w:color w:val="2E97D3"/>
        </w:rPr>
        <w:t>: </w:t>
      </w:r>
      <w:r>
        <w:rPr>
          <w:strike w:val="0"/>
          <w:color w:val="2E97D3"/>
          <w:u w:val="single" w:color="2E97D3"/>
        </w:rPr>
        <w:t>Finance</w:t>
      </w:r>
      <w:r>
        <w:rPr>
          <w:b/>
          <w:strike w:val="0"/>
          <w:color w:val="2E97D3"/>
          <w:u w:val="single" w:color="2E97D3"/>
        </w:rPr>
        <w:t>)</w:t>
      </w:r>
      <w:r>
        <w:rPr>
          <w:strike w:val="0"/>
          <w:color w:val="2E97D3"/>
          <w:u w:val="single" w:color="2E97D3"/>
        </w:rPr>
        <w:t>: </w:t>
      </w:r>
      <w:r>
        <w:rPr>
          <w:strike w:val="0"/>
        </w:rPr>
        <w:t>Financial control agency for the state.  For capital outlay, </w:t>
      </w:r>
      <w:r>
        <w:rPr>
          <w:strike/>
          <w:color w:val="2E97D3"/>
        </w:rPr>
        <w:t>DOF</w:t>
      </w:r>
      <w:r>
        <w:rPr>
          <w:strike w:val="0"/>
          <w:color w:val="2E97D3"/>
          <w:u w:val="single" w:color="2E97D3"/>
        </w:rPr>
        <w:t>Finance </w:t>
      </w:r>
      <w:r>
        <w:rPr>
          <w:strike w:val="0"/>
        </w:rPr>
        <w:t>reviews and approves project proposals for inclusion in the Governor’s Budget, approves movement from one project phase to the next, releases funds for phases, and has other administrative oversight functions related to the Public Works Board.</w:t>
      </w:r>
    </w:p>
    <w:p>
      <w:pPr>
        <w:pStyle w:val="BodyText"/>
        <w:spacing w:before="120"/>
        <w:ind w:left="640" w:right="381"/>
      </w:pPr>
      <w:r>
        <w:rPr/>
        <w:pict>
          <v:line style="position:absolute;mso-position-horizontal-relative:page;mso-position-vertical-relative:paragraph;z-index:-431104" from="275.880005pt,14.436345pt" to="279.241005pt,14.436345pt" stroked="true" strokeweight=".599pt" strokecolor="#2e97d3">
            <v:stroke dashstyle="solid"/>
            <w10:wrap type="none"/>
          </v:line>
        </w:pict>
      </w:r>
      <w:r>
        <w:rPr/>
        <w:pict>
          <v:line style="position:absolute;mso-position-horizontal-relative:page;mso-position-vertical-relative:paragraph;z-index:-431080" from="102.480003pt,69.635841pt" to="105.840003pt,69.635841pt" stroked="true" strokeweight=".6pt" strokecolor="#2e97d3">
            <v:stroke dashstyle="solid"/>
            <w10:wrap type="none"/>
          </v:line>
        </w:pict>
      </w:r>
      <w:r>
        <w:rPr/>
        <w:pict>
          <v:line style="position:absolute;mso-position-horizontal-relative:page;mso-position-vertical-relative:paragraph;z-index:41752" from="26.76pt,61.415844pt" to="26.76pt,140.735844pt" stroked="true" strokeweight=".72pt" strokecolor="#000000">
            <v:stroke dashstyle="solid"/>
            <w10:wrap type="none"/>
          </v:line>
        </w:pict>
      </w:r>
      <w:r>
        <w:rPr>
          <w:b/>
        </w:rPr>
        <w:t>Department of General Services (DGS)</w:t>
      </w:r>
      <w:r>
        <w:rPr/>
        <w:t>: The state department responsible for real property management, project planning, project management, construction management, construction and leasing services, real property acquisition and sales, the Statewide Property Inventory (SPI), and energy efficiency services for state and K-14 school facilities. DGS is also staff to PWB for property acquisition and energy efficiency contracts.</w:t>
      </w:r>
    </w:p>
    <w:p>
      <w:pPr>
        <w:pStyle w:val="BodyText"/>
        <w:spacing w:before="2"/>
        <w:ind w:left="640"/>
      </w:pPr>
      <w:r>
        <w:rPr>
          <w:strike/>
          <w:color w:val="2E97D3"/>
        </w:rPr>
        <w:t>(Continued)</w:t>
      </w:r>
    </w:p>
    <w:p>
      <w:pPr>
        <w:spacing w:after="0"/>
        <w:sectPr>
          <w:pgSz w:w="12240" w:h="15840"/>
          <w:pgMar w:header="726" w:footer="726" w:top="1740" w:bottom="980" w:left="420" w:right="1320"/>
        </w:sectPr>
      </w:pPr>
    </w:p>
    <w:p>
      <w:pPr>
        <w:tabs>
          <w:tab w:pos="8743" w:val="left" w:leader="none"/>
        </w:tabs>
        <w:spacing w:before="0"/>
        <w:ind w:left="640" w:right="142" w:firstLine="0"/>
        <w:jc w:val="left"/>
        <w:rPr>
          <w:sz w:val="24"/>
        </w:rPr>
      </w:pPr>
      <w:r>
        <w:rPr/>
        <w:pict>
          <v:group style="position:absolute;margin-left:52.740002pt;margin-top:7.535884pt;width:482.2pt;height:1.8pt;mso-position-horizontal-relative:page;mso-position-vertical-relative:paragraph;z-index:-430888" coordorigin="1055,151" coordsize="9644,36">
            <v:shape style="position:absolute;left:1061;top:157;width:9420;height:24" coordorigin="1061,157" coordsize="9420,24" path="m1061,181l10481,181m1061,157l10481,157e" filled="false" stroked="true" strokeweight=".6pt" strokecolor="#2c6234">
              <v:path arrowok="t"/>
              <v:stroke dashstyle="solid"/>
            </v:shape>
            <v:line style="position:absolute" from="10481,169" to="10692,169" stroked="true" strokeweight=".599pt" strokecolor="#2e97d3">
              <v:stroke dashstyle="solid"/>
            </v:line>
            <w10:wrap type="none"/>
          </v:group>
        </w:pict>
      </w:r>
      <w:r>
        <w:rPr/>
        <w:pict>
          <v:line style="position:absolute;mso-position-horizontal-relative:page;mso-position-vertical-relative:page;z-index:41872" from="26.76pt,48.959999pt" to="26.76pt,148.559999pt" stroked="true" strokeweight=".72pt" strokecolor="#000000">
            <v:stroke dashstyle="solid"/>
            <w10:wrap type="none"/>
          </v:line>
        </w:pict>
      </w:r>
      <w:bookmarkStart w:name="(New 5/1998)" w:id="151"/>
      <w:bookmarkEnd w:id="151"/>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w:t>
      </w:r>
      <w:r>
        <w:rPr>
          <w:b/>
          <w:color w:val="2C6234"/>
          <w:spacing w:val="-4"/>
          <w:sz w:val="24"/>
        </w:rPr>
        <w:t> </w:t>
      </w:r>
      <w:r>
        <w:rPr>
          <w:color w:val="2C6234"/>
          <w:sz w:val="24"/>
        </w:rPr>
        <w:t>(Cont.</w:t>
      </w:r>
      <w:r>
        <w:rPr>
          <w:color w:val="2C6234"/>
          <w:spacing w:val="-7"/>
          <w:sz w:val="24"/>
        </w:rPr>
        <w:t> </w:t>
      </w:r>
      <w:r>
        <w:rPr>
          <w:color w:val="2E97D3"/>
          <w:sz w:val="24"/>
        </w:rPr>
        <w:t>6)</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spacing w:before="60"/>
        <w:ind w:left="640" w:right="119"/>
      </w:pPr>
      <w:r>
        <w:rPr/>
        <w:pict>
          <v:line style="position:absolute;mso-position-horizontal-relative:page;mso-position-vertical-relative:paragraph;z-index:-430864" from="441.359985pt,25.235847pt" to="444.479985pt,25.235847pt" stroked="true" strokeweight=".6pt" strokecolor="#2e97d3">
            <v:stroke dashstyle="solid"/>
            <w10:wrap type="none"/>
          </v:line>
        </w:pict>
      </w:r>
      <w:r>
        <w:rPr/>
        <w:pict>
          <v:line style="position:absolute;mso-position-horizontal-relative:page;mso-position-vertical-relative:paragraph;z-index:41896" from="26.76pt,58.415848pt" to="26.76pt,72.215848pt" stroked="true" strokeweight=".72pt" strokecolor="#000000">
            <v:stroke dashstyle="solid"/>
            <w10:wrap type="none"/>
          </v:line>
        </w:pict>
      </w:r>
      <w:r>
        <w:rPr/>
        <w:pict>
          <v:line style="position:absolute;mso-position-horizontal-relative:page;mso-position-vertical-relative:paragraph;z-index:41920" from="26.76pt,86.015846pt" to="26.76pt,105.815846pt" stroked="true" strokeweight=".72pt" strokecolor="#000000">
            <v:stroke dashstyle="solid"/>
            <w10:wrap type="none"/>
          </v:line>
        </w:pict>
      </w:r>
      <w:r>
        <w:rPr>
          <w:b/>
        </w:rPr>
        <w:t>Department of </w:t>
      </w:r>
      <w:r>
        <w:rPr>
          <w:b/>
          <w:strike/>
          <w:color w:val="2E97D3"/>
        </w:rPr>
        <w:t>Information </w:t>
      </w:r>
      <w:r>
        <w:rPr>
          <w:b/>
          <w:strike w:val="0"/>
        </w:rPr>
        <w:t>Technology </w:t>
      </w:r>
      <w:r>
        <w:rPr>
          <w:b/>
          <w:strike/>
          <w:color w:val="2E97D3"/>
        </w:rPr>
        <w:t>(DOIT</w:t>
      </w:r>
      <w:r>
        <w:rPr>
          <w:b/>
          <w:strike w:val="0"/>
          <w:color w:val="2E97D3"/>
          <w:u w:val="thick" w:color="2E97D3"/>
        </w:rPr>
        <w:t>(CDT</w:t>
      </w:r>
      <w:r>
        <w:rPr>
          <w:b/>
          <w:strike w:val="0"/>
        </w:rPr>
        <w:t>)</w:t>
      </w:r>
      <w:r>
        <w:rPr>
          <w:strike w:val="0"/>
        </w:rPr>
        <w:t>: Department charged with assessing the technical feasibility of information management proposals. Works with </w:t>
      </w:r>
      <w:r>
        <w:rPr>
          <w:strike/>
          <w:color w:val="2E97D3"/>
        </w:rPr>
        <w:t>DOF’s</w:t>
      </w:r>
      <w:r>
        <w:rPr>
          <w:strike w:val="0"/>
          <w:color w:val="2E97D3"/>
          <w:u w:val="single" w:color="2E97D3"/>
        </w:rPr>
        <w:t>Finance’s Information </w:t>
      </w:r>
      <w:r>
        <w:rPr>
          <w:strike w:val="0"/>
        </w:rPr>
        <w:t>Technology </w:t>
      </w:r>
      <w:r>
        <w:rPr>
          <w:strike/>
          <w:color w:val="2E97D3"/>
        </w:rPr>
        <w:t>Investment Review</w:t>
      </w:r>
      <w:r>
        <w:rPr>
          <w:strike w:val="0"/>
          <w:color w:val="2E97D3"/>
          <w:u w:val="single" w:color="2E97D3"/>
        </w:rPr>
        <w:t>Consulting </w:t>
      </w:r>
      <w:r>
        <w:rPr>
          <w:strike w:val="0"/>
        </w:rPr>
        <w:t>Unit (</w:t>
      </w:r>
      <w:r>
        <w:rPr>
          <w:strike/>
          <w:color w:val="2E97D3"/>
        </w:rPr>
        <w:t>TIRU</w:t>
      </w:r>
      <w:r>
        <w:rPr>
          <w:strike w:val="0"/>
          <w:color w:val="2E97D3"/>
          <w:u w:val="single" w:color="2E97D3"/>
        </w:rPr>
        <w:t>ITCU</w:t>
      </w:r>
      <w:r>
        <w:rPr>
          <w:strike w:val="0"/>
        </w:rPr>
        <w:t>), which determines whether the proposal is the appropriate business solution. Capital outlay projects with technology components must be reviewed by </w:t>
      </w:r>
      <w:r>
        <w:rPr>
          <w:strike/>
          <w:color w:val="2E97D3"/>
        </w:rPr>
        <w:t>DOIT</w:t>
      </w:r>
      <w:r>
        <w:rPr>
          <w:strike w:val="0"/>
          <w:color w:val="2E97D3"/>
          <w:u w:val="single" w:color="2E97D3"/>
        </w:rPr>
        <w:t>CDT </w:t>
      </w:r>
      <w:r>
        <w:rPr>
          <w:strike w:val="0"/>
        </w:rPr>
        <w:t>and </w:t>
      </w:r>
      <w:r>
        <w:rPr>
          <w:strike/>
          <w:color w:val="2E97D3"/>
        </w:rPr>
        <w:t>TIRU. </w:t>
      </w:r>
      <w:r>
        <w:rPr>
          <w:strike w:val="0"/>
          <w:color w:val="2E97D3"/>
          <w:u w:val="single" w:color="2E97D3"/>
        </w:rPr>
        <w:t>ITCU. </w:t>
      </w:r>
      <w:r>
        <w:rPr>
          <w:strike w:val="0"/>
        </w:rPr>
        <w:t>Section 6818.</w:t>
      </w:r>
    </w:p>
    <w:p>
      <w:pPr>
        <w:pStyle w:val="BodyText"/>
        <w:spacing w:before="120"/>
        <w:ind w:left="640" w:right="241"/>
      </w:pPr>
      <w:r>
        <w:rPr/>
        <w:pict>
          <v:line style="position:absolute;mso-position-horizontal-relative:page;mso-position-vertical-relative:paragraph;z-index:-430840" from="151.800003pt,14.43586pt" to="155.160003pt,14.43586pt" stroked="true" strokeweight=".6pt" strokecolor="#2e97d3">
            <v:stroke dashstyle="solid"/>
            <w10:wrap type="none"/>
          </v:line>
        </w:pict>
      </w:r>
      <w:r>
        <w:rPr/>
        <w:pict>
          <v:line style="position:absolute;mso-position-horizontal-relative:page;mso-position-vertical-relative:paragraph;z-index:-430816" from="173.160004pt,42.035858pt" to="176.520004pt,42.035858pt" stroked="true" strokeweight=".6pt" strokecolor="#2e97d3">
            <v:stroke dashstyle="solid"/>
            <w10:wrap type="none"/>
          </v:line>
        </w:pict>
      </w:r>
      <w:r>
        <w:rPr/>
        <w:pict>
          <v:line style="position:absolute;mso-position-horizontal-relative:page;mso-position-vertical-relative:paragraph;z-index:41944" from="26.76pt,33.815861pt" to="26.76pt,71.255861pt" stroked="true" strokeweight=".72pt" strokecolor="#000000">
            <v:stroke dashstyle="solid"/>
            <w10:wrap type="none"/>
          </v:line>
        </w:pict>
      </w:r>
      <w:r>
        <w:rPr>
          <w:b/>
        </w:rPr>
        <w:t>Design-bid-build: </w:t>
      </w:r>
      <w:r>
        <w:rPr/>
        <w:t>The state’s traditional method of project delivery in which construction is not bid out until preliminary plans are approved by PWB and a full set of working drawings is produced.  Section 6841.</w:t>
      </w:r>
    </w:p>
    <w:p>
      <w:pPr>
        <w:pStyle w:val="BodyText"/>
        <w:spacing w:before="199"/>
        <w:ind w:left="640"/>
      </w:pPr>
      <w:r>
        <w:rPr>
          <w:color w:val="2C6234"/>
          <w:u w:val="thick" w:color="2C6234"/>
        </w:rPr>
        <w:t>(Continued)</w:t>
      </w:r>
    </w:p>
    <w:p>
      <w:pPr>
        <w:spacing w:after="0"/>
        <w:sectPr>
          <w:pgSz w:w="12240" w:h="15840"/>
          <w:pgMar w:header="726" w:footer="726" w:top="1520" w:bottom="980" w:left="420" w:right="1400"/>
        </w:sectPr>
      </w:pPr>
    </w:p>
    <w:p>
      <w:pPr>
        <w:tabs>
          <w:tab w:pos="8846" w:val="left" w:leader="none"/>
        </w:tabs>
        <w:spacing w:before="0"/>
        <w:ind w:left="640" w:right="0" w:firstLine="0"/>
        <w:jc w:val="left"/>
        <w:rPr>
          <w:sz w:val="24"/>
        </w:rPr>
      </w:pPr>
      <w:r>
        <w:rPr/>
        <w:pict>
          <v:group style="position:absolute;margin-left:52.740002pt;margin-top:11.73583pt;width:487.6pt;height:2.2pt;mso-position-horizontal-relative:page;mso-position-vertical-relative:paragraph;z-index:-430696" coordorigin="1055,235" coordsize="9752,44">
            <v:line style="position:absolute" from="1061,241" to="10584,241" stroked="true" strokeweight=".6pt" strokecolor="#2c6234">
              <v:stroke dashstyle="solid"/>
            </v:line>
            <v:line style="position:absolute" from="1061,272" to="10584,272" stroked="true" strokeweight=".599pt" strokecolor="#2c6234">
              <v:stroke dashstyle="solid"/>
            </v:line>
            <v:line style="position:absolute" from="10584,260" to="10798,260" stroked="true" strokeweight=".84pt" strokecolor="#2e97d3">
              <v:stroke dashstyle="solid"/>
            </v:line>
            <w10:wrap type="none"/>
          </v:group>
        </w:pict>
      </w:r>
      <w:r>
        <w:rPr/>
        <w:pict>
          <v:line style="position:absolute;mso-position-horizontal-relative:page;mso-position-vertical-relative:page;z-index:42208" from="26.76pt,48.959999pt" to="26.76pt,140.639999pt" stroked="true" strokeweight=".72pt" strokecolor="#000000">
            <v:stroke dashstyle="solid"/>
            <w10:wrap type="none"/>
          </v:line>
        </w:pict>
      </w:r>
      <w:bookmarkStart w:name="GLOSSARY AND INDEX FOR CAPITAL OUTLAY" w:id="152"/>
      <w:bookmarkEnd w:id="152"/>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 </w:t>
      </w:r>
      <w:r>
        <w:rPr>
          <w:color w:val="2C6234"/>
          <w:sz w:val="24"/>
        </w:rPr>
        <w:t>(Cont.</w:t>
      </w:r>
      <w:r>
        <w:rPr>
          <w:color w:val="2C6234"/>
          <w:spacing w:val="-10"/>
          <w:sz w:val="24"/>
        </w:rPr>
        <w:t> </w:t>
      </w:r>
      <w:r>
        <w:rPr>
          <w:color w:val="2E97D3"/>
          <w:sz w:val="24"/>
        </w:rPr>
        <w:t>6)</w:t>
      </w:r>
    </w:p>
    <w:p>
      <w:pPr>
        <w:pStyle w:val="BodyText"/>
        <w:ind w:left="640"/>
      </w:pPr>
      <w:r>
        <w:rPr>
          <w:color w:val="2E97D3"/>
          <w:u w:val="single" w:color="2E97D3"/>
        </w:rPr>
        <w:t>(Revised 09/2017)</w:t>
      </w:r>
    </w:p>
    <w:p>
      <w:pPr>
        <w:pStyle w:val="BodyText"/>
        <w:spacing w:before="10"/>
        <w:rPr>
          <w:sz w:val="20"/>
        </w:rPr>
      </w:pPr>
    </w:p>
    <w:p>
      <w:pPr>
        <w:pStyle w:val="BodyText"/>
        <w:ind w:left="640" w:right="468"/>
      </w:pPr>
      <w:r>
        <w:rPr/>
        <w:pict>
          <v:line style="position:absolute;mso-position-horizontal-relative:page;mso-position-vertical-relative:paragraph;z-index:-430672" from="129.119995pt,8.435855pt" to="132.479995pt,8.435855pt" stroked="true" strokeweight=".6pt" strokecolor="#2e97d3">
            <v:stroke dashstyle="solid"/>
            <w10:wrap type="none"/>
          </v:line>
        </w:pict>
      </w:r>
      <w:r>
        <w:rPr/>
        <w:pict>
          <v:line style="position:absolute;mso-position-horizontal-relative:page;mso-position-vertical-relative:paragraph;z-index:-430648" from="153.839996pt,49.715855pt" to="157.200996pt,49.715855pt" stroked="true" strokeweight=".6pt" strokecolor="#2e97d3">
            <v:stroke dashstyle="solid"/>
            <w10:wrap type="none"/>
          </v:line>
        </w:pict>
      </w:r>
      <w:r>
        <w:rPr/>
        <w:pict>
          <v:line style="position:absolute;mso-position-horizontal-relative:page;mso-position-vertical-relative:paragraph;z-index:42232" from="26.76pt,41.614853pt" to="26.76pt,55.415853pt" stroked="true" strokeweight=".72pt" strokecolor="#000000">
            <v:stroke dashstyle="solid"/>
            <w10:wrap type="none"/>
          </v:line>
        </w:pict>
      </w:r>
      <w:r>
        <w:rPr/>
        <w:pict>
          <v:line style="position:absolute;mso-position-horizontal-relative:page;mso-position-vertical-relative:paragraph;z-index:42256" from="26.76pt,69.215851pt" to="26.76pt,144.215851pt" stroked="true" strokeweight=".72pt" strokecolor="#000000">
            <v:stroke dashstyle="solid"/>
            <w10:wrap type="none"/>
          </v:line>
        </w:pict>
      </w:r>
      <w:r>
        <w:rPr>
          <w:b/>
        </w:rPr>
        <w:t>Design-build</w:t>
      </w:r>
      <w:r>
        <w:rPr/>
        <w:t>: A method of project delivery that combines the design and construction of a facility into a single contract, preceded by a separate phase to develop project specifications, usually more detailed than a budget package, but less detailed than full preliminary plans.. </w:t>
      </w:r>
      <w:r>
        <w:rPr>
          <w:i/>
        </w:rPr>
        <w:t>Modified </w:t>
      </w:r>
      <w:r>
        <w:rPr/>
        <w:t>or </w:t>
      </w:r>
      <w:r>
        <w:rPr>
          <w:i/>
        </w:rPr>
        <w:t>bridging </w:t>
      </w:r>
      <w:r>
        <w:rPr/>
        <w:t>design-build is a version of the process that results in very detailed project specifications, more closely approximating preliminary plans.  </w:t>
      </w:r>
      <w:r>
        <w:rPr>
          <w:strike/>
          <w:color w:val="2E97D3"/>
        </w:rPr>
        <w:t>Section 6841.</w:t>
      </w:r>
    </w:p>
    <w:p>
      <w:pPr>
        <w:pStyle w:val="BodyText"/>
        <w:spacing w:before="120"/>
        <w:ind w:left="640" w:right="121"/>
      </w:pPr>
      <w:r>
        <w:rPr/>
        <w:pict>
          <v:line style="position:absolute;mso-position-horizontal-relative:page;mso-position-vertical-relative:paragraph;z-index:-430624" from="163.800003pt,14.435866pt" to="167.160003pt,14.435866pt" stroked="true" strokeweight=".6pt" strokecolor="#2e97d3">
            <v:stroke dashstyle="solid"/>
            <w10:wrap type="none"/>
          </v:line>
        </w:pict>
      </w:r>
      <w:r>
        <w:rPr/>
        <w:pict>
          <v:group style="position:absolute;margin-left:498.540009pt;margin-top:27.336367pt;width:47.3pt;height:1.8pt;mso-position-horizontal-relative:page;mso-position-vertical-relative:paragraph;z-index:-430600" coordorigin="9971,547" coordsize="946,36">
            <v:line style="position:absolute" from="9977,565" to="10111,565" stroked="true" strokeweight=".6pt" strokecolor="#2e97d3">
              <v:stroke dashstyle="solid"/>
            </v:line>
            <v:line style="position:absolute" from="10111,577" to="10910,577" stroked="true" strokeweight=".6pt" strokecolor="#2c6234">
              <v:stroke dashstyle="solid"/>
            </v:line>
            <v:line style="position:absolute" from="10111,553" to="10910,553" stroked="true" strokeweight=".599pt" strokecolor="#2c6234">
              <v:stroke dashstyle="solid"/>
            </v:line>
            <w10:wrap type="none"/>
          </v:group>
        </w:pict>
      </w:r>
      <w:r>
        <w:rPr>
          <w:b/>
        </w:rPr>
        <w:t>Design documents</w:t>
      </w:r>
      <w:r>
        <w:rPr/>
        <w:t>: The final documents of the preliminary plans stage, including a site plan, architectural floor plans, elevations, outline specifications, and a cost estimate. </w:t>
      </w:r>
      <w:r>
        <w:rPr>
          <w:color w:val="2C6234"/>
        </w:rPr>
        <w:t>Section </w:t>
      </w:r>
      <w:r>
        <w:rPr>
          <w:strike/>
          <w:color w:val="2C6234"/>
        </w:rPr>
        <w:t>6851.</w:t>
      </w:r>
    </w:p>
    <w:p>
      <w:pPr>
        <w:pStyle w:val="BodyText"/>
        <w:ind w:left="640"/>
      </w:pPr>
      <w:r>
        <w:rPr>
          <w:color w:val="2C6234"/>
          <w:u w:val="thick" w:color="2C6234"/>
        </w:rPr>
        <w:t>Section 6851.</w:t>
      </w:r>
    </w:p>
    <w:p>
      <w:pPr>
        <w:spacing w:before="115"/>
        <w:ind w:left="640" w:right="0" w:firstLine="0"/>
        <w:jc w:val="left"/>
        <w:rPr>
          <w:sz w:val="24"/>
        </w:rPr>
      </w:pPr>
      <w:r>
        <w:rPr/>
        <w:pict>
          <v:line style="position:absolute;mso-position-horizontal-relative:page;mso-position-vertical-relative:paragraph;z-index:42280" from="26.76pt,19.885845pt" to="26.76pt,39.685845pt" stroked="true" strokeweight=".72pt" strokecolor="#000000">
            <v:stroke dashstyle="solid"/>
            <w10:wrap type="none"/>
          </v:line>
        </w:pict>
      </w:r>
      <w:r>
        <w:rPr>
          <w:b/>
          <w:sz w:val="24"/>
        </w:rPr>
        <w:t>DGS</w:t>
      </w:r>
      <w:r>
        <w:rPr>
          <w:sz w:val="24"/>
        </w:rPr>
        <w:t>:  See </w:t>
      </w:r>
      <w:r>
        <w:rPr>
          <w:i/>
          <w:sz w:val="24"/>
        </w:rPr>
        <w:t>Department of General Services</w:t>
      </w:r>
      <w:r>
        <w:rPr>
          <w:sz w:val="24"/>
        </w:rPr>
        <w:t>.</w:t>
      </w:r>
    </w:p>
    <w:p>
      <w:pPr>
        <w:spacing w:before="0"/>
        <w:ind w:left="640" w:right="0" w:firstLine="0"/>
        <w:jc w:val="left"/>
        <w:rPr>
          <w:i/>
          <w:sz w:val="24"/>
        </w:rPr>
      </w:pPr>
      <w:r>
        <w:rPr>
          <w:b/>
          <w:strike/>
          <w:color w:val="2E97D3"/>
          <w:sz w:val="24"/>
        </w:rPr>
        <w:t>DOF</w:t>
      </w:r>
      <w:r>
        <w:rPr>
          <w:strike/>
          <w:color w:val="2E97D3"/>
          <w:sz w:val="24"/>
        </w:rPr>
        <w:t>:  See </w:t>
      </w:r>
      <w:r>
        <w:rPr>
          <w:i/>
          <w:strike/>
          <w:color w:val="2E97D3"/>
          <w:sz w:val="24"/>
        </w:rPr>
        <w:t>Department of Finance.</w:t>
      </w:r>
    </w:p>
    <w:p>
      <w:pPr>
        <w:pStyle w:val="BodyText"/>
        <w:spacing w:before="125"/>
        <w:ind w:left="640" w:right="401"/>
      </w:pPr>
      <w:r>
        <w:rPr/>
        <w:pict>
          <v:line style="position:absolute;mso-position-horizontal-relative:page;mso-position-vertical-relative:paragraph;z-index:-430576" from="285.959991pt,42.285847pt" to="289.199991pt,42.285847pt" stroked="true" strokeweight=".6pt" strokecolor="#2e97d3">
            <v:stroke dashstyle="solid"/>
            <w10:wrap type="none"/>
          </v:line>
        </w:pict>
      </w:r>
      <w:r>
        <w:rPr/>
        <w:pict>
          <v:line style="position:absolute;mso-position-horizontal-relative:page;mso-position-vertical-relative:paragraph;z-index:42304" from="26.76pt,34.065849pt" to="26.76pt,47.865849pt" stroked="true" strokeweight=".72pt" strokecolor="#000000">
            <v:stroke dashstyle="solid"/>
            <w10:wrap type="none"/>
          </v:line>
        </w:pict>
      </w:r>
      <w:r>
        <w:rPr>
          <w:b/>
        </w:rPr>
        <w:t>Due diligence</w:t>
      </w:r>
      <w:r>
        <w:rPr/>
        <w:t>: In preparing for a bond sale, the inquiry made to disclose facts about the issuer, the issue and the security for the issue that would be material to a prudent investor in making a decision to purchase the issue.  Section 6880.</w:t>
      </w:r>
    </w:p>
    <w:p>
      <w:pPr>
        <w:spacing w:before="115"/>
        <w:ind w:left="640" w:right="0" w:firstLine="0"/>
        <w:jc w:val="left"/>
        <w:rPr>
          <w:sz w:val="24"/>
        </w:rPr>
      </w:pPr>
      <w:r>
        <w:rPr/>
        <w:pict>
          <v:line style="position:absolute;mso-position-horizontal-relative:page;mso-position-vertical-relative:paragraph;z-index:42328" from="26.76pt,19.885845pt" to="26.76pt,100.885845pt" stroked="true" strokeweight=".72pt" strokecolor="#000000">
            <v:stroke dashstyle="solid"/>
            <w10:wrap type="none"/>
          </v:line>
        </w:pict>
      </w:r>
      <w:r>
        <w:rPr>
          <w:b/>
          <w:sz w:val="24"/>
        </w:rPr>
        <w:t>EIR</w:t>
      </w:r>
      <w:r>
        <w:rPr>
          <w:sz w:val="24"/>
        </w:rPr>
        <w:t>:  See </w:t>
      </w:r>
      <w:r>
        <w:rPr>
          <w:i/>
          <w:sz w:val="24"/>
        </w:rPr>
        <w:t>environmental impact report</w:t>
      </w:r>
      <w:r>
        <w:rPr>
          <w:sz w:val="24"/>
        </w:rPr>
        <w:t>.</w:t>
      </w:r>
    </w:p>
    <w:p>
      <w:pPr>
        <w:pStyle w:val="BodyText"/>
        <w:spacing w:line="274" w:lineRule="exact" w:before="130"/>
        <w:ind w:left="640" w:right="230"/>
      </w:pPr>
      <w:r>
        <w:rPr/>
        <w:pict>
          <v:line style="position:absolute;mso-position-horizontal-relative:page;mso-position-vertical-relative:paragraph;z-index:-430552" from="150.479996pt,14.640007pt" to="153.839996pt,14.640007pt" stroked="true" strokeweight=".6pt" strokecolor="#2e97d3">
            <v:stroke dashstyle="solid"/>
            <w10:wrap type="none"/>
          </v:line>
        </w:pict>
      </w:r>
      <w:r>
        <w:rPr/>
        <w:pict>
          <v:line style="position:absolute;mso-position-horizontal-relative:page;mso-position-vertical-relative:paragraph;z-index:-430528" from="301.200012pt,28.320007pt" to="304.560012pt,28.320007pt" stroked="true" strokeweight=".6pt" strokecolor="#2e97d3">
            <v:stroke dashstyle="solid"/>
            <w10:wrap type="none"/>
          </v:line>
        </w:pict>
      </w:r>
      <w:r>
        <w:rPr>
          <w:b/>
        </w:rPr>
        <w:t>Eminent domain: </w:t>
      </w:r>
      <w:r>
        <w:rPr/>
        <w:t>The taking of private property by a governmental entity for public necessity; also called condemnation authority.  Sections 6842 and 6866.</w:t>
      </w:r>
    </w:p>
    <w:p>
      <w:pPr>
        <w:pStyle w:val="BodyText"/>
        <w:ind w:left="640"/>
      </w:pPr>
      <w:r>
        <w:rPr>
          <w:b/>
          <w:strike/>
          <w:color w:val="2E97D3"/>
        </w:rPr>
        <w:t>Energy efficiency bonds</w:t>
      </w:r>
      <w:r>
        <w:rPr>
          <w:strike/>
          <w:color w:val="2E97D3"/>
        </w:rPr>
        <w:t>: A PWB program administered by the Office of Energy Assessments of DGS. Energy-savings projects are completed through contracts financed by energy efficiency bonds.  The savings are used to pay debt service.  Section 6873.</w:t>
      </w:r>
    </w:p>
    <w:p>
      <w:pPr>
        <w:spacing w:before="122"/>
        <w:ind w:left="640" w:right="0" w:firstLine="0"/>
        <w:jc w:val="left"/>
        <w:rPr>
          <w:sz w:val="24"/>
        </w:rPr>
      </w:pPr>
      <w:r>
        <w:rPr/>
        <w:pict>
          <v:line style="position:absolute;mso-position-horizontal-relative:page;mso-position-vertical-relative:paragraph;z-index:42352" from="26.76pt,20.235857pt" to="26.76pt,54.075857pt" stroked="true" strokeweight=".72pt" strokecolor="#000000">
            <v:stroke dashstyle="solid"/>
            <w10:wrap type="none"/>
          </v:line>
        </w:pict>
      </w:r>
      <w:r>
        <w:rPr>
          <w:b/>
          <w:sz w:val="24"/>
        </w:rPr>
        <w:t>Engineering News Record (ENR):  </w:t>
      </w:r>
      <w:r>
        <w:rPr>
          <w:sz w:val="24"/>
        </w:rPr>
        <w:t>See </w:t>
      </w:r>
      <w:r>
        <w:rPr>
          <w:i/>
          <w:sz w:val="24"/>
        </w:rPr>
        <w:t>cost index</w:t>
      </w:r>
      <w:r>
        <w:rPr>
          <w:sz w:val="24"/>
        </w:rPr>
        <w:t>.</w:t>
      </w:r>
    </w:p>
    <w:p>
      <w:pPr>
        <w:pStyle w:val="BodyText"/>
        <w:spacing w:before="127"/>
        <w:ind w:left="640" w:right="366"/>
        <w:jc w:val="both"/>
      </w:pPr>
      <w:r>
        <w:rPr/>
        <w:pict>
          <v:line style="position:absolute;mso-position-horizontal-relative:page;mso-position-vertical-relative:paragraph;z-index:-430504" from="209.639999pt,14.786353pt" to="213.599999pt,14.786353pt" stroked="true" strokeweight=".599pt" strokecolor="#2e97d3">
            <v:stroke dashstyle="solid"/>
            <w10:wrap type="none"/>
          </v:line>
        </w:pict>
      </w:r>
      <w:r>
        <w:rPr/>
        <w:pict>
          <v:line style="position:absolute;mso-position-horizontal-relative:page;mso-position-vertical-relative:paragraph;z-index:-430480" from="458.399994pt,28.585854pt" to="462.120994pt,28.585854pt" stroked="true" strokeweight=".6pt" strokecolor="#2e97d3">
            <v:stroke dashstyle="solid"/>
            <w10:wrap type="none"/>
          </v:line>
        </w:pict>
      </w:r>
      <w:r>
        <w:rPr/>
        <w:pict>
          <v:line style="position:absolute;mso-position-horizontal-relative:page;mso-position-vertical-relative:paragraph;z-index:42376" from="26.76pt,47.966854pt" to="26.76pt,99.685854pt" stroked="true" strokeweight=".72pt" strokecolor="#000000">
            <v:stroke dashstyle="solid"/>
            <w10:wrap type="none"/>
          </v:line>
        </w:pict>
      </w:r>
      <w:r>
        <w:rPr>
          <w:b/>
        </w:rPr>
        <w:t>Enterprise revenue bonds</w:t>
      </w:r>
      <w:r>
        <w:rPr/>
        <w:t>: Revenue bonds which are self-liquidating based on project- generated revenues such as airport fees, hospital fees, dormitory fees, etc. Section 6870 and 6872.</w:t>
      </w:r>
    </w:p>
    <w:p>
      <w:pPr>
        <w:pStyle w:val="BodyText"/>
        <w:spacing w:before="2"/>
        <w:ind w:left="640"/>
      </w:pPr>
      <w:r>
        <w:rPr>
          <w:strike/>
          <w:color w:val="2E97D3"/>
        </w:rPr>
        <w:t>(Continued)</w:t>
      </w:r>
    </w:p>
    <w:p>
      <w:pPr>
        <w:spacing w:after="0"/>
        <w:sectPr>
          <w:pgSz w:w="12240" w:h="15840"/>
          <w:pgMar w:header="726" w:footer="726" w:top="1740" w:bottom="980" w:left="420" w:right="1220"/>
        </w:sectPr>
      </w:pPr>
    </w:p>
    <w:p>
      <w:pPr>
        <w:tabs>
          <w:tab w:pos="8743" w:val="left" w:leader="none"/>
        </w:tabs>
        <w:spacing w:before="0"/>
        <w:ind w:left="640" w:right="162" w:firstLine="0"/>
        <w:jc w:val="left"/>
        <w:rPr>
          <w:sz w:val="24"/>
        </w:rPr>
      </w:pPr>
      <w:r>
        <w:rPr/>
        <w:pict>
          <v:group style="position:absolute;margin-left:52.740002pt;margin-top:7.535884pt;width:482.2pt;height:1.8pt;mso-position-horizontal-relative:page;mso-position-vertical-relative:paragraph;z-index:-430264" coordorigin="1055,151" coordsize="9644,36">
            <v:shape style="position:absolute;left:1061;top:157;width:9420;height:24" coordorigin="1061,157" coordsize="9420,24" path="m1061,181l10481,181m1061,157l10481,157e" filled="false" stroked="true" strokeweight=".6pt" strokecolor="#2c6234">
              <v:path arrowok="t"/>
              <v:stroke dashstyle="solid"/>
            </v:shape>
            <v:line style="position:absolute" from="10481,169" to="10692,169" stroked="true" strokeweight=".599pt" strokecolor="#2e97d3">
              <v:stroke dashstyle="solid"/>
            </v:line>
            <w10:wrap type="none"/>
          </v:group>
        </w:pict>
      </w:r>
      <w:r>
        <w:rPr/>
        <w:pict>
          <v:line style="position:absolute;mso-position-horizontal-relative:page;mso-position-vertical-relative:page;z-index:42640" from="26.76pt,48.959999pt" to="26.76pt,120.959999pt" stroked="true" strokeweight=".72pt" strokecolor="#000000">
            <v:stroke dashstyle="solid"/>
            <w10:wrap type="none"/>
          </v:line>
        </w:pict>
      </w:r>
      <w:bookmarkStart w:name="(New 5/1998)" w:id="153"/>
      <w:bookmarkEnd w:id="153"/>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w:t>
      </w:r>
      <w:r>
        <w:rPr>
          <w:b/>
          <w:color w:val="2C6234"/>
          <w:spacing w:val="-4"/>
          <w:sz w:val="24"/>
        </w:rPr>
        <w:t> </w:t>
      </w:r>
      <w:r>
        <w:rPr>
          <w:color w:val="2C6234"/>
          <w:sz w:val="24"/>
        </w:rPr>
        <w:t>(Cont.</w:t>
      </w:r>
      <w:r>
        <w:rPr>
          <w:color w:val="2C6234"/>
          <w:spacing w:val="-7"/>
          <w:sz w:val="24"/>
        </w:rPr>
        <w:t> </w:t>
      </w:r>
      <w:r>
        <w:rPr>
          <w:color w:val="2E97D3"/>
          <w:sz w:val="24"/>
        </w:rPr>
        <w:t>7)</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spacing w:before="60"/>
        <w:ind w:left="640" w:right="94"/>
      </w:pPr>
      <w:r>
        <w:rPr/>
        <w:pict>
          <v:line style="position:absolute;mso-position-horizontal-relative:page;mso-position-vertical-relative:paragraph;z-index:-430240" from="251.039993pt,11.436347pt" to="254.400993pt,11.436347pt" stroked="true" strokeweight=".599pt" strokecolor="#2e97d3">
            <v:stroke dashstyle="solid"/>
            <w10:wrap type="none"/>
          </v:line>
        </w:pict>
      </w:r>
      <w:r>
        <w:rPr/>
        <w:pict>
          <v:line style="position:absolute;mso-position-horizontal-relative:page;mso-position-vertical-relative:paragraph;z-index:-430216" from="95.879997pt,39.035847pt" to="99.119997pt,39.035847pt" stroked="true" strokeweight=".6pt" strokecolor="#2e97d3">
            <v:stroke dashstyle="solid"/>
            <w10:wrap type="none"/>
          </v:line>
        </w:pict>
      </w:r>
      <w:r>
        <w:rPr/>
        <w:pict>
          <v:line style="position:absolute;mso-position-horizontal-relative:page;mso-position-vertical-relative:paragraph;z-index:42664" from="26.76pt,30.814848pt" to="26.76pt,64.415848pt" stroked="true" strokeweight=".72pt" strokecolor="#000000">
            <v:stroke dashstyle="solid"/>
            <w10:wrap type="none"/>
          </v:line>
        </w:pict>
      </w:r>
      <w:r>
        <w:rPr>
          <w:b/>
        </w:rPr>
        <w:t>Environmental impact report (EIR)</w:t>
      </w:r>
      <w:r>
        <w:rPr/>
        <w:t>: An informational document which informs public agency decision-makers and the public generally of the significant environmental effect of a project.  Section 6850.</w:t>
      </w:r>
    </w:p>
    <w:p>
      <w:pPr>
        <w:pStyle w:val="BodyText"/>
        <w:spacing w:before="120"/>
        <w:ind w:left="640" w:right="401"/>
      </w:pPr>
      <w:r>
        <w:rPr/>
        <w:pict>
          <v:line style="position:absolute;mso-position-horizontal-relative:page;mso-position-vertical-relative:paragraph;z-index:-430192" from="450.600006pt,14.435884pt" to="453.960006pt,14.435884pt" stroked="true" strokeweight=".6pt" strokecolor="#2e97d3">
            <v:stroke dashstyle="solid"/>
            <w10:wrap type="none"/>
          </v:line>
        </w:pict>
      </w:r>
      <w:r>
        <w:rPr/>
        <w:pict>
          <v:line style="position:absolute;mso-position-horizontal-relative:page;mso-position-vertical-relative:paragraph;z-index:-430168" from="287.279999pt,42.035885pt" to="290.519999pt,42.035885pt" stroked="true" strokeweight=".6pt" strokecolor="#2e97d3">
            <v:stroke dashstyle="solid"/>
            <w10:wrap type="none"/>
          </v:line>
        </w:pict>
      </w:r>
      <w:r>
        <w:rPr/>
        <w:pict>
          <v:line style="position:absolute;mso-position-horizontal-relative:page;mso-position-vertical-relative:paragraph;z-index:-430144" from="299.279999pt,69.636383pt" to="305.999999pt,69.636383pt" stroked="true" strokeweight=".599pt" strokecolor="#2e97d3">
            <v:stroke dashstyle="solid"/>
            <w10:wrap type="none"/>
          </v:line>
        </w:pict>
      </w:r>
      <w:r>
        <w:rPr/>
        <w:pict>
          <v:line style="position:absolute;mso-position-horizontal-relative:page;mso-position-vertical-relative:paragraph;z-index:-430120" from="88.440002pt,83.435883pt" to="91.800002pt,83.435883pt" stroked="true" strokeweight=".6pt" strokecolor="#2e97d3">
            <v:stroke dashstyle="solid"/>
            <w10:wrap type="none"/>
          </v:line>
        </w:pict>
      </w:r>
      <w:r>
        <w:rPr/>
        <w:pict>
          <v:line style="position:absolute;mso-position-horizontal-relative:page;mso-position-vertical-relative:paragraph;z-index:42688" from="26.76pt,33.815884pt" to="26.76pt,47.615884pt" stroked="true" strokeweight=".72pt" strokecolor="#000000">
            <v:stroke dashstyle="solid"/>
            <w10:wrap type="none"/>
          </v:line>
        </w:pict>
      </w:r>
      <w:r>
        <w:rPr/>
        <w:pict>
          <v:line style="position:absolute;mso-position-horizontal-relative:page;mso-position-vertical-relative:paragraph;z-index:42712" from="26.76pt,61.415882pt" to="26.76pt,150.095882pt" stroked="true" strokeweight=".72pt" strokecolor="#000000">
            <v:stroke dashstyle="solid"/>
            <w10:wrap type="none"/>
          </v:line>
        </w:pict>
      </w:r>
      <w:r>
        <w:rPr>
          <w:b/>
        </w:rPr>
        <w:t>Equipment: </w:t>
      </w:r>
      <w:r>
        <w:rPr/>
        <w:t>Capital outlay equipment is divided into Group 1 and Group 2. Group 1 equipment is installed equipment such as heating and air conditioning units and is budgeted as part of the construction phase. Group 2 equipment is movable equipment, such as tables and chairs (but not replacement equipment) and is budgeted as its own project phase, typically following construction. Not all equipment is classified as capital outlay. See Section 6855 for a discussion of capital outlay equipment, Section 6818 for capital outlay budgeting instructions, and Section 6842 for PWB’s role in approving long- lead equipment.</w:t>
      </w:r>
    </w:p>
    <w:p>
      <w:pPr>
        <w:pStyle w:val="BodyText"/>
        <w:spacing w:before="120"/>
        <w:ind w:left="640" w:right="148"/>
      </w:pPr>
      <w:r>
        <w:rPr/>
        <w:pict>
          <v:line style="position:absolute;mso-position-horizontal-relative:page;mso-position-vertical-relative:paragraph;z-index:-430096" from="138.479996pt,14.436359pt" to="141.839996pt,14.436359pt" stroked="true" strokeweight=".599pt" strokecolor="#2e97d3">
            <v:stroke dashstyle="solid"/>
            <w10:wrap type="none"/>
          </v:line>
        </w:pict>
      </w:r>
      <w:r>
        <w:rPr/>
        <w:pict>
          <v:line style="position:absolute;mso-position-horizontal-relative:page;mso-position-vertical-relative:paragraph;z-index:-430072" from="480.119995pt,28.11636pt" to="483.479995pt,28.11636pt" stroked="true" strokeweight=".599pt" strokecolor="#2e97d3">
            <v:stroke dashstyle="solid"/>
            <w10:wrap type="none"/>
          </v:line>
        </w:pict>
      </w:r>
      <w:r>
        <w:rPr/>
        <w:pict>
          <v:line style="position:absolute;mso-position-horizontal-relative:page;mso-position-vertical-relative:paragraph;z-index:-430048" from="193.199997pt,55.715858pt" to="196.559997pt,55.715858pt" stroked="true" strokeweight=".6pt" strokecolor="#2e97d3">
            <v:stroke dashstyle="solid"/>
            <w10:wrap type="none"/>
          </v:line>
        </w:pict>
      </w:r>
      <w:r>
        <w:rPr/>
        <w:pict>
          <v:line style="position:absolute;mso-position-horizontal-relative:page;mso-position-vertical-relative:paragraph;z-index:42736" from="26.76pt,47.495861pt" to="26.76pt,81.215861pt" stroked="true" strokeweight=".72pt" strokecolor="#000000">
            <v:stroke dashstyle="solid"/>
            <w10:wrap type="none"/>
          </v:line>
        </w:pict>
      </w:r>
      <w:r>
        <w:rPr>
          <w:b/>
        </w:rPr>
        <w:t>Finance Letter</w:t>
      </w:r>
      <w:r>
        <w:rPr/>
        <w:t>: An amendment to the Governor’s Budget proposed by the Administration to the Legislature in the spring immediately following introduction of that budget. Finance Letters are considered by the Legislature in budget subcommittees coincident with review of the Governor’s Budget.  Sections 6812 and 6818.</w:t>
      </w:r>
    </w:p>
    <w:p>
      <w:pPr>
        <w:pStyle w:val="BodyText"/>
        <w:spacing w:before="122"/>
        <w:ind w:left="640"/>
      </w:pPr>
      <w:r>
        <w:rPr>
          <w:color w:val="2C6234"/>
          <w:u w:val="thick" w:color="2C6234"/>
        </w:rPr>
        <w:t>(Continued)</w:t>
      </w:r>
    </w:p>
    <w:p>
      <w:pPr>
        <w:spacing w:after="0"/>
        <w:sectPr>
          <w:pgSz w:w="12240" w:h="15840"/>
          <w:pgMar w:header="726" w:footer="726" w:top="1520" w:bottom="980" w:left="420" w:right="1380"/>
        </w:sectPr>
      </w:pPr>
    </w:p>
    <w:p>
      <w:pPr>
        <w:tabs>
          <w:tab w:pos="8846" w:val="left" w:leader="none"/>
        </w:tabs>
        <w:spacing w:before="0"/>
        <w:ind w:left="640" w:right="0" w:firstLine="0"/>
        <w:jc w:val="left"/>
        <w:rPr>
          <w:sz w:val="24"/>
        </w:rPr>
      </w:pPr>
      <w:r>
        <w:rPr/>
        <w:pict>
          <v:group style="position:absolute;margin-left:52.740002pt;margin-top:11.73583pt;width:487.6pt;height:2.2pt;mso-position-horizontal-relative:page;mso-position-vertical-relative:paragraph;z-index:-429904" coordorigin="1055,235" coordsize="9752,44">
            <v:line style="position:absolute" from="1061,241" to="10584,241" stroked="true" strokeweight=".6pt" strokecolor="#2c6234">
              <v:stroke dashstyle="solid"/>
            </v:line>
            <v:line style="position:absolute" from="1061,272" to="10584,272" stroked="true" strokeweight=".599pt" strokecolor="#2c6234">
              <v:stroke dashstyle="solid"/>
            </v:line>
            <v:line style="position:absolute" from="10584,260" to="10798,260" stroked="true" strokeweight=".84pt" strokecolor="#2e97d3">
              <v:stroke dashstyle="solid"/>
            </v:line>
            <w10:wrap type="none"/>
          </v:group>
        </w:pict>
      </w:r>
      <w:r>
        <w:rPr/>
        <w:pict>
          <v:line style="position:absolute;mso-position-horizontal-relative:page;mso-position-vertical-relative:page;z-index:42952" from="26.76pt,48.959999pt" to="26.76pt,207.839999pt" stroked="true" strokeweight=".72pt" strokecolor="#000000">
            <v:stroke dashstyle="solid"/>
            <w10:wrap type="none"/>
          </v:line>
        </w:pict>
      </w:r>
      <w:bookmarkStart w:name="GLOSSARY AND INDEX FOR CAPITAL OUTLAY" w:id="154"/>
      <w:bookmarkEnd w:id="154"/>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 </w:t>
      </w:r>
      <w:r>
        <w:rPr>
          <w:color w:val="2C6234"/>
          <w:sz w:val="24"/>
        </w:rPr>
        <w:t>(Cont.</w:t>
      </w:r>
      <w:r>
        <w:rPr>
          <w:color w:val="2C6234"/>
          <w:spacing w:val="-10"/>
          <w:sz w:val="24"/>
        </w:rPr>
        <w:t> </w:t>
      </w:r>
      <w:r>
        <w:rPr>
          <w:color w:val="2E97D3"/>
          <w:sz w:val="24"/>
        </w:rPr>
        <w:t>7)</w:t>
      </w:r>
    </w:p>
    <w:p>
      <w:pPr>
        <w:pStyle w:val="BodyText"/>
        <w:ind w:left="640"/>
      </w:pPr>
      <w:r>
        <w:rPr>
          <w:color w:val="2E97D3"/>
          <w:u w:val="single" w:color="2E97D3"/>
        </w:rPr>
        <w:t>(Revised 09/2017)</w:t>
      </w:r>
    </w:p>
    <w:p>
      <w:pPr>
        <w:pStyle w:val="BodyText"/>
        <w:spacing w:before="3"/>
        <w:rPr>
          <w:sz w:val="23"/>
        </w:rPr>
      </w:pPr>
    </w:p>
    <w:p>
      <w:pPr>
        <w:pStyle w:val="BodyText"/>
        <w:spacing w:before="92"/>
        <w:ind w:left="640" w:right="395"/>
      </w:pPr>
      <w:r>
        <w:rPr/>
        <w:pict>
          <v:line style="position:absolute;mso-position-horizontal-relative:page;mso-position-vertical-relative:paragraph;z-index:-429880" from="154.440002pt,13.035854pt" to="157.800002pt,13.035854pt" stroked="true" strokeweight=".6pt" strokecolor="#2e97d3">
            <v:stroke dashstyle="solid"/>
            <w10:wrap type="none"/>
          </v:line>
        </w:pict>
      </w:r>
      <w:r>
        <w:rPr/>
        <w:pict>
          <v:line style="position:absolute;mso-position-horizontal-relative:page;mso-position-vertical-relative:paragraph;z-index:-429856" from="493.920013pt,26.835854pt" to="497.280013pt,26.835854pt" stroked="true" strokeweight=".6pt" strokecolor="#2e97d3">
            <v:stroke dashstyle="solid"/>
            <w10:wrap type="none"/>
          </v:line>
        </w:pict>
      </w:r>
      <w:r>
        <w:rPr/>
        <w:pict>
          <v:line style="position:absolute;mso-position-horizontal-relative:page;mso-position-vertical-relative:paragraph;z-index:-429832" from="357.359985pt,40.636356pt" to="360.719985pt,40.636356pt" stroked="true" strokeweight=".599pt" strokecolor="#2e97d3">
            <v:stroke dashstyle="solid"/>
            <w10:wrap type="none"/>
          </v:line>
        </w:pict>
      </w:r>
      <w:r>
        <w:rPr>
          <w:b/>
        </w:rPr>
        <w:t>Financial advisor</w:t>
      </w:r>
      <w:r>
        <w:rPr/>
        <w:t>: With respect to municipal securities, a consultant who advises an issuances’ structure, timing, marketing, fairness of pricing, terms and bond ratings. May also provide advice on cash flow and investment matters.  Sections 6872–6876.</w:t>
      </w:r>
    </w:p>
    <w:p>
      <w:pPr>
        <w:pStyle w:val="BodyText"/>
        <w:spacing w:before="119"/>
        <w:ind w:left="640"/>
      </w:pPr>
      <w:r>
        <w:rPr/>
        <w:pict>
          <v:line style="position:absolute;mso-position-horizontal-relative:page;mso-position-vertical-relative:paragraph;z-index:-429808" from="53.040001pt,32.745331pt" to="57.000001pt,32.745331pt" stroked="true" strokeweight=".841pt" strokecolor="#2e97d3">
            <v:stroke dashstyle="solid"/>
            <w10:wrap type="none"/>
          </v:line>
        </w:pict>
      </w:r>
      <w:r>
        <w:rPr/>
        <w:pict>
          <v:line style="position:absolute;mso-position-horizontal-relative:page;mso-position-vertical-relative:paragraph;z-index:-429784" from="93pt,28.185829pt" to="96.96pt,28.185829pt" stroked="true" strokeweight=".6pt" strokecolor="#2e97d3">
            <v:stroke dashstyle="solid"/>
            <w10:wrap type="none"/>
          </v:line>
        </w:pict>
      </w:r>
      <w:r>
        <w:rPr/>
        <w:pict>
          <v:line style="position:absolute;mso-position-horizontal-relative:page;mso-position-vertical-relative:paragraph;z-index:42976" from="26.76pt,61.365829pt" to="26.76pt,215.805829pt" stroked="true" strokeweight=".72pt" strokecolor="#000000">
            <v:stroke dashstyle="solid"/>
            <w10:wrap type="none"/>
          </v:line>
        </w:pict>
      </w:r>
      <w:r>
        <w:rPr>
          <w:b/>
        </w:rPr>
        <w:t>Financing lease</w:t>
      </w:r>
      <w:r>
        <w:rPr/>
        <w:t>: The document by which the issuer leases to another public entity (the </w:t>
      </w:r>
      <w:r>
        <w:rPr>
          <w:strike/>
          <w:color w:val="2E97D3"/>
        </w:rPr>
        <w:t>“ </w:t>
      </w:r>
      <w:r>
        <w:rPr>
          <w:strike w:val="0"/>
          <w:color w:val="2E97D3"/>
        </w:rPr>
        <w:t>”</w:t>
      </w:r>
      <w:r>
        <w:rPr>
          <w:strike w:val="0"/>
        </w:rPr>
        <w:t>obligor</w:t>
      </w:r>
      <w:r>
        <w:rPr>
          <w:strike w:val="0"/>
          <w:color w:val="2E97D3"/>
        </w:rPr>
        <w:t>”</w:t>
      </w:r>
      <w:r>
        <w:rPr>
          <w:strike w:val="0"/>
          <w:color w:val="2E97D3"/>
          <w:u w:val="single" w:color="2E97D3"/>
        </w:rPr>
        <w:t>“) </w:t>
      </w:r>
      <w:r>
        <w:rPr>
          <w:strike w:val="0"/>
        </w:rPr>
        <w:t>the project to be acquired or constructed with the proceeds of the issue and by which the obligor agrees to make periodic lease payments to the issuer, generally for the period of time the issue is outstanding.  Section 6876.</w:t>
      </w:r>
    </w:p>
    <w:p>
      <w:pPr>
        <w:pStyle w:val="BodyText"/>
        <w:spacing w:before="11"/>
        <w:rPr>
          <w:sz w:val="23"/>
        </w:rPr>
      </w:pPr>
    </w:p>
    <w:p>
      <w:pPr>
        <w:pStyle w:val="BodyText"/>
        <w:ind w:left="640" w:right="94"/>
      </w:pPr>
      <w:r>
        <w:rPr/>
        <w:pict>
          <v:group style="position:absolute;margin-left:52.740002pt;margin-top:11.73583pt;width:478.55pt;height:2.2pt;mso-position-horizontal-relative:page;mso-position-vertical-relative:paragraph;z-index:-429760" coordorigin="1055,235" coordsize="9571,44">
            <v:line style="position:absolute" from="1061,241" to="1742,241" stroked="true" strokeweight=".6pt" strokecolor="#2c6234">
              <v:stroke dashstyle="solid"/>
            </v:line>
            <v:line style="position:absolute" from="1061,272" to="1742,272" stroked="true" strokeweight=".599pt" strokecolor="#2c6234">
              <v:stroke dashstyle="solid"/>
            </v:line>
            <v:line style="position:absolute" from="1742,261" to="10615,261" stroked="true" strokeweight=".959pt" strokecolor="#2e97d3">
              <v:stroke dashstyle="solid"/>
            </v:line>
            <w10:wrap type="none"/>
          </v:group>
        </w:pict>
      </w:r>
      <w:r>
        <w:rPr>
          <w:b/>
          <w:color w:val="2C6234"/>
        </w:rPr>
        <w:t>Fiscal </w:t>
      </w:r>
      <w:r>
        <w:rPr>
          <w:b/>
          <w:color w:val="2E97D3"/>
        </w:rPr>
        <w:t>Impact Worksheet (FIW): </w:t>
      </w:r>
      <w:r>
        <w:rPr>
          <w:color w:val="2E97D3"/>
        </w:rPr>
        <w:t>This document is used to report the funding data, detail </w:t>
      </w:r>
      <w:r>
        <w:rPr>
          <w:color w:val="2E97D3"/>
          <w:u w:val="single" w:color="2E97D3"/>
        </w:rPr>
        <w:t>costs, schedules, project specific codes, detail information, support costs and scope language related to the project or proposal. All COBCPs and COCPs must be accompanied by an FIW.</w:t>
      </w:r>
    </w:p>
    <w:p>
      <w:pPr>
        <w:pStyle w:val="BodyText"/>
        <w:spacing w:before="6"/>
        <w:rPr>
          <w:sz w:val="15"/>
        </w:rPr>
      </w:pPr>
    </w:p>
    <w:p>
      <w:pPr>
        <w:spacing w:line="352" w:lineRule="auto" w:before="92"/>
        <w:ind w:left="640" w:right="3883" w:firstLine="0"/>
        <w:jc w:val="left"/>
        <w:rPr>
          <w:sz w:val="24"/>
        </w:rPr>
      </w:pPr>
      <w:r>
        <w:rPr/>
        <w:pict>
          <v:line style="position:absolute;mso-position-horizontal-relative:page;mso-position-vertical-relative:paragraph;z-index:-429736" from="191.279999pt,13.035851pt" to="194.519999pt,13.035851pt" stroked="true" strokeweight=".6pt" strokecolor="#2e97d3">
            <v:stroke dashstyle="solid"/>
            <w10:wrap type="none"/>
          </v:line>
        </w:pict>
      </w:r>
      <w:r>
        <w:rPr>
          <w:b/>
          <w:sz w:val="24"/>
        </w:rPr>
        <w:t>Fitch Investor Services</w:t>
      </w:r>
      <w:r>
        <w:rPr>
          <w:sz w:val="24"/>
        </w:rPr>
        <w:t>: See </w:t>
      </w:r>
      <w:r>
        <w:rPr>
          <w:i/>
          <w:sz w:val="24"/>
        </w:rPr>
        <w:t>rating agency</w:t>
      </w:r>
      <w:r>
        <w:rPr>
          <w:sz w:val="24"/>
        </w:rPr>
        <w:t>. </w:t>
      </w:r>
      <w:r>
        <w:rPr>
          <w:strike/>
          <w:color w:val="2E97D3"/>
          <w:sz w:val="24"/>
        </w:rPr>
        <w:t>(Continued)</w:t>
      </w:r>
    </w:p>
    <w:p>
      <w:pPr>
        <w:spacing w:after="0" w:line="352" w:lineRule="auto"/>
        <w:jc w:val="left"/>
        <w:rPr>
          <w:sz w:val="24"/>
        </w:rPr>
        <w:sectPr>
          <w:pgSz w:w="12240" w:h="15840"/>
          <w:pgMar w:header="726" w:footer="726" w:top="1740" w:bottom="980" w:left="420" w:right="1300"/>
        </w:sectPr>
      </w:pPr>
    </w:p>
    <w:p>
      <w:pPr>
        <w:pStyle w:val="BodyText"/>
        <w:spacing w:line="274" w:lineRule="exact"/>
        <w:ind w:left="640"/>
      </w:pPr>
      <w:r>
        <w:rPr/>
        <w:pict>
          <v:line style="position:absolute;mso-position-horizontal-relative:page;mso-position-vertical-relative:page;z-index:43120" from="26.76pt,48.959999pt" to="26.76pt,168.359999pt" stroked="true" strokeweight=".72pt" strokecolor="#000000">
            <v:stroke dashstyle="solid"/>
            <w10:wrap type="none"/>
          </v:line>
        </w:pict>
      </w:r>
      <w:r>
        <w:rPr>
          <w:b/>
          <w:color w:val="2E97D3"/>
          <w:u w:val="single" w:color="2E97D3"/>
        </w:rPr>
        <w:t>FIW</w:t>
      </w:r>
      <w:r>
        <w:rPr>
          <w:color w:val="2E97D3"/>
          <w:u w:val="single" w:color="2E97D3"/>
        </w:rPr>
        <w:t>:  See Fiscal Impact Worksheet.</w:t>
      </w:r>
    </w:p>
    <w:p>
      <w:pPr>
        <w:pStyle w:val="Heading2"/>
        <w:ind w:left="640"/>
      </w:pPr>
      <w:r>
        <w:rPr>
          <w:strike/>
          <w:color w:val="2C6234"/>
        </w:rPr>
        <w:t>GLOSSARY AND INDEX FOR CAPITAL OUTLAY</w:t>
      </w:r>
    </w:p>
    <w:p>
      <w:pPr>
        <w:tabs>
          <w:tab w:pos="8743" w:val="left" w:leader="none"/>
        </w:tabs>
        <w:spacing w:before="0"/>
        <w:ind w:left="640" w:right="102" w:firstLine="0"/>
        <w:jc w:val="left"/>
        <w:rPr>
          <w:sz w:val="24"/>
        </w:rPr>
      </w:pPr>
      <w:r>
        <w:rPr/>
        <w:pict>
          <v:group style="position:absolute;margin-left:52.740002pt;margin-top:7.535835pt;width:482.2pt;height:1.8pt;mso-position-horizontal-relative:page;mso-position-vertical-relative:paragraph;z-index:-429664" coordorigin="1055,151" coordsize="9644,36">
            <v:line style="position:absolute" from="1061,181" to="10481,181" stroked="true" strokeweight=".599pt" strokecolor="#2c6234">
              <v:stroke dashstyle="solid"/>
            </v:line>
            <v:line style="position:absolute" from="1061,157" to="10481,157" stroked="true" strokeweight=".6pt" strokecolor="#2c6234">
              <v:stroke dashstyle="solid"/>
            </v:line>
            <v:line style="position:absolute" from="10481,169" to="10692,169" stroked="true" strokeweight=".6pt" strokecolor="#2e97d3">
              <v:stroke dashstyle="solid"/>
            </v:line>
            <w10:wrap type="none"/>
          </v:group>
        </w:pict>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w:t>
      </w:r>
      <w:r>
        <w:rPr>
          <w:b/>
          <w:color w:val="2C6234"/>
          <w:spacing w:val="-4"/>
          <w:sz w:val="24"/>
        </w:rPr>
        <w:t> </w:t>
      </w:r>
      <w:r>
        <w:rPr>
          <w:color w:val="2C6234"/>
          <w:sz w:val="24"/>
        </w:rPr>
        <w:t>(Cont.</w:t>
      </w:r>
      <w:r>
        <w:rPr>
          <w:color w:val="2C6234"/>
          <w:spacing w:val="-7"/>
          <w:sz w:val="24"/>
        </w:rPr>
        <w:t> </w:t>
      </w:r>
      <w:r>
        <w:rPr>
          <w:color w:val="2E97D3"/>
          <w:sz w:val="24"/>
        </w:rPr>
        <w:t>8)</w:t>
      </w:r>
      <w:r>
        <w:rPr>
          <w:color w:val="2E97D3"/>
          <w:w w:val="99"/>
          <w:sz w:val="24"/>
        </w:rPr>
        <w:t> </w:t>
      </w:r>
      <w:bookmarkStart w:name="(New 5/1998)" w:id="155"/>
      <w:bookmarkEnd w:id="155"/>
      <w:r>
        <w:rPr>
          <w:color w:val="2E97D3"/>
          <w:w w:val="99"/>
          <w:sz w:val="24"/>
        </w:rPr>
      </w:r>
      <w:r>
        <w:rPr>
          <w:strike/>
          <w:color w:val="2E97D3"/>
          <w:sz w:val="24"/>
        </w:rPr>
        <w:t>(New</w:t>
      </w:r>
      <w:r>
        <w:rPr>
          <w:strike/>
          <w:color w:val="2E97D3"/>
          <w:spacing w:val="-6"/>
          <w:sz w:val="24"/>
        </w:rPr>
        <w:t> </w:t>
      </w:r>
      <w:r>
        <w:rPr>
          <w:strike/>
          <w:color w:val="2E97D3"/>
          <w:sz w:val="24"/>
        </w:rPr>
        <w:t>5/1998)</w:t>
      </w:r>
    </w:p>
    <w:p>
      <w:pPr>
        <w:pStyle w:val="Heading2"/>
        <w:spacing w:before="60"/>
        <w:ind w:left="640"/>
        <w:rPr>
          <w:b w:val="0"/>
        </w:rPr>
      </w:pPr>
      <w:bookmarkStart w:name="Forms, standard notices and other requir" w:id="156"/>
      <w:bookmarkEnd w:id="156"/>
      <w:r>
        <w:rPr>
          <w:b w:val="0"/>
        </w:rPr>
      </w:r>
      <w:r>
        <w:rPr/>
        <w:t>Forms, standard notices and other required formats</w:t>
      </w:r>
      <w:r>
        <w:rPr>
          <w:b w:val="0"/>
        </w:rPr>
        <w:t>:</w:t>
      </w:r>
    </w:p>
    <w:p>
      <w:pPr>
        <w:pStyle w:val="BodyText"/>
        <w:spacing w:before="120"/>
        <w:ind w:left="1106" w:right="105" w:hanging="360"/>
        <w:jc w:val="both"/>
      </w:pPr>
      <w:r>
        <w:rPr/>
        <w:pict>
          <v:line style="position:absolute;mso-position-horizontal-relative:page;mso-position-vertical-relative:paragraph;z-index:-429640" from="168.720001pt,14.435871pt" to="173.160001pt,14.435871pt" stroked="true" strokeweight=".6pt" strokecolor="#2e97d3">
            <v:stroke dashstyle="solid"/>
            <w10:wrap type="none"/>
          </v:line>
        </w:pict>
      </w:r>
      <w:r>
        <w:rPr/>
        <w:pict>
          <v:line style="position:absolute;mso-position-horizontal-relative:page;mso-position-vertical-relative:paragraph;z-index:43144" from="26.76pt,47.615871pt" to="26.76pt,66.335871pt" stroked="true" strokeweight=".72pt" strokecolor="#000000">
            <v:stroke dashstyle="solid"/>
            <w10:wrap type="none"/>
          </v:line>
        </w:pict>
      </w:r>
      <w:r>
        <w:rPr>
          <w:strike/>
          <w:color w:val="2E97D3"/>
        </w:rPr>
        <w:t>*</w:t>
      </w:r>
      <w:r>
        <w:rPr>
          <w:strike w:val="0"/>
          <w:color w:val="2E97D3"/>
          <w:u w:val="single" w:color="2E97D3"/>
        </w:rPr>
        <w:t>1. </w:t>
      </w:r>
      <w:r>
        <w:rPr>
          <w:b/>
          <w:strike w:val="0"/>
        </w:rPr>
        <w:t>Bid Tabulation</w:t>
      </w:r>
      <w:r>
        <w:rPr>
          <w:strike w:val="0"/>
        </w:rPr>
        <w:t>: A listing of bids received for a project; a copy of the bid tabulation must be submitted to </w:t>
      </w:r>
      <w:r>
        <w:rPr>
          <w:strike/>
          <w:color w:val="2E97D3"/>
        </w:rPr>
        <w:t>DOF</w:t>
      </w:r>
      <w:r>
        <w:rPr>
          <w:strike w:val="0"/>
          <w:color w:val="2E97D3"/>
          <w:sz w:val="22"/>
          <w:u w:val="single" w:color="2E97D3"/>
        </w:rPr>
        <w:t>Finance </w:t>
      </w:r>
      <w:r>
        <w:rPr>
          <w:strike w:val="0"/>
        </w:rPr>
        <w:t>when requesting release of construction funds. Section 6853.</w:t>
      </w:r>
    </w:p>
    <w:p>
      <w:pPr>
        <w:pStyle w:val="BodyText"/>
        <w:spacing w:before="101"/>
        <w:ind w:left="1106" w:right="235" w:hanging="360"/>
      </w:pPr>
      <w:r>
        <w:rPr/>
        <w:pict>
          <v:line style="position:absolute;mso-position-horizontal-relative:page;mso-position-vertical-relative:paragraph;z-index:-429616" from="166.440002pt,13.485869pt" to="169.801002pt,13.485869pt" stroked="true" strokeweight=".6pt" strokecolor="#2e97d3">
            <v:stroke dashstyle="solid"/>
            <w10:wrap type="none"/>
          </v:line>
        </w:pict>
      </w:r>
      <w:r>
        <w:rPr/>
        <w:pict>
          <v:line style="position:absolute;mso-position-horizontal-relative:page;mso-position-vertical-relative:paragraph;z-index:-429592" from="443.880005pt,54.766369pt" to="447.240005pt,54.766369pt" stroked="true" strokeweight=".599pt" strokecolor="#2e97d3">
            <v:stroke dashstyle="solid"/>
            <w10:wrap type="none"/>
          </v:line>
        </w:pict>
      </w:r>
      <w:r>
        <w:rPr/>
        <w:pict>
          <v:line style="position:absolute;mso-position-horizontal-relative:page;mso-position-vertical-relative:paragraph;z-index:43168" from="26.76pt,46.545868pt" to="26.76pt,106.665868pt" stroked="true" strokeweight=".72pt" strokecolor="#000000">
            <v:stroke dashstyle="solid"/>
            <w10:wrap type="none"/>
          </v:line>
        </w:pict>
      </w:r>
      <w:r>
        <w:rPr>
          <w:strike/>
          <w:color w:val="2E97D3"/>
        </w:rPr>
        <w:t>*</w:t>
      </w:r>
      <w:r>
        <w:rPr>
          <w:strike w:val="0"/>
          <w:color w:val="2E97D3"/>
          <w:u w:val="single" w:color="2E97D3"/>
        </w:rPr>
        <w:t>2. </w:t>
      </w:r>
      <w:r>
        <w:rPr>
          <w:b/>
          <w:strike w:val="0"/>
        </w:rPr>
        <w:t>Closure memo</w:t>
      </w:r>
      <w:r>
        <w:rPr>
          <w:strike w:val="0"/>
        </w:rPr>
        <w:t>: A notification from the client department to </w:t>
      </w:r>
      <w:r>
        <w:rPr>
          <w:strike/>
          <w:color w:val="2E97D3"/>
        </w:rPr>
        <w:t>DOF</w:t>
      </w:r>
      <w:r>
        <w:rPr>
          <w:strike w:val="0"/>
          <w:color w:val="2E97D3"/>
          <w:sz w:val="22"/>
          <w:u w:val="single" w:color="2E97D3"/>
        </w:rPr>
        <w:t>Finance</w:t>
      </w:r>
      <w:r>
        <w:rPr>
          <w:strike w:val="0"/>
        </w:rPr>
        <w:t>, and in the case of bond projects, to the issuer and to the project bond trustee, that the project is complete, the construction account may be closed, and for bond projects, the surplus funds—if any—may be disposed of in accordance with the indenture. Sections 6856 and 6882.</w:t>
      </w:r>
    </w:p>
    <w:p>
      <w:pPr>
        <w:tabs>
          <w:tab w:pos="2227" w:val="left" w:leader="none"/>
          <w:tab w:pos="2589" w:val="left" w:leader="none"/>
        </w:tabs>
        <w:spacing w:before="98"/>
        <w:ind w:left="1106" w:right="423" w:hanging="360"/>
        <w:jc w:val="left"/>
        <w:rPr>
          <w:sz w:val="24"/>
        </w:rPr>
      </w:pPr>
      <w:r>
        <w:rPr/>
        <w:pict>
          <v:line style="position:absolute;mso-position-horizontal-relative:page;mso-position-vertical-relative:paragraph;z-index:-429568" from="122.400002pt,13.335881pt" to="132.360002pt,13.335881pt" stroked="true" strokeweight=".6pt" strokecolor="#2e97d3">
            <v:stroke dashstyle="solid"/>
            <w10:wrap type="none"/>
          </v:line>
        </w:pict>
      </w:r>
      <w:r>
        <w:rPr/>
        <w:pict>
          <v:line style="position:absolute;mso-position-horizontal-relative:page;mso-position-vertical-relative:paragraph;z-index:43192" from="26.76pt,46.515881pt" to="26.76pt,191.595881pt" stroked="true" strokeweight=".72pt" strokecolor="#000000">
            <v:stroke dashstyle="solid"/>
            <w10:wrap type="none"/>
          </v:line>
        </w:pict>
      </w:r>
      <w:r>
        <w:rPr>
          <w:strike/>
          <w:color w:val="2E97D3"/>
          <w:sz w:val="24"/>
        </w:rPr>
        <w:t>*</w:t>
      </w:r>
      <w:r>
        <w:rPr>
          <w:strike w:val="0"/>
          <w:color w:val="2E97D3"/>
          <w:sz w:val="24"/>
          <w:u w:val="single" w:color="2E97D3"/>
        </w:rPr>
        <w:t>3.</w:t>
      </w:r>
      <w:r>
        <w:rPr>
          <w:strike w:val="0"/>
          <w:color w:val="2E97D3"/>
          <w:spacing w:val="2"/>
          <w:sz w:val="24"/>
          <w:u w:val="single" w:color="2E97D3"/>
        </w:rPr>
        <w:t> </w:t>
      </w:r>
      <w:r>
        <w:rPr>
          <w:b/>
          <w:strike w:val="0"/>
          <w:sz w:val="24"/>
        </w:rPr>
        <w:t>DF-14D:</w:t>
        <w:tab/>
      </w:r>
      <w:r>
        <w:rPr>
          <w:b/>
          <w:strike w:val="0"/>
          <w:sz w:val="24"/>
          <w:u w:val="thick" w:color="2E97D3"/>
        </w:rPr>
        <w:t> </w:t>
        <w:tab/>
      </w:r>
      <w:r>
        <w:rPr>
          <w:b/>
          <w:strike w:val="0"/>
          <w:sz w:val="24"/>
        </w:rPr>
        <w:t>Request </w:t>
      </w:r>
      <w:r>
        <w:rPr>
          <w:b/>
          <w:strike/>
          <w:color w:val="2E97D3"/>
          <w:sz w:val="24"/>
        </w:rPr>
        <w:t>For</w:t>
      </w:r>
      <w:r>
        <w:rPr>
          <w:b/>
          <w:strike w:val="0"/>
          <w:color w:val="2E97D3"/>
          <w:sz w:val="24"/>
          <w:u w:val="thick" w:color="2E97D3"/>
        </w:rPr>
        <w:t>for </w:t>
      </w:r>
      <w:r>
        <w:rPr>
          <w:b/>
          <w:strike w:val="0"/>
          <w:sz w:val="24"/>
        </w:rPr>
        <w:t>Approval to Proceed or Encumber Funds</w:t>
      </w:r>
      <w:r>
        <w:rPr>
          <w:b/>
          <w:strike/>
          <w:color w:val="2E97D3"/>
          <w:sz w:val="24"/>
        </w:rPr>
        <w:t>.</w:t>
      </w:r>
      <w:r>
        <w:rPr>
          <w:b/>
          <w:strike/>
          <w:color w:val="2E97D3"/>
          <w:spacing w:val="-26"/>
          <w:sz w:val="24"/>
        </w:rPr>
        <w:t> </w:t>
      </w:r>
      <w:r>
        <w:rPr>
          <w:b/>
          <w:strike w:val="0"/>
          <w:color w:val="2E97D3"/>
          <w:sz w:val="24"/>
          <w:u w:val="thick" w:color="2E97D3"/>
        </w:rPr>
        <w:t>:</w:t>
      </w:r>
      <w:r>
        <w:rPr>
          <w:b/>
          <w:strike w:val="0"/>
          <w:color w:val="2E97D3"/>
          <w:spacing w:val="51"/>
          <w:sz w:val="24"/>
          <w:u w:val="thick" w:color="2E97D3"/>
        </w:rPr>
        <w:t> </w:t>
      </w:r>
      <w:r>
        <w:rPr>
          <w:strike w:val="0"/>
          <w:sz w:val="24"/>
        </w:rPr>
        <w:t>Used</w:t>
      </w:r>
      <w:r>
        <w:rPr>
          <w:strike w:val="0"/>
          <w:w w:val="99"/>
          <w:sz w:val="24"/>
        </w:rPr>
        <w:t> </w:t>
      </w:r>
      <w:r>
        <w:rPr>
          <w:strike w:val="0"/>
          <w:sz w:val="24"/>
        </w:rPr>
        <w:t>by client department to request </w:t>
      </w:r>
      <w:r>
        <w:rPr>
          <w:strike/>
          <w:color w:val="2E97D3"/>
          <w:sz w:val="24"/>
        </w:rPr>
        <w:t>DOF</w:t>
      </w:r>
      <w:r>
        <w:rPr>
          <w:strike w:val="0"/>
          <w:color w:val="2E97D3"/>
          <w:sz w:val="22"/>
          <w:u w:val="single" w:color="2E97D3"/>
        </w:rPr>
        <w:t>Finance</w:t>
      </w:r>
      <w:r>
        <w:rPr>
          <w:strike w:val="0"/>
          <w:sz w:val="24"/>
        </w:rPr>
        <w:t>/PWB approval of various steps in capital outlay phases, e.g., approval of preliminary plans; approval to proceed to working drawings phase, approval to proceed to bid.  Section 6845 </w:t>
      </w:r>
      <w:r>
        <w:rPr>
          <w:strike/>
          <w:color w:val="2E97D3"/>
          <w:sz w:val="24"/>
        </w:rPr>
        <w:t>Illustration</w:t>
      </w:r>
      <w:r>
        <w:rPr>
          <w:strike/>
          <w:color w:val="2E97D3"/>
          <w:spacing w:val="-36"/>
          <w:sz w:val="24"/>
        </w:rPr>
        <w:t> </w:t>
      </w:r>
      <w:r>
        <w:rPr>
          <w:strike/>
          <w:color w:val="2E97D3"/>
          <w:sz w:val="24"/>
        </w:rPr>
        <w:t>1</w:t>
      </w:r>
      <w:r>
        <w:rPr>
          <w:strike w:val="0"/>
          <w:sz w:val="24"/>
        </w:rPr>
        <w:t>.</w:t>
      </w:r>
    </w:p>
    <w:p>
      <w:pPr>
        <w:pStyle w:val="ListParagraph"/>
        <w:numPr>
          <w:ilvl w:val="2"/>
          <w:numId w:val="139"/>
        </w:numPr>
        <w:tabs>
          <w:tab w:pos="1107" w:val="left" w:leader="none"/>
        </w:tabs>
        <w:spacing w:line="240" w:lineRule="auto" w:before="98" w:after="0"/>
        <w:ind w:left="1106" w:right="454" w:hanging="360"/>
        <w:jc w:val="left"/>
        <w:rPr>
          <w:color w:val="2E97D3"/>
          <w:sz w:val="24"/>
        </w:rPr>
      </w:pPr>
      <w:r>
        <w:rPr>
          <w:b/>
          <w:sz w:val="24"/>
        </w:rPr>
        <w:t>DF-</w:t>
      </w:r>
      <w:r>
        <w:rPr>
          <w:b/>
          <w:strike/>
          <w:color w:val="2E97D3"/>
          <w:sz w:val="24"/>
        </w:rPr>
        <w:t>14E</w:t>
      </w:r>
      <w:r>
        <w:rPr>
          <w:b/>
          <w:strike w:val="0"/>
          <w:color w:val="2E97D3"/>
          <w:sz w:val="24"/>
          <w:u w:val="thick" w:color="2E97D3"/>
        </w:rPr>
        <w:t>150, Fiscal Impact Worksheet (FIW): </w:t>
      </w:r>
      <w:r>
        <w:rPr>
          <w:strike w:val="0"/>
          <w:color w:val="2E97D3"/>
          <w:sz w:val="24"/>
          <w:u w:val="thick" w:color="2E97D3"/>
        </w:rPr>
        <w:t>This document is used to report the </w:t>
      </w:r>
      <w:r>
        <w:rPr>
          <w:strike w:val="0"/>
          <w:color w:val="2E97D3"/>
          <w:sz w:val="24"/>
          <w:u w:val="single" w:color="2E97D3"/>
        </w:rPr>
        <w:t>funding data, detail costs, schedules, project specific codes, detail information, support costs and scope language related to the project or proposal. All COBCPs and COCPs must be accompanied by an</w:t>
      </w:r>
      <w:r>
        <w:rPr>
          <w:strike w:val="0"/>
          <w:color w:val="2E97D3"/>
          <w:spacing w:val="-17"/>
          <w:sz w:val="24"/>
          <w:u w:val="single" w:color="2E97D3"/>
        </w:rPr>
        <w:t> </w:t>
      </w:r>
      <w:r>
        <w:rPr>
          <w:strike w:val="0"/>
          <w:color w:val="2E97D3"/>
          <w:sz w:val="24"/>
          <w:u w:val="single" w:color="2E97D3"/>
        </w:rPr>
        <w:t>FIW.</w:t>
      </w:r>
    </w:p>
    <w:p>
      <w:pPr>
        <w:spacing w:before="98"/>
        <w:ind w:left="1106" w:right="328" w:hanging="360"/>
        <w:jc w:val="left"/>
        <w:rPr>
          <w:sz w:val="24"/>
        </w:rPr>
      </w:pPr>
      <w:r>
        <w:rPr>
          <w:strike/>
          <w:color w:val="2E97D3"/>
          <w:sz w:val="24"/>
        </w:rPr>
        <w:t>*</w:t>
      </w:r>
      <w:r>
        <w:rPr>
          <w:strike w:val="0"/>
          <w:color w:val="2E97D3"/>
          <w:sz w:val="24"/>
          <w:u w:val="thick" w:color="2E97D3"/>
        </w:rPr>
        <w:t>5. </w:t>
      </w:r>
      <w:r>
        <w:rPr>
          <w:b/>
          <w:strike w:val="0"/>
          <w:color w:val="2E97D3"/>
          <w:sz w:val="24"/>
          <w:u w:val="thick" w:color="2E97D3"/>
        </w:rPr>
        <w:t>DF-151</w:t>
      </w:r>
      <w:r>
        <w:rPr>
          <w:b/>
          <w:strike w:val="0"/>
          <w:sz w:val="24"/>
        </w:rPr>
        <w:t>, Capital Outlay Budget Change Proposal</w:t>
      </w:r>
      <w:r>
        <w:rPr>
          <w:b/>
          <w:strike/>
          <w:color w:val="2E97D3"/>
          <w:sz w:val="24"/>
        </w:rPr>
        <w:t>. </w:t>
      </w:r>
      <w:r>
        <w:rPr>
          <w:b/>
          <w:strike w:val="0"/>
          <w:color w:val="2E97D3"/>
          <w:sz w:val="24"/>
          <w:u w:val="thick" w:color="2E97D3"/>
        </w:rPr>
        <w:t>: </w:t>
      </w:r>
      <w:r>
        <w:rPr>
          <w:strike w:val="0"/>
          <w:sz w:val="24"/>
        </w:rPr>
        <w:t>Used to request funding for a capital outlay project to be included in the annual Governor’s Budget.  Section 6818.</w:t>
      </w:r>
    </w:p>
    <w:p>
      <w:pPr>
        <w:pStyle w:val="BodyText"/>
        <w:spacing w:before="5"/>
        <w:rPr>
          <w:sz w:val="32"/>
        </w:rPr>
      </w:pPr>
    </w:p>
    <w:p>
      <w:pPr>
        <w:pStyle w:val="BodyText"/>
        <w:spacing w:before="1"/>
        <w:ind w:left="640"/>
      </w:pPr>
      <w:r>
        <w:rPr>
          <w:color w:val="2C6234"/>
          <w:u w:val="thick" w:color="2C6234"/>
        </w:rPr>
        <w:t>(Continued)</w:t>
      </w:r>
    </w:p>
    <w:p>
      <w:pPr>
        <w:spacing w:after="0"/>
        <w:sectPr>
          <w:headerReference w:type="default" r:id="rId363"/>
          <w:pgSz w:w="12240" w:h="15840"/>
          <w:pgMar w:header="726" w:footer="726" w:top="1240" w:bottom="980" w:left="420" w:right="1440"/>
        </w:sectPr>
      </w:pPr>
    </w:p>
    <w:p>
      <w:pPr>
        <w:pStyle w:val="BodyText"/>
        <w:spacing w:before="6"/>
        <w:rPr>
          <w:sz w:val="10"/>
        </w:rPr>
      </w:pPr>
      <w:r>
        <w:rPr/>
        <w:pict>
          <v:line style="position:absolute;mso-position-horizontal-relative:page;mso-position-vertical-relative:page;z-index:43456" from="26.76pt,48.959999pt" to="26.76pt,221.279999pt" stroked="true" strokeweight=".72pt" strokecolor="#000000">
            <v:stroke dashstyle="solid"/>
            <w10:wrap type="none"/>
          </v:line>
        </w:pict>
      </w:r>
    </w:p>
    <w:p>
      <w:pPr>
        <w:tabs>
          <w:tab w:pos="8846" w:val="left" w:leader="none"/>
        </w:tabs>
        <w:spacing w:before="92"/>
        <w:ind w:left="640" w:right="0" w:firstLine="0"/>
        <w:jc w:val="left"/>
        <w:rPr>
          <w:sz w:val="24"/>
        </w:rPr>
      </w:pPr>
      <w:r>
        <w:rPr/>
        <w:pict>
          <v:group style="position:absolute;margin-left:52.740002pt;margin-top:16.335831pt;width:487.6pt;height:2.2pt;mso-position-horizontal-relative:page;mso-position-vertical-relative:paragraph;z-index:-429448" coordorigin="1055,327" coordsize="9752,44">
            <v:line style="position:absolute" from="1061,333" to="10584,333" stroked="true" strokeweight=".6pt" strokecolor="#2c6234">
              <v:stroke dashstyle="solid"/>
            </v:line>
            <v:line style="position:absolute" from="1061,364" to="10584,364" stroked="true" strokeweight=".599pt" strokecolor="#2c6234">
              <v:stroke dashstyle="solid"/>
            </v:line>
            <v:line style="position:absolute" from="10584,352" to="10798,352" stroked="true" strokeweight=".84pt" strokecolor="#2e97d3">
              <v:stroke dashstyle="solid"/>
            </v:line>
            <w10:wrap type="none"/>
          </v:group>
        </w:pict>
      </w:r>
      <w:bookmarkStart w:name="GLOSSARY AND INDEX FOR CAPITAL OUTLAY" w:id="157"/>
      <w:bookmarkEnd w:id="157"/>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 </w:t>
      </w:r>
      <w:r>
        <w:rPr>
          <w:color w:val="2C6234"/>
          <w:sz w:val="24"/>
        </w:rPr>
        <w:t>(Cont.</w:t>
      </w:r>
      <w:r>
        <w:rPr>
          <w:color w:val="2C6234"/>
          <w:spacing w:val="-10"/>
          <w:sz w:val="24"/>
        </w:rPr>
        <w:t> </w:t>
      </w:r>
      <w:r>
        <w:rPr>
          <w:color w:val="2E97D3"/>
          <w:sz w:val="24"/>
        </w:rPr>
        <w:t>8)</w:t>
      </w:r>
    </w:p>
    <w:p>
      <w:pPr>
        <w:pStyle w:val="BodyText"/>
        <w:ind w:left="640"/>
      </w:pPr>
      <w:r>
        <w:rPr>
          <w:color w:val="2E97D3"/>
          <w:u w:val="single" w:color="2E97D3"/>
        </w:rPr>
        <w:t>(Revised 09/2017)</w:t>
      </w:r>
    </w:p>
    <w:p>
      <w:pPr>
        <w:pStyle w:val="BodyText"/>
        <w:rPr>
          <w:sz w:val="16"/>
        </w:rPr>
      </w:pPr>
    </w:p>
    <w:p>
      <w:pPr>
        <w:pStyle w:val="Heading2"/>
        <w:spacing w:before="92"/>
        <w:ind w:left="640"/>
      </w:pPr>
      <w:r>
        <w:rPr>
          <w:color w:val="2E97D3"/>
          <w:u w:val="thick" w:color="2E97D3"/>
        </w:rPr>
        <w:t>Forms, standard notices and other required formats (continued):</w:t>
      </w:r>
    </w:p>
    <w:p>
      <w:pPr>
        <w:pStyle w:val="BodyText"/>
        <w:spacing w:before="97"/>
        <w:ind w:left="1106" w:right="342" w:hanging="360"/>
      </w:pPr>
      <w:r>
        <w:rPr>
          <w:color w:val="2E97D3"/>
          <w:u w:val="thick" w:color="2E97D3"/>
        </w:rPr>
        <w:t>6.   </w:t>
      </w:r>
      <w:r>
        <w:rPr>
          <w:b/>
          <w:color w:val="2E97D3"/>
          <w:u w:val="thick" w:color="2E97D3"/>
        </w:rPr>
        <w:t>DF-152, Capital Outlay Concept Proposal: </w:t>
      </w:r>
      <w:r>
        <w:rPr>
          <w:color w:val="2E97D3"/>
          <w:u w:val="thick" w:color="2E97D3"/>
        </w:rPr>
        <w:t>A written request for funding required </w:t>
      </w:r>
      <w:r>
        <w:rPr>
          <w:color w:val="2E97D3"/>
          <w:u w:val="single" w:color="2E97D3"/>
        </w:rPr>
        <w:t>for each project or program area where specific project detail is not available. These proposals may to be used as part of the department’s five-year infrastructure plan except for budget year proposals that require a COBCP.</w:t>
      </w:r>
    </w:p>
    <w:p>
      <w:pPr>
        <w:pStyle w:val="BodyText"/>
        <w:spacing w:before="97"/>
        <w:ind w:left="1106" w:right="409" w:hanging="360"/>
      </w:pPr>
      <w:r>
        <w:rPr/>
        <w:pict>
          <v:line style="position:absolute;mso-position-horizontal-relative:page;mso-position-vertical-relative:paragraph;z-index:-429424" from="463.079987pt,18.025841pt" to="467.039987pt,18.025841pt" stroked="true" strokeweight="1.2pt" strokecolor="#2e97d3">
            <v:stroke dashstyle="solid"/>
            <w10:wrap type="none"/>
          </v:line>
        </w:pict>
      </w:r>
      <w:r>
        <w:rPr/>
        <w:pict>
          <v:line style="position:absolute;mso-position-horizontal-relative:page;mso-position-vertical-relative:paragraph;z-index:-429400" from="467.160004pt,40.885841pt" to="470.520004pt,40.885841pt" stroked="true" strokeweight=".6pt" strokecolor="#2e97d3">
            <v:stroke dashstyle="solid"/>
            <w10:wrap type="none"/>
          </v:line>
        </w:pict>
      </w:r>
      <w:r>
        <w:rPr/>
        <w:pict>
          <v:line style="position:absolute;mso-position-horizontal-relative:page;mso-position-vertical-relative:paragraph;z-index:43480" from="26.76pt,32.665840pt" to="26.76pt,106.58584pt" stroked="true" strokeweight=".72pt" strokecolor="#000000">
            <v:stroke dashstyle="solid"/>
            <w10:wrap type="none"/>
          </v:line>
        </w:pict>
      </w:r>
      <w:r>
        <w:rPr>
          <w:strike/>
          <w:color w:val="2E97D3"/>
        </w:rPr>
        <w:t>*</w:t>
      </w:r>
      <w:r>
        <w:rPr>
          <w:strike w:val="0"/>
          <w:color w:val="2E97D3"/>
          <w:u w:val="single" w:color="2E97D3"/>
        </w:rPr>
        <w:t>7. </w:t>
      </w:r>
      <w:r>
        <w:rPr>
          <w:b/>
          <w:strike w:val="0"/>
        </w:rPr>
        <w:t>FORM 22, Public Works Board Authorization and Transfer Request</w:t>
      </w:r>
      <w:r>
        <w:rPr>
          <w:b/>
          <w:strike/>
          <w:color w:val="2E97D3"/>
        </w:rPr>
        <w:t>. </w:t>
      </w:r>
      <w:r>
        <w:rPr>
          <w:b/>
          <w:strike w:val="0"/>
          <w:color w:val="2E97D3"/>
        </w:rPr>
        <w:t>: </w:t>
      </w:r>
      <w:r>
        <w:rPr>
          <w:strike w:val="0"/>
        </w:rPr>
        <w:t>For state agencies which contract with DGS for project management, used to transfer funds to the Architecture Revolving Fund (ARF) for each budgeted phase of work. DGS initiates the form; the client department signs and forwards it to </w:t>
      </w:r>
      <w:r>
        <w:rPr>
          <w:strike/>
          <w:color w:val="2E97D3"/>
        </w:rPr>
        <w:t>DOF</w:t>
      </w:r>
      <w:r>
        <w:rPr>
          <w:strike w:val="0"/>
          <w:color w:val="2E97D3"/>
          <w:sz w:val="22"/>
          <w:u w:val="single" w:color="2E97D3"/>
        </w:rPr>
        <w:t>Finance </w:t>
      </w:r>
      <w:r>
        <w:rPr>
          <w:strike w:val="0"/>
        </w:rPr>
        <w:t>for final approval.  Section </w:t>
      </w:r>
      <w:r>
        <w:rPr>
          <w:strike/>
          <w:color w:val="2E97D3"/>
        </w:rPr>
        <w:t>68681 Illustration 1. </w:t>
      </w:r>
      <w:r>
        <w:rPr>
          <w:strike w:val="0"/>
          <w:color w:val="2E97D3"/>
          <w:u w:val="single" w:color="2E97D3"/>
        </w:rPr>
        <w:t>6868.</w:t>
      </w:r>
    </w:p>
    <w:p>
      <w:pPr>
        <w:spacing w:before="97"/>
        <w:ind w:left="1106" w:right="399" w:hanging="360"/>
        <w:jc w:val="left"/>
        <w:rPr>
          <w:sz w:val="24"/>
        </w:rPr>
      </w:pPr>
      <w:r>
        <w:rPr/>
        <w:pict>
          <v:line style="position:absolute;mso-position-horizontal-relative:page;mso-position-vertical-relative:paragraph;z-index:-429376" from="123.720001pt,27.085857pt" to="127.080001pt,27.085857pt" stroked="true" strokeweight=".6pt" strokecolor="#2e97d3">
            <v:stroke dashstyle="solid"/>
            <w10:wrap type="none"/>
          </v:line>
        </w:pict>
      </w:r>
      <w:r>
        <w:rPr/>
        <w:pict>
          <v:line style="position:absolute;mso-position-horizontal-relative:page;mso-position-vertical-relative:paragraph;z-index:-429352" from="106.440002pt,54.686356pt" to="109.680002pt,54.686356pt" stroked="true" strokeweight=".599pt" strokecolor="#2e97d3">
            <v:stroke dashstyle="solid"/>
            <w10:wrap type="none"/>
          </v:line>
        </w:pict>
      </w:r>
      <w:r>
        <w:rPr/>
        <w:pict>
          <v:line style="position:absolute;mso-position-horizontal-relative:page;mso-position-vertical-relative:paragraph;z-index:-429328" from="151.800003pt,68.485855pt" to="155.160003pt,68.485855pt" stroked="true" strokeweight=".6pt" strokecolor="#2e97d3">
            <v:stroke dashstyle="solid"/>
            <w10:wrap type="none"/>
          </v:line>
        </w:pict>
      </w:r>
      <w:r>
        <w:rPr/>
        <w:pict>
          <v:line style="position:absolute;mso-position-horizontal-relative:page;mso-position-vertical-relative:paragraph;z-index:43504" from="26.76pt,46.465858pt" to="26.76pt,140.185858pt" stroked="true" strokeweight=".72pt" strokecolor="#000000">
            <v:stroke dashstyle="solid"/>
            <w10:wrap type="none"/>
          </v:line>
        </w:pict>
      </w:r>
      <w:r>
        <w:rPr>
          <w:strike/>
          <w:color w:val="2E97D3"/>
          <w:sz w:val="24"/>
        </w:rPr>
        <w:t>*</w:t>
      </w:r>
      <w:r>
        <w:rPr>
          <w:strike w:val="0"/>
          <w:color w:val="2E97D3"/>
          <w:sz w:val="24"/>
          <w:u w:val="single" w:color="2E97D3"/>
        </w:rPr>
        <w:t>8. </w:t>
      </w:r>
      <w:r>
        <w:rPr>
          <w:b/>
          <w:strike/>
          <w:color w:val="2E97D3"/>
          <w:sz w:val="24"/>
        </w:rPr>
        <w:t>GS–OSA</w:t>
      </w:r>
      <w:r>
        <w:rPr>
          <w:b/>
          <w:strike w:val="0"/>
          <w:color w:val="2E97D3"/>
          <w:sz w:val="24"/>
          <w:u w:val="thick" w:color="2E97D3"/>
        </w:rPr>
        <w:t>Form </w:t>
      </w:r>
      <w:r>
        <w:rPr>
          <w:b/>
          <w:strike w:val="0"/>
          <w:sz w:val="24"/>
        </w:rPr>
        <w:t>220, Public Works Project Authorization Bond Proceeds Funded Projects</w:t>
      </w:r>
      <w:r>
        <w:rPr>
          <w:b/>
          <w:strike w:val="0"/>
          <w:color w:val="2E97D3"/>
          <w:sz w:val="24"/>
        </w:rPr>
        <w:t>.</w:t>
      </w:r>
      <w:r>
        <w:rPr>
          <w:b/>
          <w:strike w:val="0"/>
          <w:color w:val="2E97D3"/>
          <w:sz w:val="24"/>
          <w:u w:val="thick" w:color="2E97D3"/>
        </w:rPr>
        <w:t>: </w:t>
      </w:r>
      <w:r>
        <w:rPr>
          <w:strike w:val="0"/>
          <w:sz w:val="24"/>
        </w:rPr>
        <w:t>This form is used to request SCO to reserve a portion of the department’s project appropriation authority in a separate account within the appropriate bond fund. This reserve is used to reimburse the Architecture Revolving Fund for actual expenditures.  Section 6868 </w:t>
      </w:r>
      <w:r>
        <w:rPr>
          <w:strike/>
          <w:color w:val="2E97D3"/>
          <w:sz w:val="24"/>
        </w:rPr>
        <w:t>Illustration 2</w:t>
      </w:r>
      <w:r>
        <w:rPr>
          <w:strike w:val="0"/>
          <w:sz w:val="24"/>
        </w:rPr>
        <w:t>.</w:t>
      </w:r>
    </w:p>
    <w:p>
      <w:pPr>
        <w:pStyle w:val="BodyText"/>
        <w:spacing w:before="97"/>
        <w:ind w:left="1106" w:right="342" w:hanging="360"/>
      </w:pPr>
      <w:r>
        <w:rPr/>
        <w:pict>
          <v:line style="position:absolute;mso-position-horizontal-relative:page;mso-position-vertical-relative:paragraph;z-index:-429304" from="309.839996pt,13.285874pt" to="313.079996pt,13.285874pt" stroked="true" strokeweight=".6pt" strokecolor="#2e97d3">
            <v:stroke dashstyle="solid"/>
            <w10:wrap type="none"/>
          </v:line>
        </w:pict>
      </w:r>
      <w:r>
        <w:rPr/>
        <w:pict>
          <v:line style="position:absolute;mso-position-horizontal-relative:page;mso-position-vertical-relative:paragraph;z-index:-429280" from="433.799988pt,40.886375pt" to="437.159988pt,40.886375pt" stroked="true" strokeweight=".599pt" strokecolor="#2e97d3">
            <v:stroke dashstyle="solid"/>
            <w10:wrap type="none"/>
          </v:line>
        </w:pict>
      </w:r>
      <w:r>
        <w:rPr>
          <w:strike/>
          <w:color w:val="2E97D3"/>
        </w:rPr>
        <w:t>*</w:t>
      </w:r>
      <w:r>
        <w:rPr>
          <w:strike w:val="0"/>
          <w:color w:val="2E97D3"/>
          <w:u w:val="single" w:color="2E97D3"/>
        </w:rPr>
        <w:t>9. </w:t>
      </w:r>
      <w:r>
        <w:rPr>
          <w:b/>
          <w:strike w:val="0"/>
        </w:rPr>
        <w:t>Historic Resources Inventory (DPR 523)</w:t>
      </w:r>
      <w:r>
        <w:rPr>
          <w:strike w:val="0"/>
        </w:rPr>
        <w:t>: A Department of Parks and Recreation form on which </w:t>
      </w:r>
      <w:r>
        <w:rPr>
          <w:strike/>
          <w:color w:val="2E97D3"/>
        </w:rPr>
        <w:t>department’s</w:t>
      </w:r>
      <w:r>
        <w:rPr>
          <w:strike w:val="0"/>
          <w:color w:val="2E97D3"/>
          <w:u w:val="single" w:color="2E97D3"/>
        </w:rPr>
        <w:t>departments </w:t>
      </w:r>
      <w:r>
        <w:rPr>
          <w:strike w:val="0"/>
        </w:rPr>
        <w:t>list their facilities, 50 years or older, which are on—or potentially on—the National Register of Historic Places.  Section 6822.</w:t>
      </w:r>
    </w:p>
    <w:p>
      <w:pPr>
        <w:pStyle w:val="BodyText"/>
        <w:tabs>
          <w:tab w:pos="2080" w:val="left" w:leader="none"/>
        </w:tabs>
        <w:spacing w:before="119"/>
        <w:ind w:left="1461" w:right="689" w:hanging="360"/>
      </w:pPr>
      <w:r>
        <w:rPr/>
        <w:pict>
          <v:line style="position:absolute;mso-position-horizontal-relative:page;mso-position-vertical-relative:paragraph;z-index:-429256" from="247.800003pt,14.38635pt" to="251.161003pt,14.38635pt" stroked="true" strokeweight=".599pt" strokecolor="#2e97d3">
            <v:stroke dashstyle="solid"/>
            <w10:wrap type="none"/>
          </v:line>
        </w:pict>
      </w:r>
      <w:r>
        <w:rPr/>
        <w:pict>
          <v:line style="position:absolute;mso-position-horizontal-relative:page;mso-position-vertical-relative:paragraph;z-index:-429232" from="298.920013pt,41.985851pt" to="302.281013pt,41.985851pt" stroked="true" strokeweight=".6pt" strokecolor="#2e97d3">
            <v:stroke dashstyle="solid"/>
            <w10:wrap type="none"/>
          </v:line>
        </w:pict>
      </w:r>
      <w:r>
        <w:rPr/>
        <w:pict>
          <v:line style="position:absolute;mso-position-horizontal-relative:page;mso-position-vertical-relative:paragraph;z-index:43528" from="26.76pt,33.764851pt" to="26.76pt,47.565851pt" stroked="true" strokeweight=".72pt" strokecolor="#000000">
            <v:stroke dashstyle="solid"/>
            <w10:wrap type="none"/>
          </v:line>
        </w:pict>
      </w:r>
      <w:r>
        <w:rPr/>
        <w:pict>
          <v:line style="position:absolute;mso-position-horizontal-relative:page;mso-position-vertical-relative:paragraph;z-index:43552" from="26.76pt,61.365849pt" to="26.76pt,113.085849pt" stroked="true" strokeweight=".72pt" strokecolor="#000000">
            <v:stroke dashstyle="solid"/>
            <w10:wrap type="none"/>
          </v:line>
        </w:pict>
      </w:r>
      <w:r>
        <w:rPr>
          <w:strike/>
          <w:color w:val="2E97D3"/>
        </w:rPr>
        <w:t>*</w:t>
      </w:r>
      <w:r>
        <w:rPr>
          <w:strike w:val="0"/>
          <w:color w:val="2E97D3"/>
          <w:u w:val="single" w:color="2E97D3"/>
        </w:rPr>
        <w:t>10.</w:t>
        <w:tab/>
      </w:r>
      <w:r>
        <w:rPr>
          <w:b/>
          <w:strike w:val="0"/>
        </w:rPr>
        <w:t>Negative Declaration:  </w:t>
      </w:r>
      <w:r>
        <w:rPr>
          <w:strike w:val="0"/>
        </w:rPr>
        <w:t>Under CEQA, a negative declaration is a</w:t>
      </w:r>
      <w:r>
        <w:rPr>
          <w:strike w:val="0"/>
          <w:spacing w:val="-30"/>
        </w:rPr>
        <w:t> </w:t>
      </w:r>
      <w:r>
        <w:rPr>
          <w:strike w:val="0"/>
        </w:rPr>
        <w:t>form</w:t>
      </w:r>
      <w:r>
        <w:rPr>
          <w:strike w:val="0"/>
          <w:spacing w:val="-1"/>
        </w:rPr>
        <w:t> </w:t>
      </w:r>
      <w:r>
        <w:rPr>
          <w:strike w:val="0"/>
        </w:rPr>
        <w:t>of</w:t>
      </w:r>
      <w:r>
        <w:rPr>
          <w:strike w:val="0"/>
          <w:w w:val="100"/>
        </w:rPr>
        <w:t> </w:t>
      </w:r>
      <w:r>
        <w:rPr>
          <w:strike w:val="0"/>
        </w:rPr>
        <w:t>finding which may be used if the project is not expected to have one or more significant effects on the environment. A negative declaration typically is supported by an initial study or initial study checklist.  Section</w:t>
      </w:r>
      <w:r>
        <w:rPr>
          <w:strike w:val="0"/>
          <w:spacing w:val="-30"/>
        </w:rPr>
        <w:t> </w:t>
      </w:r>
      <w:r>
        <w:rPr>
          <w:strike w:val="0"/>
        </w:rPr>
        <w:t>6850.</w:t>
      </w:r>
    </w:p>
    <w:p>
      <w:pPr>
        <w:pStyle w:val="BodyText"/>
        <w:spacing w:before="2"/>
        <w:ind w:left="640"/>
      </w:pPr>
      <w:r>
        <w:rPr>
          <w:strike/>
          <w:color w:val="2E97D3"/>
        </w:rPr>
        <w:t>(Continued)</w:t>
      </w:r>
    </w:p>
    <w:p>
      <w:pPr>
        <w:spacing w:after="0"/>
        <w:sectPr>
          <w:headerReference w:type="default" r:id="rId364"/>
          <w:pgSz w:w="12240" w:h="15840"/>
          <w:pgMar w:header="726" w:footer="726" w:top="1520" w:bottom="980" w:left="420" w:right="1320"/>
        </w:sectPr>
      </w:pPr>
    </w:p>
    <w:p>
      <w:pPr>
        <w:tabs>
          <w:tab w:pos="8743" w:val="left" w:leader="none"/>
        </w:tabs>
        <w:spacing w:before="0"/>
        <w:ind w:left="640" w:right="222" w:firstLine="0"/>
        <w:jc w:val="left"/>
        <w:rPr>
          <w:sz w:val="24"/>
        </w:rPr>
      </w:pPr>
      <w:r>
        <w:rPr/>
        <w:pict>
          <v:group style="position:absolute;margin-left:52.740002pt;margin-top:7.535884pt;width:482.2pt;height:1.8pt;mso-position-horizontal-relative:page;mso-position-vertical-relative:paragraph;z-index:-429088" coordorigin="1055,151" coordsize="9644,36">
            <v:shape style="position:absolute;left:1061;top:157;width:9420;height:24" coordorigin="1061,157" coordsize="9420,24" path="m1061,181l10481,181m1061,157l10481,157e" filled="false" stroked="true" strokeweight=".6pt" strokecolor="#2c6234">
              <v:path arrowok="t"/>
              <v:stroke dashstyle="solid"/>
            </v:shape>
            <v:line style="position:absolute" from="10481,169" to="10692,169" stroked="true" strokeweight=".599pt" strokecolor="#2e97d3">
              <v:stroke dashstyle="solid"/>
            </v:line>
            <w10:wrap type="none"/>
          </v:group>
        </w:pict>
      </w:r>
      <w:r>
        <w:rPr/>
        <w:pict>
          <v:line style="position:absolute;mso-position-horizontal-relative:page;mso-position-vertical-relative:page;z-index:43912" from="26.76pt,48.959999pt" to="26.76pt,173.399999pt" stroked="true" strokeweight=".72pt" strokecolor="#000000">
            <v:stroke dashstyle="solid"/>
            <w10:wrap type="none"/>
          </v:line>
        </w:pict>
      </w:r>
      <w:bookmarkStart w:name="(New 5/1998)" w:id="158"/>
      <w:bookmarkEnd w:id="158"/>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w:t>
      </w:r>
      <w:r>
        <w:rPr>
          <w:b/>
          <w:color w:val="2C6234"/>
          <w:spacing w:val="-4"/>
          <w:sz w:val="24"/>
        </w:rPr>
        <w:t> </w:t>
      </w:r>
      <w:r>
        <w:rPr>
          <w:color w:val="2C6234"/>
          <w:sz w:val="24"/>
        </w:rPr>
        <w:t>(Cont.</w:t>
      </w:r>
      <w:r>
        <w:rPr>
          <w:color w:val="2C6234"/>
          <w:spacing w:val="-7"/>
          <w:sz w:val="24"/>
        </w:rPr>
        <w:t> </w:t>
      </w:r>
      <w:r>
        <w:rPr>
          <w:color w:val="2E97D3"/>
          <w:sz w:val="24"/>
        </w:rPr>
        <w:t>9)</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rPr>
          <w:sz w:val="20"/>
        </w:rPr>
      </w:pPr>
    </w:p>
    <w:p>
      <w:pPr>
        <w:pStyle w:val="BodyText"/>
        <w:tabs>
          <w:tab w:pos="2080" w:val="left" w:leader="none"/>
        </w:tabs>
        <w:spacing w:before="226"/>
        <w:ind w:left="1461" w:right="385" w:hanging="360"/>
      </w:pPr>
      <w:r>
        <w:rPr/>
        <w:pict>
          <v:line style="position:absolute;mso-position-horizontal-relative:page;mso-position-vertical-relative:paragraph;z-index:-429064" from="252.479996pt,19.736359pt" to="255.840996pt,19.736359pt" stroked="true" strokeweight=".599pt" strokecolor="#2e97d3">
            <v:stroke dashstyle="solid"/>
            <w10:wrap type="none"/>
          </v:line>
        </w:pict>
      </w:r>
      <w:r>
        <w:rPr>
          <w:strike/>
          <w:color w:val="2E97D3"/>
        </w:rPr>
        <w:t>*</w:t>
      </w:r>
      <w:r>
        <w:rPr>
          <w:strike w:val="0"/>
          <w:color w:val="2E97D3"/>
          <w:u w:val="single" w:color="2E97D3"/>
        </w:rPr>
        <w:t>11.</w:t>
        <w:tab/>
      </w:r>
      <w:r>
        <w:rPr>
          <w:b/>
          <w:strike w:val="0"/>
        </w:rPr>
        <w:t>Notice of Completion</w:t>
      </w:r>
      <w:r>
        <w:rPr>
          <w:strike w:val="0"/>
        </w:rPr>
        <w:t>:  A notice initiated by DGS or the project</w:t>
      </w:r>
      <w:r>
        <w:rPr>
          <w:strike w:val="0"/>
          <w:spacing w:val="-32"/>
        </w:rPr>
        <w:t> </w:t>
      </w:r>
      <w:r>
        <w:rPr>
          <w:strike w:val="0"/>
        </w:rPr>
        <w:t>manager</w:t>
      </w:r>
      <w:r>
        <w:rPr>
          <w:strike w:val="0"/>
          <w:spacing w:val="-3"/>
        </w:rPr>
        <w:t> </w:t>
      </w:r>
      <w:r>
        <w:rPr>
          <w:strike w:val="0"/>
        </w:rPr>
        <w:t>to</w:t>
      </w:r>
      <w:r>
        <w:rPr>
          <w:strike w:val="0"/>
          <w:w w:val="99"/>
        </w:rPr>
        <w:t> </w:t>
      </w:r>
      <w:r>
        <w:rPr>
          <w:strike w:val="0"/>
        </w:rPr>
        <w:t>advise </w:t>
      </w:r>
      <w:r>
        <w:rPr>
          <w:strike/>
          <w:color w:val="2E97D3"/>
        </w:rPr>
        <w:t>DOF</w:t>
      </w:r>
      <w:r>
        <w:rPr>
          <w:strike w:val="0"/>
          <w:color w:val="2E97D3"/>
          <w:sz w:val="22"/>
          <w:u w:val="single" w:color="2E97D3"/>
        </w:rPr>
        <w:t>Finance </w:t>
      </w:r>
      <w:r>
        <w:rPr>
          <w:strike w:val="0"/>
        </w:rPr>
        <w:t>of the completion of the project.  Section</w:t>
      </w:r>
      <w:r>
        <w:rPr>
          <w:strike w:val="0"/>
          <w:spacing w:val="-45"/>
        </w:rPr>
        <w:t> </w:t>
      </w:r>
      <w:r>
        <w:rPr>
          <w:strike w:val="0"/>
        </w:rPr>
        <w:t>6856.</w:t>
      </w:r>
    </w:p>
    <w:p>
      <w:pPr>
        <w:pStyle w:val="BodyText"/>
        <w:tabs>
          <w:tab w:pos="1466" w:val="left" w:leader="none"/>
        </w:tabs>
        <w:spacing w:before="103"/>
        <w:ind w:left="1106" w:right="559" w:hanging="360"/>
      </w:pPr>
      <w:r>
        <w:rPr/>
        <w:pict>
          <v:line style="position:absolute;mso-position-horizontal-relative:page;mso-position-vertical-relative:paragraph;z-index:-429040" from="236.399994pt,13.586349pt" to="239.759994pt,13.586349pt" stroked="true" strokeweight=".599pt" strokecolor="#2e97d3">
            <v:stroke dashstyle="solid"/>
            <w10:wrap type="none"/>
          </v:line>
        </w:pict>
      </w:r>
      <w:r>
        <w:rPr/>
        <w:pict>
          <v:line style="position:absolute;mso-position-horizontal-relative:page;mso-position-vertical-relative:paragraph;z-index:43936" from="26.76pt,32.845848pt" to="26.76pt,65.365848pt" stroked="true" strokeweight=".72pt" strokecolor="#000000">
            <v:stroke dashstyle="solid"/>
            <w10:wrap type="none"/>
          </v:line>
        </w:pict>
      </w:r>
      <w:r>
        <w:rPr>
          <w:strike/>
          <w:color w:val="2E97D3"/>
        </w:rPr>
        <w:t>*</w:t>
      </w:r>
      <w:r>
        <w:rPr>
          <w:strike w:val="0"/>
          <w:color w:val="2E97D3"/>
          <w:u w:val="single" w:color="2E97D3"/>
        </w:rPr>
        <w:t>12.</w:t>
        <w:tab/>
      </w:r>
      <w:r>
        <w:rPr>
          <w:b/>
          <w:strike w:val="0"/>
        </w:rPr>
        <w:t>Notice of Determination</w:t>
      </w:r>
      <w:r>
        <w:rPr>
          <w:strike w:val="0"/>
        </w:rPr>
        <w:t>:  A </w:t>
      </w:r>
      <w:r>
        <w:rPr>
          <w:strike/>
          <w:color w:val="2E97D3"/>
        </w:rPr>
        <w:t>brief </w:t>
      </w:r>
      <w:r>
        <w:rPr>
          <w:strike w:val="0"/>
        </w:rPr>
        <w:t>notice filed by the lead or</w:t>
      </w:r>
      <w:r>
        <w:rPr>
          <w:strike w:val="0"/>
          <w:spacing w:val="-35"/>
        </w:rPr>
        <w:t> </w:t>
      </w:r>
      <w:r>
        <w:rPr>
          <w:strike w:val="0"/>
        </w:rPr>
        <w:t>responsible</w:t>
      </w:r>
      <w:r>
        <w:rPr>
          <w:strike w:val="0"/>
          <w:spacing w:val="-2"/>
        </w:rPr>
        <w:t> </w:t>
      </w:r>
      <w:r>
        <w:rPr>
          <w:strike w:val="0"/>
        </w:rPr>
        <w:t>agency after it approves or determines to carry out a project or action subject to </w:t>
      </w:r>
      <w:r>
        <w:rPr>
          <w:strike/>
          <w:color w:val="2E97D3"/>
        </w:rPr>
        <w:t>CEQ</w:t>
      </w:r>
      <w:r>
        <w:rPr>
          <w:strike w:val="0"/>
          <w:color w:val="2E97D3"/>
          <w:u w:val="single" w:color="2E97D3"/>
        </w:rPr>
        <w:t>CEQA </w:t>
      </w:r>
      <w:r>
        <w:rPr>
          <w:strike w:val="0"/>
        </w:rPr>
        <w:t>requirements.  Section</w:t>
      </w:r>
      <w:r>
        <w:rPr>
          <w:strike w:val="0"/>
          <w:spacing w:val="-27"/>
        </w:rPr>
        <w:t> </w:t>
      </w:r>
      <w:r>
        <w:rPr>
          <w:strike w:val="0"/>
        </w:rPr>
        <w:t>6850.</w:t>
      </w:r>
    </w:p>
    <w:p>
      <w:pPr>
        <w:pStyle w:val="BodyText"/>
        <w:tabs>
          <w:tab w:pos="1466" w:val="left" w:leader="none"/>
        </w:tabs>
        <w:spacing w:before="98"/>
        <w:ind w:left="1106" w:right="265" w:hanging="360"/>
      </w:pPr>
      <w:r>
        <w:rPr/>
        <w:pict>
          <v:line style="position:absolute;mso-position-horizontal-relative:page;mso-position-vertical-relative:paragraph;z-index:-429016" from="216.960007pt,13.335837pt" to="220.320007pt,13.335837pt" stroked="true" strokeweight=".6pt" strokecolor="#2e97d3">
            <v:stroke dashstyle="solid"/>
            <w10:wrap type="none"/>
          </v:line>
        </w:pict>
      </w:r>
      <w:r>
        <w:rPr/>
        <w:pict>
          <v:line style="position:absolute;mso-position-horizontal-relative:page;mso-position-vertical-relative:paragraph;z-index:43960" from="26.76pt,32.715836pt" to="26.76pt,139.395836pt" stroked="true" strokeweight=".72pt" strokecolor="#000000">
            <v:stroke dashstyle="solid"/>
            <w10:wrap type="none"/>
          </v:line>
        </w:pict>
      </w:r>
      <w:r>
        <w:rPr>
          <w:strike/>
          <w:color w:val="2E97D3"/>
        </w:rPr>
        <w:t>*</w:t>
      </w:r>
      <w:r>
        <w:rPr>
          <w:strike w:val="0"/>
          <w:color w:val="2E97D3"/>
          <w:u w:val="single" w:color="2E97D3"/>
        </w:rPr>
        <w:t>13.</w:t>
        <w:tab/>
      </w:r>
      <w:r>
        <w:rPr>
          <w:b/>
          <w:strike w:val="0"/>
        </w:rPr>
        <w:t>Notice of Exemption</w:t>
      </w:r>
      <w:r>
        <w:rPr>
          <w:strike w:val="0"/>
        </w:rPr>
        <w:t>:  A </w:t>
      </w:r>
      <w:r>
        <w:rPr>
          <w:strike/>
          <w:color w:val="2E97D3"/>
        </w:rPr>
        <w:t>brief </w:t>
      </w:r>
      <w:r>
        <w:rPr>
          <w:strike w:val="0"/>
        </w:rPr>
        <w:t>notice filed by the lead agency after it</w:t>
      </w:r>
      <w:r>
        <w:rPr>
          <w:strike w:val="0"/>
          <w:spacing w:val="-35"/>
        </w:rPr>
        <w:t> </w:t>
      </w:r>
      <w:r>
        <w:rPr>
          <w:strike w:val="0"/>
        </w:rPr>
        <w:t>determines</w:t>
      </w:r>
      <w:r>
        <w:rPr>
          <w:strike w:val="0"/>
          <w:spacing w:val="-4"/>
        </w:rPr>
        <w:t> </w:t>
      </w:r>
      <w:r>
        <w:rPr>
          <w:strike w:val="0"/>
        </w:rPr>
        <w:t>to</w:t>
      </w:r>
      <w:r>
        <w:rPr>
          <w:strike w:val="0"/>
          <w:w w:val="99"/>
        </w:rPr>
        <w:t> </w:t>
      </w:r>
      <w:r>
        <w:rPr>
          <w:strike w:val="0"/>
        </w:rPr>
        <w:t>carry out a project or action exempt from CEQA.  Section</w:t>
      </w:r>
      <w:r>
        <w:rPr>
          <w:strike w:val="0"/>
          <w:spacing w:val="-48"/>
        </w:rPr>
        <w:t> </w:t>
      </w:r>
      <w:r>
        <w:rPr>
          <w:strike w:val="0"/>
        </w:rPr>
        <w:t>6850.</w:t>
      </w:r>
    </w:p>
    <w:p>
      <w:pPr>
        <w:pStyle w:val="BodyText"/>
        <w:tabs>
          <w:tab w:pos="1466" w:val="left" w:leader="none"/>
        </w:tabs>
        <w:spacing w:before="103"/>
        <w:ind w:left="1106" w:right="171" w:hanging="360"/>
      </w:pPr>
      <w:r>
        <w:rPr/>
        <w:pict>
          <v:line style="position:absolute;mso-position-horizontal-relative:page;mso-position-vertical-relative:paragraph;z-index:-428992" from="365.040009pt,13.585889pt" to="368.400009pt,13.585889pt" stroked="true" strokeweight=".6pt" strokecolor="#2e97d3">
            <v:stroke dashstyle="solid"/>
            <w10:wrap type="none"/>
          </v:line>
        </w:pict>
      </w:r>
      <w:r>
        <w:rPr>
          <w:strike/>
          <w:color w:val="2E97D3"/>
        </w:rPr>
        <w:t>*</w:t>
      </w:r>
      <w:r>
        <w:rPr>
          <w:strike w:val="0"/>
          <w:color w:val="2E97D3"/>
          <w:u w:val="single" w:color="2E97D3"/>
        </w:rPr>
        <w:t>14.</w:t>
        <w:tab/>
      </w:r>
      <w:r>
        <w:rPr>
          <w:b/>
          <w:strike w:val="0"/>
        </w:rPr>
        <w:t>Project Cost, Funding and Schedule Summary</w:t>
      </w:r>
      <w:r>
        <w:rPr>
          <w:strike w:val="0"/>
        </w:rPr>
        <w:t>:  A chronological history</w:t>
      </w:r>
      <w:r>
        <w:rPr>
          <w:strike w:val="0"/>
          <w:spacing w:val="-33"/>
        </w:rPr>
        <w:t> </w:t>
      </w:r>
      <w:r>
        <w:rPr>
          <w:strike w:val="0"/>
        </w:rPr>
        <w:t>of</w:t>
      </w:r>
      <w:r>
        <w:rPr>
          <w:strike w:val="0"/>
          <w:spacing w:val="-3"/>
        </w:rPr>
        <w:t> </w:t>
      </w:r>
      <w:r>
        <w:rPr>
          <w:strike w:val="0"/>
        </w:rPr>
        <w:t>costs,</w:t>
      </w:r>
      <w:r>
        <w:rPr>
          <w:strike w:val="0"/>
          <w:w w:val="100"/>
        </w:rPr>
        <w:t> </w:t>
      </w:r>
      <w:r>
        <w:rPr>
          <w:strike w:val="0"/>
        </w:rPr>
        <w:t>funds and project schedules </w:t>
      </w:r>
      <w:r>
        <w:rPr>
          <w:strike/>
          <w:color w:val="2E97D3"/>
        </w:rPr>
        <w:t>which</w:t>
      </w:r>
      <w:r>
        <w:rPr>
          <w:strike w:val="0"/>
          <w:color w:val="2E97D3"/>
          <w:u w:val="single" w:color="2E97D3"/>
        </w:rPr>
        <w:t>that </w:t>
      </w:r>
      <w:r>
        <w:rPr>
          <w:strike w:val="0"/>
        </w:rPr>
        <w:t>is part of the standard fiscal reporting requirements for any request to </w:t>
      </w:r>
      <w:r>
        <w:rPr>
          <w:strike/>
          <w:color w:val="2E97D3"/>
        </w:rPr>
        <w:t>DOF</w:t>
      </w:r>
      <w:r>
        <w:rPr>
          <w:strike w:val="0"/>
          <w:color w:val="2E97D3"/>
          <w:sz w:val="22"/>
          <w:u w:val="single" w:color="2E97D3"/>
        </w:rPr>
        <w:t>Finance </w:t>
      </w:r>
      <w:r>
        <w:rPr>
          <w:strike w:val="0"/>
        </w:rPr>
        <w:t>or PWB to approve phase completion and release of funds for the next stage (or for project scope or funding changes). </w:t>
      </w:r>
      <w:r>
        <w:rPr>
          <w:strike/>
          <w:color w:val="2E97D3"/>
        </w:rPr>
        <w:t>Section 6845.</w:t>
      </w:r>
    </w:p>
    <w:p>
      <w:pPr>
        <w:pStyle w:val="BodyText"/>
        <w:ind w:left="1466"/>
      </w:pPr>
      <w:r>
        <w:rPr>
          <w:color w:val="2E97D3"/>
          <w:u w:val="single" w:color="2E97D3"/>
        </w:rPr>
        <w:t>Section 6845.</w:t>
      </w:r>
    </w:p>
    <w:p>
      <w:pPr>
        <w:pStyle w:val="BodyText"/>
        <w:tabs>
          <w:tab w:pos="1466" w:val="left" w:leader="none"/>
        </w:tabs>
        <w:spacing w:before="101"/>
        <w:ind w:left="1106" w:right="732" w:hanging="360"/>
      </w:pPr>
      <w:r>
        <w:rPr/>
        <w:pict>
          <v:line style="position:absolute;mso-position-horizontal-relative:page;mso-position-vertical-relative:paragraph;z-index:-428968" from="223.679993pt,13.486357pt" to="227.040993pt,13.486357pt" stroked="true" strokeweight=".599pt" strokecolor="#2e97d3">
            <v:stroke dashstyle="solid"/>
            <w10:wrap type="none"/>
          </v:line>
        </w:pict>
      </w:r>
      <w:r>
        <w:rPr/>
        <w:pict>
          <v:line style="position:absolute;mso-position-horizontal-relative:page;mso-position-vertical-relative:paragraph;z-index:43984" from="26.76pt,46.666859pt" to="26.76pt,227.985859pt" stroked="true" strokeweight=".72pt" strokecolor="#000000">
            <v:stroke dashstyle="solid"/>
            <w10:wrap type="none"/>
          </v:line>
        </w:pict>
      </w:r>
      <w:r>
        <w:rPr>
          <w:strike/>
          <w:color w:val="2E97D3"/>
        </w:rPr>
        <w:t>*</w:t>
      </w:r>
      <w:r>
        <w:rPr>
          <w:strike w:val="0"/>
          <w:color w:val="2E97D3"/>
          <w:u w:val="single" w:color="2E97D3"/>
        </w:rPr>
        <w:t>15.</w:t>
        <w:tab/>
      </w:r>
      <w:r>
        <w:rPr>
          <w:b/>
          <w:strike w:val="0"/>
        </w:rPr>
        <w:t>Return of Funds Form</w:t>
      </w:r>
      <w:r>
        <w:rPr>
          <w:strike w:val="0"/>
        </w:rPr>
        <w:t>:  A DGS form used to transfer surplus project</w:t>
      </w:r>
      <w:r>
        <w:rPr>
          <w:strike w:val="0"/>
          <w:spacing w:val="-32"/>
        </w:rPr>
        <w:t> </w:t>
      </w:r>
      <w:r>
        <w:rPr>
          <w:strike w:val="0"/>
        </w:rPr>
        <w:t>funds</w:t>
      </w:r>
      <w:r>
        <w:rPr>
          <w:strike w:val="0"/>
          <w:spacing w:val="-3"/>
        </w:rPr>
        <w:t> </w:t>
      </w:r>
      <w:r>
        <w:rPr>
          <w:strike w:val="0"/>
        </w:rPr>
        <w:t>at</w:t>
      </w:r>
      <w:r>
        <w:rPr>
          <w:strike w:val="0"/>
          <w:w w:val="100"/>
        </w:rPr>
        <w:t> </w:t>
      </w:r>
      <w:r>
        <w:rPr>
          <w:strike w:val="0"/>
        </w:rPr>
        <w:t>project completion, or upon appropriation reversion, from ARF back to the source fund</w:t>
      </w:r>
      <w:r>
        <w:rPr>
          <w:b/>
          <w:strike w:val="0"/>
        </w:rPr>
        <w:t>.  </w:t>
      </w:r>
      <w:r>
        <w:rPr>
          <w:strike w:val="0"/>
        </w:rPr>
        <w:t>Section</w:t>
      </w:r>
      <w:r>
        <w:rPr>
          <w:strike w:val="0"/>
          <w:spacing w:val="-16"/>
        </w:rPr>
        <w:t> </w:t>
      </w:r>
      <w:r>
        <w:rPr>
          <w:strike w:val="0"/>
        </w:rPr>
        <w:t>6856.</w:t>
      </w:r>
    </w:p>
    <w:p>
      <w:pPr>
        <w:pStyle w:val="BodyText"/>
        <w:rPr>
          <w:sz w:val="26"/>
        </w:rPr>
      </w:pPr>
    </w:p>
    <w:p>
      <w:pPr>
        <w:pStyle w:val="BodyText"/>
        <w:rPr>
          <w:sz w:val="22"/>
        </w:rPr>
      </w:pPr>
    </w:p>
    <w:p>
      <w:pPr>
        <w:pStyle w:val="BodyText"/>
        <w:ind w:left="640"/>
      </w:pPr>
      <w:r>
        <w:rPr>
          <w:color w:val="2C6234"/>
          <w:u w:val="thick" w:color="2C6234"/>
        </w:rPr>
        <w:t>(Continued)</w:t>
      </w:r>
    </w:p>
    <w:p>
      <w:pPr>
        <w:pStyle w:val="BodyText"/>
        <w:rPr>
          <w:sz w:val="20"/>
        </w:rPr>
      </w:pPr>
    </w:p>
    <w:p>
      <w:pPr>
        <w:pStyle w:val="BodyText"/>
        <w:spacing w:before="6"/>
        <w:rPr>
          <w:sz w:val="22"/>
        </w:rPr>
      </w:pPr>
    </w:p>
    <w:p>
      <w:pPr>
        <w:pStyle w:val="BodyText"/>
        <w:ind w:left="640"/>
      </w:pPr>
      <w:bookmarkStart w:name="GLOSSARY AND INDEX FOR CAPITAL OUTLAY" w:id="159"/>
      <w:bookmarkEnd w:id="159"/>
      <w:r>
        <w:rPr/>
      </w:r>
      <w:r>
        <w:rPr>
          <w:color w:val="2C6234"/>
          <w:u w:val="thick" w:color="2C6234"/>
        </w:rPr>
        <w:t>(Continued)</w:t>
      </w:r>
    </w:p>
    <w:p>
      <w:pPr>
        <w:pStyle w:val="Heading2"/>
        <w:ind w:left="640"/>
      </w:pPr>
      <w:r>
        <w:rPr>
          <w:color w:val="2C6234"/>
          <w:u w:val="thick" w:color="2C6234"/>
        </w:rPr>
        <w:t>GLOSSARY AND INDEX FOR CAPITAL OUTLAY</w:t>
      </w:r>
    </w:p>
    <w:p>
      <w:pPr>
        <w:tabs>
          <w:tab w:pos="8846" w:val="left" w:leader="none"/>
        </w:tabs>
        <w:spacing w:before="0"/>
        <w:ind w:left="640" w:right="0" w:firstLine="0"/>
        <w:jc w:val="left"/>
        <w:rPr>
          <w:sz w:val="24"/>
        </w:rPr>
      </w:pPr>
      <w:r>
        <w:rPr/>
        <w:pict>
          <v:group style="position:absolute;margin-left:52.740002pt;margin-top:11.735852pt;width:487.6pt;height:2.2pt;mso-position-horizontal-relative:page;mso-position-vertical-relative:paragraph;z-index:-428944" coordorigin="1055,235" coordsize="9752,44">
            <v:line style="position:absolute" from="1061,241" to="10584,241" stroked="true" strokeweight=".6pt" strokecolor="#2c6234">
              <v:stroke dashstyle="solid"/>
            </v:line>
            <v:line style="position:absolute" from="1061,272" to="10584,272" stroked="true" strokeweight=".599pt" strokecolor="#2c6234">
              <v:stroke dashstyle="solid"/>
            </v:line>
            <v:line style="position:absolute" from="10584,260" to="10798,260" stroked="true" strokeweight=".84pt" strokecolor="#2e97d3">
              <v:stroke dashstyle="solid"/>
            </v:line>
            <w10:wrap type="none"/>
          </v:group>
        </w:pict>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 </w:t>
      </w:r>
      <w:r>
        <w:rPr>
          <w:color w:val="2C6234"/>
          <w:sz w:val="24"/>
        </w:rPr>
        <w:t>(Cont.</w:t>
      </w:r>
      <w:r>
        <w:rPr>
          <w:color w:val="2C6234"/>
          <w:spacing w:val="-10"/>
          <w:sz w:val="24"/>
        </w:rPr>
        <w:t> </w:t>
      </w:r>
      <w:r>
        <w:rPr>
          <w:color w:val="2E97D3"/>
          <w:sz w:val="24"/>
        </w:rPr>
        <w:t>9)</w:t>
      </w:r>
    </w:p>
    <w:p>
      <w:pPr>
        <w:pStyle w:val="BodyText"/>
        <w:ind w:left="640"/>
      </w:pPr>
      <w:r>
        <w:rPr>
          <w:color w:val="2E97D3"/>
          <w:u w:val="single" w:color="2E97D3"/>
        </w:rPr>
        <w:t>(Revised 09/2017)</w:t>
      </w:r>
    </w:p>
    <w:p>
      <w:pPr>
        <w:pStyle w:val="BodyText"/>
        <w:rPr>
          <w:sz w:val="16"/>
        </w:rPr>
      </w:pPr>
    </w:p>
    <w:p>
      <w:pPr>
        <w:pStyle w:val="Heading2"/>
        <w:spacing w:before="92"/>
        <w:ind w:left="640"/>
      </w:pPr>
      <w:r>
        <w:rPr>
          <w:color w:val="2E97D3"/>
          <w:u w:val="thick" w:color="2E97D3"/>
        </w:rPr>
        <w:t>Forms, standard notices and other required formats (continued):</w:t>
      </w:r>
    </w:p>
    <w:p>
      <w:pPr>
        <w:pStyle w:val="BodyText"/>
        <w:tabs>
          <w:tab w:pos="1466" w:val="left" w:leader="none"/>
        </w:tabs>
        <w:spacing w:before="100"/>
        <w:ind w:left="1106" w:right="208" w:hanging="360"/>
      </w:pPr>
      <w:r>
        <w:rPr/>
        <w:pict>
          <v:line style="position:absolute;mso-position-horizontal-relative:page;mso-position-vertical-relative:paragraph;z-index:-428920" from="268.440002pt,13.436362pt" to="271.800002pt,13.436362pt" stroked="true" strokeweight=".599pt" strokecolor="#2e97d3">
            <v:stroke dashstyle="solid"/>
            <w10:wrap type="none"/>
          </v:line>
        </w:pict>
      </w:r>
      <w:r>
        <w:rPr/>
        <w:pict>
          <v:line style="position:absolute;mso-position-horizontal-relative:page;mso-position-vertical-relative:paragraph;z-index:-428896" from="228.479996pt,54.836361pt" to="231.719996pt,54.836361pt" stroked="true" strokeweight=".599pt" strokecolor="#2e97d3">
            <v:stroke dashstyle="solid"/>
            <w10:wrap type="none"/>
          </v:line>
        </w:pict>
      </w:r>
      <w:r>
        <w:rPr/>
        <w:pict>
          <v:line style="position:absolute;mso-position-horizontal-relative:page;mso-position-vertical-relative:paragraph;z-index:44008" from="26.76pt,46.61586pt" to="26.76pt,120.53586pt" stroked="true" strokeweight=".72pt" strokecolor="#000000">
            <v:stroke dashstyle="solid"/>
            <w10:wrap type="none"/>
          </v:line>
        </w:pict>
      </w:r>
      <w:r>
        <w:rPr>
          <w:strike/>
          <w:color w:val="2E97D3"/>
        </w:rPr>
        <w:t>*</w:t>
      </w:r>
      <w:r>
        <w:rPr>
          <w:strike w:val="0"/>
          <w:color w:val="2E97D3"/>
          <w:u w:val="single" w:color="2E97D3"/>
        </w:rPr>
        <w:t>16.</w:t>
        <w:tab/>
      </w:r>
      <w:r>
        <w:rPr>
          <w:b/>
          <w:strike w:val="0"/>
        </w:rPr>
        <w:t>STD. 9, Space Action Request</w:t>
      </w:r>
      <w:r>
        <w:rPr>
          <w:strike w:val="0"/>
        </w:rPr>
        <w:t>.  Used to request DGS real estate</w:t>
      </w:r>
      <w:r>
        <w:rPr>
          <w:strike w:val="0"/>
          <w:spacing w:val="-32"/>
        </w:rPr>
        <w:t> </w:t>
      </w:r>
      <w:r>
        <w:rPr>
          <w:strike w:val="0"/>
        </w:rPr>
        <w:t>services;</w:t>
      </w:r>
      <w:r>
        <w:rPr>
          <w:strike w:val="0"/>
          <w:spacing w:val="-2"/>
        </w:rPr>
        <w:t> </w:t>
      </w:r>
      <w:r>
        <w:rPr>
          <w:strike w:val="0"/>
        </w:rPr>
        <w:t>for</w:t>
      </w:r>
      <w:r>
        <w:rPr>
          <w:strike w:val="0"/>
          <w:w w:val="99"/>
        </w:rPr>
        <w:t> </w:t>
      </w:r>
      <w:r>
        <w:rPr>
          <w:strike w:val="0"/>
        </w:rPr>
        <w:t>projects meeting conditions specified in Section 6453, also used to solicit </w:t>
      </w:r>
      <w:r>
        <w:rPr>
          <w:strike/>
          <w:color w:val="2E97D3"/>
        </w:rPr>
        <w:t>DOF</w:t>
      </w:r>
      <w:r>
        <w:rPr>
          <w:strike w:val="0"/>
          <w:color w:val="2E97D3"/>
          <w:sz w:val="22"/>
          <w:u w:val="single" w:color="2E97D3"/>
        </w:rPr>
        <w:t>Finance </w:t>
      </w:r>
      <w:r>
        <w:rPr>
          <w:strike w:val="0"/>
        </w:rPr>
        <w:t>approval for budget-related impacts of lease renewals, new space requests, and associated support impacts. The </w:t>
      </w:r>
      <w:r>
        <w:rPr>
          <w:strike/>
          <w:color w:val="2E97D3"/>
        </w:rPr>
        <w:t>DOF</w:t>
      </w:r>
      <w:r>
        <w:rPr>
          <w:strike w:val="0"/>
          <w:color w:val="2E97D3"/>
          <w:sz w:val="22"/>
          <w:u w:val="single" w:color="2E97D3"/>
        </w:rPr>
        <w:t>Finance </w:t>
      </w:r>
      <w:r>
        <w:rPr>
          <w:strike w:val="0"/>
        </w:rPr>
        <w:t>review process for all STD. 9s is coordinated through the </w:t>
      </w:r>
      <w:r>
        <w:rPr>
          <w:strike/>
          <w:color w:val="2E97D3"/>
        </w:rPr>
        <w:t>DOF</w:t>
      </w:r>
      <w:r>
        <w:rPr>
          <w:strike w:val="0"/>
          <w:color w:val="2E97D3"/>
          <w:sz w:val="22"/>
          <w:u w:val="single" w:color="2E97D3"/>
        </w:rPr>
        <w:t>Finance </w:t>
      </w:r>
      <w:r>
        <w:rPr>
          <w:strike w:val="0"/>
        </w:rPr>
        <w:t>capital outlay unit. Section 6818, technical</w:t>
      </w:r>
      <w:r>
        <w:rPr>
          <w:strike w:val="0"/>
          <w:spacing w:val="1"/>
        </w:rPr>
        <w:t> </w:t>
      </w:r>
      <w:r>
        <w:rPr>
          <w:strike w:val="0"/>
        </w:rPr>
        <w:t>notes.</w:t>
      </w:r>
    </w:p>
    <w:p>
      <w:pPr>
        <w:pStyle w:val="BodyText"/>
        <w:tabs>
          <w:tab w:pos="1360" w:val="left" w:leader="none"/>
        </w:tabs>
        <w:ind w:left="1360" w:right="490" w:hanging="360"/>
      </w:pPr>
      <w:r>
        <w:rPr>
          <w:strike/>
          <w:color w:val="2E97D3"/>
        </w:rPr>
        <w:t>*</w:t>
        <w:tab/>
      </w:r>
      <w:r>
        <w:rPr>
          <w:b/>
          <w:strike/>
          <w:color w:val="2E97D3"/>
        </w:rPr>
        <w:t>STD. 23.  </w:t>
      </w:r>
      <w:r>
        <w:rPr>
          <w:strike/>
          <w:color w:val="2E97D3"/>
        </w:rPr>
        <w:t>A DGS form used to request approval for departmental supervision</w:t>
      </w:r>
      <w:r>
        <w:rPr>
          <w:strike/>
          <w:color w:val="2E97D3"/>
          <w:spacing w:val="-37"/>
        </w:rPr>
        <w:t> </w:t>
      </w:r>
      <w:r>
        <w:rPr>
          <w:strike/>
          <w:color w:val="2E97D3"/>
        </w:rPr>
        <w:t>of</w:t>
      </w:r>
      <w:r>
        <w:rPr>
          <w:strike/>
          <w:color w:val="2E97D3"/>
          <w:spacing w:val="-2"/>
        </w:rPr>
        <w:t> </w:t>
      </w:r>
      <w:r>
        <w:rPr>
          <w:strike/>
          <w:color w:val="2E97D3"/>
        </w:rPr>
        <w:t>a</w:t>
      </w:r>
      <w:r>
        <w:rPr>
          <w:strike w:val="0"/>
          <w:color w:val="2E97D3"/>
          <w:w w:val="99"/>
        </w:rPr>
        <w:t> </w:t>
      </w:r>
      <w:r>
        <w:rPr>
          <w:strike/>
          <w:color w:val="2E97D3"/>
        </w:rPr>
        <w:t>minor capital outlay project.  Sections 6807 and</w:t>
      </w:r>
      <w:r>
        <w:rPr>
          <w:strike/>
          <w:color w:val="2E97D3"/>
          <w:spacing w:val="-29"/>
        </w:rPr>
        <w:t> </w:t>
      </w:r>
      <w:r>
        <w:rPr>
          <w:strike/>
          <w:color w:val="2E97D3"/>
        </w:rPr>
        <w:t>6847.</w:t>
      </w:r>
    </w:p>
    <w:p>
      <w:pPr>
        <w:pStyle w:val="BodyText"/>
        <w:spacing w:before="101"/>
        <w:ind w:left="640"/>
      </w:pPr>
      <w:r>
        <w:rPr/>
        <w:pict>
          <v:line style="position:absolute;mso-position-horizontal-relative:page;mso-position-vertical-relative:paragraph;z-index:-428872" from="133.800003pt,13.486358pt" to="137.160003pt,13.486358pt" stroked="true" strokeweight=".599pt" strokecolor="#2e97d3">
            <v:stroke dashstyle="solid"/>
            <w10:wrap type="none"/>
          </v:line>
        </w:pict>
      </w:r>
      <w:r>
        <w:rPr/>
        <w:pict>
          <v:line style="position:absolute;mso-position-horizontal-relative:page;mso-position-vertical-relative:paragraph;z-index:44032" from="26.76pt,32.865856pt" to="26.76pt,80.265856pt" stroked="true" strokeweight=".72pt" strokecolor="#000000">
            <v:stroke dashstyle="solid"/>
            <w10:wrap type="none"/>
          </v:line>
        </w:pict>
      </w:r>
      <w:r>
        <w:rPr>
          <w:b/>
        </w:rPr>
        <w:t>General Fund</w:t>
      </w:r>
      <w:r>
        <w:rPr/>
        <w:t>: The state fund into which non-dedicated revenues are deposited and from which the majority of state expenditures are made.</w:t>
      </w:r>
    </w:p>
    <w:p>
      <w:pPr>
        <w:pStyle w:val="BodyText"/>
        <w:spacing w:before="120"/>
        <w:ind w:left="640" w:right="101"/>
      </w:pPr>
      <w:r>
        <w:rPr/>
        <w:pict>
          <v:line style="position:absolute;mso-position-horizontal-relative:page;mso-position-vertical-relative:paragraph;z-index:-428848" from="231.839996pt,14.435859pt" to="235.199996pt,14.435859pt" stroked="true" strokeweight=".6pt" strokecolor="#2e97d3">
            <v:stroke dashstyle="solid"/>
            <w10:wrap type="none"/>
          </v:line>
        </w:pict>
      </w:r>
      <w:r>
        <w:rPr/>
        <w:pict>
          <v:line style="position:absolute;mso-position-horizontal-relative:page;mso-position-vertical-relative:paragraph;z-index:-428824" from="449.399994pt,28.235859pt" to="452.760994pt,28.235859pt" stroked="true" strokeweight=".6pt" strokecolor="#2e97d3">
            <v:stroke dashstyle="solid"/>
            <w10:wrap type="none"/>
          </v:line>
        </w:pict>
      </w:r>
      <w:r>
        <w:rPr/>
        <w:pict>
          <v:line style="position:absolute;mso-position-horizontal-relative:page;mso-position-vertical-relative:paragraph;z-index:-428800" from="267.959991pt,42.036358pt" to="271.199991pt,42.036358pt" stroked="true" strokeweight=".599pt" strokecolor="#2e97d3">
            <v:stroke dashstyle="solid"/>
            <w10:wrap type="none"/>
          </v:line>
        </w:pict>
      </w:r>
      <w:r>
        <w:rPr>
          <w:b/>
        </w:rPr>
        <w:t>General obligation (GO) bonds: </w:t>
      </w:r>
      <w:r>
        <w:rPr/>
        <w:t>A form of long-term borrowing in which the state issues municipal securities and pledges its full faith and credit to their repayment. Requires approval by a majority vote of the public.  Section 6871.</w:t>
      </w:r>
    </w:p>
    <w:p>
      <w:pPr>
        <w:spacing w:before="115"/>
        <w:ind w:left="640" w:right="0" w:firstLine="0"/>
        <w:jc w:val="left"/>
        <w:rPr>
          <w:sz w:val="24"/>
        </w:rPr>
      </w:pPr>
      <w:r>
        <w:rPr/>
        <w:pict>
          <v:line style="position:absolute;mso-position-horizontal-relative:page;mso-position-vertical-relative:paragraph;z-index:44056" from="26.76pt,19.764864pt" to="26.76pt,39.685864pt" stroked="true" strokeweight=".72pt" strokecolor="#000000">
            <v:stroke dashstyle="solid"/>
            <w10:wrap type="none"/>
          </v:line>
        </w:pict>
      </w:r>
      <w:r>
        <w:rPr>
          <w:b/>
          <w:sz w:val="24"/>
        </w:rPr>
        <w:t>Hard costs:  </w:t>
      </w:r>
      <w:r>
        <w:rPr>
          <w:sz w:val="24"/>
        </w:rPr>
        <w:t>Actual construction costs.  See </w:t>
      </w:r>
      <w:r>
        <w:rPr>
          <w:i/>
          <w:sz w:val="24"/>
        </w:rPr>
        <w:t>architectural and engineering fees</w:t>
      </w:r>
      <w:r>
        <w:rPr>
          <w:sz w:val="24"/>
        </w:rPr>
        <w:t>.</w:t>
      </w:r>
    </w:p>
    <w:p>
      <w:pPr>
        <w:spacing w:before="122"/>
        <w:ind w:left="640" w:right="0" w:firstLine="0"/>
        <w:jc w:val="left"/>
        <w:rPr>
          <w:sz w:val="24"/>
        </w:rPr>
      </w:pPr>
      <w:r>
        <w:rPr/>
        <w:pict>
          <v:line style="position:absolute;mso-position-horizontal-relative:page;mso-position-vertical-relative:paragraph;z-index:-428776" from="171.839996pt,14.535861pt" to="175.079996pt,14.535861pt" stroked="true" strokeweight=".6pt" strokecolor="#2e97d3">
            <v:stroke dashstyle="solid"/>
            <w10:wrap type="none"/>
          </v:line>
        </w:pict>
      </w:r>
      <w:r>
        <w:rPr>
          <w:b/>
          <w:sz w:val="24"/>
        </w:rPr>
        <w:t>Historical resources</w:t>
      </w:r>
      <w:r>
        <w:rPr>
          <w:sz w:val="24"/>
        </w:rPr>
        <w:t>:  Any state-owned structure over 50 years of age, which is listed—or</w:t>
      </w:r>
    </w:p>
    <w:p>
      <w:pPr>
        <w:spacing w:after="0"/>
        <w:jc w:val="left"/>
        <w:rPr>
          <w:sz w:val="24"/>
        </w:rPr>
        <w:sectPr>
          <w:pgSz w:w="12240" w:h="15840"/>
          <w:pgMar w:header="726" w:footer="726" w:top="1520" w:bottom="980" w:left="420" w:right="1320"/>
        </w:sectPr>
      </w:pPr>
    </w:p>
    <w:p>
      <w:pPr>
        <w:pStyle w:val="BodyText"/>
        <w:spacing w:line="274" w:lineRule="exact" w:before="6"/>
        <w:ind w:left="640"/>
        <w:rPr>
          <w:i/>
        </w:rPr>
      </w:pPr>
      <w:r>
        <w:rPr/>
        <w:pict>
          <v:line style="position:absolute;mso-position-horizontal-relative:page;mso-position-vertical-relative:paragraph;z-index:-428584" from="406.679993pt,8.440012pt" to="409.919993pt,8.440012pt" stroked="true" strokeweight=".6pt" strokecolor="#2e97d3">
            <v:stroke dashstyle="solid"/>
            <w10:wrap type="none"/>
          </v:line>
        </w:pict>
      </w:r>
      <w:r>
        <w:rPr/>
        <w:pict>
          <v:line style="position:absolute;mso-position-horizontal-relative:page;mso-position-vertical-relative:paragraph;z-index:44104" from="26.76pt,.220012pt" to="26.76pt,93.340012pt" stroked="true" strokeweight=".72pt" strokecolor="#000000">
            <v:stroke dashstyle="solid"/>
            <w10:wrap type="none"/>
          </v:line>
        </w:pict>
      </w:r>
      <w:r>
        <w:rPr/>
        <w:t>States Department of the Interior or as a state historical landmark. Section 6822. See also Historic Resources Inventory (DPR 523) under </w:t>
      </w:r>
      <w:r>
        <w:rPr>
          <w:i/>
        </w:rPr>
        <w:t>forms </w:t>
      </w:r>
      <w:r>
        <w:rPr/>
        <w:t>in this glossary</w:t>
      </w:r>
      <w:r>
        <w:rPr>
          <w:i/>
        </w:rPr>
        <w:t>.</w:t>
      </w:r>
    </w:p>
    <w:p>
      <w:pPr>
        <w:pStyle w:val="BodyText"/>
        <w:spacing w:before="3"/>
        <w:rPr>
          <w:i/>
          <w:sz w:val="34"/>
        </w:rPr>
      </w:pPr>
    </w:p>
    <w:p>
      <w:pPr>
        <w:pStyle w:val="BodyText"/>
        <w:ind w:left="640"/>
      </w:pPr>
      <w:r>
        <w:rPr>
          <w:strike/>
          <w:color w:val="2E97D3"/>
        </w:rPr>
        <w:t>(Continued)</w:t>
      </w:r>
    </w:p>
    <w:p>
      <w:pPr>
        <w:spacing w:after="0"/>
        <w:sectPr>
          <w:headerReference w:type="default" r:id="rId365"/>
          <w:pgSz w:w="12240" w:h="15840"/>
          <w:pgMar w:header="726" w:footer="726" w:top="1240" w:bottom="980" w:left="420" w:right="1400"/>
        </w:sectPr>
      </w:pPr>
    </w:p>
    <w:p>
      <w:pPr>
        <w:pStyle w:val="BodyText"/>
        <w:spacing w:line="268" w:lineRule="exact"/>
        <w:ind w:left="640"/>
      </w:pPr>
      <w:r>
        <w:rPr/>
        <w:pict>
          <v:line style="position:absolute;mso-position-horizontal-relative:page;mso-position-vertical-relative:paragraph;z-index:44584" from="26.76pt,-.176719pt" to="26.76pt,122.223281pt" stroked="true" strokeweight=".72pt" strokecolor="#000000">
            <v:stroke dashstyle="solid"/>
            <w10:wrap type="none"/>
          </v:line>
        </w:pict>
      </w:r>
      <w:r>
        <w:rPr>
          <w:strike/>
          <w:color w:val="2C6234"/>
        </w:rPr>
        <w:t>(Continued)</w:t>
      </w:r>
    </w:p>
    <w:p>
      <w:pPr>
        <w:pStyle w:val="Heading2"/>
        <w:ind w:left="640"/>
      </w:pPr>
      <w:r>
        <w:rPr>
          <w:strike/>
          <w:color w:val="2C6234"/>
        </w:rPr>
        <w:t>GLOSSARY AND INDEX FOR CAPITAL OUTLAY</w:t>
      </w:r>
    </w:p>
    <w:p>
      <w:pPr>
        <w:tabs>
          <w:tab w:pos="8611" w:val="left" w:leader="none"/>
        </w:tabs>
        <w:spacing w:before="0"/>
        <w:ind w:left="640" w:right="222" w:firstLine="0"/>
        <w:jc w:val="left"/>
        <w:rPr>
          <w:sz w:val="24"/>
        </w:rPr>
      </w:pPr>
      <w:r>
        <w:rPr/>
        <w:pict>
          <v:group style="position:absolute;margin-left:52.740002pt;margin-top:7.535884pt;width:482.2pt;height:1.8pt;mso-position-horizontal-relative:page;mso-position-vertical-relative:paragraph;z-index:-428536" coordorigin="1055,151" coordsize="9644,36">
            <v:shape style="position:absolute;left:1061;top:157;width:9288;height:24" coordorigin="1061,157" coordsize="9288,24" path="m1061,181l10349,181m1061,157l10349,157e" filled="false" stroked="true" strokeweight=".6pt" strokecolor="#2c6234">
              <v:path arrowok="t"/>
              <v:stroke dashstyle="solid"/>
            </v:shape>
            <v:line style="position:absolute" from="10349,169" to="10692,169" stroked="true" strokeweight=".599pt" strokecolor="#2e97d3">
              <v:stroke dashstyle="solid"/>
            </v:line>
            <w10:wrap type="none"/>
          </v:group>
        </w:pict>
      </w:r>
      <w:bookmarkStart w:name="(New 5/1998)" w:id="160"/>
      <w:bookmarkEnd w:id="160"/>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w:t>
      </w:r>
      <w:r>
        <w:rPr>
          <w:b/>
          <w:color w:val="2C6234"/>
          <w:spacing w:val="-5"/>
          <w:sz w:val="24"/>
        </w:rPr>
        <w:t> </w:t>
      </w:r>
      <w:r>
        <w:rPr>
          <w:color w:val="2C6234"/>
          <w:sz w:val="24"/>
        </w:rPr>
        <w:t>(Cont.</w:t>
      </w:r>
      <w:r>
        <w:rPr>
          <w:color w:val="2C6234"/>
          <w:spacing w:val="-8"/>
          <w:sz w:val="24"/>
        </w:rPr>
        <w:t> </w:t>
      </w:r>
      <w:r>
        <w:rPr>
          <w:color w:val="2E97D3"/>
          <w:sz w:val="24"/>
        </w:rPr>
        <w:t>10)</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spacing w:before="120"/>
        <w:ind w:left="640" w:right="342"/>
      </w:pPr>
      <w:r>
        <w:rPr/>
        <w:pict>
          <v:line style="position:absolute;mso-position-horizontal-relative:page;mso-position-vertical-relative:paragraph;z-index:-428512" from="165.119995pt,14.435847pt" to="168.359995pt,14.435847pt" stroked="true" strokeweight=".6pt" strokecolor="#2e97d3">
            <v:stroke dashstyle="solid"/>
            <w10:wrap type="none"/>
          </v:line>
        </w:pict>
      </w:r>
      <w:r>
        <w:rPr/>
        <w:pict>
          <v:line style="position:absolute;mso-position-horizontal-relative:page;mso-position-vertical-relative:paragraph;z-index:-428488" from="181.919998pt,28.235847pt" to="185.280998pt,28.235847pt" stroked="true" strokeweight=".6pt" strokecolor="#2e97d3">
            <v:stroke dashstyle="solid"/>
            <w10:wrap type="none"/>
          </v:line>
        </w:pict>
      </w:r>
      <w:r>
        <w:rPr/>
        <w:pict>
          <v:line style="position:absolute;mso-position-horizontal-relative:page;mso-position-vertical-relative:paragraph;z-index:-428464" from="363.959991pt,42.036346pt" to="367.319991pt,42.036346pt" stroked="true" strokeweight=".599pt" strokecolor="#2e97d3">
            <v:stroke dashstyle="solid"/>
            <w10:wrap type="none"/>
          </v:line>
        </w:pict>
      </w:r>
      <w:r>
        <w:rPr>
          <w:b/>
        </w:rPr>
        <w:t>Implied dedication</w:t>
      </w:r>
      <w:r>
        <w:rPr/>
        <w:t>: The term refers to a public easement </w:t>
      </w:r>
      <w:r>
        <w:rPr>
          <w:strike/>
          <w:color w:val="2E97D3"/>
        </w:rPr>
        <w:t>which</w:t>
      </w:r>
      <w:r>
        <w:rPr>
          <w:strike w:val="0"/>
          <w:color w:val="2E97D3"/>
          <w:u w:val="single" w:color="2E97D3"/>
        </w:rPr>
        <w:t>that </w:t>
      </w:r>
      <w:r>
        <w:rPr>
          <w:strike w:val="0"/>
        </w:rPr>
        <w:t>has been created through a history of use. Implied dedications can reduce the value of a property; such effects must be considered in appraisals for site selection.  Section 6849.</w:t>
      </w:r>
    </w:p>
    <w:p>
      <w:pPr>
        <w:pStyle w:val="BodyText"/>
        <w:spacing w:before="120"/>
        <w:ind w:left="640" w:right="701"/>
        <w:jc w:val="both"/>
      </w:pPr>
      <w:r>
        <w:rPr/>
        <w:pict>
          <v:line style="position:absolute;mso-position-horizontal-relative:page;mso-position-vertical-relative:paragraph;z-index:-428440" from="116.519997pt,14.436384pt" to="121.919997pt,14.436384pt" stroked="true" strokeweight=".599pt" strokecolor="#2e97d3">
            <v:stroke dashstyle="solid"/>
            <w10:wrap type="none"/>
          </v:line>
        </w:pict>
      </w:r>
      <w:r>
        <w:rPr/>
        <w:pict>
          <v:line style="position:absolute;mso-position-horizontal-relative:page;mso-position-vertical-relative:paragraph;z-index:-428416" from="235.320007pt,55.836384pt" to="238.560007pt,55.836384pt" stroked="true" strokeweight=".599pt" strokecolor="#2e97d3">
            <v:stroke dashstyle="solid"/>
            <w10:wrap type="none"/>
          </v:line>
        </w:pict>
      </w:r>
      <w:r>
        <w:rPr/>
        <w:pict>
          <v:line style="position:absolute;mso-position-horizontal-relative:page;mso-position-vertical-relative:paragraph;z-index:44608" from="26.76pt,47.615883pt" to="26.76pt,164.015883pt" stroked="true" strokeweight=".72pt" strokecolor="#000000">
            <v:stroke dashstyle="solid"/>
            <w10:wrap type="none"/>
          </v:line>
        </w:pict>
      </w:r>
      <w:r>
        <w:rPr>
          <w:b/>
        </w:rPr>
        <w:t>Indenture</w:t>
      </w:r>
      <w:r>
        <w:rPr/>
        <w:t>: An agreement executed by an issuer and a trustee </w:t>
      </w:r>
      <w:r>
        <w:rPr>
          <w:strike/>
          <w:color w:val="2E97D3"/>
        </w:rPr>
        <w:t>which</w:t>
      </w:r>
      <w:r>
        <w:rPr>
          <w:strike w:val="0"/>
          <w:color w:val="2E97D3"/>
          <w:u w:val="single" w:color="2E97D3"/>
        </w:rPr>
        <w:t>that </w:t>
      </w:r>
      <w:r>
        <w:rPr>
          <w:strike w:val="0"/>
        </w:rPr>
        <w:t>pledges certain revenues and other property as security for the repayment of the issue, sets forth the terms of the bonds, and contains the responsibilities and duties of the trustee and the rights of the bondholders.  Section 6880.</w:t>
      </w:r>
    </w:p>
    <w:p>
      <w:pPr>
        <w:pStyle w:val="BodyText"/>
        <w:ind w:left="640"/>
      </w:pPr>
      <w:r>
        <w:rPr>
          <w:b/>
          <w:strike/>
          <w:color w:val="2E97D3"/>
        </w:rPr>
        <w:t>Installment payment</w:t>
      </w:r>
      <w:r>
        <w:rPr>
          <w:strike/>
          <w:color w:val="2E97D3"/>
        </w:rPr>
        <w:t>: In a lease-purchase agreement, the periodic payment which builds equity in the capital asset.  Section 6876.</w:t>
      </w:r>
    </w:p>
    <w:p>
      <w:pPr>
        <w:pStyle w:val="BodyText"/>
        <w:spacing w:before="120"/>
        <w:ind w:left="640" w:right="703"/>
        <w:jc w:val="both"/>
      </w:pPr>
      <w:r>
        <w:rPr>
          <w:b/>
          <w:color w:val="2E97D3"/>
          <w:u w:val="thick" w:color="2E97D3"/>
        </w:rPr>
        <w:t>Information Technology Consulting Unit (ITCU)</w:t>
      </w:r>
      <w:r>
        <w:rPr>
          <w:color w:val="2E97D3"/>
          <w:u w:val="thick" w:color="2E97D3"/>
        </w:rPr>
        <w:t>: The Finance unit charged with </w:t>
      </w:r>
      <w:r>
        <w:rPr>
          <w:color w:val="2E97D3"/>
          <w:u w:val="single" w:color="2E97D3"/>
        </w:rPr>
        <w:t>assessing whether the technology aspects of a capital outlay proposal are an appropriate</w:t>
      </w:r>
      <w:r>
        <w:rPr>
          <w:color w:val="2E97D3"/>
          <w:spacing w:val="-14"/>
          <w:u w:val="single" w:color="2E97D3"/>
        </w:rPr>
        <w:t> </w:t>
      </w:r>
      <w:r>
        <w:rPr>
          <w:color w:val="2E97D3"/>
          <w:u w:val="single" w:color="2E97D3"/>
        </w:rPr>
        <w:t>business</w:t>
      </w:r>
      <w:r>
        <w:rPr>
          <w:color w:val="2E97D3"/>
          <w:spacing w:val="-15"/>
          <w:u w:val="single" w:color="2E97D3"/>
        </w:rPr>
        <w:t> </w:t>
      </w:r>
      <w:r>
        <w:rPr>
          <w:color w:val="2E97D3"/>
          <w:u w:val="single" w:color="2E97D3"/>
        </w:rPr>
        <w:t>solution.</w:t>
      </w:r>
      <w:r>
        <w:rPr>
          <w:color w:val="2E97D3"/>
          <w:spacing w:val="-19"/>
          <w:u w:val="single" w:color="2E97D3"/>
        </w:rPr>
        <w:t> </w:t>
      </w:r>
      <w:r>
        <w:rPr>
          <w:color w:val="2E97D3"/>
          <w:u w:val="single" w:color="2E97D3"/>
        </w:rPr>
        <w:t>Works</w:t>
      </w:r>
      <w:r>
        <w:rPr>
          <w:color w:val="2E97D3"/>
          <w:spacing w:val="-15"/>
          <w:u w:val="single" w:color="2E97D3"/>
        </w:rPr>
        <w:t> </w:t>
      </w:r>
      <w:r>
        <w:rPr>
          <w:color w:val="2E97D3"/>
          <w:u w:val="single" w:color="2E97D3"/>
        </w:rPr>
        <w:t>in</w:t>
      </w:r>
      <w:r>
        <w:rPr>
          <w:color w:val="2E97D3"/>
          <w:spacing w:val="-14"/>
          <w:u w:val="single" w:color="2E97D3"/>
        </w:rPr>
        <w:t> </w:t>
      </w:r>
      <w:r>
        <w:rPr>
          <w:color w:val="2E97D3"/>
          <w:u w:val="single" w:color="2E97D3"/>
        </w:rPr>
        <w:t>conjunction</w:t>
      </w:r>
      <w:r>
        <w:rPr>
          <w:color w:val="2E97D3"/>
          <w:spacing w:val="-14"/>
          <w:u w:val="single" w:color="2E97D3"/>
        </w:rPr>
        <w:t> </w:t>
      </w:r>
      <w:r>
        <w:rPr>
          <w:color w:val="2E97D3"/>
          <w:u w:val="single" w:color="2E97D3"/>
        </w:rPr>
        <w:t>with</w:t>
      </w:r>
      <w:r>
        <w:rPr>
          <w:color w:val="2E97D3"/>
          <w:spacing w:val="-14"/>
          <w:u w:val="single" w:color="2E97D3"/>
        </w:rPr>
        <w:t> </w:t>
      </w:r>
      <w:r>
        <w:rPr>
          <w:color w:val="2E97D3"/>
          <w:u w:val="single" w:color="2E97D3"/>
        </w:rPr>
        <w:t>the</w:t>
      </w:r>
      <w:r>
        <w:rPr>
          <w:color w:val="2E97D3"/>
          <w:spacing w:val="-14"/>
          <w:u w:val="single" w:color="2E97D3"/>
        </w:rPr>
        <w:t> </w:t>
      </w:r>
      <w:r>
        <w:rPr>
          <w:color w:val="2E97D3"/>
          <w:u w:val="single" w:color="2E97D3"/>
        </w:rPr>
        <w:t>Department</w:t>
      </w:r>
      <w:r>
        <w:rPr>
          <w:color w:val="2E97D3"/>
          <w:spacing w:val="-14"/>
          <w:u w:val="single" w:color="2E97D3"/>
        </w:rPr>
        <w:t> </w:t>
      </w:r>
      <w:r>
        <w:rPr>
          <w:color w:val="2E97D3"/>
          <w:u w:val="single" w:color="2E97D3"/>
        </w:rPr>
        <w:t>of</w:t>
      </w:r>
      <w:r>
        <w:rPr>
          <w:color w:val="2E97D3"/>
          <w:spacing w:val="-14"/>
          <w:u w:val="single" w:color="2E97D3"/>
        </w:rPr>
        <w:t> </w:t>
      </w:r>
      <w:r>
        <w:rPr>
          <w:color w:val="2E97D3"/>
          <w:u w:val="single" w:color="2E97D3"/>
        </w:rPr>
        <w:t>Technology (CDT) which assesses the technology aspects of information management proposals. (Section 6818). Sections 6818 (technical notes) and</w:t>
      </w:r>
      <w:r>
        <w:rPr>
          <w:color w:val="2E97D3"/>
          <w:spacing w:val="-27"/>
          <w:u w:val="single" w:color="2E97D3"/>
        </w:rPr>
        <w:t> </w:t>
      </w:r>
      <w:r>
        <w:rPr>
          <w:color w:val="2E97D3"/>
          <w:u w:val="single" w:color="2E97D3"/>
        </w:rPr>
        <w:t>6823.</w:t>
      </w:r>
    </w:p>
    <w:p>
      <w:pPr>
        <w:spacing w:before="115"/>
        <w:ind w:left="640" w:right="0" w:firstLine="0"/>
        <w:jc w:val="left"/>
        <w:rPr>
          <w:sz w:val="24"/>
        </w:rPr>
      </w:pPr>
      <w:r>
        <w:rPr>
          <w:b/>
          <w:sz w:val="24"/>
        </w:rPr>
        <w:t>In-substance purchase</w:t>
      </w:r>
      <w:r>
        <w:rPr>
          <w:sz w:val="24"/>
        </w:rPr>
        <w:t>:  See </w:t>
      </w:r>
      <w:r>
        <w:rPr>
          <w:i/>
          <w:sz w:val="24"/>
        </w:rPr>
        <w:t>capitalized leases</w:t>
      </w:r>
      <w:r>
        <w:rPr>
          <w:sz w:val="24"/>
        </w:rPr>
        <w:t>.</w:t>
      </w:r>
    </w:p>
    <w:p>
      <w:pPr>
        <w:pStyle w:val="BodyText"/>
        <w:spacing w:before="122"/>
        <w:ind w:left="640" w:right="888"/>
      </w:pPr>
      <w:r>
        <w:rPr/>
        <w:pict>
          <v:line style="position:absolute;mso-position-horizontal-relative:page;mso-position-vertical-relative:paragraph;z-index:-428392" from="156.479996pt,28.336372pt" to="159.839996pt,28.336372pt" stroked="true" strokeweight=".599pt" strokecolor="#2e97d3">
            <v:stroke dashstyle="solid"/>
            <w10:wrap type="none"/>
          </v:line>
        </w:pict>
      </w:r>
      <w:r>
        <w:rPr/>
        <w:pict>
          <v:line style="position:absolute;mso-position-horizontal-relative:page;mso-position-vertical-relative:paragraph;z-index:-428368" from="497.399994pt,46.695374pt" to="500.639994pt,46.695374pt" stroked="true" strokeweight=".841pt" strokecolor="#2e97d3">
            <v:stroke dashstyle="solid"/>
            <w10:wrap type="none"/>
          </v:line>
        </w:pict>
      </w:r>
      <w:r>
        <w:rPr/>
        <w:pict>
          <v:line style="position:absolute;mso-position-horizontal-relative:page;mso-position-vertical-relative:paragraph;z-index:-428344" from="289.920013pt,55.935871pt" to="293.281013pt,55.935871pt" stroked="true" strokeweight=".6pt" strokecolor="#2e97d3">
            <v:stroke dashstyle="solid"/>
            <w10:wrap type="none"/>
          </v:line>
        </w:pict>
      </w:r>
      <w:r>
        <w:rPr/>
        <w:pict>
          <v:line style="position:absolute;mso-position-horizontal-relative:page;mso-position-vertical-relative:paragraph;z-index:44632" from="26.76pt,20.115873pt" to="26.76pt,279.795873pt" stroked="true" strokeweight=".72pt" strokecolor="#000000">
            <v:stroke dashstyle="solid"/>
            <w10:wrap type="none"/>
          </v:line>
        </w:pict>
      </w:r>
      <w:r>
        <w:rPr>
          <w:b/>
        </w:rPr>
        <w:t>Interim financing</w:t>
      </w:r>
      <w:r>
        <w:rPr/>
        <w:t>: The financing project costs, on an interim basis, until long-term securities are sold. Depending upon project statutory authorities, may include pre- construction appropriations, bond anticipation notes, commercial paper, PMIB loans</w:t>
      </w:r>
      <w:r>
        <w:rPr>
          <w:color w:val="2E97D3"/>
        </w:rPr>
        <w:t>, </w:t>
      </w:r>
      <w:r>
        <w:rPr>
          <w:color w:val="2E97D3"/>
          <w:u w:val="single" w:color="2E97D3"/>
        </w:rPr>
        <w:t>General Fund loans, </w:t>
      </w:r>
      <w:r>
        <w:rPr/>
        <w:t>or other loan programs.  Section 6878.</w:t>
      </w:r>
    </w:p>
    <w:p>
      <w:pPr>
        <w:pStyle w:val="BodyText"/>
        <w:spacing w:before="120"/>
        <w:ind w:left="640" w:right="328"/>
      </w:pPr>
      <w:r>
        <w:rPr>
          <w:b/>
          <w:color w:val="2E97D3"/>
          <w:u w:val="single" w:color="2E97D3"/>
        </w:rPr>
        <w:t>Installment payment</w:t>
      </w:r>
      <w:r>
        <w:rPr>
          <w:color w:val="2E97D3"/>
          <w:u w:val="single" w:color="2E97D3"/>
        </w:rPr>
        <w:t>: In a lease-purchase agreement, the periodic payment which builds equity in the capital asset. Section 6876.</w:t>
      </w:r>
    </w:p>
    <w:p>
      <w:pPr>
        <w:pStyle w:val="BodyText"/>
        <w:rPr>
          <w:sz w:val="20"/>
        </w:rPr>
      </w:pPr>
    </w:p>
    <w:p>
      <w:pPr>
        <w:pStyle w:val="BodyText"/>
        <w:spacing w:before="3"/>
        <w:rPr>
          <w:sz w:val="27"/>
        </w:rPr>
      </w:pPr>
    </w:p>
    <w:p>
      <w:pPr>
        <w:pStyle w:val="BodyText"/>
        <w:spacing w:before="92"/>
        <w:ind w:left="640"/>
      </w:pPr>
      <w:r>
        <w:rPr>
          <w:color w:val="2C6234"/>
          <w:u w:val="thick" w:color="2C6234"/>
        </w:rPr>
        <w:t>(Continued)</w:t>
      </w:r>
    </w:p>
    <w:p>
      <w:pPr>
        <w:pStyle w:val="BodyText"/>
        <w:rPr>
          <w:sz w:val="20"/>
        </w:rPr>
      </w:pPr>
    </w:p>
    <w:p>
      <w:pPr>
        <w:pStyle w:val="BodyText"/>
        <w:spacing w:before="5"/>
        <w:rPr>
          <w:sz w:val="22"/>
        </w:rPr>
      </w:pPr>
    </w:p>
    <w:p>
      <w:pPr>
        <w:pStyle w:val="BodyText"/>
        <w:spacing w:before="1"/>
        <w:ind w:left="640"/>
      </w:pPr>
      <w:r>
        <w:rPr>
          <w:color w:val="2C6234"/>
          <w:u w:val="thick" w:color="2C6234"/>
        </w:rPr>
        <w:t>(Continued)</w:t>
      </w:r>
    </w:p>
    <w:p>
      <w:pPr>
        <w:pStyle w:val="Heading2"/>
        <w:ind w:left="640"/>
      </w:pPr>
      <w:bookmarkStart w:name="GLOSSARY AND INDEX FOR CAPITAL OUTLAY" w:id="161"/>
      <w:bookmarkEnd w:id="161"/>
      <w:r>
        <w:rPr>
          <w:b w:val="0"/>
        </w:rPr>
      </w:r>
      <w:r>
        <w:rPr>
          <w:color w:val="2C6234"/>
          <w:u w:val="thick" w:color="2C6234"/>
        </w:rPr>
        <w:t>GLOSSARY AND INDEX FOR CAPITAL OUTLAY</w:t>
      </w:r>
    </w:p>
    <w:p>
      <w:pPr>
        <w:tabs>
          <w:tab w:pos="8711" w:val="left" w:leader="none"/>
        </w:tabs>
        <w:spacing w:before="0"/>
        <w:ind w:left="640" w:right="0" w:firstLine="0"/>
        <w:jc w:val="left"/>
        <w:rPr>
          <w:sz w:val="24"/>
        </w:rPr>
      </w:pPr>
      <w:r>
        <w:rPr/>
        <w:pict>
          <v:group style="position:absolute;margin-left:52.740002pt;margin-top:11.735862pt;width:487.45pt;height:2.2pt;mso-position-horizontal-relative:page;mso-position-vertical-relative:paragraph;z-index:-428320" coordorigin="1055,235" coordsize="9749,44">
            <v:line style="position:absolute" from="1061,241" to="10450,241" stroked="true" strokeweight=".6pt" strokecolor="#2c6234">
              <v:stroke dashstyle="solid"/>
            </v:line>
            <v:line style="position:absolute" from="1061,272" to="10450,272" stroked="true" strokeweight=".599pt" strokecolor="#2c6234">
              <v:stroke dashstyle="solid"/>
            </v:line>
            <v:line style="position:absolute" from="10450,260" to="10795,260" stroked="true" strokeweight=".84pt" strokecolor="#2e97d3">
              <v:stroke dashstyle="solid"/>
            </v:line>
            <w10:wrap type="none"/>
          </v:group>
        </w:pict>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 </w:t>
      </w:r>
      <w:r>
        <w:rPr>
          <w:color w:val="2C6234"/>
          <w:sz w:val="24"/>
        </w:rPr>
        <w:t>(Cont.</w:t>
      </w:r>
      <w:r>
        <w:rPr>
          <w:color w:val="2C6234"/>
          <w:spacing w:val="-12"/>
          <w:sz w:val="24"/>
        </w:rPr>
        <w:t> </w:t>
      </w:r>
      <w:r>
        <w:rPr>
          <w:color w:val="2E97D3"/>
          <w:sz w:val="24"/>
        </w:rPr>
        <w:t>10)</w:t>
      </w:r>
    </w:p>
    <w:p>
      <w:pPr>
        <w:pStyle w:val="BodyText"/>
        <w:ind w:left="640"/>
      </w:pPr>
      <w:r>
        <w:rPr>
          <w:color w:val="2E97D3"/>
          <w:u w:val="single" w:color="2E97D3"/>
        </w:rPr>
        <w:t>(Revised 09/2017)</w:t>
      </w:r>
    </w:p>
    <w:p>
      <w:pPr>
        <w:pStyle w:val="BodyText"/>
        <w:spacing w:before="3"/>
        <w:rPr>
          <w:sz w:val="23"/>
        </w:rPr>
      </w:pPr>
    </w:p>
    <w:p>
      <w:pPr>
        <w:pStyle w:val="BodyText"/>
        <w:spacing w:before="92"/>
        <w:ind w:left="640" w:right="688"/>
      </w:pPr>
      <w:r>
        <w:rPr/>
        <w:pict>
          <v:line style="position:absolute;mso-position-horizontal-relative:page;mso-position-vertical-relative:paragraph;z-index:-428296" from="91.800003pt,13.035855pt" to="95.160003pt,13.035855pt" stroked="true" strokeweight=".6pt" strokecolor="#2e97d3">
            <v:stroke dashstyle="solid"/>
            <w10:wrap type="none"/>
          </v:line>
        </w:pict>
      </w:r>
      <w:r>
        <w:rPr/>
        <w:pict>
          <v:line style="position:absolute;mso-position-horizontal-relative:page;mso-position-vertical-relative:paragraph;z-index:-428272" from="306.600006pt,31.395855pt" to="310.560006pt,31.395855pt" stroked="true" strokeweight=".84pt" strokecolor="#2e97d3">
            <v:stroke dashstyle="solid"/>
            <w10:wrap type="none"/>
          </v:line>
        </w:pict>
      </w:r>
      <w:r>
        <w:rPr/>
        <w:pict>
          <v:line style="position:absolute;mso-position-horizontal-relative:page;mso-position-vertical-relative:paragraph;z-index:-428248" from="144.240005pt,26.835855pt" to="147.480005pt,26.835855pt" stroked="true" strokeweight=".6pt" strokecolor="#2e97d3">
            <v:stroke dashstyle="solid"/>
            <w10:wrap type="none"/>
          </v:line>
        </w:pict>
      </w:r>
      <w:r>
        <w:rPr/>
        <w:pict>
          <v:line style="position:absolute;mso-position-horizontal-relative:page;mso-position-vertical-relative:paragraph;z-index:-428224" from="302.640015pt,26.835855pt" to="306.600015pt,26.835855pt" stroked="true" strokeweight=".6pt" strokecolor="#2e97d3">
            <v:stroke dashstyle="solid"/>
            <w10:wrap type="none"/>
          </v:line>
        </w:pict>
      </w:r>
      <w:r>
        <w:rPr/>
        <w:pict>
          <v:line style="position:absolute;mso-position-horizontal-relative:page;mso-position-vertical-relative:paragraph;z-index:-428200" from="476.040009pt,40.636356pt" to="479.401009pt,40.636356pt" stroked="true" strokeweight=".599pt" strokecolor="#2e97d3">
            <v:stroke dashstyle="solid"/>
            <w10:wrap type="none"/>
          </v:line>
        </w:pict>
      </w:r>
      <w:r>
        <w:rPr/>
        <w:pict>
          <v:line style="position:absolute;mso-position-horizontal-relative:page;mso-position-vertical-relative:paragraph;z-index:44656" from="26.76pt,60.014854pt" to="26.76pt,174.615854pt" stroked="true" strokeweight=".72pt" strokecolor="#000000">
            <v:stroke dashstyle="solid"/>
            <w10:wrap type="none"/>
          </v:line>
        </w:pict>
      </w:r>
      <w:r>
        <w:rPr>
          <w:b/>
        </w:rPr>
        <w:t>Issuer</w:t>
      </w:r>
      <w:r>
        <w:rPr/>
        <w:t>: The public entity that issues securities and is named as the issuer-obligor on those securities. The public entity is the “issuer</w:t>
      </w:r>
      <w:r>
        <w:rPr>
          <w:color w:val="2E97D3"/>
        </w:rPr>
        <w:t>”“ </w:t>
      </w:r>
      <w:r>
        <w:rPr/>
        <w:t>even in those cases where the actual source of the money to pay debt service is to be an entity other than the issuer. See Capitalized Assets Financing, Sections 6870–6888.</w:t>
      </w:r>
    </w:p>
    <w:p>
      <w:pPr>
        <w:pStyle w:val="BodyText"/>
        <w:spacing w:before="119"/>
        <w:ind w:left="640" w:right="208"/>
      </w:pPr>
      <w:r>
        <w:rPr/>
        <w:pict>
          <v:line style="position:absolute;mso-position-horizontal-relative:page;mso-position-vertical-relative:paragraph;z-index:-428176" from="161.880005pt,14.385859pt" to="165.120005pt,14.385859pt" stroked="true" strokeweight=".6pt" strokecolor="#2e97d3">
            <v:stroke dashstyle="solid"/>
            <w10:wrap type="none"/>
          </v:line>
        </w:pict>
      </w:r>
      <w:r>
        <w:rPr/>
        <w:pict>
          <v:line style="position:absolute;mso-position-horizontal-relative:page;mso-position-vertical-relative:paragraph;z-index:-428152" from="279.239990pt,55.785858pt" to="282.59999pt,55.785858pt" stroked="true" strokeweight=".6pt" strokecolor="#2e97d3">
            <v:stroke dashstyle="solid"/>
            <w10:wrap type="none"/>
          </v:line>
        </w:pict>
      </w:r>
      <w:r>
        <w:rPr>
          <w:b/>
        </w:rPr>
        <w:t>Items to complete</w:t>
      </w:r>
      <w:r>
        <w:rPr/>
        <w:t>: Items necessary to complete a project, not included in the initial project. </w:t>
      </w:r>
      <w:r>
        <w:rPr>
          <w:strike/>
          <w:color w:val="2E97D3"/>
        </w:rPr>
        <w:t>DOF</w:t>
      </w:r>
      <w:r>
        <w:rPr>
          <w:strike w:val="0"/>
          <w:color w:val="2E97D3"/>
          <w:u w:val="single" w:color="2E97D3"/>
        </w:rPr>
        <w:t>Finance </w:t>
      </w:r>
      <w:r>
        <w:rPr>
          <w:strike w:val="0"/>
        </w:rPr>
        <w:t>may approve the funding of such items through project savings or an augmentation (requires PWB action), but only </w:t>
      </w:r>
      <w:r>
        <w:rPr>
          <w:strike/>
          <w:color w:val="2E97D3"/>
        </w:rPr>
        <w:t>is</w:t>
      </w:r>
      <w:r>
        <w:rPr>
          <w:strike w:val="0"/>
          <w:color w:val="2E97D3"/>
          <w:u w:val="single" w:color="2E97D3"/>
        </w:rPr>
        <w:t>if </w:t>
      </w:r>
      <w:r>
        <w:rPr>
          <w:strike w:val="0"/>
        </w:rPr>
        <w:t>it can be shown these items are critical and not the responsibility of the contractor.  Section 6856.</w:t>
      </w:r>
    </w:p>
    <w:p>
      <w:pPr>
        <w:spacing w:before="119"/>
        <w:ind w:left="640" w:right="342" w:firstLine="0"/>
        <w:jc w:val="left"/>
        <w:rPr>
          <w:sz w:val="24"/>
        </w:rPr>
      </w:pPr>
      <w:r>
        <w:rPr/>
        <w:pict>
          <v:line style="position:absolute;mso-position-horizontal-relative:page;mso-position-vertical-relative:paragraph;z-index:-428128" from="303.119995pt,14.385861pt" to="306.479995pt,14.385861pt" stroked="true" strokeweight=".6pt" strokecolor="#2e97d3">
            <v:stroke dashstyle="solid"/>
            <w10:wrap type="none"/>
          </v:line>
        </w:pict>
      </w:r>
      <w:r>
        <w:rPr>
          <w:b/>
          <w:sz w:val="24"/>
        </w:rPr>
        <w:t>Joint Legislative Budget Committee (JLBC)</w:t>
      </w:r>
      <w:r>
        <w:rPr>
          <w:sz w:val="24"/>
        </w:rPr>
        <w:t>: A fiscal oversight committee, with members from both houses, charged with reviewing budget administration.</w:t>
      </w:r>
    </w:p>
    <w:p>
      <w:pPr>
        <w:spacing w:before="119"/>
        <w:ind w:left="640" w:right="0" w:firstLine="0"/>
        <w:jc w:val="left"/>
        <w:rPr>
          <w:sz w:val="24"/>
        </w:rPr>
      </w:pPr>
      <w:r>
        <w:rPr/>
        <w:pict>
          <v:line style="position:absolute;mso-position-horizontal-relative:page;mso-position-vertical-relative:paragraph;z-index:-428104" from="222.960007pt,14.385859pt" to="226.321007pt,14.385859pt" stroked="true" strokeweight=".6pt" strokecolor="#2e97d3">
            <v:stroke dashstyle="solid"/>
            <w10:wrap type="none"/>
          </v:line>
        </w:pict>
      </w:r>
      <w:r>
        <w:rPr>
          <w:b/>
          <w:sz w:val="24"/>
        </w:rPr>
        <w:t>Joint powers authority (JPA)</w:t>
      </w:r>
      <w:r>
        <w:rPr>
          <w:sz w:val="24"/>
        </w:rPr>
        <w:t>: </w:t>
      </w:r>
      <w:r>
        <w:rPr>
          <w:color w:val="2E97D3"/>
          <w:sz w:val="24"/>
        </w:rPr>
        <w:t>. </w:t>
      </w:r>
      <w:r>
        <w:rPr>
          <w:sz w:val="24"/>
        </w:rPr>
        <w:t>An agreement between governmental entities</w:t>
      </w:r>
    </w:p>
    <w:p>
      <w:pPr>
        <w:spacing w:after="0"/>
        <w:jc w:val="left"/>
        <w:rPr>
          <w:sz w:val="24"/>
        </w:rPr>
        <w:sectPr>
          <w:headerReference w:type="default" r:id="rId366"/>
          <w:pgSz w:w="12240" w:h="15840"/>
          <w:pgMar w:header="726" w:footer="726" w:top="980" w:bottom="920" w:left="420" w:right="1320"/>
        </w:sectPr>
      </w:pPr>
    </w:p>
    <w:p>
      <w:pPr>
        <w:pStyle w:val="Heading2"/>
        <w:spacing w:line="266" w:lineRule="exact" w:before="78"/>
        <w:ind w:left="4448" w:right="3525"/>
        <w:jc w:val="center"/>
      </w:pPr>
      <w:r>
        <w:rPr/>
        <w:pict>
          <v:line style="position:absolute;mso-position-horizontal-relative:page;mso-position-vertical-relative:paragraph;z-index:44752" from="26.76pt,16.955887pt" to="26.76pt,44.555887pt" stroked="true" strokeweight=".72pt" strokecolor="#000000">
            <v:stroke dashstyle="solid"/>
            <w10:wrap type="none"/>
          </v:line>
        </w:pict>
      </w:r>
      <w:r>
        <w:rPr/>
        <w:t>SAM - BUDGETING</w:t>
      </w:r>
    </w:p>
    <w:p>
      <w:pPr>
        <w:pStyle w:val="BodyText"/>
        <w:ind w:left="640" w:right="82"/>
      </w:pPr>
      <w:r>
        <w:rPr/>
        <w:pict>
          <v:line style="position:absolute;mso-position-horizontal-relative:page;mso-position-vertical-relative:paragraph;z-index:-427984" from="303.959991pt,22.235859pt" to="307.320991pt,22.235859pt" stroked="true" strokeweight=".6pt" strokecolor="#2e97d3">
            <v:stroke dashstyle="solid"/>
            <w10:wrap type="none"/>
          </v:line>
        </w:pict>
      </w:r>
      <w:r>
        <w:rPr/>
        <w:t>(sometimes in the form of a separate entity) that provides for the joint exercise of powers. May issue revenue (and lease-revenue) bonds.  Section 6874.</w:t>
      </w:r>
    </w:p>
    <w:p>
      <w:pPr>
        <w:spacing w:before="125"/>
        <w:ind w:left="640" w:right="0" w:firstLine="0"/>
        <w:jc w:val="left"/>
        <w:rPr>
          <w:i/>
          <w:sz w:val="24"/>
        </w:rPr>
      </w:pPr>
      <w:r>
        <w:rPr/>
        <w:pict>
          <v:line style="position:absolute;mso-position-horizontal-relative:page;mso-position-vertical-relative:paragraph;z-index:44776" from="26.76pt,20.384874pt" to="26.76pt,119.505874pt" stroked="true" strokeweight=".72pt" strokecolor="#000000">
            <v:stroke dashstyle="solid"/>
            <w10:wrap type="none"/>
          </v:line>
        </w:pict>
      </w:r>
      <w:r>
        <w:rPr>
          <w:b/>
          <w:sz w:val="24"/>
        </w:rPr>
        <w:t>LAO</w:t>
      </w:r>
      <w:r>
        <w:rPr>
          <w:sz w:val="24"/>
        </w:rPr>
        <w:t>:  See </w:t>
      </w:r>
      <w:r>
        <w:rPr>
          <w:i/>
          <w:sz w:val="24"/>
        </w:rPr>
        <w:t>Legislative Analyst’s Office.</w:t>
      </w:r>
    </w:p>
    <w:p>
      <w:pPr>
        <w:spacing w:before="125"/>
        <w:ind w:left="640" w:right="171" w:firstLine="0"/>
        <w:jc w:val="left"/>
        <w:rPr>
          <w:sz w:val="24"/>
        </w:rPr>
      </w:pPr>
      <w:r>
        <w:rPr/>
        <w:pict>
          <v:line style="position:absolute;mso-position-horizontal-relative:page;mso-position-vertical-relative:paragraph;z-index:-427960" from="215.279999pt,14.685835pt" to="218.639999pt,14.685835pt" stroked="true" strokeweight=".6pt" strokecolor="#2e97d3">
            <v:stroke dashstyle="solid"/>
            <w10:wrap type="none"/>
          </v:line>
        </w:pict>
      </w:r>
      <w:r>
        <w:rPr/>
        <w:pict>
          <v:line style="position:absolute;mso-position-horizontal-relative:page;mso-position-vertical-relative:paragraph;z-index:-427936" from="88.440002pt,28.486336pt" to="91.800002pt,28.486336pt" stroked="true" strokeweight=".599pt" strokecolor="#2e97d3">
            <v:stroke dashstyle="solid"/>
            <w10:wrap type="none"/>
          </v:line>
        </w:pict>
      </w:r>
      <w:r>
        <w:rPr>
          <w:b/>
          <w:sz w:val="24"/>
        </w:rPr>
        <w:t>Lease-purchase agreement</w:t>
      </w:r>
      <w:r>
        <w:rPr>
          <w:sz w:val="24"/>
        </w:rPr>
        <w:t>: An installment purchase agreement under a financing lease.  Section 6876.</w:t>
      </w:r>
    </w:p>
    <w:p>
      <w:pPr>
        <w:pStyle w:val="BodyText"/>
        <w:spacing w:before="4"/>
        <w:rPr>
          <w:sz w:val="26"/>
        </w:rPr>
      </w:pPr>
    </w:p>
    <w:p>
      <w:pPr>
        <w:pStyle w:val="BodyText"/>
        <w:spacing w:before="93"/>
        <w:ind w:left="640"/>
      </w:pPr>
      <w:r>
        <w:rPr>
          <w:strike/>
          <w:color w:val="2E97D3"/>
        </w:rPr>
        <w:t>(Continued)</w:t>
      </w:r>
    </w:p>
    <w:p>
      <w:pPr>
        <w:spacing w:after="0"/>
        <w:sectPr>
          <w:headerReference w:type="default" r:id="rId367"/>
          <w:pgSz w:w="12240" w:h="15840"/>
          <w:pgMar w:header="0" w:footer="726" w:top="640" w:bottom="980" w:left="420" w:right="1620"/>
        </w:sectPr>
      </w:pPr>
    </w:p>
    <w:p>
      <w:pPr>
        <w:tabs>
          <w:tab w:pos="8611" w:val="left" w:leader="none"/>
        </w:tabs>
        <w:spacing w:before="0"/>
        <w:ind w:left="640" w:right="102" w:firstLine="0"/>
        <w:jc w:val="left"/>
        <w:rPr>
          <w:sz w:val="24"/>
        </w:rPr>
      </w:pPr>
      <w:r>
        <w:rPr/>
        <w:pict>
          <v:group style="position:absolute;margin-left:52.740002pt;margin-top:7.535884pt;width:482.2pt;height:1.8pt;mso-position-horizontal-relative:page;mso-position-vertical-relative:paragraph;z-index:-427864" coordorigin="1055,151" coordsize="9644,36">
            <v:shape style="position:absolute;left:1061;top:157;width:9288;height:24" coordorigin="1061,157" coordsize="9288,24" path="m1061,181l10349,181m1061,157l10349,157e" filled="false" stroked="true" strokeweight=".6pt" strokecolor="#2c6234">
              <v:path arrowok="t"/>
              <v:stroke dashstyle="solid"/>
            </v:shape>
            <v:line style="position:absolute" from="10349,169" to="10692,169" stroked="true" strokeweight=".599pt" strokecolor="#2e97d3">
              <v:stroke dashstyle="solid"/>
            </v:line>
            <w10:wrap type="none"/>
          </v:group>
        </w:pict>
      </w:r>
      <w:r>
        <w:rPr/>
        <w:pict>
          <v:line style="position:absolute;mso-position-horizontal-relative:page;mso-position-vertical-relative:page;z-index:45016" from="26.76pt,48.959999pt" to="26.76pt,107.159999pt" stroked="true" strokeweight=".72pt" strokecolor="#000000">
            <v:stroke dashstyle="solid"/>
            <w10:wrap type="none"/>
          </v:line>
        </w:pict>
      </w:r>
      <w:bookmarkStart w:name="(New 5/1998)" w:id="162"/>
      <w:bookmarkEnd w:id="162"/>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w:t>
      </w:r>
      <w:r>
        <w:rPr>
          <w:b/>
          <w:color w:val="2C6234"/>
          <w:spacing w:val="-5"/>
          <w:sz w:val="24"/>
        </w:rPr>
        <w:t> </w:t>
      </w:r>
      <w:r>
        <w:rPr>
          <w:color w:val="2C6234"/>
          <w:sz w:val="24"/>
        </w:rPr>
        <w:t>(Cont.</w:t>
      </w:r>
      <w:r>
        <w:rPr>
          <w:color w:val="2C6234"/>
          <w:spacing w:val="-8"/>
          <w:sz w:val="24"/>
        </w:rPr>
        <w:t> </w:t>
      </w:r>
      <w:r>
        <w:rPr>
          <w:color w:val="2E97D3"/>
          <w:sz w:val="24"/>
        </w:rPr>
        <w:t>11)</w:t>
      </w:r>
      <w:r>
        <w:rPr>
          <w:color w:val="2E97D3"/>
          <w:w w:val="99"/>
          <w:sz w:val="24"/>
        </w:rPr>
        <w:t> </w:t>
      </w:r>
      <w:r>
        <w:rPr>
          <w:strike/>
          <w:color w:val="2E97D3"/>
          <w:sz w:val="24"/>
        </w:rPr>
        <w:t>(New</w:t>
      </w:r>
      <w:r>
        <w:rPr>
          <w:strike/>
          <w:color w:val="2E97D3"/>
          <w:spacing w:val="-6"/>
          <w:sz w:val="24"/>
        </w:rPr>
        <w:t> </w:t>
      </w:r>
      <w:r>
        <w:rPr>
          <w:strike/>
          <w:color w:val="2E97D3"/>
          <w:sz w:val="24"/>
        </w:rPr>
        <w:t>5/1998)</w:t>
      </w:r>
    </w:p>
    <w:p>
      <w:pPr>
        <w:spacing w:before="117"/>
        <w:ind w:left="640" w:right="0" w:firstLine="0"/>
        <w:jc w:val="left"/>
        <w:rPr>
          <w:sz w:val="24"/>
        </w:rPr>
      </w:pPr>
      <w:r>
        <w:rPr/>
        <w:pict>
          <v:line style="position:absolute;mso-position-horizontal-relative:page;mso-position-vertical-relative:paragraph;z-index:45040" from="26.76pt,19.984842pt" to="26.76pt,53.585842pt" stroked="true" strokeweight=".72pt" strokecolor="#000000">
            <v:stroke dashstyle="solid"/>
            <w10:wrap type="none"/>
          </v:line>
        </w:pict>
      </w:r>
      <w:r>
        <w:rPr>
          <w:b/>
          <w:sz w:val="24"/>
        </w:rPr>
        <w:t>Lease-purchase bonds</w:t>
      </w:r>
      <w:r>
        <w:rPr>
          <w:sz w:val="24"/>
        </w:rPr>
        <w:t>:  Same as </w:t>
      </w:r>
      <w:r>
        <w:rPr>
          <w:i/>
          <w:sz w:val="24"/>
        </w:rPr>
        <w:t>lease-revenue bonds</w:t>
      </w:r>
      <w:r>
        <w:rPr>
          <w:sz w:val="24"/>
        </w:rPr>
        <w:t>.</w:t>
      </w:r>
    </w:p>
    <w:p>
      <w:pPr>
        <w:pStyle w:val="BodyText"/>
        <w:spacing w:before="122"/>
        <w:ind w:left="640"/>
        <w:rPr>
          <w:sz w:val="22"/>
        </w:rPr>
      </w:pPr>
      <w:r>
        <w:rPr/>
        <w:pict>
          <v:line style="position:absolute;mso-position-horizontal-relative:page;mso-position-vertical-relative:paragraph;z-index:-427840" from="183.839996pt,14.535859pt" to="187.199996pt,14.535859pt" stroked="true" strokeweight=".6pt" strokecolor="#2e97d3">
            <v:stroke dashstyle="solid"/>
            <w10:wrap type="none"/>
          </v:line>
        </w:pict>
      </w:r>
      <w:r>
        <w:rPr/>
        <w:pict>
          <v:line style="position:absolute;mso-position-horizontal-relative:page;mso-position-vertical-relative:paragraph;z-index:-427816" from="101.160004pt,28.335859pt" to="104.520004pt,28.335859pt" stroked="true" strokeweight=".6pt" strokecolor="#2e97d3">
            <v:stroke dashstyle="solid"/>
            <w10:wrap type="none"/>
          </v:line>
        </w:pict>
      </w:r>
      <w:r>
        <w:rPr/>
        <w:pict>
          <v:line style="position:absolute;mso-position-horizontal-relative:page;mso-position-vertical-relative:paragraph;z-index:-427792" from="109.68pt,55.93586pt" to="113.04pt,55.93586pt" stroked="true" strokeweight=".6pt" strokecolor="#2e97d3">
            <v:stroke dashstyle="solid"/>
            <w10:wrap type="none"/>
          </v:line>
        </w:pict>
      </w:r>
      <w:r>
        <w:rPr/>
        <w:pict>
          <v:line style="position:absolute;mso-position-horizontal-relative:page;mso-position-vertical-relative:paragraph;z-index:45064" from="26.76pt,47.715858pt" to="26.76pt,95.115858pt" stroked="true" strokeweight=".72pt" strokecolor="#000000">
            <v:stroke dashstyle="solid"/>
            <w10:wrap type="none"/>
          </v:line>
        </w:pict>
      </w:r>
      <w:r>
        <w:rPr>
          <w:b/>
        </w:rPr>
        <w:t>Lease-revenue bonds: </w:t>
      </w:r>
      <w:r>
        <w:rPr/>
        <w:t>A variant of revenue bonds used in the state’s capital outlay program. The revenue stream backing the bond is created from lease payments made by the occupying department to the entity issuing the bonds (usually PWB or a joint powers authority).  Sections 6873 and 6874</w:t>
      </w:r>
      <w:r>
        <w:rPr>
          <w:sz w:val="22"/>
        </w:rPr>
        <w:t>.</w:t>
      </w:r>
    </w:p>
    <w:p>
      <w:pPr>
        <w:pStyle w:val="BodyText"/>
        <w:spacing w:before="120"/>
        <w:ind w:left="640" w:right="300"/>
      </w:pPr>
      <w:r>
        <w:rPr/>
        <w:pict>
          <v:line style="position:absolute;mso-position-horizontal-relative:page;mso-position-vertical-relative:paragraph;z-index:-427768" from="249pt,14.435847pt" to="252.36pt,14.435847pt" stroked="true" strokeweight=".6pt" strokecolor="#2e97d3">
            <v:stroke dashstyle="solid"/>
            <w10:wrap type="none"/>
          </v:line>
        </w:pict>
      </w:r>
      <w:r>
        <w:rPr/>
        <w:pict>
          <v:line style="position:absolute;mso-position-horizontal-relative:page;mso-position-vertical-relative:paragraph;z-index:-427744" from="402.720001pt,28.235847pt" to="405.960001pt,28.235847pt" stroked="true" strokeweight=".6pt" strokecolor="#2e97d3">
            <v:stroke dashstyle="solid"/>
            <w10:wrap type="none"/>
          </v:line>
        </w:pict>
      </w:r>
      <w:r>
        <w:rPr>
          <w:b/>
        </w:rPr>
        <w:t>Legislative Analyst’s Office (LAO)</w:t>
      </w:r>
      <w:r>
        <w:rPr/>
        <w:t>: A governmental entity under the Legislature, providing staff support to the Joint Legislative Budget Committee. Produces </w:t>
      </w:r>
      <w:r>
        <w:rPr>
          <w:strike/>
          <w:color w:val="2E97D3"/>
        </w:rPr>
        <w:t>the </w:t>
      </w:r>
      <w:r>
        <w:rPr>
          <w:strike w:val="0"/>
        </w:rPr>
        <w:t>analysis of the annual budget bill; reviews and may comment on variety of administrative transactions, including capital outlay actions such as augmentations and scope changes.</w:t>
      </w:r>
    </w:p>
    <w:p>
      <w:pPr>
        <w:spacing w:before="115"/>
        <w:ind w:left="640" w:right="0" w:firstLine="0"/>
        <w:jc w:val="left"/>
        <w:rPr>
          <w:sz w:val="24"/>
        </w:rPr>
      </w:pPr>
      <w:r>
        <w:rPr/>
        <w:pict>
          <v:line style="position:absolute;mso-position-horizontal-relative:page;mso-position-vertical-relative:paragraph;z-index:45088" from="26.76pt,19.885887pt" to="26.76pt,39.685887pt" stroked="true" strokeweight=".72pt" strokecolor="#000000">
            <v:stroke dashstyle="solid"/>
            <w10:wrap type="none"/>
          </v:line>
        </w:pict>
      </w:r>
      <w:r>
        <w:rPr>
          <w:b/>
          <w:sz w:val="24"/>
        </w:rPr>
        <w:t>Legislative notifications</w:t>
      </w:r>
      <w:r>
        <w:rPr>
          <w:sz w:val="24"/>
        </w:rPr>
        <w:t>:  See </w:t>
      </w:r>
      <w:r>
        <w:rPr>
          <w:i/>
          <w:sz w:val="24"/>
        </w:rPr>
        <w:t>20-day letters </w:t>
      </w:r>
      <w:r>
        <w:rPr>
          <w:sz w:val="24"/>
        </w:rPr>
        <w:t>and </w:t>
      </w:r>
      <w:r>
        <w:rPr>
          <w:i/>
          <w:sz w:val="24"/>
        </w:rPr>
        <w:t>Section 6.00 </w:t>
      </w:r>
      <w:r>
        <w:rPr>
          <w:sz w:val="24"/>
        </w:rPr>
        <w:t>of the Budget Act.</w:t>
      </w:r>
    </w:p>
    <w:p>
      <w:pPr>
        <w:pStyle w:val="BodyText"/>
        <w:spacing w:before="125"/>
        <w:ind w:left="640" w:right="315"/>
      </w:pPr>
      <w:r>
        <w:rPr/>
        <w:pict>
          <v:line style="position:absolute;mso-position-horizontal-relative:page;mso-position-vertical-relative:paragraph;z-index:-427720" from="245.759995pt,14.685847pt" to="249.119995pt,14.685847pt" stroked="true" strokeweight=".6pt" strokecolor="#2e97d3">
            <v:stroke dashstyle="solid"/>
            <w10:wrap type="none"/>
          </v:line>
        </w:pict>
      </w:r>
      <w:r>
        <w:rPr/>
        <w:pict>
          <v:line style="position:absolute;mso-position-horizontal-relative:page;mso-position-vertical-relative:paragraph;z-index:-427696" from="165.240005pt,55.966347pt" to="168.480005pt,55.966347pt" stroked="true" strokeweight=".599pt" strokecolor="#2e97d3">
            <v:stroke dashstyle="solid"/>
            <w10:wrap type="none"/>
          </v:line>
        </w:pict>
      </w:r>
      <w:r>
        <w:rPr/>
        <w:pict>
          <v:line style="position:absolute;mso-position-horizontal-relative:page;mso-position-vertical-relative:paragraph;z-index:45112" from="26.76pt,47.745846pt" to="26.76pt,61.545846pt" stroked="true" strokeweight=".72pt" strokecolor="#000000">
            <v:stroke dashstyle="solid"/>
            <w10:wrap type="none"/>
          </v:line>
        </w:pict>
      </w:r>
      <w:r>
        <w:rPr>
          <w:b/>
        </w:rPr>
        <w:t>Mandatory review and approvals</w:t>
      </w:r>
      <w:r>
        <w:rPr/>
        <w:t>: Refers to various provisions in statute requiring preliminary plans and working drawings for certain projects to be reviewed and approved by oversight agencies such as the State Fire Marshall (within the Department of Forestry and Fire Protection).  Section 6852.</w:t>
      </w:r>
    </w:p>
    <w:p>
      <w:pPr>
        <w:spacing w:before="115"/>
        <w:ind w:left="640" w:right="0" w:firstLine="0"/>
        <w:jc w:val="left"/>
        <w:rPr>
          <w:i/>
          <w:sz w:val="24"/>
        </w:rPr>
      </w:pPr>
      <w:r>
        <w:rPr/>
        <w:pict>
          <v:line style="position:absolute;mso-position-horizontal-relative:page;mso-position-vertical-relative:paragraph;z-index:45136" from="26.76pt,19.885851pt" to="26.76pt,107.125851pt" stroked="true" strokeweight=".72pt" strokecolor="#000000">
            <v:stroke dashstyle="solid"/>
            <w10:wrap type="none"/>
          </v:line>
        </w:pict>
      </w:r>
      <w:r>
        <w:rPr>
          <w:b/>
          <w:sz w:val="24"/>
        </w:rPr>
        <w:t>Master reserve account:  </w:t>
      </w:r>
      <w:r>
        <w:rPr>
          <w:sz w:val="24"/>
        </w:rPr>
        <w:t>See </w:t>
      </w:r>
      <w:r>
        <w:rPr>
          <w:i/>
          <w:sz w:val="24"/>
        </w:rPr>
        <w:t>reserve account.</w:t>
      </w:r>
    </w:p>
    <w:p>
      <w:pPr>
        <w:pStyle w:val="BodyText"/>
        <w:spacing w:before="124"/>
        <w:ind w:left="640" w:right="116"/>
      </w:pPr>
      <w:r>
        <w:rPr/>
        <w:pict>
          <v:line style="position:absolute;mso-position-horizontal-relative:page;mso-position-vertical-relative:paragraph;z-index:-427672" from="171.720001pt,14.636373pt" to="175.080001pt,14.636373pt" stroked="true" strokeweight=".599pt" strokecolor="#2e97d3">
            <v:stroke dashstyle="solid"/>
            <w10:wrap type="none"/>
          </v:line>
        </w:pict>
      </w:r>
      <w:r>
        <w:rPr>
          <w:b/>
        </w:rPr>
        <w:t>Major capital outlay</w:t>
      </w:r>
      <w:r>
        <w:rPr/>
        <w:t>: Any project not meeting the definition of a minor capital outlay project. </w:t>
      </w:r>
      <w:r>
        <w:rPr>
          <w:strike/>
          <w:color w:val="2E97D3"/>
        </w:rPr>
        <w:t>Generally</w:t>
      </w:r>
      <w:r>
        <w:rPr>
          <w:strike w:val="0"/>
          <w:color w:val="2E97D3"/>
          <w:u w:val="single" w:color="2E97D3"/>
        </w:rPr>
        <w:t>Currently</w:t>
      </w:r>
      <w:r>
        <w:rPr>
          <w:strike w:val="0"/>
        </w:rPr>
        <w:t>, any project over $</w:t>
      </w:r>
      <w:r>
        <w:rPr>
          <w:strike/>
          <w:color w:val="2E97D3"/>
        </w:rPr>
        <w:t>250</w:t>
      </w:r>
      <w:r>
        <w:rPr>
          <w:strike w:val="0"/>
          <w:color w:val="2E97D3"/>
          <w:u w:val="single" w:color="2E97D3"/>
        </w:rPr>
        <w:t>656</w:t>
      </w:r>
      <w:r>
        <w:rPr>
          <w:strike w:val="0"/>
        </w:rPr>
        <w:t>,000, although there are exceptions. </w:t>
      </w:r>
      <w:r>
        <w:rPr>
          <w:strike w:val="0"/>
          <w:color w:val="2E97D3"/>
          <w:u w:val="single" w:color="2E97D3"/>
        </w:rPr>
        <w:t>The dollar threshold is adjusted every two years.</w:t>
      </w:r>
    </w:p>
    <w:p>
      <w:pPr>
        <w:pStyle w:val="BodyText"/>
        <w:rPr>
          <w:sz w:val="20"/>
        </w:rPr>
      </w:pPr>
    </w:p>
    <w:p>
      <w:pPr>
        <w:pStyle w:val="BodyText"/>
        <w:rPr>
          <w:sz w:val="17"/>
        </w:rPr>
      </w:pPr>
    </w:p>
    <w:p>
      <w:pPr>
        <w:pStyle w:val="BodyText"/>
        <w:spacing w:before="92"/>
        <w:ind w:left="640"/>
      </w:pPr>
      <w:r>
        <w:rPr>
          <w:color w:val="2C6234"/>
          <w:u w:val="thick" w:color="2C6234"/>
        </w:rPr>
        <w:t>(Continued)</w:t>
      </w:r>
    </w:p>
    <w:p>
      <w:pPr>
        <w:spacing w:after="0"/>
        <w:sectPr>
          <w:headerReference w:type="default" r:id="rId368"/>
          <w:pgSz w:w="12240" w:h="15840"/>
          <w:pgMar w:header="726" w:footer="726" w:top="1520" w:bottom="980" w:left="420" w:right="1440"/>
        </w:sectPr>
      </w:pPr>
    </w:p>
    <w:p>
      <w:pPr>
        <w:tabs>
          <w:tab w:pos="8711" w:val="left" w:leader="none"/>
        </w:tabs>
        <w:spacing w:before="0"/>
        <w:ind w:left="640" w:right="0" w:firstLine="0"/>
        <w:jc w:val="left"/>
        <w:rPr>
          <w:sz w:val="24"/>
        </w:rPr>
      </w:pPr>
      <w:r>
        <w:rPr/>
        <w:pict>
          <v:group style="position:absolute;margin-left:52.740002pt;margin-top:11.73583pt;width:487.45pt;height:2.2pt;mso-position-horizontal-relative:page;mso-position-vertical-relative:paragraph;z-index:-427504" coordorigin="1055,235" coordsize="9749,44">
            <v:line style="position:absolute" from="1061,241" to="10450,241" stroked="true" strokeweight=".6pt" strokecolor="#2c6234">
              <v:stroke dashstyle="solid"/>
            </v:line>
            <v:line style="position:absolute" from="1061,272" to="10450,272" stroked="true" strokeweight=".599pt" strokecolor="#2c6234">
              <v:stroke dashstyle="solid"/>
            </v:line>
            <v:line style="position:absolute" from="10450,260" to="10795,260" stroked="true" strokeweight=".84pt" strokecolor="#2e97d3">
              <v:stroke dashstyle="solid"/>
            </v:line>
            <w10:wrap type="none"/>
          </v:group>
        </w:pict>
      </w:r>
      <w:r>
        <w:rPr/>
        <w:pict>
          <v:line style="position:absolute;mso-position-horizontal-relative:page;mso-position-vertical-relative:page;z-index:45304" from="26.76pt,48.959999pt" to="26.76pt,231.239999pt" stroked="true" strokeweight=".72pt" strokecolor="#000000">
            <v:stroke dashstyle="solid"/>
            <w10:wrap type="none"/>
          </v:line>
        </w:pict>
      </w:r>
      <w:bookmarkStart w:name="GLOSSARY AND INDEX FOR CAPITAL OUTLAY" w:id="163"/>
      <w:bookmarkEnd w:id="163"/>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 </w:t>
      </w:r>
      <w:r>
        <w:rPr>
          <w:color w:val="2C6234"/>
          <w:sz w:val="24"/>
        </w:rPr>
        <w:t>(Cont.</w:t>
      </w:r>
      <w:r>
        <w:rPr>
          <w:color w:val="2C6234"/>
          <w:spacing w:val="-12"/>
          <w:sz w:val="24"/>
        </w:rPr>
        <w:t> </w:t>
      </w:r>
      <w:r>
        <w:rPr>
          <w:color w:val="2E97D3"/>
          <w:sz w:val="24"/>
        </w:rPr>
        <w:t>11)</w:t>
      </w:r>
    </w:p>
    <w:p>
      <w:pPr>
        <w:pStyle w:val="BodyText"/>
        <w:ind w:left="640"/>
      </w:pPr>
      <w:r>
        <w:rPr>
          <w:color w:val="2E97D3"/>
          <w:u w:val="single" w:color="2E97D3"/>
        </w:rPr>
        <w:t>(Revised 09/2017)</w:t>
      </w:r>
    </w:p>
    <w:p>
      <w:pPr>
        <w:pStyle w:val="BodyText"/>
        <w:spacing w:before="120"/>
        <w:ind w:left="640" w:right="461"/>
      </w:pPr>
      <w:r>
        <w:rPr/>
        <w:pict>
          <v:line style="position:absolute;mso-position-horizontal-relative:page;mso-position-vertical-relative:paragraph;z-index:-427480" from="173.039993pt,14.436355pt" to="176.399993pt,14.436355pt" stroked="true" strokeweight=".599pt" strokecolor="#2e97d3">
            <v:stroke dashstyle="solid"/>
            <w10:wrap type="none"/>
          </v:line>
        </w:pict>
      </w:r>
      <w:r>
        <w:rPr>
          <w:b/>
        </w:rPr>
        <w:t>Minor capital outlay: </w:t>
      </w:r>
      <w:r>
        <w:rPr/>
        <w:t>Excluding the purchase of land, any capital outlay project with </w:t>
      </w:r>
      <w:r>
        <w:rPr>
          <w:strike/>
          <w:color w:val="2E97D3"/>
        </w:rPr>
        <w:t>a</w:t>
      </w:r>
      <w:r>
        <w:rPr>
          <w:strike w:val="0"/>
          <w:color w:val="2E97D3"/>
          <w:u w:val="single" w:color="2E97D3"/>
        </w:rPr>
        <w:t>current </w:t>
      </w:r>
      <w:r>
        <w:rPr>
          <w:strike w:val="0"/>
        </w:rPr>
        <w:t>total estimated project cost of $</w:t>
      </w:r>
      <w:r>
        <w:rPr>
          <w:strike/>
          <w:color w:val="2E97D3"/>
        </w:rPr>
        <w:t>250</w:t>
      </w:r>
      <w:r>
        <w:rPr>
          <w:strike w:val="0"/>
          <w:color w:val="2E97D3"/>
          <w:u w:val="single" w:color="2E97D3"/>
        </w:rPr>
        <w:t>656</w:t>
      </w:r>
      <w:r>
        <w:rPr>
          <w:strike w:val="0"/>
        </w:rPr>
        <w:t>,000 or less. </w:t>
      </w:r>
      <w:r>
        <w:rPr>
          <w:strike w:val="0"/>
          <w:color w:val="2E97D3"/>
          <w:u w:val="single" w:color="2E97D3"/>
        </w:rPr>
        <w:t>The specific dollar value is adjusted every two years. </w:t>
      </w:r>
      <w:r>
        <w:rPr>
          <w:strike w:val="0"/>
        </w:rPr>
        <w:t>However, Resources Agency projects up to $</w:t>
      </w:r>
      <w:r>
        <w:rPr>
          <w:strike/>
          <w:color w:val="2E97D3"/>
        </w:rPr>
        <w:t>500</w:t>
      </w:r>
      <w:r>
        <w:rPr>
          <w:strike w:val="0"/>
          <w:color w:val="2E97D3"/>
          <w:u w:val="single" w:color="2E97D3"/>
        </w:rPr>
        <w:t>903</w:t>
      </w:r>
      <w:r>
        <w:rPr>
          <w:strike w:val="0"/>
        </w:rPr>
        <w:t>,000 may be budgeted as minors </w:t>
      </w:r>
      <w:r>
        <w:rPr>
          <w:strike/>
          <w:color w:val="2E97D3"/>
        </w:rPr>
        <w:t>with</w:t>
      </w:r>
      <w:r>
        <w:rPr>
          <w:strike w:val="0"/>
          <w:color w:val="2E97D3"/>
          <w:u w:val="single" w:color="2E97D3"/>
        </w:rPr>
        <w:t>if DGS makes </w:t>
      </w:r>
      <w:r>
        <w:rPr>
          <w:strike w:val="0"/>
        </w:rPr>
        <w:t>the </w:t>
      </w:r>
      <w:r>
        <w:rPr>
          <w:strike/>
          <w:color w:val="2E97D3"/>
        </w:rPr>
        <w:t>concurrence of DOF</w:t>
      </w:r>
      <w:r>
        <w:rPr>
          <w:strike w:val="0"/>
          <w:color w:val="2E97D3"/>
          <w:u w:val="single" w:color="2E97D3"/>
        </w:rPr>
        <w:t>determination that its services are not required </w:t>
      </w:r>
      <w:r>
        <w:rPr>
          <w:strike w:val="0"/>
        </w:rPr>
        <w:t>(Public Contract Code </w:t>
      </w:r>
      <w:r>
        <w:rPr>
          <w:strike/>
          <w:color w:val="2E97D3"/>
          <w:u w:val="single" w:color="2E97D3"/>
        </w:rPr>
        <w:t>10108.5</w:t>
      </w:r>
      <w:r>
        <w:rPr>
          <w:strike/>
          <w:color w:val="2E97D3"/>
        </w:rPr>
        <w:t>).</w:t>
      </w:r>
      <w:hyperlink r:id="rId369">
        <w:r>
          <w:rPr>
            <w:strike w:val="0"/>
            <w:color w:val="2E97D3"/>
            <w:u w:val="single" w:color="2E97D3"/>
          </w:rPr>
          <w:t>10108.5</w:t>
        </w:r>
      </w:hyperlink>
      <w:r>
        <w:rPr>
          <w:strike w:val="0"/>
          <w:color w:val="2E97D3"/>
          <w:u w:val="single" w:color="2E97D3"/>
        </w:rPr>
        <w:t>). Every two years the threshold for minor capital outlay projects is recalculated. </w:t>
      </w:r>
      <w:r>
        <w:rPr>
          <w:strike w:val="0"/>
        </w:rPr>
        <w:t>There are additional requirements to qualify as a minor project; see Section 6807 </w:t>
      </w:r>
      <w:r>
        <w:rPr>
          <w:strike w:val="0"/>
          <w:color w:val="2E97D3"/>
          <w:u w:val="single" w:color="2E97D3"/>
        </w:rPr>
        <w:t>and Section 6.00 of the Budget Act</w:t>
      </w:r>
      <w:r>
        <w:rPr>
          <w:strike w:val="0"/>
        </w:rPr>
        <w:t>.</w:t>
      </w:r>
    </w:p>
    <w:p>
      <w:pPr>
        <w:spacing w:before="117"/>
        <w:ind w:left="640" w:right="0" w:firstLine="0"/>
        <w:jc w:val="left"/>
        <w:rPr>
          <w:sz w:val="24"/>
        </w:rPr>
      </w:pPr>
      <w:r>
        <w:rPr>
          <w:b/>
          <w:sz w:val="24"/>
        </w:rPr>
        <w:t>Modified design-build</w:t>
      </w:r>
      <w:r>
        <w:rPr>
          <w:sz w:val="24"/>
        </w:rPr>
        <w:t>:  See </w:t>
      </w:r>
      <w:r>
        <w:rPr>
          <w:i/>
          <w:sz w:val="24"/>
        </w:rPr>
        <w:t>design build</w:t>
      </w:r>
      <w:r>
        <w:rPr>
          <w:sz w:val="24"/>
        </w:rPr>
        <w:t>.</w:t>
      </w:r>
    </w:p>
    <w:p>
      <w:pPr>
        <w:spacing w:before="119"/>
        <w:ind w:left="640" w:right="0" w:firstLine="0"/>
        <w:jc w:val="left"/>
        <w:rPr>
          <w:sz w:val="24"/>
        </w:rPr>
      </w:pPr>
      <w:r>
        <w:rPr>
          <w:b/>
          <w:sz w:val="24"/>
        </w:rPr>
        <w:t>Moody’s Investor Services</w:t>
      </w:r>
      <w:r>
        <w:rPr>
          <w:sz w:val="24"/>
        </w:rPr>
        <w:t>:  See </w:t>
      </w:r>
      <w:r>
        <w:rPr>
          <w:i/>
          <w:sz w:val="24"/>
        </w:rPr>
        <w:t>rating agency</w:t>
      </w:r>
      <w:r>
        <w:rPr>
          <w:sz w:val="24"/>
        </w:rPr>
        <w:t>.</w:t>
      </w:r>
    </w:p>
    <w:p>
      <w:pPr>
        <w:spacing w:before="122"/>
        <w:ind w:left="640" w:right="0" w:firstLine="0"/>
        <w:jc w:val="left"/>
        <w:rPr>
          <w:sz w:val="24"/>
        </w:rPr>
      </w:pPr>
      <w:r>
        <w:rPr/>
        <w:pict>
          <v:line style="position:absolute;mso-position-horizontal-relative:page;mso-position-vertical-relative:paragraph;z-index:45328" from="26.76pt,20.115854pt" to="26.76pt,39.915854pt" stroked="true" strokeweight=".72pt" strokecolor="#000000">
            <v:stroke dashstyle="solid"/>
            <w10:wrap type="none"/>
          </v:line>
        </w:pict>
      </w:r>
      <w:r>
        <w:rPr>
          <w:b/>
          <w:sz w:val="24"/>
        </w:rPr>
        <w:t>National Register of Historic Places</w:t>
      </w:r>
      <w:r>
        <w:rPr>
          <w:sz w:val="24"/>
        </w:rPr>
        <w:t>:  See historical resources.</w:t>
      </w:r>
    </w:p>
    <w:p>
      <w:pPr>
        <w:spacing w:line="343" w:lineRule="auto" w:before="120"/>
        <w:ind w:left="640" w:right="5505" w:firstLine="0"/>
        <w:jc w:val="left"/>
        <w:rPr>
          <w:sz w:val="24"/>
        </w:rPr>
      </w:pPr>
      <w:r>
        <w:rPr/>
        <w:pict>
          <v:line style="position:absolute;mso-position-horizontal-relative:page;mso-position-vertical-relative:paragraph;z-index:-427456" from="177.119995pt,14.435866pt" to="180.479995pt,14.435866pt" stroked="true" strokeweight=".6pt" strokecolor="#2e97d3">
            <v:stroke dashstyle="solid"/>
            <w10:wrap type="none"/>
          </v:line>
        </w:pict>
      </w:r>
      <w:r>
        <w:rPr/>
        <w:pict>
          <v:line style="position:absolute;mso-position-horizontal-relative:page;mso-position-vertical-relative:paragraph;z-index:-427432" from="194.520004pt,53.916367pt" to="197.881004pt,53.916367pt" stroked="true" strokeweight=".599pt" strokecolor="#2e97d3">
            <v:stroke dashstyle="solid"/>
            <w10:wrap type="none"/>
          </v:line>
        </w:pict>
      </w:r>
      <w:r>
        <w:rPr/>
        <w:pict>
          <v:line style="position:absolute;mso-position-horizontal-relative:page;mso-position-vertical-relative:paragraph;z-index:-427408" from="174.360001pt,73.71637pt" to="177.721001pt,73.71637pt" stroked="true" strokeweight=".599pt" strokecolor="#2e97d3">
            <v:stroke dashstyle="solid"/>
            <w10:wrap type="none"/>
          </v:line>
        </w:pict>
      </w:r>
      <w:r>
        <w:rPr/>
        <w:pict>
          <v:line style="position:absolute;mso-position-horizontal-relative:page;mso-position-vertical-relative:paragraph;z-index:45352" from="26.76pt,39.695866pt" to="26.76pt,164.615866pt" stroked="true" strokeweight=".72pt" strokecolor="#000000">
            <v:stroke dashstyle="solid"/>
            <w10:wrap type="none"/>
          </v:line>
        </w:pict>
      </w:r>
      <w:r>
        <w:rPr>
          <w:b/>
          <w:sz w:val="24"/>
        </w:rPr>
        <w:t>Negative declaration</w:t>
      </w:r>
      <w:r>
        <w:rPr>
          <w:sz w:val="24"/>
        </w:rPr>
        <w:t>: See forms. </w:t>
      </w:r>
      <w:r>
        <w:rPr>
          <w:b/>
          <w:sz w:val="24"/>
        </w:rPr>
        <w:t>Notice of completion</w:t>
      </w:r>
      <w:r>
        <w:rPr>
          <w:sz w:val="24"/>
        </w:rPr>
        <w:t>: See forms. </w:t>
      </w:r>
      <w:r>
        <w:rPr>
          <w:b/>
          <w:sz w:val="24"/>
        </w:rPr>
        <w:t>Notice of determination: </w:t>
      </w:r>
      <w:r>
        <w:rPr>
          <w:sz w:val="24"/>
        </w:rPr>
        <w:t>See forms. </w:t>
      </w:r>
      <w:r>
        <w:rPr>
          <w:b/>
          <w:sz w:val="24"/>
        </w:rPr>
        <w:t>Notice of exemption</w:t>
      </w:r>
      <w:r>
        <w:rPr>
          <w:sz w:val="24"/>
        </w:rPr>
        <w:t>:  See forms.</w:t>
      </w:r>
    </w:p>
    <w:p>
      <w:pPr>
        <w:spacing w:before="4"/>
        <w:ind w:left="640" w:right="0" w:firstLine="0"/>
        <w:jc w:val="left"/>
        <w:rPr>
          <w:sz w:val="24"/>
        </w:rPr>
      </w:pPr>
      <w:r>
        <w:rPr/>
        <w:pict>
          <v:line style="position:absolute;mso-position-horizontal-relative:page;mso-position-vertical-relative:paragraph;z-index:-427384" from="158.520004pt,8.63635pt" to="161.760004pt,8.63635pt" stroked="true" strokeweight=".599pt" strokecolor="#2e97d3">
            <v:stroke dashstyle="solid"/>
            <w10:wrap type="none"/>
          </v:line>
        </w:pict>
      </w:r>
      <w:r>
        <w:rPr>
          <w:b/>
          <w:sz w:val="24"/>
        </w:rPr>
        <w:t>Obligated person</w:t>
      </w:r>
      <w:r>
        <w:rPr>
          <w:sz w:val="24"/>
        </w:rPr>
        <w:t>:  See continuing disclosure.</w:t>
      </w:r>
    </w:p>
    <w:p>
      <w:pPr>
        <w:pStyle w:val="BodyText"/>
        <w:spacing w:before="4"/>
        <w:rPr>
          <w:sz w:val="26"/>
        </w:rPr>
      </w:pPr>
    </w:p>
    <w:p>
      <w:pPr>
        <w:pStyle w:val="BodyText"/>
        <w:spacing w:before="92"/>
        <w:ind w:left="640"/>
      </w:pPr>
      <w:r>
        <w:rPr>
          <w:strike/>
          <w:color w:val="2E97D3"/>
        </w:rPr>
        <w:t>(Continued)</w:t>
      </w:r>
    </w:p>
    <w:p>
      <w:pPr>
        <w:spacing w:after="0"/>
        <w:sectPr>
          <w:pgSz w:w="12240" w:h="15840"/>
          <w:pgMar w:header="726" w:footer="726" w:top="1740" w:bottom="980" w:left="420" w:right="1320"/>
        </w:sectPr>
      </w:pPr>
    </w:p>
    <w:p>
      <w:pPr>
        <w:tabs>
          <w:tab w:pos="8611" w:val="left" w:leader="none"/>
        </w:tabs>
        <w:spacing w:before="0"/>
        <w:ind w:left="640" w:right="222" w:firstLine="0"/>
        <w:jc w:val="left"/>
        <w:rPr>
          <w:sz w:val="24"/>
        </w:rPr>
      </w:pPr>
      <w:r>
        <w:rPr/>
        <w:pict>
          <v:group style="position:absolute;margin-left:52.740002pt;margin-top:7.535884pt;width:482.2pt;height:1.8pt;mso-position-horizontal-relative:page;mso-position-vertical-relative:paragraph;z-index:-427288" coordorigin="1055,151" coordsize="9644,36">
            <v:shape style="position:absolute;left:1061;top:157;width:9288;height:24" coordorigin="1061,157" coordsize="9288,24" path="m1061,181l10349,181m1061,157l10349,157e" filled="false" stroked="true" strokeweight=".6pt" strokecolor="#2c6234">
              <v:path arrowok="t"/>
              <v:stroke dashstyle="solid"/>
            </v:shape>
            <v:line style="position:absolute" from="10349,169" to="10692,169" stroked="true" strokeweight=".599pt" strokecolor="#2e97d3">
              <v:stroke dashstyle="solid"/>
            </v:line>
            <w10:wrap type="none"/>
          </v:group>
        </w:pict>
      </w:r>
      <w:r>
        <w:rPr/>
        <w:pict>
          <v:line style="position:absolute;mso-position-horizontal-relative:page;mso-position-vertical-relative:page;z-index:45640" from="26.76pt,48.959999pt" to="26.76pt,137.759999pt" stroked="true" strokeweight=".72pt" strokecolor="#000000">
            <v:stroke dashstyle="solid"/>
            <w10:wrap type="none"/>
          </v:line>
        </w:pict>
      </w:r>
      <w:bookmarkStart w:name="(New 5/1998)" w:id="164"/>
      <w:bookmarkEnd w:id="164"/>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w:t>
      </w:r>
      <w:r>
        <w:rPr>
          <w:b/>
          <w:color w:val="2C6234"/>
          <w:spacing w:val="-5"/>
          <w:sz w:val="24"/>
        </w:rPr>
        <w:t> </w:t>
      </w:r>
      <w:r>
        <w:rPr>
          <w:color w:val="2C6234"/>
          <w:sz w:val="24"/>
        </w:rPr>
        <w:t>(Cont.</w:t>
      </w:r>
      <w:r>
        <w:rPr>
          <w:color w:val="2C6234"/>
          <w:spacing w:val="-8"/>
          <w:sz w:val="24"/>
        </w:rPr>
        <w:t> </w:t>
      </w:r>
      <w:r>
        <w:rPr>
          <w:color w:val="2E97D3"/>
          <w:sz w:val="24"/>
        </w:rPr>
        <w:t>12)</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spacing w:before="120"/>
        <w:ind w:left="640" w:right="261"/>
      </w:pPr>
      <w:r>
        <w:rPr/>
        <w:pict>
          <v:line style="position:absolute;mso-position-horizontal-relative:page;mso-position-vertical-relative:paragraph;z-index:-427264" from="160.559998pt,14.435847pt" to="163.799998pt,14.435847pt" stroked="true" strokeweight=".6pt" strokecolor="#2e97d3">
            <v:stroke dashstyle="solid"/>
            <w10:wrap type="none"/>
          </v:line>
        </w:pict>
      </w:r>
      <w:r>
        <w:rPr/>
        <w:pict>
          <v:line style="position:absolute;mso-position-horizontal-relative:page;mso-position-vertical-relative:paragraph;z-index:-427240" from="127.080002pt,28.235847pt" to="131.040002pt,28.235847pt" stroked="true" strokeweight=".6pt" strokecolor="#2e97d3">
            <v:stroke dashstyle="solid"/>
            <w10:wrap type="none"/>
          </v:line>
        </w:pict>
      </w:r>
      <w:r>
        <w:rPr/>
        <w:pict>
          <v:line style="position:absolute;mso-position-horizontal-relative:page;mso-position-vertical-relative:paragraph;z-index:-427216" from="173.880005pt,28.235847pt" to="177.840005pt,28.235847pt" stroked="true" strokeweight=".6pt" strokecolor="#2e97d3">
            <v:stroke dashstyle="solid"/>
            <w10:wrap type="none"/>
          </v:line>
        </w:pict>
      </w:r>
      <w:r>
        <w:rPr/>
        <w:pict>
          <v:line style="position:absolute;mso-position-horizontal-relative:page;mso-position-vertical-relative:paragraph;z-index:-427192" from="278.519989pt,55.716347pt" to="281.759989pt,55.716347pt" stroked="true" strokeweight=".599pt" strokecolor="#2e97d3">
            <v:stroke dashstyle="solid"/>
            <w10:wrap type="none"/>
          </v:line>
        </w:pict>
      </w:r>
      <w:r>
        <w:rPr/>
        <w:pict>
          <v:line style="position:absolute;mso-position-horizontal-relative:page;mso-position-vertical-relative:paragraph;z-index:-427168" from="342pt,97.235847pt" to="345.24pt,97.235847pt" stroked="true" strokeweight=".6pt" strokecolor="#2e97d3">
            <v:stroke dashstyle="solid"/>
            <w10:wrap type="none"/>
          </v:line>
        </w:pict>
      </w:r>
      <w:r>
        <w:rPr/>
        <w:pict>
          <v:line style="position:absolute;mso-position-horizontal-relative:page;mso-position-vertical-relative:paragraph;z-index:45664" from="26.76pt,47.615849pt" to="26.76pt,61.415849pt" stroked="true" strokeweight=".72pt" strokecolor="#000000">
            <v:stroke dashstyle="solid"/>
            <w10:wrap type="none"/>
          </v:line>
        </w:pict>
      </w:r>
      <w:r>
        <w:rPr/>
        <w:pict>
          <v:line style="position:absolute;mso-position-horizontal-relative:page;mso-position-vertical-relative:paragraph;z-index:45688" from="26.76pt,89.015846pt" to="26.76pt,136.415846pt" stroked="true" strokeweight=".72pt" strokecolor="#000000">
            <v:stroke dashstyle="solid"/>
            <w10:wrap type="none"/>
          </v:line>
        </w:pict>
      </w:r>
      <w:r>
        <w:rPr>
          <w:b/>
        </w:rPr>
        <w:t>Official statement</w:t>
      </w:r>
      <w:r>
        <w:rPr/>
        <w:t>: A document prepared for the bond sale which provides all information that would be </w:t>
      </w:r>
      <w:r>
        <w:rPr>
          <w:color w:val="2E97D3"/>
        </w:rPr>
        <w:t>“</w:t>
      </w:r>
      <w:r>
        <w:rPr/>
        <w:t>material</w:t>
      </w:r>
      <w:r>
        <w:rPr>
          <w:color w:val="2E97D3"/>
        </w:rPr>
        <w:t>” </w:t>
      </w:r>
      <w:r>
        <w:rPr/>
        <w:t>to a prospective purchaser of the bonds, including descriptions of the issuer, terms of the bonds, security for the bonds, major legal documents, risk factors and tax matters, and financial statements. The </w:t>
      </w:r>
      <w:r>
        <w:rPr>
          <w:i/>
        </w:rPr>
        <w:t>preliminary official statement </w:t>
      </w:r>
      <w:r>
        <w:rPr/>
        <w:t>is a version used by the issuer or underwriters to inform the marketplace of the terms of the bonds being issued prior to receipt of bids at a competitive sale or prior to the determination of interest rates and purchase price in a negotiated sale.  Section 6880.</w:t>
      </w:r>
    </w:p>
    <w:p>
      <w:pPr>
        <w:pStyle w:val="BodyText"/>
        <w:spacing w:before="120"/>
        <w:ind w:left="640" w:right="746"/>
        <w:jc w:val="both"/>
      </w:pPr>
      <w:r>
        <w:rPr/>
        <w:pict>
          <v:line style="position:absolute;mso-position-horizontal-relative:page;mso-position-vertical-relative:paragraph;z-index:-427144" from="235.320007pt,14.435871pt" to="239.159007pt,14.435871pt" stroked="true" strokeweight=".6pt" strokecolor="#2e97d3">
            <v:stroke dashstyle="solid"/>
            <w10:wrap type="none"/>
          </v:line>
        </w:pict>
      </w:r>
      <w:r>
        <w:rPr/>
        <w:pict>
          <v:line style="position:absolute;mso-position-horizontal-relative:page;mso-position-vertical-relative:paragraph;z-index:45712" from="26.76pt,47.615871pt" to="26.76pt,67.295871pt" stroked="true" strokeweight=".72pt" strokecolor="#000000">
            <v:stroke dashstyle="solid"/>
            <w10:wrap type="none"/>
          </v:line>
        </w:pict>
      </w:r>
      <w:r>
        <w:rPr>
          <w:b/>
        </w:rPr>
        <w:t>Offner-Dean rule (or exception)</w:t>
      </w:r>
      <w:r>
        <w:rPr/>
        <w:t>: Case law that has established that lease-revenue bonds does not meet the constitutional definitions (and therefore restrictions) of debt. Sections 6872 and 6876.</w:t>
      </w:r>
    </w:p>
    <w:p>
      <w:pPr>
        <w:pStyle w:val="BodyText"/>
        <w:spacing w:before="120"/>
        <w:ind w:left="640" w:right="234"/>
      </w:pPr>
      <w:r>
        <w:rPr/>
        <w:pict>
          <v:line style="position:absolute;mso-position-horizontal-relative:page;mso-position-vertical-relative:paragraph;z-index:-427120" from="149.880005pt,14.436347pt" to="153.120005pt,14.436347pt" stroked="true" strokeweight=".599pt" strokecolor="#2e97d3">
            <v:stroke dashstyle="solid"/>
            <w10:wrap type="none"/>
          </v:line>
        </w:pict>
      </w:r>
      <w:r>
        <w:rPr/>
        <w:pict>
          <v:line style="position:absolute;mso-position-horizontal-relative:page;mso-position-vertical-relative:paragraph;z-index:-427096" from="201.839996pt,55.715847pt" to="205.199996pt,55.715847pt" stroked="true" strokeweight=".6pt" strokecolor="#2e97d3">
            <v:stroke dashstyle="solid"/>
            <w10:wrap type="none"/>
          </v:line>
        </w:pict>
      </w:r>
      <w:r>
        <w:rPr/>
        <w:pict>
          <v:line style="position:absolute;mso-position-horizontal-relative:page;mso-position-vertical-relative:paragraph;z-index:45736" from="26.76pt,47.494846pt" to="26.76pt,61.295846pt" stroked="true" strokeweight=".72pt" strokecolor="#000000">
            <v:stroke dashstyle="solid"/>
            <w10:wrap type="none"/>
          </v:line>
        </w:pict>
      </w:r>
      <w:r>
        <w:rPr>
          <w:b/>
        </w:rPr>
        <w:t>Operating lease</w:t>
      </w:r>
      <w:r>
        <w:rPr/>
        <w:t>: A pure lease for facility space.  Where client departments have long- term lease authority, the lessor may choose to use such a lease as security for a debt offering to finance the project, but the state’s credit involvement is limited solely to that of a party to a lease or contract.  Section 6876.</w:t>
      </w:r>
    </w:p>
    <w:p>
      <w:pPr>
        <w:spacing w:before="115"/>
        <w:ind w:left="640" w:right="0" w:firstLine="0"/>
        <w:jc w:val="left"/>
        <w:rPr>
          <w:i/>
          <w:sz w:val="24"/>
        </w:rPr>
      </w:pPr>
      <w:r>
        <w:rPr/>
        <w:pict>
          <v:line style="position:absolute;mso-position-horizontal-relative:page;mso-position-vertical-relative:paragraph;z-index:45760" from="26.76pt,19.885851pt" to="26.76pt,162.325851pt" stroked="true" strokeweight=".72pt" strokecolor="#000000">
            <v:stroke dashstyle="solid"/>
            <w10:wrap type="none"/>
          </v:line>
        </w:pict>
      </w:r>
      <w:r>
        <w:rPr>
          <w:b/>
          <w:sz w:val="24"/>
        </w:rPr>
        <w:t>Option to purchase:  </w:t>
      </w:r>
      <w:r>
        <w:rPr>
          <w:sz w:val="24"/>
        </w:rPr>
        <w:t>See </w:t>
      </w:r>
      <w:r>
        <w:rPr>
          <w:i/>
          <w:sz w:val="24"/>
        </w:rPr>
        <w:t>purchase option.</w:t>
      </w:r>
    </w:p>
    <w:p>
      <w:pPr>
        <w:pStyle w:val="BodyText"/>
        <w:spacing w:before="124"/>
        <w:ind w:left="640"/>
      </w:pPr>
      <w:r>
        <w:rPr/>
        <w:pict>
          <v:line style="position:absolute;mso-position-horizontal-relative:page;mso-position-vertical-relative:paragraph;z-index:-427072" from="91.800003pt,14.635873pt" to="95.160003pt,14.635873pt" stroked="true" strokeweight=".6pt" strokecolor="#2e97d3">
            <v:stroke dashstyle="solid"/>
            <w10:wrap type="none"/>
          </v:line>
        </w:pict>
      </w:r>
      <w:r>
        <w:rPr/>
        <w:pict>
          <v:line style="position:absolute;mso-position-horizontal-relative:page;mso-position-vertical-relative:paragraph;z-index:-427048" from="155.639999pt,28.436373pt" to="159.000999pt,28.436373pt" stroked="true" strokeweight=".599pt" strokecolor="#2e97d3">
            <v:stroke dashstyle="solid"/>
            <w10:wrap type="none"/>
          </v:line>
        </w:pict>
      </w:r>
      <w:r>
        <w:rPr>
          <w:b/>
        </w:rPr>
        <w:t>Phase</w:t>
      </w:r>
      <w:r>
        <w:rPr/>
        <w:t>: Steps in a project which may be budgeted separately or together, depending upon project complexity. The most common phases are studies, site selection/acquisition, preliminary plans, working drawings/bidding, construction, and equipment to complete </w:t>
      </w:r>
      <w:r>
        <w:rPr>
          <w:strike/>
          <w:color w:val="2E97D3"/>
        </w:rPr>
        <w:t>the project. </w:t>
      </w:r>
      <w:r>
        <w:rPr>
          <w:strike w:val="0"/>
          <w:color w:val="2E97D3"/>
          <w:u w:val="single" w:color="2E97D3"/>
        </w:rPr>
        <w:t>a design-bid-build project. Design-build projects have two phases (performance criteria and design-build). </w:t>
      </w:r>
      <w:r>
        <w:rPr>
          <w:strike w:val="0"/>
        </w:rPr>
        <w:t>Section 6808.</w:t>
      </w:r>
    </w:p>
    <w:p>
      <w:pPr>
        <w:pStyle w:val="BodyText"/>
        <w:rPr>
          <w:sz w:val="20"/>
        </w:rPr>
      </w:pPr>
    </w:p>
    <w:p>
      <w:pPr>
        <w:pStyle w:val="BodyText"/>
        <w:rPr>
          <w:sz w:val="17"/>
        </w:rPr>
      </w:pPr>
    </w:p>
    <w:p>
      <w:pPr>
        <w:pStyle w:val="BodyText"/>
        <w:spacing w:before="92"/>
        <w:ind w:left="640"/>
      </w:pPr>
      <w:r>
        <w:rPr>
          <w:color w:val="2C6234"/>
          <w:u w:val="thick" w:color="2C6234"/>
        </w:rPr>
        <w:t>(Continued)</w:t>
      </w:r>
    </w:p>
    <w:p>
      <w:pPr>
        <w:pStyle w:val="BodyText"/>
        <w:ind w:left="640"/>
      </w:pPr>
      <w:r>
        <w:rPr>
          <w:b/>
          <w:strike/>
          <w:color w:val="2E97D3"/>
        </w:rPr>
        <w:t>Planning estimates: </w:t>
      </w:r>
      <w:r>
        <w:rPr>
          <w:strike/>
          <w:color w:val="2E97D3"/>
        </w:rPr>
        <w:t>In capital outlay, the approximate appraisal value for property used at COBCP stage (Section 6818).  The term has a different usage in support budgeting.</w:t>
      </w:r>
    </w:p>
    <w:p>
      <w:pPr>
        <w:spacing w:after="0"/>
        <w:sectPr>
          <w:pgSz w:w="12240" w:h="15840"/>
          <w:pgMar w:header="726" w:footer="726" w:top="1520" w:bottom="980" w:left="420" w:right="1320"/>
        </w:sectPr>
      </w:pPr>
    </w:p>
    <w:p>
      <w:pPr>
        <w:tabs>
          <w:tab w:pos="8711" w:val="left" w:leader="none"/>
        </w:tabs>
        <w:spacing w:before="0"/>
        <w:ind w:left="640" w:right="0" w:firstLine="0"/>
        <w:jc w:val="left"/>
        <w:rPr>
          <w:sz w:val="24"/>
        </w:rPr>
      </w:pPr>
      <w:r>
        <w:rPr/>
        <w:pict>
          <v:group style="position:absolute;margin-left:52.740002pt;margin-top:11.73583pt;width:487.45pt;height:2.2pt;mso-position-horizontal-relative:page;mso-position-vertical-relative:paragraph;z-index:-426880" coordorigin="1055,235" coordsize="9749,44">
            <v:line style="position:absolute" from="1061,241" to="10450,241" stroked="true" strokeweight=".6pt" strokecolor="#2c6234">
              <v:stroke dashstyle="solid"/>
            </v:line>
            <v:line style="position:absolute" from="1061,272" to="10450,272" stroked="true" strokeweight=".599pt" strokecolor="#2c6234">
              <v:stroke dashstyle="solid"/>
            </v:line>
            <v:line style="position:absolute" from="10450,260" to="10795,260" stroked="true" strokeweight=".84pt" strokecolor="#2e97d3">
              <v:stroke dashstyle="solid"/>
            </v:line>
            <w10:wrap type="none"/>
          </v:group>
        </w:pict>
      </w:r>
      <w:r>
        <w:rPr/>
        <w:pict>
          <v:line style="position:absolute;mso-position-horizontal-relative:page;mso-position-vertical-relative:page;z-index:45880" from="26.76pt,48.959999pt" to="26.76pt,114.839999pt" stroked="true" strokeweight=".72pt" strokecolor="#000000">
            <v:stroke dashstyle="solid"/>
            <w10:wrap type="none"/>
          </v:line>
        </w:pict>
      </w:r>
      <w:bookmarkStart w:name="GLOSSARY AND INDEX FOR CAPITAL OUTLAY" w:id="165"/>
      <w:bookmarkEnd w:id="165"/>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 </w:t>
      </w:r>
      <w:r>
        <w:rPr>
          <w:color w:val="2C6234"/>
          <w:sz w:val="24"/>
        </w:rPr>
        <w:t>(Cont.</w:t>
      </w:r>
      <w:r>
        <w:rPr>
          <w:color w:val="2C6234"/>
          <w:spacing w:val="-12"/>
          <w:sz w:val="24"/>
        </w:rPr>
        <w:t> </w:t>
      </w:r>
      <w:r>
        <w:rPr>
          <w:color w:val="2E97D3"/>
          <w:sz w:val="24"/>
        </w:rPr>
        <w:t>12)</w:t>
      </w:r>
    </w:p>
    <w:p>
      <w:pPr>
        <w:pStyle w:val="BodyText"/>
        <w:ind w:left="640"/>
      </w:pPr>
      <w:r>
        <w:rPr>
          <w:color w:val="2E97D3"/>
          <w:u w:val="single" w:color="2E97D3"/>
        </w:rPr>
        <w:t>(Revised 09/2017)</w:t>
      </w:r>
    </w:p>
    <w:p>
      <w:pPr>
        <w:pStyle w:val="BodyText"/>
        <w:spacing w:before="1"/>
        <w:rPr>
          <w:sz w:val="23"/>
        </w:rPr>
      </w:pPr>
    </w:p>
    <w:p>
      <w:pPr>
        <w:spacing w:before="92"/>
        <w:ind w:left="640" w:right="0" w:firstLine="0"/>
        <w:jc w:val="left"/>
        <w:rPr>
          <w:sz w:val="24"/>
        </w:rPr>
      </w:pPr>
      <w:r>
        <w:rPr/>
        <w:pict>
          <v:line style="position:absolute;mso-position-horizontal-relative:page;mso-position-vertical-relative:paragraph;z-index:45904" from="26.76pt,18.735849pt" to="26.76pt,38.535849pt" stroked="true" strokeweight=".72pt" strokecolor="#000000">
            <v:stroke dashstyle="solid"/>
            <w10:wrap type="none"/>
          </v:line>
        </w:pict>
      </w:r>
      <w:r>
        <w:rPr>
          <w:b/>
          <w:sz w:val="24"/>
        </w:rPr>
        <w:t>Pooled Money Investment Account (PMIA):  </w:t>
      </w:r>
      <w:r>
        <w:rPr>
          <w:sz w:val="24"/>
        </w:rPr>
        <w:t>See </w:t>
      </w:r>
      <w:r>
        <w:rPr>
          <w:i/>
          <w:sz w:val="24"/>
        </w:rPr>
        <w:t>Pooled Money Investment Board</w:t>
      </w:r>
      <w:r>
        <w:rPr>
          <w:sz w:val="24"/>
        </w:rPr>
        <w:t>.</w:t>
      </w:r>
    </w:p>
    <w:p>
      <w:pPr>
        <w:pStyle w:val="BodyText"/>
        <w:spacing w:before="122"/>
        <w:ind w:left="640" w:right="208"/>
      </w:pPr>
      <w:r>
        <w:rPr/>
        <w:pict>
          <v:line style="position:absolute;mso-position-horizontal-relative:page;mso-position-vertical-relative:paragraph;z-index:-426856" from="284.519989pt,14.535867pt" to="287.880989pt,14.535867pt" stroked="true" strokeweight=".6pt" strokecolor="#2e97d3">
            <v:stroke dashstyle="solid"/>
            <w10:wrap type="none"/>
          </v:line>
        </w:pict>
      </w:r>
      <w:r>
        <w:rPr/>
        <w:pict>
          <v:line style="position:absolute;mso-position-horizontal-relative:page;mso-position-vertical-relative:paragraph;z-index:45928" from="26.76pt,33.915867pt" to="26.76pt,130.515867pt" stroked="true" strokeweight=".72pt" strokecolor="#000000">
            <v:stroke dashstyle="solid"/>
            <w10:wrap type="none"/>
          </v:line>
        </w:pict>
      </w:r>
      <w:r>
        <w:rPr>
          <w:b/>
        </w:rPr>
        <w:t>Pooled Money Investment Board (PMIB): </w:t>
      </w:r>
      <w:r>
        <w:rPr/>
        <w:t>The Pooled Money Investment Board (PMIB) administers the Pooled Money Investment Account (PMIA) for investment of surplus state and local government funds. Among other investment strategies, PMIB may make loans </w:t>
      </w:r>
      <w:r>
        <w:rPr>
          <w:strike/>
          <w:color w:val="2E97D3"/>
        </w:rPr>
        <w:t>to projects otherwise eligible for interim financing through a General Fund loan. PMIB may also make loans to any special fund for a project authorized to be debt-financed. Section 6878.</w:t>
      </w:r>
      <w:r>
        <w:rPr>
          <w:strike w:val="0"/>
          <w:color w:val="2E97D3"/>
          <w:u w:val="single" w:color="2E97D3"/>
        </w:rPr>
        <w:t>–</w:t>
      </w:r>
    </w:p>
    <w:p>
      <w:pPr>
        <w:pStyle w:val="BodyText"/>
        <w:ind w:left="640" w:right="221"/>
      </w:pPr>
      <w:r>
        <w:rPr>
          <w:color w:val="2E97D3"/>
          <w:u w:val="single" w:color="2E97D3"/>
        </w:rPr>
        <w:t>known as AB55 loans – to projects otherwise eligible for interim financing through a General Fund loan. PMIB may also make loans to any special fund for a project authorized to be debt-financed. Section 6878.</w:t>
      </w:r>
    </w:p>
    <w:p>
      <w:pPr>
        <w:spacing w:before="115"/>
        <w:ind w:left="640" w:right="0" w:firstLine="0"/>
        <w:jc w:val="left"/>
        <w:rPr>
          <w:i/>
          <w:sz w:val="24"/>
        </w:rPr>
      </w:pPr>
      <w:r>
        <w:rPr/>
        <w:pict>
          <v:line style="position:absolute;mso-position-horizontal-relative:page;mso-position-vertical-relative:paragraph;z-index:45952" from="26.76pt,19.885845pt" to="26.76pt,53.485845pt" stroked="true" strokeweight=".72pt" strokecolor="#000000">
            <v:stroke dashstyle="solid"/>
            <w10:wrap type="none"/>
          </v:line>
        </w:pict>
      </w:r>
      <w:r>
        <w:rPr>
          <w:b/>
          <w:sz w:val="24"/>
        </w:rPr>
        <w:t>Preliminary official statement:  </w:t>
      </w:r>
      <w:r>
        <w:rPr>
          <w:sz w:val="24"/>
        </w:rPr>
        <w:t>See </w:t>
      </w:r>
      <w:r>
        <w:rPr>
          <w:i/>
          <w:sz w:val="24"/>
        </w:rPr>
        <w:t>official statement.</w:t>
      </w:r>
    </w:p>
    <w:p>
      <w:pPr>
        <w:pStyle w:val="BodyText"/>
        <w:spacing w:before="122"/>
        <w:ind w:left="640" w:right="147"/>
      </w:pPr>
      <w:r>
        <w:rPr/>
        <w:pict>
          <v:line style="position:absolute;mso-position-horizontal-relative:page;mso-position-vertical-relative:paragraph;z-index:-426832" from="195.240005pt,14.535862pt" to="198.601005pt,14.535862pt" stroked="true" strokeweight=".6pt" strokecolor="#2e97d3">
            <v:stroke dashstyle="solid"/>
            <w10:wrap type="none"/>
          </v:line>
        </w:pict>
      </w:r>
      <w:r>
        <w:rPr/>
        <w:pict>
          <v:line style="position:absolute;mso-position-horizontal-relative:page;mso-position-vertical-relative:paragraph;z-index:-426808" from="333.959991pt,28.336361pt" to="337.319991pt,28.336361pt" stroked="true" strokeweight=".599pt" strokecolor="#2e97d3">
            <v:stroke dashstyle="solid"/>
            <w10:wrap type="none"/>
          </v:line>
        </w:pict>
      </w:r>
      <w:r>
        <w:rPr/>
        <w:pict>
          <v:line style="position:absolute;mso-position-horizontal-relative:page;mso-position-vertical-relative:paragraph;z-index:45976" from="26.76pt,47.715862pt" to="26.76pt,154.635862pt" stroked="true" strokeweight=".72pt" strokecolor="#000000">
            <v:stroke dashstyle="solid"/>
            <w10:wrap type="none"/>
          </v:line>
        </w:pict>
      </w:r>
      <w:r>
        <w:rPr>
          <w:b/>
        </w:rPr>
        <w:t>Preliminary plans/phase: </w:t>
      </w:r>
      <w:r>
        <w:rPr/>
        <w:t>Initial design phase in preparing the construction bidding documents, typically developed in two distinct steps: schematics and design development. Final documents include a site plan, architectural floor plans, elevations, outline specifications, and a cost estimate. This phase starts with </w:t>
      </w:r>
      <w:r>
        <w:rPr>
          <w:strike/>
          <w:color w:val="2E97D3"/>
        </w:rPr>
        <w:t>DOF</w:t>
      </w:r>
      <w:r>
        <w:rPr>
          <w:strike w:val="0"/>
          <w:color w:val="2E97D3"/>
          <w:u w:val="single" w:color="2E97D3"/>
        </w:rPr>
        <w:t>Finance </w:t>
      </w:r>
      <w:r>
        <w:rPr>
          <w:strike w:val="0"/>
        </w:rPr>
        <w:t>releasing funds via a Form 22 or </w:t>
      </w:r>
      <w:r>
        <w:rPr>
          <w:strike/>
          <w:color w:val="2E97D3"/>
        </w:rPr>
        <w:t>GS-OSA-</w:t>
      </w:r>
      <w:r>
        <w:rPr>
          <w:strike w:val="0"/>
          <w:color w:val="2E97D3"/>
          <w:u w:val="single" w:color="2E97D3"/>
        </w:rPr>
        <w:t>Form </w:t>
      </w:r>
      <w:r>
        <w:rPr>
          <w:strike w:val="0"/>
        </w:rPr>
        <w:t>220 and ends when PWB approves the preliminary plans.</w:t>
      </w:r>
    </w:p>
    <w:p>
      <w:pPr>
        <w:pStyle w:val="BodyText"/>
        <w:spacing w:line="583" w:lineRule="auto"/>
        <w:ind w:left="640" w:right="8372"/>
      </w:pPr>
      <w:r>
        <w:rPr/>
        <w:t>Section 6851. </w:t>
      </w:r>
      <w:r>
        <w:rPr>
          <w:strike/>
          <w:color w:val="2E97D3"/>
        </w:rPr>
        <w:t>(Continued)</w:t>
      </w:r>
    </w:p>
    <w:p>
      <w:pPr>
        <w:spacing w:after="0" w:line="583" w:lineRule="auto"/>
        <w:sectPr>
          <w:pgSz w:w="12240" w:h="15840"/>
          <w:pgMar w:header="726" w:footer="726" w:top="1740" w:bottom="980" w:left="420" w:right="1320"/>
        </w:sectPr>
      </w:pPr>
    </w:p>
    <w:p>
      <w:pPr>
        <w:spacing w:line="268" w:lineRule="exact" w:before="78"/>
        <w:ind w:left="4448" w:right="3845" w:firstLine="0"/>
        <w:jc w:val="center"/>
        <w:rPr>
          <w:b/>
          <w:sz w:val="24"/>
        </w:rPr>
      </w:pPr>
      <w:r>
        <w:rPr/>
        <w:pict>
          <v:line style="position:absolute;mso-position-horizontal-relative:page;mso-position-vertical-relative:paragraph;z-index:46240" from="26.76pt,16.955887pt" to="26.76pt,211.355887pt" stroked="true" strokeweight=".72pt" strokecolor="#000000">
            <v:stroke dashstyle="solid"/>
            <w10:wrap type="none"/>
          </v:line>
        </w:pict>
      </w:r>
      <w:r>
        <w:rPr>
          <w:b/>
          <w:sz w:val="24"/>
        </w:rPr>
        <w:t>SAM - BUDGETING</w:t>
      </w:r>
    </w:p>
    <w:p>
      <w:pPr>
        <w:pStyle w:val="BodyText"/>
        <w:spacing w:line="268" w:lineRule="exact"/>
        <w:ind w:left="640"/>
      </w:pPr>
      <w:r>
        <w:rPr>
          <w:strike/>
          <w:color w:val="2C6234"/>
        </w:rPr>
        <w:t>(Continued)</w:t>
      </w:r>
    </w:p>
    <w:p>
      <w:pPr>
        <w:pStyle w:val="Heading2"/>
        <w:spacing w:line="274" w:lineRule="exact"/>
        <w:ind w:left="640"/>
      </w:pPr>
      <w:r>
        <w:rPr>
          <w:strike/>
          <w:color w:val="2C6234"/>
        </w:rPr>
        <w:t>GLOSSARY AND INDEX FOR CAPITAL OUTLAY</w:t>
      </w:r>
    </w:p>
    <w:p>
      <w:pPr>
        <w:tabs>
          <w:tab w:pos="8608" w:val="left" w:leader="none"/>
        </w:tabs>
        <w:spacing w:before="0"/>
        <w:ind w:left="640" w:right="242" w:firstLine="0"/>
        <w:jc w:val="left"/>
        <w:rPr>
          <w:sz w:val="24"/>
        </w:rPr>
      </w:pPr>
      <w:r>
        <w:rPr/>
        <w:pict>
          <v:group style="position:absolute;margin-left:52.740002pt;margin-top:7.535884pt;width:482.2pt;height:1.8pt;mso-position-horizontal-relative:page;mso-position-vertical-relative:paragraph;z-index:-426664" coordorigin="1055,151" coordsize="9644,36">
            <v:shape style="position:absolute;left:1061;top:157;width:9286;height:24" coordorigin="1061,157" coordsize="9286,24" path="m1061,181l10346,181m1061,157l10346,157e" filled="false" stroked="true" strokeweight=".6pt" strokecolor="#2c6234">
              <v:path arrowok="t"/>
              <v:stroke dashstyle="solid"/>
            </v:shape>
            <v:line style="position:absolute" from="10346,169" to="10692,169" stroked="true" strokeweight=".599pt" strokecolor="#2e97d3">
              <v:stroke dashstyle="solid"/>
            </v:line>
            <w10:wrap type="none"/>
          </v:group>
        </w:pict>
      </w:r>
      <w:bookmarkStart w:name="(New 5/1998)" w:id="166"/>
      <w:bookmarkEnd w:id="166"/>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w:t>
      </w:r>
      <w:r>
        <w:rPr>
          <w:b/>
          <w:color w:val="2C6234"/>
          <w:spacing w:val="-3"/>
          <w:sz w:val="24"/>
        </w:rPr>
        <w:t> </w:t>
      </w:r>
      <w:r>
        <w:rPr>
          <w:color w:val="2C6234"/>
          <w:sz w:val="24"/>
        </w:rPr>
        <w:t>(Cont.</w:t>
      </w:r>
      <w:r>
        <w:rPr>
          <w:color w:val="2C6234"/>
          <w:spacing w:val="-7"/>
          <w:sz w:val="24"/>
        </w:rPr>
        <w:t> </w:t>
      </w:r>
      <w:r>
        <w:rPr>
          <w:color w:val="2E97D3"/>
          <w:sz w:val="24"/>
        </w:rPr>
        <w:t>13)</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rPr>
          <w:sz w:val="20"/>
        </w:rPr>
      </w:pPr>
    </w:p>
    <w:p>
      <w:pPr>
        <w:pStyle w:val="BodyText"/>
        <w:spacing w:before="226"/>
        <w:ind w:left="640" w:right="395"/>
      </w:pPr>
      <w:r>
        <w:rPr/>
        <w:pict>
          <v:line style="position:absolute;mso-position-horizontal-relative:page;mso-position-vertical-relative:paragraph;z-index:-426640" from="206.399994pt,19.736359pt" to="216.240994pt,19.736359pt" stroked="true" strokeweight=".599pt" strokecolor="#2e97d3">
            <v:stroke dashstyle="solid"/>
            <w10:wrap type="none"/>
          </v:line>
        </w:pict>
      </w:r>
      <w:r>
        <w:rPr/>
        <w:pict>
          <v:line style="position:absolute;mso-position-horizontal-relative:page;mso-position-vertical-relative:paragraph;z-index:-426616" from="105.120003pt,61.13636pt" to="108.360003pt,61.13636pt" stroked="true" strokeweight=".599pt" strokecolor="#2e97d3">
            <v:stroke dashstyle="solid"/>
            <w10:wrap type="none"/>
          </v:line>
        </w:pict>
      </w:r>
      <w:r>
        <w:rPr/>
        <w:pict>
          <v:line style="position:absolute;mso-position-horizontal-relative:page;mso-position-vertical-relative:paragraph;z-index:-426592" from="379.320007pt,74.935860pt" to="382.680007pt,74.935860pt" stroked="true" strokeweight=".6pt" strokecolor="#2e97d3">
            <v:stroke dashstyle="solid"/>
            <w10:wrap type="none"/>
          </v:line>
        </w:pict>
      </w:r>
      <w:r>
        <w:rPr/>
        <w:pict>
          <v:line style="position:absolute;mso-position-horizontal-relative:page;mso-position-vertical-relative:paragraph;z-index:-426568" from="520.799988pt,88.735863pt" to="524.159988pt,88.735863pt" stroked="true" strokeweight=".6pt" strokecolor="#2e97d3">
            <v:stroke dashstyle="solid"/>
            <w10:wrap type="none"/>
          </v:line>
        </w:pict>
      </w:r>
      <w:r>
        <w:rPr>
          <w:b/>
        </w:rPr>
        <w:t>Pre-schematic documents: </w:t>
      </w:r>
      <w:r>
        <w:rPr/>
        <w:t>Plans prepared during </w:t>
      </w:r>
      <w:r>
        <w:rPr>
          <w:strike/>
          <w:color w:val="2E97D3"/>
        </w:rPr>
        <w:t>the </w:t>
      </w:r>
      <w:r>
        <w:rPr>
          <w:strike w:val="0"/>
          <w:color w:val="2E97D3"/>
          <w:u w:val="single" w:color="2E97D3"/>
        </w:rPr>
        <w:t>development of a </w:t>
      </w:r>
      <w:r>
        <w:rPr>
          <w:strike w:val="0"/>
        </w:rPr>
        <w:t>budget package </w:t>
      </w:r>
      <w:r>
        <w:rPr>
          <w:strike/>
          <w:color w:val="2E97D3"/>
        </w:rPr>
        <w:t>phase</w:t>
      </w:r>
      <w:r>
        <w:rPr>
          <w:strike w:val="0"/>
        </w:rPr>
        <w:t>, usually by DGS, to depict a possible solution </w:t>
      </w:r>
      <w:r>
        <w:rPr>
          <w:strike w:val="0"/>
          <w:color w:val="2E97D3"/>
          <w:u w:val="single" w:color="2E97D3"/>
        </w:rPr>
        <w:t>– or solutions – </w:t>
      </w:r>
      <w:r>
        <w:rPr>
          <w:strike w:val="0"/>
        </w:rPr>
        <w:t>to the department’s stated needs and to serve as the basis for a </w:t>
      </w:r>
      <w:r>
        <w:rPr>
          <w:strike/>
          <w:color w:val="2E97D3"/>
        </w:rPr>
        <w:t>budget package</w:t>
      </w:r>
      <w:r>
        <w:rPr>
          <w:strike w:val="0"/>
          <w:color w:val="2E97D3"/>
          <w:u w:val="single" w:color="2E97D3"/>
        </w:rPr>
        <w:t>project </w:t>
      </w:r>
      <w:r>
        <w:rPr>
          <w:strike w:val="0"/>
        </w:rPr>
        <w:t>cost estimate. The design architect/engineer later </w:t>
      </w:r>
      <w:r>
        <w:rPr>
          <w:strike/>
          <w:color w:val="2E97D3"/>
        </w:rPr>
        <w:t>uses</w:t>
      </w:r>
      <w:r>
        <w:rPr>
          <w:strike w:val="0"/>
          <w:color w:val="2E97D3"/>
          <w:u w:val="single" w:color="2E97D3"/>
        </w:rPr>
        <w:t>may use </w:t>
      </w:r>
      <w:r>
        <w:rPr>
          <w:strike w:val="0"/>
        </w:rPr>
        <w:t>these plans to develop the schematic documents as part of the preliminary plans phase. Section 6828</w:t>
      </w:r>
      <w:r>
        <w:rPr>
          <w:strike/>
          <w:color w:val="2E97D3"/>
        </w:rPr>
        <w:t>, budget package preparation. </w:t>
      </w:r>
      <w:r>
        <w:rPr>
          <w:strike w:val="0"/>
          <w:color w:val="2E97D3"/>
          <w:u w:val="single" w:color="2E97D3"/>
        </w:rPr>
        <w:t>(“</w:t>
      </w:r>
      <w:hyperlink r:id="rId372">
        <w:r>
          <w:rPr>
            <w:strike w:val="0"/>
            <w:color w:val="2E97D3"/>
            <w:sz w:val="22"/>
            <w:u w:val="single" w:color="2E97D3"/>
          </w:rPr>
          <w:t>Budget Package Preparation, Budget Estimates</w:t>
        </w:r>
      </w:hyperlink>
      <w:r>
        <w:rPr>
          <w:strike w:val="0"/>
          <w:color w:val="2E97D3"/>
          <w:sz w:val="22"/>
          <w:u w:val="single" w:color="2E97D3"/>
        </w:rPr>
        <w:t> “) </w:t>
      </w:r>
      <w:r>
        <w:rPr>
          <w:strike w:val="0"/>
          <w:color w:val="2E97D3"/>
          <w:u w:val="single" w:color="2E97D3"/>
        </w:rPr>
        <w:t>and </w:t>
      </w:r>
      <w:r>
        <w:rPr>
          <w:strike w:val="0"/>
        </w:rPr>
        <w:t>Section 6851</w:t>
      </w:r>
      <w:r>
        <w:rPr>
          <w:strike w:val="0"/>
          <w:color w:val="2E97D3"/>
        </w:rPr>
        <w:t>, </w:t>
      </w:r>
      <w:r>
        <w:rPr>
          <w:strike/>
          <w:color w:val="2E97D3"/>
        </w:rPr>
        <w:t>preliminary plans. </w:t>
      </w:r>
      <w:r>
        <w:rPr>
          <w:strike w:val="0"/>
          <w:color w:val="2E97D3"/>
          <w:u w:val="single" w:color="2E97D3"/>
        </w:rPr>
        <w:t>(“Preliminary Plans Review”).</w:t>
      </w:r>
    </w:p>
    <w:p>
      <w:pPr>
        <w:pStyle w:val="BodyText"/>
        <w:spacing w:before="120"/>
        <w:ind w:left="640" w:right="162"/>
      </w:pPr>
      <w:r>
        <w:rPr/>
        <w:pict>
          <v:line style="position:absolute;mso-position-horizontal-relative:page;mso-position-vertical-relative:paragraph;z-index:-426544" from="183.839996pt,14.436384pt" to="187.199996pt,14.436384pt" stroked="true" strokeweight=".599pt" strokecolor="#2e97d3">
            <v:stroke dashstyle="solid"/>
            <w10:wrap type="none"/>
          </v:line>
        </w:pict>
      </w:r>
      <w:r>
        <w:rPr/>
        <w:pict>
          <v:line style="position:absolute;mso-position-horizontal-relative:page;mso-position-vertical-relative:paragraph;z-index:-426520" from="417.959991pt,42.035885pt" to="421.079991pt,42.035885pt" stroked="true" strokeweight=".6pt" strokecolor="#2e97d3">
            <v:stroke dashstyle="solid"/>
            <w10:wrap type="none"/>
          </v:line>
        </w:pict>
      </w:r>
      <w:r>
        <w:rPr/>
        <w:pict>
          <v:line style="position:absolute;mso-position-horizontal-relative:page;mso-position-vertical-relative:paragraph;z-index:46264" from="26.76pt,33.814884pt" to="26.76pt,47.615884pt" stroked="true" strokeweight=".72pt" strokecolor="#000000">
            <v:stroke dashstyle="solid"/>
            <w10:wrap type="none"/>
          </v:line>
        </w:pict>
      </w:r>
      <w:r>
        <w:rPr/>
        <w:pict>
          <v:line style="position:absolute;mso-position-horizontal-relative:page;mso-position-vertical-relative:paragraph;z-index:46288" from="26.76pt,61.415882pt" to="26.76pt,122.615882pt" stroked="true" strokeweight=".72pt" strokecolor="#000000">
            <v:stroke dashstyle="solid"/>
            <w10:wrap type="none"/>
          </v:line>
        </w:pict>
      </w:r>
      <w:r>
        <w:rPr>
          <w:b/>
        </w:rPr>
        <w:t>Program management:  </w:t>
      </w:r>
      <w:r>
        <w:rPr/>
        <w:t>Program management, which is a department responsibility, is the overall administration of a major capital outlay program such as new prison construction or renovating mental health facilities to meet licensing requirements. When needed for program planning, special consultant assistance may be funded from either the support appropriation or from the capital outlay budget </w:t>
      </w:r>
      <w:r>
        <w:rPr>
          <w:strike/>
          <w:color w:val="2E97D3"/>
        </w:rPr>
        <w:t>as a separate project.</w:t>
      </w:r>
      <w:r>
        <w:rPr>
          <w:strike w:val="0"/>
          <w:color w:val="2E97D3"/>
          <w:u w:val="single" w:color="2E97D3"/>
        </w:rPr>
        <w:t>, depending on the timing and scope of the services. </w:t>
      </w:r>
      <w:r>
        <w:rPr>
          <w:strike w:val="0"/>
        </w:rPr>
        <w:t>Sections 6805 and</w:t>
      </w:r>
      <w:r>
        <w:rPr>
          <w:strike w:val="0"/>
          <w:spacing w:val="-23"/>
        </w:rPr>
        <w:t> </w:t>
      </w:r>
      <w:r>
        <w:rPr>
          <w:strike w:val="0"/>
        </w:rPr>
        <w:t>6823.</w:t>
      </w:r>
    </w:p>
    <w:p>
      <w:pPr>
        <w:spacing w:before="120"/>
        <w:ind w:left="640" w:right="395" w:firstLine="0"/>
        <w:jc w:val="left"/>
        <w:rPr>
          <w:sz w:val="24"/>
        </w:rPr>
      </w:pPr>
      <w:r>
        <w:rPr/>
        <w:pict>
          <v:line style="position:absolute;mso-position-horizontal-relative:page;mso-position-vertical-relative:paragraph;z-index:-426496" from="204.479996pt,14.435865pt" to="207.719996pt,14.435865pt" stroked="true" strokeweight=".6pt" strokecolor="#2e97d3">
            <v:stroke dashstyle="solid"/>
            <w10:wrap type="none"/>
          </v:line>
        </w:pict>
      </w:r>
      <w:r>
        <w:rPr/>
        <w:pict>
          <v:line style="position:absolute;mso-position-horizontal-relative:page;mso-position-vertical-relative:paragraph;z-index:-426472" from="197.039993pt,28.236366pt" to="200.400993pt,28.236366pt" stroked="true" strokeweight=".599pt" strokecolor="#2e97d3">
            <v:stroke dashstyle="solid"/>
            <w10:wrap type="none"/>
          </v:line>
        </w:pict>
      </w:r>
      <w:r>
        <w:rPr>
          <w:b/>
          <w:sz w:val="24"/>
        </w:rPr>
        <w:t>Property Acquisition Law</w:t>
      </w:r>
      <w:r>
        <w:rPr>
          <w:sz w:val="24"/>
        </w:rPr>
        <w:t>: The body of law in the Government Code covering acquisition of real property.  Section 6842.</w:t>
      </w:r>
    </w:p>
    <w:p>
      <w:pPr>
        <w:spacing w:before="115"/>
        <w:ind w:left="640" w:right="0" w:firstLine="0"/>
        <w:jc w:val="left"/>
        <w:rPr>
          <w:sz w:val="24"/>
        </w:rPr>
      </w:pPr>
      <w:r>
        <w:rPr>
          <w:b/>
          <w:sz w:val="24"/>
        </w:rPr>
        <w:t>Project Cost Detail Sheet</w:t>
      </w:r>
      <w:r>
        <w:rPr>
          <w:sz w:val="24"/>
        </w:rPr>
        <w:t>:  see </w:t>
      </w:r>
      <w:r>
        <w:rPr>
          <w:i/>
          <w:sz w:val="24"/>
        </w:rPr>
        <w:t>forms</w:t>
      </w:r>
      <w:r>
        <w:rPr>
          <w:sz w:val="24"/>
        </w:rPr>
        <w:t>.</w:t>
      </w:r>
    </w:p>
    <w:p>
      <w:pPr>
        <w:spacing w:before="120"/>
        <w:ind w:left="640" w:right="0" w:firstLine="0"/>
        <w:jc w:val="left"/>
        <w:rPr>
          <w:sz w:val="24"/>
        </w:rPr>
      </w:pPr>
      <w:r>
        <w:rPr/>
        <w:pict>
          <v:line style="position:absolute;mso-position-horizontal-relative:page;mso-position-vertical-relative:paragraph;z-index:46312" from="26.76pt,20.014862pt" to="26.76pt,67.295862pt" stroked="true" strokeweight=".72pt" strokecolor="#000000">
            <v:stroke dashstyle="solid"/>
            <w10:wrap type="none"/>
          </v:line>
        </w:pict>
      </w:r>
      <w:r>
        <w:rPr>
          <w:b/>
          <w:sz w:val="24"/>
        </w:rPr>
        <w:t>Project Cost, Funding and Schedule Summary</w:t>
      </w:r>
      <w:r>
        <w:rPr>
          <w:sz w:val="24"/>
        </w:rPr>
        <w:t>:  see </w:t>
      </w:r>
      <w:r>
        <w:rPr>
          <w:i/>
          <w:sz w:val="24"/>
        </w:rPr>
        <w:t>forms</w:t>
      </w:r>
      <w:r>
        <w:rPr>
          <w:sz w:val="24"/>
        </w:rPr>
        <w:t>.</w:t>
      </w:r>
    </w:p>
    <w:p>
      <w:pPr>
        <w:spacing w:before="118"/>
        <w:ind w:left="640" w:right="0" w:firstLine="0"/>
        <w:jc w:val="left"/>
        <w:rPr>
          <w:sz w:val="24"/>
        </w:rPr>
      </w:pPr>
      <w:r>
        <w:rPr/>
        <w:pict>
          <v:line style="position:absolute;mso-position-horizontal-relative:page;mso-position-vertical-relative:paragraph;z-index:-426448" from="177.839996pt,14.33637pt" to="181.199996pt,14.33637pt" stroked="true" strokeweight=".599pt" strokecolor="#2e97d3">
            <v:stroke dashstyle="solid"/>
            <w10:wrap type="none"/>
          </v:line>
        </w:pict>
      </w:r>
      <w:r>
        <w:rPr>
          <w:b/>
          <w:sz w:val="24"/>
        </w:rPr>
        <w:t>Project management</w:t>
      </w:r>
      <w:r>
        <w:rPr>
          <w:sz w:val="24"/>
        </w:rPr>
        <w:t>:  See </w:t>
      </w:r>
      <w:r>
        <w:rPr>
          <w:i/>
          <w:sz w:val="24"/>
        </w:rPr>
        <w:t>construction management</w:t>
      </w:r>
      <w:r>
        <w:rPr>
          <w:sz w:val="24"/>
        </w:rPr>
        <w:t>.</w:t>
      </w:r>
    </w:p>
    <w:p>
      <w:pPr>
        <w:pStyle w:val="BodyText"/>
        <w:ind w:left="640" w:right="95"/>
      </w:pPr>
      <w:r>
        <w:rPr/>
        <w:pict>
          <v:line style="position:absolute;mso-position-horizontal-relative:page;mso-position-vertical-relative:paragraph;z-index:46336" from="26.76pt,41.615852pt" to="26.76pt,90.935852pt" stroked="true" strokeweight=".72pt" strokecolor="#000000">
            <v:stroke dashstyle="solid"/>
            <w10:wrap type="none"/>
          </v:line>
        </w:pict>
      </w:r>
      <w:r>
        <w:rPr>
          <w:b/>
          <w:i/>
        </w:rPr>
        <w:t>Project </w:t>
      </w:r>
      <w:r>
        <w:rPr>
          <w:b/>
        </w:rPr>
        <w:t>per CEQA</w:t>
      </w:r>
      <w:r>
        <w:rPr/>
        <w:t>: Section 15378 (a) (3) </w:t>
      </w:r>
      <w:r>
        <w:rPr>
          <w:color w:val="2E97D3"/>
          <w:u w:val="single" w:color="2E97D3"/>
        </w:rPr>
        <w:t>of Title 14 </w:t>
      </w:r>
      <w:r>
        <w:rPr/>
        <w:t>of the California Code of Regulations defines </w:t>
      </w:r>
      <w:r>
        <w:rPr>
          <w:i/>
        </w:rPr>
        <w:t>project </w:t>
      </w:r>
      <w:r>
        <w:rPr/>
        <w:t>as an activity involving a lease, permit or license issued to a person or entity. Section 6850.</w:t>
      </w:r>
    </w:p>
    <w:p>
      <w:pPr>
        <w:pStyle w:val="BodyText"/>
        <w:rPr>
          <w:sz w:val="26"/>
        </w:rPr>
      </w:pPr>
    </w:p>
    <w:p>
      <w:pPr>
        <w:pStyle w:val="BodyText"/>
        <w:spacing w:before="11"/>
        <w:rPr>
          <w:sz w:val="35"/>
        </w:rPr>
      </w:pPr>
    </w:p>
    <w:p>
      <w:pPr>
        <w:pStyle w:val="BodyText"/>
        <w:ind w:left="640"/>
      </w:pPr>
      <w:r>
        <w:rPr>
          <w:color w:val="2C6234"/>
          <w:u w:val="thick" w:color="2C6234"/>
        </w:rPr>
        <w:t>(Continued)</w:t>
      </w:r>
    </w:p>
    <w:p>
      <w:pPr>
        <w:spacing w:after="0"/>
        <w:sectPr>
          <w:headerReference w:type="default" r:id="rId370"/>
          <w:footerReference w:type="default" r:id="rId371"/>
          <w:pgSz w:w="12240" w:h="15840"/>
          <w:pgMar w:header="0" w:footer="785" w:top="640" w:bottom="980" w:left="420" w:right="1300"/>
        </w:sectPr>
      </w:pPr>
    </w:p>
    <w:p>
      <w:pPr>
        <w:pStyle w:val="BodyText"/>
        <w:spacing w:before="6"/>
        <w:rPr>
          <w:sz w:val="10"/>
        </w:rPr>
      </w:pPr>
      <w:r>
        <w:rPr/>
        <w:pict>
          <v:line style="position:absolute;mso-position-horizontal-relative:page;mso-position-vertical-relative:page;z-index:46552" from="26.76pt,48.959999pt" to="26.76pt,134.639999pt" stroked="true" strokeweight=".72pt" strokecolor="#000000">
            <v:stroke dashstyle="solid"/>
            <w10:wrap type="none"/>
          </v:line>
        </w:pict>
      </w:r>
    </w:p>
    <w:p>
      <w:pPr>
        <w:tabs>
          <w:tab w:pos="8711" w:val="left" w:leader="none"/>
        </w:tabs>
        <w:spacing w:before="92"/>
        <w:ind w:left="640" w:right="0" w:firstLine="0"/>
        <w:jc w:val="left"/>
        <w:rPr>
          <w:sz w:val="24"/>
        </w:rPr>
      </w:pPr>
      <w:r>
        <w:rPr/>
        <w:pict>
          <v:group style="position:absolute;margin-left:52.740002pt;margin-top:16.335831pt;width:487.45pt;height:2.2pt;mso-position-horizontal-relative:page;mso-position-vertical-relative:paragraph;z-index:-426304" coordorigin="1055,327" coordsize="9749,44">
            <v:line style="position:absolute" from="1061,333" to="10450,333" stroked="true" strokeweight=".6pt" strokecolor="#2c6234">
              <v:stroke dashstyle="solid"/>
            </v:line>
            <v:line style="position:absolute" from="1061,364" to="10450,364" stroked="true" strokeweight=".599pt" strokecolor="#2c6234">
              <v:stroke dashstyle="solid"/>
            </v:line>
            <v:line style="position:absolute" from="10450,352" to="10795,352" stroked="true" strokeweight=".84pt" strokecolor="#2e97d3">
              <v:stroke dashstyle="solid"/>
            </v:line>
            <w10:wrap type="none"/>
          </v:group>
        </w:pict>
      </w:r>
      <w:bookmarkStart w:name="GLOSSARY AND INDEX FOR CAPITAL OUTLAY" w:id="167"/>
      <w:bookmarkEnd w:id="167"/>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 </w:t>
      </w:r>
      <w:r>
        <w:rPr>
          <w:color w:val="2C6234"/>
          <w:sz w:val="24"/>
        </w:rPr>
        <w:t>(Cont.</w:t>
      </w:r>
      <w:r>
        <w:rPr>
          <w:color w:val="2C6234"/>
          <w:spacing w:val="-12"/>
          <w:sz w:val="24"/>
        </w:rPr>
        <w:t> </w:t>
      </w:r>
      <w:r>
        <w:rPr>
          <w:color w:val="2E97D3"/>
          <w:sz w:val="24"/>
        </w:rPr>
        <w:t>13)</w:t>
      </w:r>
    </w:p>
    <w:p>
      <w:pPr>
        <w:pStyle w:val="BodyText"/>
        <w:ind w:left="640"/>
      </w:pPr>
      <w:r>
        <w:rPr>
          <w:color w:val="2E97D3"/>
          <w:u w:val="single" w:color="2E97D3"/>
        </w:rPr>
        <w:t>(Revised 09/2017)</w:t>
      </w:r>
    </w:p>
    <w:p>
      <w:pPr>
        <w:pStyle w:val="BodyText"/>
        <w:spacing w:before="120"/>
        <w:ind w:left="640" w:right="479"/>
        <w:jc w:val="both"/>
      </w:pPr>
      <w:r>
        <w:rPr/>
        <w:pict>
          <v:line style="position:absolute;mso-position-horizontal-relative:page;mso-position-vertical-relative:paragraph;z-index:-426280" from="231.119995pt,14.436355pt" to="234.479995pt,14.436355pt" stroked="true" strokeweight=".599pt" strokecolor="#2e97d3">
            <v:stroke dashstyle="solid"/>
            <w10:wrap type="none"/>
          </v:line>
        </w:pict>
      </w:r>
      <w:r>
        <w:rPr/>
        <w:pict>
          <v:line style="position:absolute;mso-position-horizontal-relative:page;mso-position-vertical-relative:paragraph;z-index:-426256" from="228.479996pt,69.635857pt" to="231.839996pt,69.635857pt" stroked="true" strokeweight=".6pt" strokecolor="#2e97d3">
            <v:stroke dashstyle="solid"/>
            <w10:wrap type="none"/>
          </v:line>
        </w:pict>
      </w:r>
      <w:r>
        <w:rPr/>
        <w:pict>
          <v:line style="position:absolute;mso-position-horizontal-relative:page;mso-position-vertical-relative:paragraph;z-index:46576" from="26.76pt,61.415855pt" to="26.76pt,142.415855pt" stroked="true" strokeweight=".72pt" strokecolor="#000000">
            <v:stroke dashstyle="solid"/>
            <w10:wrap type="none"/>
          </v:line>
        </w:pict>
      </w:r>
      <w:r>
        <w:rPr>
          <w:b/>
          <w:i/>
        </w:rPr>
        <w:t>Proje</w:t>
      </w:r>
      <w:r>
        <w:rPr>
          <w:b/>
        </w:rPr>
        <w:t>ct per State Contract Act: </w:t>
      </w:r>
      <w:r>
        <w:rPr/>
        <w:t>For purposes of contract law, Section </w:t>
      </w:r>
      <w:r>
        <w:rPr>
          <w:strike/>
          <w:color w:val="2E97D3"/>
          <w:u w:val="single" w:color="2E97D3"/>
        </w:rPr>
        <w:t>10105 </w:t>
      </w:r>
      <w:hyperlink r:id="rId374">
        <w:r>
          <w:rPr>
            <w:strike w:val="0"/>
            <w:color w:val="2E97D3"/>
            <w:u w:val="single" w:color="2E97D3"/>
          </w:rPr>
          <w:t>10105</w:t>
        </w:r>
      </w:hyperlink>
      <w:r>
        <w:rPr>
          <w:strike w:val="0"/>
          <w:color w:val="2E97D3"/>
          <w:u w:val="single" w:color="2E97D3"/>
        </w:rPr>
        <w:t> </w:t>
      </w:r>
      <w:r>
        <w:rPr>
          <w:strike w:val="0"/>
        </w:rPr>
        <w:t>of the Public Contract Code defines </w:t>
      </w:r>
      <w:r>
        <w:rPr>
          <w:i/>
          <w:strike w:val="0"/>
        </w:rPr>
        <w:t>project </w:t>
      </w:r>
      <w:r>
        <w:rPr>
          <w:strike w:val="0"/>
        </w:rPr>
        <w:t>as the erection, construction, alteration, repair, or improvement of any state-owned structure, building, road, or other state improvement of any kind with a total cost exceeding an amount periodically adjusted by the Director of Finance by Management Memo.  Section 6847.</w:t>
      </w:r>
    </w:p>
    <w:p>
      <w:pPr>
        <w:spacing w:before="114"/>
        <w:ind w:left="640" w:right="0" w:firstLine="0"/>
        <w:jc w:val="left"/>
        <w:rPr>
          <w:sz w:val="24"/>
        </w:rPr>
      </w:pPr>
      <w:r>
        <w:rPr/>
        <w:pict>
          <v:line style="position:absolute;mso-position-horizontal-relative:page;mso-position-vertical-relative:paragraph;z-index:-426232" from="138.479996pt,14.135845pt" to="141.839996pt,14.135845pt" stroked="true" strokeweight=".6pt" strokecolor="#2e97d3">
            <v:stroke dashstyle="solid"/>
            <w10:wrap type="none"/>
          </v:line>
        </w:pict>
      </w:r>
      <w:r>
        <w:rPr>
          <w:b/>
          <w:sz w:val="24"/>
        </w:rPr>
        <w:t>Project phase</w:t>
      </w:r>
      <w:r>
        <w:rPr>
          <w:sz w:val="24"/>
        </w:rPr>
        <w:t>:  See </w:t>
      </w:r>
      <w:r>
        <w:rPr>
          <w:i/>
          <w:sz w:val="24"/>
        </w:rPr>
        <w:t>phase</w:t>
      </w:r>
      <w:r>
        <w:rPr>
          <w:sz w:val="24"/>
        </w:rPr>
        <w:t>.</w:t>
      </w:r>
    </w:p>
    <w:p>
      <w:pPr>
        <w:pStyle w:val="BodyText"/>
        <w:spacing w:before="124"/>
        <w:ind w:left="640" w:right="147"/>
      </w:pPr>
      <w:r>
        <w:rPr/>
        <w:pict>
          <v:line style="position:absolute;mso-position-horizontal-relative:page;mso-position-vertical-relative:paragraph;z-index:-426208" from="157.679993pt,14.635867pt" to="167.519993pt,14.635867pt" stroked="true" strokeweight=".6pt" strokecolor="#2e97d3">
            <v:stroke dashstyle="solid"/>
            <w10:wrap type="none"/>
          </v:line>
        </w:pict>
      </w:r>
      <w:r>
        <w:rPr/>
        <w:pict>
          <v:line style="position:absolute;mso-position-horizontal-relative:page;mso-position-vertical-relative:paragraph;z-index:-426184" from="460.679993pt,28.435867pt" to="464.039993pt,28.435867pt" stroked="true" strokeweight=".6pt" strokecolor="#2e97d3">
            <v:stroke dashstyle="solid"/>
            <w10:wrap type="none"/>
          </v:line>
        </w:pict>
      </w:r>
      <w:r>
        <w:rPr/>
        <w:pict>
          <v:line style="position:absolute;mso-position-horizontal-relative:page;mso-position-vertical-relative:paragraph;z-index:46600" from="26.76pt,61.615868pt" to="26.76pt,81.415868pt" stroked="true" strokeweight=".72pt" strokecolor="#000000">
            <v:stroke dashstyle="solid"/>
            <w10:wrap type="none"/>
          </v:line>
        </w:pict>
      </w:r>
      <w:r>
        <w:rPr>
          <w:b/>
        </w:rPr>
        <w:t>Public lands trust: </w:t>
      </w:r>
      <w:r>
        <w:rPr/>
        <w:t>Landowner agreements with the state to preserve open space and allow public access to natural resources, in exchange for certain immunities. Certain agencies may create public land trusts; PWB has the authority for the balance of the state. Section 6842.</w:t>
      </w:r>
    </w:p>
    <w:p>
      <w:pPr>
        <w:pStyle w:val="BodyText"/>
        <w:spacing w:before="119"/>
        <w:ind w:left="640" w:right="147"/>
      </w:pPr>
      <w:r>
        <w:rPr/>
        <w:pict>
          <v:line style="position:absolute;mso-position-horizontal-relative:page;mso-position-vertical-relative:paragraph;z-index:-426160" from="209.759995pt,14.385855pt" to="213.119995pt,14.385855pt" stroked="true" strokeweight=".6pt" strokecolor="#2e97d3">
            <v:stroke dashstyle="solid"/>
            <w10:wrap type="none"/>
          </v:line>
        </w:pict>
      </w:r>
      <w:r>
        <w:rPr/>
        <w:pict>
          <v:line style="position:absolute;mso-position-horizontal-relative:page;mso-position-vertical-relative:paragraph;z-index:-426136" from="396.720001pt,41.986355pt" to="400.080001pt,41.986355pt" stroked="true" strokeweight=".599pt" strokecolor="#2e97d3">
            <v:stroke dashstyle="solid"/>
            <w10:wrap type="none"/>
          </v:line>
        </w:pict>
      </w:r>
      <w:r>
        <w:rPr/>
        <w:pict>
          <v:line style="position:absolute;mso-position-horizontal-relative:page;mso-position-vertical-relative:paragraph;z-index:46624" from="26.76pt,33.765854pt" to="26.76pt,47.565854pt" stroked="true" strokeweight=".72pt" strokecolor="#000000">
            <v:stroke dashstyle="solid"/>
            <w10:wrap type="none"/>
          </v:line>
        </w:pict>
      </w:r>
      <w:r>
        <w:rPr/>
        <w:pict>
          <v:line style="position:absolute;mso-position-horizontal-relative:page;mso-position-vertical-relative:paragraph;z-index:46648" from="26.76pt,61.245853pt" to="26.76pt,126.765853pt" stroked="true" strokeweight=".72pt" strokecolor="#000000">
            <v:stroke dashstyle="solid"/>
            <w10:wrap type="none"/>
          </v:line>
        </w:pict>
      </w:r>
      <w:r>
        <w:rPr>
          <w:b/>
        </w:rPr>
        <w:t>Public Works Board (PWB)</w:t>
      </w:r>
      <w:r>
        <w:rPr/>
        <w:t>: The state board empowered to oversee administration of most state capital outlay projects, exercise eminent domain, make augmentations, and establish final project scope through review of preliminary plans. Sections 6842 (overview) through 6866, and Section 6873.</w:t>
      </w:r>
    </w:p>
    <w:p>
      <w:pPr>
        <w:pStyle w:val="BodyText"/>
        <w:spacing w:before="1"/>
        <w:rPr>
          <w:sz w:val="34"/>
        </w:rPr>
      </w:pPr>
    </w:p>
    <w:p>
      <w:pPr>
        <w:pStyle w:val="BodyText"/>
        <w:spacing w:before="1"/>
        <w:ind w:left="640"/>
      </w:pPr>
      <w:r>
        <w:rPr>
          <w:strike/>
          <w:color w:val="2E97D3"/>
        </w:rPr>
        <w:t>(Continued)</w:t>
      </w:r>
    </w:p>
    <w:p>
      <w:pPr>
        <w:spacing w:after="0"/>
        <w:sectPr>
          <w:headerReference w:type="default" r:id="rId373"/>
          <w:pgSz w:w="12240" w:h="15840"/>
          <w:pgMar w:header="726" w:footer="785" w:top="1520" w:bottom="980" w:left="420" w:right="1320"/>
        </w:sectPr>
      </w:pPr>
    </w:p>
    <w:p>
      <w:pPr>
        <w:tabs>
          <w:tab w:pos="8611" w:val="left" w:leader="none"/>
        </w:tabs>
        <w:spacing w:before="0"/>
        <w:ind w:left="640" w:right="122" w:firstLine="0"/>
        <w:jc w:val="left"/>
        <w:rPr>
          <w:sz w:val="24"/>
        </w:rPr>
      </w:pPr>
      <w:r>
        <w:rPr/>
        <w:pict>
          <v:group style="position:absolute;margin-left:52.740002pt;margin-top:7.535884pt;width:482.2pt;height:1.8pt;mso-position-horizontal-relative:page;mso-position-vertical-relative:paragraph;z-index:-425992" coordorigin="1055,151" coordsize="9644,36">
            <v:shape style="position:absolute;left:1061;top:157;width:9288;height:24" coordorigin="1061,157" coordsize="9288,24" path="m1061,181l10349,181m1061,157l10349,157e" filled="false" stroked="true" strokeweight=".6pt" strokecolor="#2c6234">
              <v:path arrowok="t"/>
              <v:stroke dashstyle="solid"/>
            </v:shape>
            <v:line style="position:absolute" from="10349,169" to="10692,169" stroked="true" strokeweight=".599pt" strokecolor="#2e97d3">
              <v:stroke dashstyle="solid"/>
            </v:line>
            <w10:wrap type="none"/>
          </v:group>
        </w:pict>
      </w:r>
      <w:r>
        <w:rPr/>
        <w:pict>
          <v:line style="position:absolute;mso-position-horizontal-relative:page;mso-position-vertical-relative:page;z-index:47008" from="26.76pt,48.959999pt" to="26.76pt,154.559999pt" stroked="true" strokeweight=".72pt" strokecolor="#000000">
            <v:stroke dashstyle="solid"/>
            <w10:wrap type="none"/>
          </v:line>
        </w:pict>
      </w:r>
      <w:bookmarkStart w:name="(New 5/1998)" w:id="168"/>
      <w:bookmarkEnd w:id="168"/>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w:t>
      </w:r>
      <w:r>
        <w:rPr>
          <w:b/>
          <w:color w:val="2C6234"/>
          <w:spacing w:val="-5"/>
          <w:sz w:val="24"/>
        </w:rPr>
        <w:t> </w:t>
      </w:r>
      <w:r>
        <w:rPr>
          <w:color w:val="2C6234"/>
          <w:sz w:val="24"/>
        </w:rPr>
        <w:t>(Cont.</w:t>
      </w:r>
      <w:r>
        <w:rPr>
          <w:color w:val="2C6234"/>
          <w:spacing w:val="-8"/>
          <w:sz w:val="24"/>
        </w:rPr>
        <w:t> </w:t>
      </w:r>
      <w:r>
        <w:rPr>
          <w:color w:val="2E97D3"/>
          <w:sz w:val="24"/>
        </w:rPr>
        <w:t>14)</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rPr>
          <w:sz w:val="20"/>
        </w:rPr>
      </w:pPr>
    </w:p>
    <w:p>
      <w:pPr>
        <w:pStyle w:val="BodyText"/>
        <w:spacing w:before="226"/>
        <w:ind w:left="640" w:right="89"/>
      </w:pPr>
      <w:r>
        <w:rPr/>
        <w:pict>
          <v:line style="position:absolute;mso-position-horizontal-relative:page;mso-position-vertical-relative:paragraph;z-index:-425968" from="150.479996pt,19.736359pt" to="153.839996pt,19.736359pt" stroked="true" strokeweight=".599pt" strokecolor="#2e97d3">
            <v:stroke dashstyle="solid"/>
            <w10:wrap type="none"/>
          </v:line>
        </w:pict>
      </w:r>
      <w:r>
        <w:rPr/>
        <w:pict>
          <v:line style="position:absolute;mso-position-horizontal-relative:page;mso-position-vertical-relative:paragraph;z-index:-425944" from="475.440002pt,33.535858pt" to="478.680002pt,33.535858pt" stroked="true" strokeweight=".6pt" strokecolor="#2e97d3">
            <v:stroke dashstyle="solid"/>
            <w10:wrap type="none"/>
          </v:line>
        </w:pict>
      </w:r>
      <w:r>
        <w:rPr/>
        <w:pict>
          <v:line style="position:absolute;mso-position-horizontal-relative:page;mso-position-vertical-relative:paragraph;z-index:-425920" from="299.880005pt,61.13636pt" to="303.240005pt,61.13636pt" stroked="true" strokeweight=".599pt" strokecolor="#2e97d3">
            <v:stroke dashstyle="solid"/>
            <w10:wrap type="none"/>
          </v:line>
        </w:pict>
      </w:r>
      <w:r>
        <w:rPr/>
        <w:pict>
          <v:line style="position:absolute;mso-position-horizontal-relative:page;mso-position-vertical-relative:paragraph;z-index:-425896" from="105.120003pt,88.735863pt" to="108.480003pt,88.735863pt" stroked="true" strokeweight=".6pt" strokecolor="#2e97d3">
            <v:stroke dashstyle="solid"/>
            <w10:wrap type="none"/>
          </v:line>
        </w:pict>
      </w:r>
      <w:r>
        <w:rPr/>
        <w:pict>
          <v:line style="position:absolute;mso-position-horizontal-relative:page;mso-position-vertical-relative:paragraph;z-index:-425872" from="462.720001pt,107.095856pt" to="466.081001pt,107.095856pt" stroked="true" strokeweight=".84pt" strokecolor="#2e97d3">
            <v:stroke dashstyle="solid"/>
            <w10:wrap type="none"/>
          </v:line>
        </w:pict>
      </w:r>
      <w:r>
        <w:rPr/>
        <w:pict>
          <v:line style="position:absolute;mso-position-horizontal-relative:page;mso-position-vertical-relative:paragraph;z-index:47032" from="26.76pt,52.915859pt" to="26.76pt,66.715859pt" stroked="true" strokeweight=".72pt" strokecolor="#000000">
            <v:stroke dashstyle="solid"/>
            <w10:wrap type="none"/>
          </v:line>
        </w:pict>
      </w:r>
      <w:r>
        <w:rPr/>
        <w:pict>
          <v:line style="position:absolute;mso-position-horizontal-relative:page;mso-position-vertical-relative:paragraph;z-index:47056" from="26.76pt,80.514862pt" to="26.76pt,155.515862pt" stroked="true" strokeweight=".72pt" strokecolor="#000000">
            <v:stroke dashstyle="solid"/>
            <w10:wrap type="none"/>
          </v:line>
        </w:pict>
      </w:r>
      <w:r>
        <w:rPr>
          <w:b/>
        </w:rPr>
        <w:t>Purchase option</w:t>
      </w:r>
      <w:r>
        <w:rPr/>
        <w:t>: A lease with a purchase option gives the state the right, during the course of the lease, to purchase the asset for a predetermined price, if desired. The exercise of a purchase option, regardless of dollar amount, is always a capital outlay expenditure and therefore requires a COBCP. Entering into a purchase option is not a capital outlay expenditure, and lease payments until the option is exercised are a support expense. However, if using purchase options as a </w:t>
      </w:r>
      <w:r>
        <w:rPr>
          <w:strike/>
          <w:color w:val="2E97D3"/>
        </w:rPr>
        <w:t>deliberate </w:t>
      </w:r>
      <w:r>
        <w:rPr>
          <w:strike w:val="0"/>
        </w:rPr>
        <w:t>capital acquisition strategy, a COBCP </w:t>
      </w:r>
      <w:r>
        <w:rPr>
          <w:strike/>
          <w:color w:val="2E97D3"/>
        </w:rPr>
        <w:t>must be submitted if authorization is sought through the Budget Act. </w:t>
      </w:r>
      <w:r>
        <w:rPr>
          <w:strike w:val="0"/>
          <w:color w:val="2E97D3"/>
        </w:rPr>
        <w:t>. </w:t>
      </w:r>
      <w:r>
        <w:rPr>
          <w:strike w:val="0"/>
        </w:rPr>
        <w:t>Sections 6818 </w:t>
      </w:r>
      <w:r>
        <w:rPr>
          <w:strike/>
          <w:color w:val="2E97D3"/>
        </w:rPr>
        <w:t>and 68520</w:t>
      </w:r>
      <w:r>
        <w:rPr>
          <w:strike w:val="0"/>
          <w:color w:val="2E97D3"/>
          <w:u w:val="single" w:color="2E97D3"/>
        </w:rPr>
        <w:t>and6876</w:t>
      </w:r>
      <w:r>
        <w:rPr>
          <w:strike w:val="0"/>
        </w:rPr>
        <w:t>.</w:t>
      </w:r>
    </w:p>
    <w:p>
      <w:pPr>
        <w:pStyle w:val="BodyText"/>
        <w:spacing w:before="120"/>
        <w:ind w:left="640" w:right="94"/>
      </w:pPr>
      <w:r>
        <w:rPr/>
        <w:pict>
          <v:line style="position:absolute;mso-position-horizontal-relative:page;mso-position-vertical-relative:paragraph;z-index:-425848" from="181.199997pt,14.435835pt" to="184.560997pt,14.435835pt" stroked="true" strokeweight=".6pt" strokecolor="#2e97d3">
            <v:stroke dashstyle="solid"/>
            <w10:wrap type="none"/>
          </v:line>
        </w:pict>
      </w:r>
      <w:r>
        <w:rPr/>
        <w:pict>
          <v:line style="position:absolute;mso-position-horizontal-relative:page;mso-position-vertical-relative:paragraph;z-index:47080" from="26.76pt,61.415836pt" to="26.76pt,183.695836pt" stroked="true" strokeweight=".72pt" strokecolor="#000000">
            <v:stroke dashstyle="solid"/>
            <w10:wrap type="none"/>
          </v:line>
        </w:pict>
      </w:r>
      <w:r>
        <w:rPr>
          <w:b/>
        </w:rPr>
        <w:t>PWB agenda package</w:t>
      </w:r>
      <w:r>
        <w:rPr/>
        <w:t>: A standard set of narrative project information required whenever requesting PWB to take an action on a project. </w:t>
      </w:r>
      <w:r>
        <w:rPr>
          <w:strike/>
          <w:color w:val="2E97D3"/>
        </w:rPr>
        <w:t>Consists</w:t>
      </w:r>
      <w:r>
        <w:rPr>
          <w:strike w:val="0"/>
          <w:color w:val="2E97D3"/>
          <w:u w:val="single" w:color="2E97D3"/>
        </w:rPr>
        <w:t>The package consists </w:t>
      </w:r>
      <w:r>
        <w:rPr>
          <w:strike w:val="0"/>
        </w:rPr>
        <w:t>of the formatted agenda item, the briefing document, and whatever specific information is needed for the type of actions proposed.  Section 6845.</w:t>
      </w:r>
    </w:p>
    <w:p>
      <w:pPr>
        <w:pStyle w:val="BodyText"/>
        <w:spacing w:before="120"/>
        <w:ind w:left="640" w:right="263"/>
      </w:pPr>
      <w:r>
        <w:rPr/>
        <w:pict>
          <v:line style="position:absolute;mso-position-horizontal-relative:page;mso-position-vertical-relative:paragraph;z-index:-425824" from="93.720001pt,14.435853pt" to="97.081001pt,14.435853pt" stroked="true" strokeweight=".6pt" strokecolor="#2e97d3">
            <v:stroke dashstyle="solid"/>
            <w10:wrap type="none"/>
          </v:line>
        </w:pict>
      </w:r>
      <w:r>
        <w:rPr>
          <w:b/>
        </w:rPr>
        <w:t>Rating</w:t>
      </w:r>
      <w:r>
        <w:rPr/>
        <w:t>: Designations used by rating agencies to give indications of relative credit quality. </w:t>
      </w:r>
      <w:r>
        <w:rPr>
          <w:i/>
          <w:strike/>
          <w:color w:val="2E97D3"/>
        </w:rPr>
        <w:t>Aaa </w:t>
      </w:r>
      <w:r>
        <w:rPr>
          <w:strike/>
          <w:color w:val="2E97D3"/>
        </w:rPr>
        <w:t>means the best quality, </w:t>
      </w:r>
      <w:r>
        <w:rPr>
          <w:i/>
          <w:strike/>
          <w:color w:val="2E97D3"/>
        </w:rPr>
        <w:t>Baa </w:t>
      </w:r>
      <w:r>
        <w:rPr>
          <w:strike/>
          <w:color w:val="2E97D3"/>
        </w:rPr>
        <w:t>medium grade quality (the lowest “investment grade” long-term rating; and </w:t>
      </w:r>
      <w:r>
        <w:rPr>
          <w:i/>
          <w:strike/>
          <w:color w:val="2E97D3"/>
        </w:rPr>
        <w:t>Ba </w:t>
      </w:r>
      <w:r>
        <w:rPr>
          <w:strike/>
          <w:color w:val="2E97D3"/>
        </w:rPr>
        <w:t>and lower means speculative quality with low capacity to pay principal and interest.  </w:t>
      </w:r>
      <w:r>
        <w:rPr>
          <w:strike w:val="0"/>
        </w:rPr>
        <w:t>Section 6880.</w:t>
      </w:r>
    </w:p>
    <w:p>
      <w:pPr>
        <w:pStyle w:val="BodyText"/>
        <w:spacing w:before="120"/>
        <w:ind w:left="640" w:right="263"/>
      </w:pPr>
      <w:r>
        <w:rPr/>
        <w:pict>
          <v:line style="position:absolute;mso-position-horizontal-relative:page;mso-position-vertical-relative:paragraph;z-index:-425800" from="138.360001pt,14.435871pt" to="141.721001pt,14.435871pt" stroked="true" strokeweight=".6pt" strokecolor="#2e97d3">
            <v:stroke dashstyle="solid"/>
            <w10:wrap type="none"/>
          </v:line>
        </w:pict>
      </w:r>
      <w:r>
        <w:rPr/>
        <w:pict>
          <v:line style="position:absolute;mso-position-horizontal-relative:page;mso-position-vertical-relative:paragraph;z-index:-425776" from="314.640015pt,28.115871pt" to="317.880015pt,28.115871pt" stroked="true" strokeweight=".6pt" strokecolor="#2e97d3">
            <v:stroke dashstyle="solid"/>
            <w10:wrap type="none"/>
          </v:line>
        </w:pict>
      </w:r>
      <w:r>
        <w:rPr/>
        <w:pict>
          <v:line style="position:absolute;mso-position-horizontal-relative:page;mso-position-vertical-relative:paragraph;z-index:-425752" from="524.159973pt,60.275871pt" to="527.519973pt,60.275871pt" stroked="true" strokeweight=".84pt" strokecolor="#2e97d3">
            <v:stroke dashstyle="solid"/>
            <w10:wrap type="none"/>
          </v:line>
        </w:pict>
      </w:r>
      <w:r>
        <w:rPr/>
        <w:pict>
          <v:line style="position:absolute;mso-position-horizontal-relative:page;mso-position-vertical-relative:paragraph;z-index:47104" from="26.76pt,75.095871pt" to="26.76pt,193.535871pt" stroked="true" strokeweight=".72pt" strokecolor="#000000">
            <v:stroke dashstyle="solid"/>
            <w10:wrap type="none"/>
          </v:line>
        </w:pict>
      </w:r>
      <w:r>
        <w:rPr>
          <w:b/>
        </w:rPr>
        <w:t>Rating agency</w:t>
      </w:r>
      <w:r>
        <w:rPr/>
        <w:t>: An investment rating is secured prior to the bond sale from one or more independent third parties, called rating agencies. The </w:t>
      </w:r>
      <w:r>
        <w:rPr>
          <w:strike/>
          <w:color w:val="2E97D3"/>
        </w:rPr>
        <w:t>two</w:t>
      </w:r>
      <w:r>
        <w:rPr>
          <w:strike w:val="0"/>
          <w:color w:val="2E97D3"/>
          <w:u w:val="single" w:color="2E97D3"/>
        </w:rPr>
        <w:t>three </w:t>
      </w:r>
      <w:r>
        <w:rPr>
          <w:strike w:val="0"/>
        </w:rPr>
        <w:t>largest and traditional rating agencies in the tax-exempt market are Moody’s Investors Service, </w:t>
      </w:r>
      <w:r>
        <w:rPr>
          <w:strike/>
          <w:color w:val="2E97D3"/>
        </w:rPr>
        <w:t>and </w:t>
      </w:r>
      <w:r>
        <w:rPr>
          <w:strike w:val="0"/>
        </w:rPr>
        <w:t>Standard &amp; Poor’s</w:t>
      </w:r>
      <w:r>
        <w:rPr>
          <w:strike/>
          <w:color w:val="2E97D3"/>
        </w:rPr>
        <w:t>. In the mid-1980’s, </w:t>
      </w:r>
      <w:r>
        <w:rPr>
          <w:strike w:val="0"/>
          <w:color w:val="2E97D3"/>
          <w:u w:val="single" w:color="2E97D3"/>
        </w:rPr>
        <w:t>, and </w:t>
      </w:r>
      <w:r>
        <w:rPr>
          <w:strike w:val="0"/>
        </w:rPr>
        <w:t>Fitch Investors Service </w:t>
      </w:r>
      <w:r>
        <w:rPr>
          <w:strike/>
          <w:color w:val="2E97D3"/>
        </w:rPr>
        <w:t>became active in public finance. </w:t>
      </w:r>
      <w:r>
        <w:rPr>
          <w:strike w:val="0"/>
          <w:color w:val="2E97D3"/>
        </w:rPr>
        <w:t>. </w:t>
      </w:r>
      <w:r>
        <w:rPr>
          <w:strike w:val="0"/>
        </w:rPr>
        <w:t>Section 6880.</w:t>
      </w:r>
    </w:p>
    <w:p>
      <w:pPr>
        <w:spacing w:line="244" w:lineRule="auto" w:before="93"/>
        <w:ind w:left="640" w:right="89" w:firstLine="0"/>
        <w:jc w:val="left"/>
        <w:rPr>
          <w:sz w:val="24"/>
        </w:rPr>
      </w:pPr>
      <w:r>
        <w:rPr/>
        <w:pict>
          <v:line style="position:absolute;mso-position-horizontal-relative:page;mso-position-vertical-relative:paragraph;z-index:-425728" from="232.440002pt,13.085874pt" to="235.800002pt,13.085874pt" stroked="true" strokeweight=".6pt" strokecolor="#2e97d3">
            <v:stroke dashstyle="solid"/>
            <w10:wrap type="none"/>
          </v:line>
        </w:pict>
      </w:r>
      <w:r>
        <w:rPr/>
        <w:pict>
          <v:line style="position:absolute;mso-position-horizontal-relative:page;mso-position-vertical-relative:paragraph;z-index:-425704" from="260.640015pt,27.125874pt" to="263.880015pt,27.125874pt" stroked="true" strokeweight=".6pt" strokecolor="#2e97d3">
            <v:stroke dashstyle="solid"/>
            <w10:wrap type="none"/>
          </v:line>
        </w:pict>
      </w:r>
      <w:r>
        <w:rPr>
          <w:b/>
          <w:sz w:val="24"/>
        </w:rPr>
        <w:t>Recognized anticipated deficit</w:t>
      </w:r>
      <w:r>
        <w:rPr>
          <w:sz w:val="24"/>
        </w:rPr>
        <w:t>: A request for PWB to recognize a </w:t>
      </w:r>
      <w:r>
        <w:rPr>
          <w:i/>
          <w:sz w:val="24"/>
        </w:rPr>
        <w:t>possible </w:t>
      </w:r>
      <w:r>
        <w:rPr>
          <w:sz w:val="24"/>
        </w:rPr>
        <w:t>future augmentation (generally construction).  Section 6861.</w:t>
      </w:r>
    </w:p>
    <w:p>
      <w:pPr>
        <w:pStyle w:val="BodyText"/>
        <w:spacing w:before="95"/>
        <w:ind w:left="640" w:right="89"/>
      </w:pPr>
      <w:r>
        <w:rPr/>
        <w:pict>
          <v:line style="position:absolute;mso-position-horizontal-relative:page;mso-position-vertical-relative:paragraph;z-index:-425680" from="129.119995pt,13.186369pt" to="132.479995pt,13.186369pt" stroked="true" strokeweight=".599pt" strokecolor="#2e97d3">
            <v:stroke dashstyle="solid"/>
            <w10:wrap type="none"/>
          </v:line>
        </w:pict>
      </w:r>
      <w:r>
        <w:rPr>
          <w:b/>
        </w:rPr>
        <w:t>Reportables</w:t>
      </w:r>
      <w:r>
        <w:rPr/>
        <w:t>: By resolution, PWB has delegated approval for certain </w:t>
      </w:r>
      <w:r>
        <w:rPr>
          <w:strike/>
          <w:color w:val="2E97D3"/>
        </w:rPr>
        <w:t>types of </w:t>
      </w:r>
      <w:r>
        <w:rPr>
          <w:strike w:val="0"/>
        </w:rPr>
        <w:t>actions to </w:t>
      </w:r>
      <w:r>
        <w:rPr>
          <w:strike/>
          <w:color w:val="2E97D3"/>
        </w:rPr>
        <w:t>DOF</w:t>
      </w:r>
      <w:r>
        <w:rPr>
          <w:strike w:val="0"/>
          <w:color w:val="2E97D3"/>
          <w:u w:val="single" w:color="2E97D3"/>
        </w:rPr>
        <w:t>Board staff</w:t>
      </w:r>
      <w:r>
        <w:rPr>
          <w:strike w:val="0"/>
        </w:rPr>
        <w:t>. These actions are referred to as “reportables” because they are </w:t>
      </w:r>
      <w:r>
        <w:rPr>
          <w:strike/>
          <w:color w:val="2E97D3"/>
        </w:rPr>
        <w:t>listed</w:t>
      </w:r>
      <w:r>
        <w:rPr>
          <w:strike w:val="0"/>
          <w:color w:val="2E97D3"/>
          <w:u w:val="single" w:color="2E97D3"/>
        </w:rPr>
        <w:t>reported </w:t>
      </w:r>
      <w:r>
        <w:rPr>
          <w:strike w:val="0"/>
        </w:rPr>
        <w:t>to the board each month</w:t>
      </w:r>
      <w:r>
        <w:rPr>
          <w:strike/>
          <w:color w:val="2E97D3"/>
        </w:rPr>
        <w:t>. </w:t>
      </w:r>
      <w:r>
        <w:rPr>
          <w:strike w:val="0"/>
          <w:color w:val="2E97D3"/>
          <w:u w:val="single" w:color="2E97D3"/>
        </w:rPr>
        <w:t>after they have been completed. </w:t>
      </w:r>
      <w:r>
        <w:rPr>
          <w:strike w:val="0"/>
        </w:rPr>
        <w:t>Section 6844.</w:t>
      </w:r>
    </w:p>
    <w:p>
      <w:pPr>
        <w:pStyle w:val="BodyText"/>
        <w:rPr>
          <w:sz w:val="20"/>
        </w:rPr>
      </w:pPr>
    </w:p>
    <w:p>
      <w:pPr>
        <w:pStyle w:val="BodyText"/>
        <w:spacing w:before="10"/>
        <w:rPr>
          <w:sz w:val="16"/>
        </w:rPr>
      </w:pPr>
    </w:p>
    <w:p>
      <w:pPr>
        <w:pStyle w:val="BodyText"/>
        <w:spacing w:before="92"/>
        <w:ind w:left="640"/>
      </w:pPr>
      <w:r>
        <w:rPr>
          <w:color w:val="2C6234"/>
          <w:u w:val="thick" w:color="2C6234"/>
        </w:rPr>
        <w:t>(Continued)</w:t>
      </w:r>
    </w:p>
    <w:p>
      <w:pPr>
        <w:spacing w:after="0"/>
        <w:sectPr>
          <w:pgSz w:w="12240" w:h="15840"/>
          <w:pgMar w:header="726" w:footer="785" w:top="1520" w:bottom="980" w:left="420" w:right="1420"/>
        </w:sectPr>
      </w:pPr>
    </w:p>
    <w:p>
      <w:pPr>
        <w:tabs>
          <w:tab w:pos="8711" w:val="left" w:leader="none"/>
        </w:tabs>
        <w:spacing w:before="0"/>
        <w:ind w:left="640" w:right="0" w:firstLine="0"/>
        <w:jc w:val="left"/>
        <w:rPr>
          <w:sz w:val="24"/>
        </w:rPr>
      </w:pPr>
      <w:r>
        <w:rPr/>
        <w:pict>
          <v:group style="position:absolute;margin-left:52.740002pt;margin-top:11.73583pt;width:487.45pt;height:2.2pt;mso-position-horizontal-relative:page;mso-position-vertical-relative:paragraph;z-index:-425536" coordorigin="1055,235" coordsize="9749,44">
            <v:line style="position:absolute" from="1061,241" to="10450,241" stroked="true" strokeweight=".6pt" strokecolor="#2c6234">
              <v:stroke dashstyle="solid"/>
            </v:line>
            <v:line style="position:absolute" from="1061,272" to="10450,272" stroked="true" strokeweight=".599pt" strokecolor="#2c6234">
              <v:stroke dashstyle="solid"/>
            </v:line>
            <v:line style="position:absolute" from="10450,260" to="10795,260" stroked="true" strokeweight=".84pt" strokecolor="#2e97d3">
              <v:stroke dashstyle="solid"/>
            </v:line>
            <w10:wrap type="none"/>
          </v:group>
        </w:pict>
      </w:r>
      <w:r>
        <w:rPr/>
        <w:pict>
          <v:line style="position:absolute;mso-position-horizontal-relative:page;mso-position-vertical-relative:page;z-index:47296" from="26.76pt,48.959999pt" to="26.76pt,114.839999pt" stroked="true" strokeweight=".72pt" strokecolor="#000000">
            <v:stroke dashstyle="solid"/>
            <w10:wrap type="none"/>
          </v:line>
        </w:pict>
      </w:r>
      <w:bookmarkStart w:name="GLOSSARY AND INDEX FOR CAPITAL OUTLAY" w:id="169"/>
      <w:bookmarkEnd w:id="169"/>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 </w:t>
      </w:r>
      <w:r>
        <w:rPr>
          <w:color w:val="2C6234"/>
          <w:sz w:val="24"/>
        </w:rPr>
        <w:t>(Cont.</w:t>
      </w:r>
      <w:r>
        <w:rPr>
          <w:color w:val="2C6234"/>
          <w:spacing w:val="-12"/>
          <w:sz w:val="24"/>
        </w:rPr>
        <w:t> </w:t>
      </w:r>
      <w:r>
        <w:rPr>
          <w:color w:val="2E97D3"/>
          <w:sz w:val="24"/>
        </w:rPr>
        <w:t>14)</w:t>
      </w:r>
    </w:p>
    <w:p>
      <w:pPr>
        <w:pStyle w:val="BodyText"/>
        <w:ind w:left="640"/>
      </w:pPr>
      <w:r>
        <w:rPr>
          <w:color w:val="2E97D3"/>
          <w:u w:val="single" w:color="2E97D3"/>
        </w:rPr>
        <w:t>(Revised 09/2017)</w:t>
      </w:r>
    </w:p>
    <w:p>
      <w:pPr>
        <w:pStyle w:val="BodyText"/>
        <w:spacing w:before="120"/>
        <w:ind w:left="640" w:right="302"/>
      </w:pPr>
      <w:r>
        <w:rPr/>
        <w:pict>
          <v:line style="position:absolute;mso-position-horizontal-relative:page;mso-position-vertical-relative:paragraph;z-index:-425512" from="241.320007pt,42.035854pt" to="244.560007pt,42.035854pt" stroked="true" strokeweight=".6pt" strokecolor="#2e97d3">
            <v:stroke dashstyle="solid"/>
            <w10:wrap type="none"/>
          </v:line>
        </w:pict>
      </w:r>
      <w:r>
        <w:rPr/>
        <w:pict>
          <v:line style="position:absolute;mso-position-horizontal-relative:page;mso-position-vertical-relative:paragraph;z-index:-425488" from="379.200012pt,55.715855pt" to="382.561012pt,55.715855pt" stroked="true" strokeweight=".6pt" strokecolor="#2e97d3">
            <v:stroke dashstyle="solid"/>
            <w10:wrap type="none"/>
          </v:line>
        </w:pict>
      </w:r>
      <w:r>
        <w:rPr/>
        <w:pict>
          <v:line style="position:absolute;mso-position-horizontal-relative:page;mso-position-vertical-relative:paragraph;z-index:-425464" from="329.160004pt,83.435852pt" to="332.521004pt,83.435852pt" stroked="true" strokeweight=".6pt" strokecolor="#2e97d3">
            <v:stroke dashstyle="solid"/>
            <w10:wrap type="none"/>
          </v:line>
        </w:pict>
      </w:r>
      <w:r>
        <w:rPr/>
        <w:pict>
          <v:line style="position:absolute;mso-position-horizontal-relative:page;mso-position-vertical-relative:paragraph;z-index:47320" from="26.76pt,33.815853pt" to="26.76pt,61.415853pt" stroked="true" strokeweight=".72pt" strokecolor="#000000">
            <v:stroke dashstyle="solid"/>
            <w10:wrap type="none"/>
          </v:line>
        </w:pict>
      </w:r>
      <w:r>
        <w:rPr/>
        <w:pict>
          <v:line style="position:absolute;mso-position-horizontal-relative:page;mso-position-vertical-relative:paragraph;z-index:47344" from="26.76pt,75.214851pt" to="26.76pt,150.215851pt" stroked="true" strokeweight=".72pt" strokecolor="#000000">
            <v:stroke dashstyle="solid"/>
            <w10:wrap type="none"/>
          </v:line>
        </w:pict>
      </w:r>
      <w:r>
        <w:rPr>
          <w:b/>
        </w:rPr>
        <w:t>Reserve account/fund</w:t>
      </w:r>
      <w:r>
        <w:rPr/>
        <w:t>:  An account from which moneys may be drawn to pay debt service on an issue if pledged revenues and other amounts available to satisfy debt service are temporarily insufficient. In lease-revenue issuances, the reserve account is typically sized to the maximum annual debt service payment. PWB uses a </w:t>
      </w:r>
      <w:r>
        <w:rPr>
          <w:i/>
        </w:rPr>
        <w:t>master reserve </w:t>
      </w:r>
      <w:r>
        <w:rPr>
          <w:i/>
        </w:rPr>
        <w:t>account program</w:t>
      </w:r>
      <w:r>
        <w:rPr/>
        <w:t>—in effect, a pooled reserve approach which reduces the aggregate amount of funds its issuances must hold in reserve.  Section 6872.</w:t>
      </w:r>
    </w:p>
    <w:p>
      <w:pPr>
        <w:pStyle w:val="BodyText"/>
        <w:spacing w:before="120"/>
        <w:ind w:left="640" w:right="287"/>
      </w:pPr>
      <w:r>
        <w:rPr/>
        <w:pict>
          <v:line style="position:absolute;mso-position-horizontal-relative:page;mso-position-vertical-relative:paragraph;z-index:-425440" from="145.679993pt,14.435866pt" to="149.039993pt,14.435866pt" stroked="true" strokeweight=".6pt" strokecolor="#2e97d3">
            <v:stroke dashstyle="solid"/>
            <w10:wrap type="none"/>
          </v:line>
        </w:pict>
      </w:r>
      <w:r>
        <w:rPr/>
        <w:pict>
          <v:line style="position:absolute;mso-position-horizontal-relative:page;mso-position-vertical-relative:paragraph;z-index:-425416" from="378pt,28.236366pt" to="381.36pt,28.236366pt" stroked="true" strokeweight=".599pt" strokecolor="#2e97d3">
            <v:stroke dashstyle="solid"/>
            <w10:wrap type="none"/>
          </v:line>
        </w:pict>
      </w:r>
      <w:r>
        <w:rPr/>
        <w:pict>
          <v:line style="position:absolute;mso-position-horizontal-relative:page;mso-position-vertical-relative:paragraph;z-index:-425392" from="460.079987pt,55.835865pt" to="463.439987pt,55.835865pt" stroked="true" strokeweight=".6pt" strokecolor="#2e97d3">
            <v:stroke dashstyle="solid"/>
            <w10:wrap type="none"/>
          </v:line>
        </w:pict>
      </w:r>
      <w:r>
        <w:rPr/>
        <w:pict>
          <v:line style="position:absolute;mso-position-horizontal-relative:page;mso-position-vertical-relative:paragraph;z-index:47368" from="26.76pt,75.215866pt" to="26.76pt,139.655866pt" stroked="true" strokeweight=".72pt" strokecolor="#000000">
            <v:stroke dashstyle="solid"/>
            <w10:wrap type="none"/>
          </v:line>
        </w:pict>
      </w:r>
      <w:r>
        <w:rPr>
          <w:b/>
        </w:rPr>
        <w:t>Revenue bonds</w:t>
      </w:r>
      <w:r>
        <w:rPr/>
        <w:t>: A bond payable from a specific source of revenue and to which the full faith and credit of an issuer with taxing power is not pledged. Pledged revenues may be derived from operation of the financed project, grants and excise or other specified </w:t>
      </w:r>
      <w:r>
        <w:rPr>
          <w:strike/>
          <w:color w:val="2E97D3"/>
        </w:rPr>
        <w:t>no</w:t>
      </w:r>
      <w:r>
        <w:rPr>
          <w:strike w:val="0"/>
          <w:color w:val="2E97D3"/>
          <w:u w:val="single" w:color="2E97D3"/>
        </w:rPr>
        <w:t>non</w:t>
      </w:r>
      <w:r>
        <w:rPr>
          <w:strike w:val="0"/>
        </w:rPr>
        <w:t>- ad-valorum taxes. Generally, no voter approval is required prior to issuance.  Section 6872.</w:t>
      </w:r>
    </w:p>
    <w:p>
      <w:pPr>
        <w:pStyle w:val="BodyText"/>
        <w:spacing w:before="8"/>
        <w:rPr>
          <w:sz w:val="32"/>
        </w:rPr>
      </w:pPr>
    </w:p>
    <w:p>
      <w:pPr>
        <w:pStyle w:val="BodyText"/>
        <w:spacing w:before="1"/>
        <w:ind w:left="640"/>
      </w:pPr>
      <w:r>
        <w:rPr>
          <w:strike/>
          <w:color w:val="2E97D3"/>
        </w:rPr>
        <w:t>(Continued)</w:t>
      </w:r>
    </w:p>
    <w:p>
      <w:pPr>
        <w:spacing w:after="0"/>
        <w:sectPr>
          <w:pgSz w:w="12240" w:h="15840"/>
          <w:pgMar w:header="726" w:footer="785" w:top="1740" w:bottom="980" w:left="420" w:right="1320"/>
        </w:sectPr>
      </w:pPr>
    </w:p>
    <w:p>
      <w:pPr>
        <w:tabs>
          <w:tab w:pos="8603" w:val="left" w:leader="none"/>
        </w:tabs>
        <w:spacing w:before="0"/>
        <w:ind w:left="640" w:right="122" w:firstLine="0"/>
        <w:jc w:val="left"/>
        <w:rPr>
          <w:sz w:val="24"/>
        </w:rPr>
      </w:pPr>
      <w:r>
        <w:rPr/>
        <w:pict>
          <v:line style="position:absolute;mso-position-horizontal-relative:page;mso-position-vertical-relative:paragraph;z-index:-425272" from="53.040001pt,8.436384pt" to="534.600001pt,8.436384pt" stroked="true" strokeweight=".599pt" strokecolor="#2e97d3">
            <v:stroke dashstyle="solid"/>
            <w10:wrap type="none"/>
          </v:line>
        </w:pict>
      </w:r>
      <w:r>
        <w:rPr/>
        <w:pict>
          <v:line style="position:absolute;mso-position-horizontal-relative:page;mso-position-vertical-relative:page;z-index:47824" from="26.76pt,48.959999pt" to="26.76pt,178.319999pt" stroked="true" strokeweight=".72pt" strokecolor="#000000">
            <v:stroke dashstyle="solid"/>
            <w10:wrap type="none"/>
          </v:line>
        </w:pict>
      </w:r>
      <w:bookmarkStart w:name="(New 5/1998)" w:id="170"/>
      <w:bookmarkEnd w:id="170"/>
      <w:r>
        <w:rPr/>
      </w:r>
      <w:r>
        <w:rPr>
          <w:b/>
          <w:color w:val="2E97D3"/>
          <w:sz w:val="24"/>
        </w:rPr>
        <w:t>TERMINOLOGY</w:t>
      </w:r>
      <w:r>
        <w:rPr>
          <w:b/>
          <w:color w:val="2E97D3"/>
          <w:spacing w:val="-3"/>
          <w:sz w:val="24"/>
        </w:rPr>
        <w:t> </w:t>
      </w:r>
      <w:r>
        <w:rPr>
          <w:b/>
          <w:color w:val="2E97D3"/>
          <w:sz w:val="24"/>
        </w:rPr>
        <w:t>AND</w:t>
      </w:r>
      <w:r>
        <w:rPr>
          <w:b/>
          <w:color w:val="2E97D3"/>
          <w:spacing w:val="-2"/>
          <w:sz w:val="24"/>
        </w:rPr>
        <w:t> </w:t>
      </w:r>
      <w:r>
        <w:rPr>
          <w:b/>
          <w:color w:val="2E97D3"/>
          <w:sz w:val="24"/>
        </w:rPr>
        <w:t>FORMS</w:t>
        <w:tab/>
        <w:t>6899</w:t>
      </w:r>
      <w:r>
        <w:rPr>
          <w:b/>
          <w:color w:val="2E97D3"/>
          <w:spacing w:val="-2"/>
          <w:sz w:val="24"/>
        </w:rPr>
        <w:t> </w:t>
      </w:r>
      <w:r>
        <w:rPr>
          <w:color w:val="2E97D3"/>
          <w:sz w:val="24"/>
        </w:rPr>
        <w:t>(Cont.</w:t>
      </w:r>
      <w:r>
        <w:rPr>
          <w:color w:val="2E97D3"/>
          <w:spacing w:val="-5"/>
          <w:sz w:val="24"/>
        </w:rPr>
        <w:t> </w:t>
      </w:r>
      <w:r>
        <w:rPr>
          <w:color w:val="2E97D3"/>
          <w:sz w:val="24"/>
        </w:rPr>
        <w:t>15)</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spacing w:before="11"/>
        <w:rPr>
          <w:sz w:val="29"/>
        </w:rPr>
      </w:pPr>
    </w:p>
    <w:p>
      <w:pPr>
        <w:pStyle w:val="BodyText"/>
        <w:spacing w:before="92"/>
        <w:ind w:left="640"/>
      </w:pPr>
      <w:r>
        <w:rPr>
          <w:b/>
          <w:strike/>
          <w:color w:val="2E97D3"/>
        </w:rPr>
        <w:t>SAM:  </w:t>
      </w:r>
      <w:r>
        <w:rPr>
          <w:strike/>
          <w:color w:val="2E97D3"/>
          <w:u w:val="single" w:color="2E97D3"/>
        </w:rPr>
        <w:t>State Administrative Manual</w:t>
      </w:r>
      <w:r>
        <w:rPr>
          <w:strike/>
          <w:color w:val="2E97D3"/>
        </w:rPr>
        <w:t>.</w:t>
      </w:r>
    </w:p>
    <w:p>
      <w:pPr>
        <w:pStyle w:val="BodyText"/>
        <w:spacing w:before="122"/>
        <w:ind w:left="640"/>
      </w:pPr>
      <w:r>
        <w:rPr>
          <w:b/>
          <w:color w:val="2E97D3"/>
          <w:u w:val="single" w:color="2E97D3"/>
        </w:rPr>
        <w:t>SAM:  </w:t>
      </w:r>
      <w:hyperlink r:id="rId155">
        <w:r>
          <w:rPr>
            <w:color w:val="2E97D3"/>
            <w:u w:val="single" w:color="2E97D3"/>
          </w:rPr>
          <w:t>State Administrative Manual</w:t>
        </w:r>
      </w:hyperlink>
      <w:r>
        <w:rPr>
          <w:color w:val="2E97D3"/>
          <w:u w:val="single" w:color="2E97D3"/>
        </w:rPr>
        <w:t>.</w:t>
      </w:r>
    </w:p>
    <w:p>
      <w:pPr>
        <w:pStyle w:val="BodyText"/>
        <w:spacing w:before="96"/>
        <w:ind w:left="640" w:right="181"/>
      </w:pPr>
      <w:r>
        <w:rPr/>
        <w:pict>
          <v:line style="position:absolute;mso-position-horizontal-relative:page;mso-position-vertical-relative:paragraph;z-index:-425248" from="183.839996pt,13.235862pt" to="187.199996pt,13.235862pt" stroked="true" strokeweight=".6pt" strokecolor="#2e97d3">
            <v:stroke dashstyle="solid"/>
            <w10:wrap type="none"/>
          </v:line>
        </w:pict>
      </w:r>
      <w:r>
        <w:rPr/>
        <w:pict>
          <v:line style="position:absolute;mso-position-horizontal-relative:page;mso-position-vertical-relative:paragraph;z-index:47848" from="26.76pt,32.61586pt" to="26.76pt,111.57586pt" stroked="true" strokeweight=".72pt" strokecolor="#000000">
            <v:stroke dashstyle="solid"/>
            <w10:wrap type="none"/>
          </v:line>
        </w:pict>
      </w:r>
      <w:r>
        <w:rPr>
          <w:b/>
        </w:rPr>
        <w:t>Schematic documents</w:t>
      </w:r>
      <w:r>
        <w:rPr/>
        <w:t>: The initial architectural and engineering plans prepared as the first step during the preliminary plan phase, depicting the designer's conceptual solution to the department’s capital outlay needs.  See Section 6851.</w:t>
      </w:r>
    </w:p>
    <w:p>
      <w:pPr>
        <w:pStyle w:val="BodyText"/>
        <w:ind w:left="640"/>
      </w:pPr>
      <w:r>
        <w:rPr>
          <w:b/>
          <w:strike/>
          <w:color w:val="2E97D3"/>
        </w:rPr>
        <w:t>SCO</w:t>
      </w:r>
      <w:r>
        <w:rPr>
          <w:strike/>
          <w:color w:val="2E97D3"/>
        </w:rPr>
        <w:t>:  </w:t>
      </w:r>
      <w:r>
        <w:rPr>
          <w:strike/>
          <w:color w:val="2E97D3"/>
          <w:u w:val="single" w:color="2E97D3"/>
        </w:rPr>
        <w:t>State Controller’s Office</w:t>
      </w:r>
      <w:r>
        <w:rPr>
          <w:strike/>
          <w:color w:val="2E97D3"/>
        </w:rPr>
        <w:t>.</w:t>
      </w:r>
    </w:p>
    <w:p>
      <w:pPr>
        <w:pStyle w:val="BodyText"/>
        <w:spacing w:before="98"/>
        <w:ind w:left="640"/>
      </w:pPr>
      <w:r>
        <w:rPr>
          <w:b/>
          <w:color w:val="2E97D3"/>
          <w:u w:val="single" w:color="2E97D3"/>
        </w:rPr>
        <w:t>SCO</w:t>
      </w:r>
      <w:r>
        <w:rPr>
          <w:color w:val="2E97D3"/>
          <w:u w:val="single" w:color="2E97D3"/>
        </w:rPr>
        <w:t>:  </w:t>
      </w:r>
      <w:hyperlink r:id="rId69">
        <w:r>
          <w:rPr>
            <w:color w:val="2E97D3"/>
            <w:u w:val="single" w:color="2E97D3"/>
          </w:rPr>
          <w:t>State Controller’s Office</w:t>
        </w:r>
      </w:hyperlink>
      <w:r>
        <w:rPr>
          <w:color w:val="2E97D3"/>
          <w:u w:val="single" w:color="2E97D3"/>
        </w:rPr>
        <w:t>.</w:t>
      </w:r>
    </w:p>
    <w:p>
      <w:pPr>
        <w:pStyle w:val="BodyText"/>
        <w:spacing w:before="100"/>
        <w:ind w:left="640" w:right="333"/>
      </w:pPr>
      <w:r>
        <w:rPr/>
        <w:pict>
          <v:line style="position:absolute;mso-position-horizontal-relative:page;mso-position-vertical-relative:paragraph;z-index:-425224" from="93.120003pt,13.43584pt" to="96.480003pt,13.43584pt" stroked="true" strokeweight=".6pt" strokecolor="#2e97d3">
            <v:stroke dashstyle="solid"/>
            <w10:wrap type="none"/>
          </v:line>
        </w:pict>
      </w:r>
      <w:r>
        <w:rPr/>
        <w:pict>
          <v:line style="position:absolute;mso-position-horizontal-relative:page;mso-position-vertical-relative:paragraph;z-index:-425200" from="395.279999pt,27.23634pt" to="398.639999pt,27.23634pt" stroked="true" strokeweight=".599pt" strokecolor="#2e97d3">
            <v:stroke dashstyle="solid"/>
            <w10:wrap type="none"/>
          </v:line>
        </w:pict>
      </w:r>
      <w:r>
        <w:rPr/>
        <w:pict>
          <v:line style="position:absolute;mso-position-horizontal-relative:page;mso-position-vertical-relative:paragraph;z-index:-425176" from="290.040009pt,54.835838pt" to="293.280009pt,54.835838pt" stroked="true" strokeweight=".6pt" strokecolor="#2e97d3">
            <v:stroke dashstyle="solid"/>
            <w10:wrap type="none"/>
          </v:line>
        </w:pict>
      </w:r>
      <w:r>
        <w:rPr/>
        <w:pict>
          <v:line style="position:absolute;mso-position-horizontal-relative:page;mso-position-vertical-relative:paragraph;z-index:47872" from="26.76pt,46.614841pt" to="26.76pt,157.975841pt" stroked="true" strokeweight=".72pt" strokecolor="#000000">
            <v:stroke dashstyle="solid"/>
            <w10:wrap type="none"/>
          </v:line>
        </w:pict>
      </w:r>
      <w:r>
        <w:rPr>
          <w:b/>
        </w:rPr>
        <w:t>Scope: </w:t>
      </w:r>
      <w:r>
        <w:rPr/>
        <w:t>The project program as it relates to location, site, facility size and shape, use of assigned program space, or physical characteristics of a facility. Scope is typically approved by the Legislature and published in the Supplemental Report of the Budget Act prepared by the Legislative Analyst’s Office.  Section 6863.</w:t>
      </w:r>
    </w:p>
    <w:p>
      <w:pPr>
        <w:pStyle w:val="BodyText"/>
        <w:spacing w:before="98"/>
        <w:ind w:left="640" w:right="263"/>
      </w:pPr>
      <w:r>
        <w:rPr/>
        <w:pict>
          <v:line style="position:absolute;mso-position-horizontal-relative:page;mso-position-vertical-relative:paragraph;z-index:-425152" from="148.559998pt,13.335845pt" to="151.799998pt,13.335845pt" stroked="true" strokeweight=".6pt" strokecolor="#2e97d3">
            <v:stroke dashstyle="solid"/>
            <w10:wrap type="none"/>
          </v:line>
        </w:pict>
      </w:r>
      <w:r>
        <w:rPr>
          <w:b/>
        </w:rPr>
        <w:t>Scope changes: </w:t>
      </w:r>
      <w:r>
        <w:rPr/>
        <w:t>A revision to the approved project program requiring the advance written approval of </w:t>
      </w:r>
      <w:r>
        <w:rPr>
          <w:strike/>
          <w:color w:val="2E97D3"/>
        </w:rPr>
        <w:t>DOF. </w:t>
      </w:r>
      <w:r>
        <w:rPr>
          <w:strike w:val="0"/>
          <w:color w:val="2E97D3"/>
          <w:u w:val="single" w:color="2E97D3"/>
        </w:rPr>
        <w:t>Finance. </w:t>
      </w:r>
      <w:r>
        <w:rPr>
          <w:strike w:val="0"/>
        </w:rPr>
        <w:t>Section 6863.</w:t>
      </w:r>
    </w:p>
    <w:p>
      <w:pPr>
        <w:spacing w:line="274" w:lineRule="exact" w:before="107"/>
        <w:ind w:left="640" w:right="89" w:firstLine="0"/>
        <w:jc w:val="left"/>
        <w:rPr>
          <w:sz w:val="24"/>
        </w:rPr>
      </w:pPr>
      <w:r>
        <w:rPr/>
        <w:pict>
          <v:line style="position:absolute;mso-position-horizontal-relative:page;mso-position-vertical-relative:paragraph;z-index:-425128" from="253.800003pt,13.490002pt" to="257.160003pt,13.490002pt" stroked="true" strokeweight=".6pt" strokecolor="#2e97d3">
            <v:stroke dashstyle="solid"/>
            <w10:wrap type="none"/>
          </v:line>
        </w:pict>
      </w:r>
      <w:r>
        <w:rPr/>
        <w:pict>
          <v:line style="position:absolute;mso-position-horizontal-relative:page;mso-position-vertical-relative:paragraph;z-index:-425104" from="353.279999pt,27.170002pt" to="356.640999pt,27.170002pt" stroked="true" strokeweight=".6pt" strokecolor="#2e97d3">
            <v:stroke dashstyle="solid"/>
            <w10:wrap type="none"/>
          </v:line>
        </w:pict>
      </w:r>
      <w:r>
        <w:rPr>
          <w:b/>
          <w:sz w:val="24"/>
        </w:rPr>
        <w:t>Section </w:t>
      </w:r>
      <w:r>
        <w:rPr>
          <w:b/>
          <w:strike/>
          <w:color w:val="2E97D3"/>
          <w:sz w:val="24"/>
        </w:rPr>
        <w:t>2.00</w:t>
      </w:r>
      <w:r>
        <w:rPr>
          <w:b/>
          <w:strike w:val="0"/>
          <w:color w:val="2E97D3"/>
          <w:sz w:val="24"/>
          <w:u w:val="thick" w:color="2E97D3"/>
        </w:rPr>
        <w:t>1.80 </w:t>
      </w:r>
      <w:r>
        <w:rPr>
          <w:b/>
          <w:strike w:val="0"/>
          <w:sz w:val="24"/>
        </w:rPr>
        <w:t>of the Budget Act: </w:t>
      </w:r>
      <w:r>
        <w:rPr>
          <w:strike w:val="0"/>
          <w:sz w:val="24"/>
        </w:rPr>
        <w:t>Establishes appropriation time-frames (both encumbrance and liquidation) for capital outlay projects.  Section 6807 and 6812.</w:t>
      </w:r>
    </w:p>
    <w:p>
      <w:pPr>
        <w:pStyle w:val="BodyText"/>
        <w:spacing w:before="94"/>
        <w:ind w:left="640" w:right="89"/>
      </w:pPr>
      <w:r>
        <w:rPr/>
        <w:pict>
          <v:line style="position:absolute;mso-position-horizontal-relative:page;mso-position-vertical-relative:paragraph;z-index:-425080" from="233.759995pt,13.135867pt" to="237.120995pt,13.135867pt" stroked="true" strokeweight=".6pt" strokecolor="#2e97d3">
            <v:stroke dashstyle="solid"/>
            <w10:wrap type="none"/>
          </v:line>
        </w:pict>
      </w:r>
      <w:r>
        <w:rPr/>
        <w:pict>
          <v:line style="position:absolute;mso-position-horizontal-relative:page;mso-position-vertical-relative:paragraph;z-index:-425056" from="135.240005pt,26.935867pt" to="138.480005pt,26.935867pt" stroked="true" strokeweight=".6pt" strokecolor="#2e97d3">
            <v:stroke dashstyle="solid"/>
            <w10:wrap type="none"/>
          </v:line>
        </w:pict>
      </w:r>
      <w:r>
        <w:rPr/>
        <w:pict>
          <v:line style="position:absolute;mso-position-horizontal-relative:page;mso-position-vertical-relative:paragraph;z-index:47896" from="26.76pt,46.315868pt" to="26.76pt,106.555868pt" stroked="true" strokeweight=".72pt" strokecolor="#000000">
            <v:stroke dashstyle="solid"/>
            <w10:wrap type="none"/>
          </v:line>
        </w:pict>
      </w:r>
      <w:r>
        <w:rPr>
          <w:b/>
        </w:rPr>
        <w:t>Section 3.00 of the Budget Act: </w:t>
      </w:r>
      <w:r>
        <w:rPr/>
        <w:t>For capital outlay projects, defines key terms as used in the Budget Act. Sections 6807 (minor projects), 6851 (preliminary plans), 6852 (working drawings), and 6854 (construction).</w:t>
      </w:r>
    </w:p>
    <w:p>
      <w:pPr>
        <w:pStyle w:val="BodyText"/>
        <w:spacing w:line="237" w:lineRule="auto" w:before="105"/>
        <w:ind w:left="640" w:right="95"/>
      </w:pPr>
      <w:r>
        <w:rPr/>
        <w:pict>
          <v:line style="position:absolute;mso-position-horizontal-relative:page;mso-position-vertical-relative:paragraph;z-index:-425032" from="233.759995pt,13.573311pt" to="237.120995pt,13.573311pt" stroked="true" strokeweight=".6pt" strokecolor="#2e97d3">
            <v:stroke dashstyle="solid"/>
            <w10:wrap type="none"/>
          </v:line>
        </w:pict>
      </w:r>
      <w:r>
        <w:rPr>
          <w:b/>
        </w:rPr>
        <w:t>Section 6.00 of the Budget Act:  </w:t>
      </w:r>
      <w:r>
        <w:rPr/>
        <w:t>Provides a limited exception to the rule that support funds may not be used for capital outlay purposes. </w:t>
      </w:r>
      <w:r>
        <w:rPr>
          <w:strike/>
          <w:color w:val="2E97D3"/>
        </w:rPr>
        <w:t>The section allows up to $35,000 of support funds to be encumbered for preliminary plans, working drawings, or construction of any project for the </w:t>
      </w:r>
      <w:r>
        <w:rPr>
          <w:i/>
          <w:strike/>
          <w:color w:val="2E97D3"/>
        </w:rPr>
        <w:t>alteration of a state facility</w:t>
      </w:r>
      <w:r>
        <w:rPr>
          <w:strike/>
          <w:color w:val="2E97D3"/>
        </w:rPr>
        <w:t>.  </w:t>
      </w:r>
      <w:r>
        <w:rPr>
          <w:strike w:val="0"/>
        </w:rPr>
        <w:t>Section 6806.</w:t>
      </w:r>
    </w:p>
    <w:p>
      <w:pPr>
        <w:spacing w:before="104"/>
        <w:ind w:left="640" w:right="0" w:firstLine="0"/>
        <w:jc w:val="left"/>
        <w:rPr>
          <w:sz w:val="24"/>
        </w:rPr>
      </w:pPr>
      <w:r>
        <w:rPr/>
        <w:pict>
          <v:line style="position:absolute;mso-position-horizontal-relative:page;mso-position-vertical-relative:paragraph;z-index:47920" from="26.76pt,19.215874pt" to="26.76pt,104.295874pt" stroked="true" strokeweight=".72pt" strokecolor="#000000">
            <v:stroke dashstyle="solid"/>
            <w10:wrap type="none"/>
          </v:line>
        </w:pict>
      </w:r>
      <w:r>
        <w:rPr>
          <w:b/>
          <w:sz w:val="24"/>
        </w:rPr>
        <w:t>SEC</w:t>
      </w:r>
      <w:r>
        <w:rPr>
          <w:sz w:val="24"/>
        </w:rPr>
        <w:t>:  Securities and Exchange Commission.  See </w:t>
      </w:r>
      <w:r>
        <w:rPr>
          <w:i/>
          <w:sz w:val="24"/>
        </w:rPr>
        <w:t>continuing disclosure</w:t>
      </w:r>
      <w:r>
        <w:rPr>
          <w:sz w:val="24"/>
        </w:rPr>
        <w:t>, Section 6884.</w:t>
      </w:r>
    </w:p>
    <w:p>
      <w:pPr>
        <w:pStyle w:val="BodyText"/>
        <w:spacing w:before="122"/>
        <w:ind w:left="640" w:right="89"/>
      </w:pPr>
      <w:r>
        <w:rPr/>
        <w:pict>
          <v:line style="position:absolute;mso-position-horizontal-relative:page;mso-position-vertical-relative:paragraph;z-index:-425008" from="153.839996pt,14.536361pt" to="157.200996pt,14.536361pt" stroked="true" strokeweight=".599pt" strokecolor="#2e97d3">
            <v:stroke dashstyle="solid"/>
            <w10:wrap type="none"/>
          </v:line>
        </w:pict>
      </w:r>
      <w:r>
        <w:rPr/>
        <w:pict>
          <v:line style="position:absolute;mso-position-horizontal-relative:page;mso-position-vertical-relative:paragraph;z-index:-424984" from="247.919998pt,14.536361pt" to="251.279998pt,14.536361pt" stroked="true" strokeweight=".599pt" strokecolor="#2e97d3">
            <v:stroke dashstyle="solid"/>
            <w10:wrap type="none"/>
          </v:line>
        </w:pict>
      </w:r>
      <w:r>
        <w:rPr/>
        <w:pict>
          <v:line style="position:absolute;mso-position-horizontal-relative:page;mso-position-vertical-relative:paragraph;z-index:-424960" from="402.720001pt,28.335861pt" to="405.960001pt,28.335861pt" stroked="true" strokeweight=".6pt" strokecolor="#2e97d3">
            <v:stroke dashstyle="solid"/>
            <w10:wrap type="none"/>
          </v:line>
        </w:pict>
      </w:r>
      <w:r>
        <w:rPr>
          <w:b/>
        </w:rPr>
        <w:t>Settlement price: </w:t>
      </w:r>
      <w:r>
        <w:rPr/>
        <w:t>Acquisition price. Requires PWB approval if the amount exceeds the appraised price reported to the board at the time of site selection.  Section 6849.</w:t>
      </w:r>
    </w:p>
    <w:p>
      <w:pPr>
        <w:pStyle w:val="BodyText"/>
        <w:spacing w:before="98"/>
        <w:ind w:left="640" w:right="263"/>
      </w:pPr>
      <w:r>
        <w:rPr/>
        <w:pict>
          <v:line style="position:absolute;mso-position-horizontal-relative:page;mso-position-vertical-relative:paragraph;z-index:-424936" from="137.160004pt,13.335856pt" to="140.400004pt,13.335856pt" stroked="true" strokeweight=".6pt" strokecolor="#2e97d3">
            <v:stroke dashstyle="solid"/>
            <w10:wrap type="none"/>
          </v:line>
        </w:pict>
      </w:r>
      <w:r>
        <w:rPr/>
        <w:pict>
          <v:line style="position:absolute;mso-position-horizontal-relative:page;mso-position-vertical-relative:paragraph;z-index:-424912" from="136.440002pt,27.135857pt" to="139.800002pt,27.135857pt" stroked="true" strokeweight=".6pt" strokecolor="#2e97d3">
            <v:stroke dashstyle="solid"/>
            <w10:wrap type="none"/>
          </v:line>
        </w:pict>
      </w:r>
      <w:r>
        <w:rPr>
          <w:b/>
        </w:rPr>
        <w:t>Site selection</w:t>
      </w:r>
      <w:r>
        <w:rPr/>
        <w:t>: The process that results in identification of a site for a project; requires PWB approval.  Section 6849.</w:t>
      </w:r>
    </w:p>
    <w:p>
      <w:pPr>
        <w:pStyle w:val="BodyText"/>
        <w:spacing w:line="274" w:lineRule="exact" w:before="109"/>
        <w:ind w:left="640" w:right="333"/>
      </w:pPr>
      <w:r>
        <w:rPr/>
        <w:pict>
          <v:line style="position:absolute;mso-position-horizontal-relative:page;mso-position-vertical-relative:paragraph;z-index:-424888" from="118.440002pt,13.590002pt" to="121.800002pt,13.590002pt" stroked="true" strokeweight=".6pt" strokecolor="#2e97d3">
            <v:stroke dashstyle="solid"/>
            <w10:wrap type="none"/>
          </v:line>
        </w:pict>
      </w:r>
      <w:r>
        <w:rPr/>
        <w:pict>
          <v:line style="position:absolute;mso-position-horizontal-relative:page;mso-position-vertical-relative:paragraph;z-index:47944" from="26.76pt,32.850002pt" to="26.76pt,90.090002pt" stroked="true" strokeweight=".72pt" strokecolor="#000000">
            <v:stroke dashstyle="solid"/>
            <w10:wrap type="none"/>
          </v:line>
        </w:pict>
      </w:r>
      <w:r>
        <w:rPr>
          <w:b/>
        </w:rPr>
        <w:t>Soft costs: </w:t>
      </w:r>
      <w:r>
        <w:rPr/>
        <w:t>All preconstruction costs, plus the A&amp;E portion of the construction phase. See architectural and engineering fees.</w:t>
      </w:r>
    </w:p>
    <w:p>
      <w:pPr>
        <w:spacing w:before="92"/>
        <w:ind w:left="640" w:right="0" w:firstLine="0"/>
        <w:jc w:val="left"/>
        <w:rPr>
          <w:i/>
          <w:sz w:val="24"/>
        </w:rPr>
      </w:pPr>
      <w:r>
        <w:rPr/>
        <w:pict>
          <v:line style="position:absolute;mso-position-horizontal-relative:page;mso-position-vertical-relative:paragraph;z-index:-424864" from="255.240005pt,13.036363pt" to="258.600005pt,13.036363pt" stroked="true" strokeweight=".599pt" strokecolor="#2e97d3">
            <v:stroke dashstyle="solid"/>
            <w10:wrap type="none"/>
          </v:line>
        </w:pict>
      </w:r>
      <w:r>
        <w:rPr>
          <w:b/>
          <w:sz w:val="24"/>
        </w:rPr>
        <w:t>State Historic Preservation Officer</w:t>
      </w:r>
      <w:r>
        <w:rPr>
          <w:sz w:val="24"/>
        </w:rPr>
        <w:t>:  See </w:t>
      </w:r>
      <w:r>
        <w:rPr>
          <w:i/>
          <w:sz w:val="24"/>
        </w:rPr>
        <w:t>historical resources.</w:t>
      </w:r>
    </w:p>
    <w:p>
      <w:pPr>
        <w:pStyle w:val="Heading2"/>
        <w:spacing w:before="101"/>
        <w:ind w:left="640"/>
      </w:pPr>
      <w:r>
        <w:rPr>
          <w:strike/>
          <w:color w:val="2E97D3"/>
          <w:u w:val="thick" w:color="2E97D3"/>
        </w:rPr>
        <w:t>State Treasurer’s Office </w:t>
      </w:r>
      <w:r>
        <w:rPr>
          <w:strike/>
          <w:color w:val="2E97D3"/>
        </w:rPr>
        <w:t>(</w:t>
      </w:r>
    </w:p>
    <w:p>
      <w:pPr>
        <w:pStyle w:val="BodyText"/>
        <w:spacing w:before="120"/>
        <w:ind w:left="640"/>
      </w:pPr>
      <w:r>
        <w:rPr>
          <w:color w:val="2C6234"/>
          <w:u w:val="thick" w:color="2C6234"/>
        </w:rPr>
        <w:t>(Continued)</w:t>
      </w:r>
    </w:p>
    <w:p>
      <w:pPr>
        <w:spacing w:after="0"/>
        <w:sectPr>
          <w:pgSz w:w="12240" w:h="15840"/>
          <w:pgMar w:header="726" w:footer="785" w:top="1520" w:bottom="980" w:left="420" w:right="1420"/>
        </w:sectPr>
      </w:pPr>
    </w:p>
    <w:p>
      <w:pPr>
        <w:tabs>
          <w:tab w:pos="8426" w:val="left" w:leader="none"/>
        </w:tabs>
        <w:spacing w:before="0"/>
        <w:ind w:left="686" w:right="0" w:firstLine="0"/>
        <w:jc w:val="left"/>
        <w:rPr>
          <w:sz w:val="24"/>
        </w:rPr>
      </w:pPr>
      <w:r>
        <w:rPr/>
        <w:pict>
          <v:group style="position:absolute;margin-left:58.02pt;margin-top:11.736344pt;width:470.9pt;height:2.2pt;mso-position-horizontal-relative:page;mso-position-vertical-relative:paragraph;z-index:-424696" coordorigin="1160,235" coordsize="9418,44">
            <v:line style="position:absolute" from="1166,241" to="10224,241" stroked="true" strokeweight=".599pt" strokecolor="#2c6234">
              <v:stroke dashstyle="solid"/>
            </v:line>
            <v:line style="position:absolute" from="1166,272" to="10224,272" stroked="true" strokeweight=".6pt" strokecolor="#2c6234">
              <v:stroke dashstyle="solid"/>
            </v:line>
            <v:line style="position:absolute" from="10224,260" to="10570,260" stroked="true" strokeweight=".84pt" strokecolor="#2e97d3">
              <v:stroke dashstyle="solid"/>
            </v:line>
            <w10:wrap type="none"/>
          </v:group>
        </w:pict>
      </w:r>
      <w:r>
        <w:rPr/>
        <w:pict>
          <v:line style="position:absolute;mso-position-horizontal-relative:page;mso-position-vertical-relative:page;z-index:48016" from="29.4pt,63pt" to="29.4pt,138.12pt" stroked="true" strokeweight=".72pt" strokecolor="#000000">
            <v:stroke dashstyle="solid"/>
            <w10:wrap type="none"/>
          </v:line>
        </w:pict>
      </w:r>
      <w:bookmarkStart w:name="GLOSSARY AND INDEX FOR CAPITAL OUTLAY" w:id="171"/>
      <w:bookmarkEnd w:id="171"/>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 </w:t>
      </w:r>
      <w:r>
        <w:rPr>
          <w:color w:val="2C6234"/>
          <w:sz w:val="24"/>
        </w:rPr>
        <w:t>(Cont.</w:t>
      </w:r>
      <w:r>
        <w:rPr>
          <w:color w:val="2C6234"/>
          <w:spacing w:val="-12"/>
          <w:sz w:val="24"/>
        </w:rPr>
        <w:t> </w:t>
      </w:r>
      <w:r>
        <w:rPr>
          <w:color w:val="2E97D3"/>
          <w:sz w:val="24"/>
        </w:rPr>
        <w:t>15)</w:t>
      </w:r>
    </w:p>
    <w:p>
      <w:pPr>
        <w:pStyle w:val="BodyText"/>
        <w:ind w:left="686"/>
      </w:pPr>
      <w:r>
        <w:rPr>
          <w:color w:val="2E97D3"/>
          <w:u w:val="single" w:color="2E97D3"/>
        </w:rPr>
        <w:t>(Revised 09/2017)</w:t>
      </w:r>
    </w:p>
    <w:p>
      <w:pPr>
        <w:spacing w:before="122"/>
        <w:ind w:left="686" w:right="0" w:firstLine="0"/>
        <w:jc w:val="left"/>
        <w:rPr>
          <w:sz w:val="24"/>
        </w:rPr>
      </w:pPr>
      <w:r>
        <w:rPr/>
        <w:pict>
          <v:line style="position:absolute;mso-position-horizontal-relative:page;mso-position-vertical-relative:paragraph;z-index:-424672" from="236.520004pt,14.535874pt" to="239.760004pt,14.535874pt" stroked="true" strokeweight=".6pt" strokecolor="#2e97d3">
            <v:stroke dashstyle="solid"/>
            <w10:wrap type="none"/>
          </v:line>
        </w:pict>
      </w:r>
      <w:r>
        <w:rPr/>
        <w:pict>
          <v:line style="position:absolute;mso-position-horizontal-relative:page;mso-position-vertical-relative:paragraph;z-index:48040" from="29.4pt,33.915874pt" to="29.4pt,98.235874pt" stroked="true" strokeweight=".72pt" strokecolor="#000000">
            <v:stroke dashstyle="solid"/>
            <w10:wrap type="none"/>
          </v:line>
        </w:pict>
      </w:r>
      <w:hyperlink r:id="rId376">
        <w:r>
          <w:rPr>
            <w:b/>
            <w:color w:val="2E97D3"/>
            <w:sz w:val="24"/>
            <w:u w:val="thick" w:color="2E97D3"/>
          </w:rPr>
          <w:t>State Treasurer’s Office</w:t>
        </w:r>
      </w:hyperlink>
      <w:r>
        <w:rPr>
          <w:b/>
          <w:color w:val="2E97D3"/>
          <w:sz w:val="24"/>
          <w:u w:val="thick" w:color="2E97D3"/>
        </w:rPr>
        <w:t> (</w:t>
      </w:r>
      <w:r>
        <w:rPr>
          <w:b/>
          <w:sz w:val="24"/>
        </w:rPr>
        <w:t>STO)</w:t>
      </w:r>
      <w:r>
        <w:rPr>
          <w:sz w:val="24"/>
        </w:rPr>
        <w:t>: The agent for sale for most state debt issuances. Sections 6805 and 6870—6888.</w:t>
      </w:r>
    </w:p>
    <w:p>
      <w:pPr>
        <w:pStyle w:val="BodyText"/>
        <w:rPr>
          <w:sz w:val="26"/>
        </w:rPr>
      </w:pPr>
    </w:p>
    <w:p>
      <w:pPr>
        <w:pStyle w:val="BodyText"/>
        <w:spacing w:before="195"/>
        <w:ind w:left="686"/>
      </w:pPr>
      <w:r>
        <w:rPr>
          <w:strike/>
          <w:color w:val="2C6234"/>
        </w:rPr>
        <w:t>(Continued)</w:t>
      </w:r>
    </w:p>
    <w:p>
      <w:pPr>
        <w:spacing w:after="0"/>
        <w:sectPr>
          <w:headerReference w:type="default" r:id="rId375"/>
          <w:pgSz w:w="12240" w:h="15840"/>
          <w:pgMar w:header="822" w:footer="785" w:top="1800" w:bottom="980" w:left="480" w:right="1560"/>
        </w:sectPr>
      </w:pPr>
    </w:p>
    <w:p>
      <w:pPr>
        <w:tabs>
          <w:tab w:pos="8656" w:val="left" w:leader="none"/>
        </w:tabs>
        <w:spacing w:before="0"/>
        <w:ind w:left="686" w:right="117" w:firstLine="0"/>
        <w:jc w:val="left"/>
        <w:rPr>
          <w:sz w:val="24"/>
        </w:rPr>
      </w:pPr>
      <w:r>
        <w:rPr/>
        <w:pict>
          <v:group style="position:absolute;margin-left:58.02pt;margin-top:7.535845pt;width:482.2pt;height:1.8pt;mso-position-horizontal-relative:page;mso-position-vertical-relative:paragraph;z-index:-424600" coordorigin="1160,151" coordsize="9644,36">
            <v:shape style="position:absolute;left:1166;top:157;width:9288;height:24" coordorigin="1166,157" coordsize="9288,24" path="m1166,181l10454,181m1166,157l10454,157e" filled="false" stroked="true" strokeweight=".6pt" strokecolor="#2c6234">
              <v:path arrowok="t"/>
              <v:stroke dashstyle="solid"/>
            </v:shape>
            <v:line style="position:absolute" from="10454,169" to="10798,169" stroked="true" strokeweight=".599pt" strokecolor="#2e97d3">
              <v:stroke dashstyle="solid"/>
            </v:line>
            <w10:wrap type="none"/>
          </v:group>
        </w:pict>
      </w:r>
      <w:r>
        <w:rPr/>
        <w:pict>
          <v:line style="position:absolute;mso-position-horizontal-relative:page;mso-position-vertical-relative:page;z-index:48352" from="29.4pt,63pt" to="29.4pt,154.8pt" stroked="true" strokeweight=".72pt" strokecolor="#000000">
            <v:stroke dashstyle="solid"/>
            <w10:wrap type="none"/>
          </v:line>
        </w:pict>
      </w:r>
      <w:bookmarkStart w:name="(New 5/1998)" w:id="172"/>
      <w:bookmarkEnd w:id="172"/>
      <w:r>
        <w:rPr/>
      </w:r>
      <w:r>
        <w:rPr>
          <w:b/>
          <w:color w:val="2C6234"/>
          <w:sz w:val="24"/>
        </w:rPr>
        <w:t>TERMINOLOGY</w:t>
      </w:r>
      <w:r>
        <w:rPr>
          <w:b/>
          <w:color w:val="2C6234"/>
          <w:spacing w:val="-3"/>
          <w:sz w:val="24"/>
        </w:rPr>
        <w:t> </w:t>
      </w:r>
      <w:r>
        <w:rPr>
          <w:b/>
          <w:color w:val="2C6234"/>
          <w:sz w:val="24"/>
        </w:rPr>
        <w:t>AND</w:t>
      </w:r>
      <w:r>
        <w:rPr>
          <w:b/>
          <w:color w:val="2C6234"/>
          <w:spacing w:val="-4"/>
          <w:sz w:val="24"/>
        </w:rPr>
        <w:t> </w:t>
      </w:r>
      <w:r>
        <w:rPr>
          <w:b/>
          <w:color w:val="2C6234"/>
          <w:sz w:val="24"/>
        </w:rPr>
        <w:t>FORMS</w:t>
        <w:tab/>
        <w:t>6899</w:t>
      </w:r>
      <w:r>
        <w:rPr>
          <w:b/>
          <w:color w:val="2C6234"/>
          <w:spacing w:val="-5"/>
          <w:sz w:val="24"/>
        </w:rPr>
        <w:t> </w:t>
      </w:r>
      <w:r>
        <w:rPr>
          <w:color w:val="2C6234"/>
          <w:sz w:val="24"/>
        </w:rPr>
        <w:t>(Cont.</w:t>
      </w:r>
      <w:r>
        <w:rPr>
          <w:color w:val="2C6234"/>
          <w:spacing w:val="-8"/>
          <w:sz w:val="24"/>
        </w:rPr>
        <w:t> </w:t>
      </w:r>
      <w:r>
        <w:rPr>
          <w:color w:val="2E97D3"/>
          <w:sz w:val="24"/>
        </w:rPr>
        <w:t>16)</w:t>
      </w:r>
      <w:r>
        <w:rPr>
          <w:color w:val="2E97D3"/>
          <w:w w:val="99"/>
          <w:sz w:val="24"/>
        </w:rPr>
        <w:t> </w:t>
      </w:r>
      <w:r>
        <w:rPr>
          <w:strike/>
          <w:color w:val="2E97D3"/>
          <w:sz w:val="24"/>
        </w:rPr>
        <w:t>(New</w:t>
      </w:r>
      <w:r>
        <w:rPr>
          <w:strike/>
          <w:color w:val="2E97D3"/>
          <w:spacing w:val="-6"/>
          <w:sz w:val="24"/>
        </w:rPr>
        <w:t> </w:t>
      </w:r>
      <w:r>
        <w:rPr>
          <w:strike/>
          <w:color w:val="2E97D3"/>
          <w:sz w:val="24"/>
        </w:rPr>
        <w:t>5/1998)</w:t>
      </w:r>
    </w:p>
    <w:p>
      <w:pPr>
        <w:spacing w:before="57"/>
        <w:ind w:left="686" w:right="0" w:firstLine="0"/>
        <w:jc w:val="left"/>
        <w:rPr>
          <w:sz w:val="24"/>
        </w:rPr>
      </w:pPr>
      <w:r>
        <w:rPr/>
        <w:pict>
          <v:line style="position:absolute;mso-position-horizontal-relative:page;mso-position-vertical-relative:paragraph;z-index:-424576" from="182.399994pt,11.285864pt" to="185.759994pt,11.285864pt" stroked="true" strokeweight=".6pt" strokecolor="#2e97d3">
            <v:stroke dashstyle="solid"/>
            <w10:wrap type="none"/>
          </v:line>
        </w:pict>
      </w:r>
      <w:r>
        <w:rPr>
          <w:b/>
          <w:sz w:val="24"/>
        </w:rPr>
        <w:t>Standard and Poor’s</w:t>
      </w:r>
      <w:r>
        <w:rPr>
          <w:sz w:val="24"/>
        </w:rPr>
        <w:t>:  See </w:t>
      </w:r>
      <w:r>
        <w:rPr>
          <w:i/>
          <w:sz w:val="24"/>
        </w:rPr>
        <w:t>rating agency</w:t>
      </w:r>
      <w:r>
        <w:rPr>
          <w:sz w:val="24"/>
        </w:rPr>
        <w:t>.</w:t>
      </w:r>
    </w:p>
    <w:p>
      <w:pPr>
        <w:spacing w:line="240" w:lineRule="auto" w:before="119"/>
        <w:ind w:left="686" w:right="392" w:firstLine="0"/>
        <w:jc w:val="left"/>
        <w:rPr>
          <w:sz w:val="24"/>
        </w:rPr>
      </w:pPr>
      <w:r>
        <w:rPr/>
        <w:pict>
          <v:line style="position:absolute;mso-position-horizontal-relative:page;mso-position-vertical-relative:paragraph;z-index:-424552" from="283.079987pt,14.385877pt" to="286.440987pt,14.385877pt" stroked="true" strokeweight=".6pt" strokecolor="#2e97d3">
            <v:stroke dashstyle="solid"/>
            <w10:wrap type="none"/>
          </v:line>
        </w:pict>
      </w:r>
      <w:r>
        <w:rPr/>
        <w:pict>
          <v:line style="position:absolute;mso-position-horizontal-relative:page;mso-position-vertical-relative:paragraph;z-index:48376" from="29.4pt,33.885876pt" to="29.4pt,61.485876pt" stroked="true" strokeweight=".72pt" strokecolor="#000000">
            <v:stroke dashstyle="solid"/>
            <w10:wrap type="none"/>
          </v:line>
        </w:pict>
      </w:r>
      <w:r>
        <w:rPr>
          <w:b/>
          <w:sz w:val="24"/>
        </w:rPr>
        <w:t>Standard fiscal reporting requirements</w:t>
      </w:r>
      <w:r>
        <w:rPr>
          <w:sz w:val="24"/>
        </w:rPr>
        <w:t>: A set of three documents (DF-14D, </w:t>
      </w:r>
      <w:r>
        <w:rPr>
          <w:i/>
          <w:sz w:val="24"/>
        </w:rPr>
        <w:t>Project </w:t>
      </w:r>
      <w:r>
        <w:rPr>
          <w:i/>
          <w:sz w:val="24"/>
        </w:rPr>
        <w:t>Cost, Funding and Schedule Summary</w:t>
      </w:r>
      <w:r>
        <w:rPr>
          <w:sz w:val="24"/>
        </w:rPr>
        <w:t>, and </w:t>
      </w:r>
      <w:r>
        <w:rPr>
          <w:i/>
          <w:sz w:val="24"/>
        </w:rPr>
        <w:t>Project Cost Detail Worksheet</w:t>
      </w:r>
      <w:r>
        <w:rPr>
          <w:sz w:val="24"/>
        </w:rPr>
        <w:t>) required whenever requesting action from </w:t>
      </w:r>
      <w:r>
        <w:rPr>
          <w:strike/>
          <w:color w:val="2E97D3"/>
          <w:sz w:val="24"/>
        </w:rPr>
        <w:t>DOF</w:t>
      </w:r>
      <w:r>
        <w:rPr>
          <w:strike w:val="0"/>
          <w:color w:val="2E97D3"/>
          <w:sz w:val="22"/>
          <w:u w:val="single" w:color="2E97D3"/>
        </w:rPr>
        <w:t>Finance </w:t>
      </w:r>
      <w:r>
        <w:rPr>
          <w:strike w:val="0"/>
          <w:sz w:val="24"/>
        </w:rPr>
        <w:t>or PWB to approve completion of a phase and release funds for the next phase (or requesting changes to project scope or cost).</w:t>
      </w:r>
    </w:p>
    <w:p>
      <w:pPr>
        <w:pStyle w:val="BodyText"/>
        <w:spacing w:line="274" w:lineRule="exact"/>
        <w:ind w:left="686"/>
      </w:pPr>
      <w:r>
        <w:rPr/>
        <w:pict>
          <v:line style="position:absolute;mso-position-horizontal-relative:page;mso-position-vertical-relative:paragraph;z-index:48400" from="29.4pt,14.016028pt" to="29.4pt,47.617028pt" stroked="true" strokeweight=".72pt" strokecolor="#000000">
            <v:stroke dashstyle="solid"/>
            <w10:wrap type="none"/>
          </v:line>
        </w:pict>
      </w:r>
      <w:r>
        <w:rPr/>
        <w:t>See </w:t>
      </w:r>
      <w:r>
        <w:rPr>
          <w:i/>
        </w:rPr>
        <w:t>forms</w:t>
      </w:r>
      <w:r>
        <w:rPr/>
        <w:t>.  See also Section 6845.</w:t>
      </w:r>
    </w:p>
    <w:p>
      <w:pPr>
        <w:pStyle w:val="BodyText"/>
        <w:spacing w:before="123"/>
        <w:ind w:left="686" w:right="876"/>
        <w:jc w:val="both"/>
      </w:pPr>
      <w:r>
        <w:rPr/>
        <w:pict>
          <v:line style="position:absolute;mso-position-horizontal-relative:page;mso-position-vertical-relative:paragraph;z-index:-424528" from="235.080002pt,14.585881pt" to="238.440002pt,14.585881pt" stroked="true" strokeweight=".6pt" strokecolor="#2e97d3">
            <v:stroke dashstyle="solid"/>
            <w10:wrap type="none"/>
          </v:line>
        </w:pict>
      </w:r>
      <w:r>
        <w:rPr>
          <w:b/>
        </w:rPr>
        <w:t>State Property Inventory (SPI)</w:t>
      </w:r>
      <w:r>
        <w:rPr/>
        <w:t>: An inventory of all real property held by the state. Each agency is required to update its real property and structure records in the SPI. Section 6820.</w:t>
      </w:r>
    </w:p>
    <w:p>
      <w:pPr>
        <w:pStyle w:val="BodyText"/>
        <w:spacing w:before="120"/>
        <w:ind w:left="686"/>
      </w:pPr>
      <w:r>
        <w:rPr/>
        <w:pict>
          <v:line style="position:absolute;mso-position-horizontal-relative:page;mso-position-vertical-relative:paragraph;z-index:48424" from="29.4pt,20.015858pt" to="29.4pt,52.655858pt" stroked="true" strokeweight=".72pt" strokecolor="#000000">
            <v:stroke dashstyle="solid"/>
            <w10:wrap type="none"/>
          </v:line>
        </w:pict>
      </w:r>
      <w:r>
        <w:rPr>
          <w:b/>
        </w:rPr>
        <w:t>STO</w:t>
      </w:r>
      <w:r>
        <w:rPr/>
        <w:t>:  See </w:t>
      </w:r>
      <w:hyperlink r:id="rId377">
        <w:r>
          <w:rPr/>
          <w:t>State Treasurer’s Office</w:t>
        </w:r>
      </w:hyperlink>
      <w:r>
        <w:rPr/>
        <w:t>.</w:t>
      </w:r>
    </w:p>
    <w:p>
      <w:pPr>
        <w:pStyle w:val="BodyText"/>
        <w:spacing w:before="100"/>
        <w:ind w:left="686" w:right="642"/>
      </w:pPr>
      <w:r>
        <w:rPr/>
        <w:pict>
          <v:line style="position:absolute;mso-position-horizontal-relative:page;mso-position-vertical-relative:paragraph;z-index:-424504" from="187.800003pt,13.435861pt" to="191.160003pt,13.435861pt" stroked="true" strokeweight=".6pt" strokecolor="#2e97d3">
            <v:stroke dashstyle="solid"/>
            <w10:wrap type="none"/>
          </v:line>
        </w:pict>
      </w:r>
      <w:r>
        <w:rPr/>
        <w:pict>
          <v:line style="position:absolute;mso-position-horizontal-relative:page;mso-position-vertical-relative:paragraph;z-index:-424480" from="369.959991pt,27.235861pt" to="373.199991pt,27.235861pt" stroked="true" strokeweight=".6pt" strokecolor="#2e97d3">
            <v:stroke dashstyle="solid"/>
            <w10:wrap type="none"/>
          </v:line>
        </w:pict>
      </w:r>
      <w:r>
        <w:rPr/>
        <w:pict>
          <v:line style="position:absolute;mso-position-horizontal-relative:page;mso-position-vertical-relative:paragraph;z-index:48448" from="29.4pt,46.61586pt" to="29.4pt,135.29586pt" stroked="true" strokeweight=".72pt" strokecolor="#000000">
            <v:stroke dashstyle="solid"/>
            <w10:wrap type="none"/>
          </v:line>
        </w:pict>
      </w:r>
      <w:r>
        <w:rPr>
          <w:b/>
        </w:rPr>
        <w:t>Technical consultants</w:t>
      </w:r>
      <w:r>
        <w:rPr/>
        <w:t>: Consulting architects, facilities planners, engineers, or contractors used in the development of a potential project. Section 6823 and 6806 Illustration.</w:t>
      </w:r>
    </w:p>
    <w:p>
      <w:pPr>
        <w:pStyle w:val="BodyText"/>
        <w:ind w:left="686" w:right="281"/>
      </w:pPr>
      <w:r>
        <w:rPr>
          <w:b/>
          <w:strike/>
          <w:color w:val="2E97D3"/>
        </w:rPr>
        <w:t>Technology Investment Review Unit (TIRU)</w:t>
      </w:r>
      <w:r>
        <w:rPr>
          <w:strike/>
          <w:color w:val="2E97D3"/>
        </w:rPr>
        <w:t>: The DOF unit charged with assessing whether the technology aspects of a capital outlay proposal are an appropriate business solution. Works in conjunction with the Department of Information Technology (DOIT) which assesses the technology aspects of information management proposals. (Section 6818). Also available as a technical consultant in when preparing a project feasibility study. Sections 6818 (technical notes) and 6823.</w:t>
      </w:r>
    </w:p>
    <w:p>
      <w:pPr>
        <w:spacing w:before="118"/>
        <w:ind w:left="686" w:right="0" w:firstLine="0"/>
        <w:jc w:val="left"/>
        <w:rPr>
          <w:sz w:val="24"/>
        </w:rPr>
      </w:pPr>
      <w:r>
        <w:rPr>
          <w:b/>
          <w:sz w:val="24"/>
        </w:rPr>
        <w:t>TIC</w:t>
      </w:r>
      <w:r>
        <w:rPr>
          <w:sz w:val="24"/>
        </w:rPr>
        <w:t>:  See </w:t>
      </w:r>
      <w:r>
        <w:rPr>
          <w:i/>
          <w:sz w:val="24"/>
        </w:rPr>
        <w:t>true interest cost</w:t>
      </w:r>
      <w:r>
        <w:rPr>
          <w:sz w:val="24"/>
        </w:rPr>
        <w:t>.</w:t>
      </w:r>
    </w:p>
    <w:p>
      <w:pPr>
        <w:pStyle w:val="BodyText"/>
        <w:spacing w:before="122"/>
        <w:ind w:left="686" w:right="516"/>
      </w:pPr>
      <w:r>
        <w:rPr/>
        <w:pict>
          <v:line style="position:absolute;mso-position-horizontal-relative:page;mso-position-vertical-relative:paragraph;z-index:-424456" from="356.040009pt,28.336355pt" to="359.400009pt,28.336355pt" stroked="true" strokeweight=".599pt" strokecolor="#2e97d3">
            <v:stroke dashstyle="solid"/>
            <w10:wrap type="none"/>
          </v:line>
        </w:pict>
      </w:r>
      <w:r>
        <w:rPr/>
        <w:pict>
          <v:line style="position:absolute;mso-position-horizontal-relative:page;mso-position-vertical-relative:paragraph;z-index:48472" from="29.4pt,20.116856pt" to="29.4pt,47.715856pt" stroked="true" strokeweight=".72pt" strokecolor="#000000">
            <v:stroke dashstyle="solid"/>
            <w10:wrap type="none"/>
          </v:line>
        </w:pict>
      </w:r>
      <w:r>
        <w:rPr/>
        <w:pict>
          <v:line style="position:absolute;mso-position-horizontal-relative:page;mso-position-vertical-relative:paragraph;z-index:48496" from="29.4pt,61.516857pt" to="29.4pt,126.555857pt" stroked="true" strokeweight=".72pt" strokecolor="#000000">
            <v:stroke dashstyle="solid"/>
            <w10:wrap type="none"/>
          </v:line>
        </w:pict>
      </w:r>
      <w:r>
        <w:rPr>
          <w:b/>
        </w:rPr>
        <w:t>Total project costs: </w:t>
      </w:r>
      <w:r>
        <w:rPr/>
        <w:t>All project costs from the start of the design phases until the completion of construction and equipping of the project. Major line item costs include: architect/engineer fees, construction contract, inspection fees, administration, agency- retained items, mandatory review fees, small business administration fees, and bidding phase costs.</w:t>
      </w:r>
    </w:p>
    <w:p>
      <w:pPr>
        <w:spacing w:before="115"/>
        <w:ind w:left="686" w:right="0" w:firstLine="0"/>
        <w:jc w:val="left"/>
        <w:rPr>
          <w:i/>
          <w:sz w:val="24"/>
        </w:rPr>
      </w:pPr>
      <w:r>
        <w:rPr/>
        <w:pict>
          <v:line style="position:absolute;mso-position-horizontal-relative:page;mso-position-vertical-relative:paragraph;z-index:-424432" from="414.23999pt,14.185846pt" to="417.59999pt,14.185846pt" stroked="true" strokeweight=".6pt" strokecolor="#2e97d3">
            <v:stroke dashstyle="solid"/>
            <w10:wrap type="none"/>
          </v:line>
        </w:pict>
      </w:r>
      <w:r>
        <w:rPr/>
        <w:pict>
          <v:line style="position:absolute;mso-position-horizontal-relative:page;mso-position-vertical-relative:paragraph;z-index:-424408" from="190.440002pt,27.985846pt" to="193.800002pt,27.985846pt" stroked="true" strokeweight=".6pt" strokecolor="#2e97d3">
            <v:stroke dashstyle="solid"/>
            <w10:wrap type="none"/>
          </v:line>
        </w:pict>
      </w:r>
      <w:r>
        <w:rPr>
          <w:b/>
          <w:sz w:val="24"/>
        </w:rPr>
        <w:t>Transferring funds to Architecture and Revolving Fund (ARF)</w:t>
      </w:r>
      <w:r>
        <w:rPr>
          <w:sz w:val="24"/>
        </w:rPr>
        <w:t>: See </w:t>
      </w:r>
      <w:r>
        <w:rPr>
          <w:i/>
          <w:sz w:val="24"/>
        </w:rPr>
        <w:t>forms </w:t>
      </w:r>
      <w:r>
        <w:rPr>
          <w:sz w:val="24"/>
        </w:rPr>
        <w:t>(Forms 22 and </w:t>
      </w:r>
      <w:r>
        <w:rPr>
          <w:strike/>
          <w:color w:val="2E97D3"/>
          <w:sz w:val="24"/>
        </w:rPr>
        <w:t>GS-OSA</w:t>
      </w:r>
      <w:r>
        <w:rPr>
          <w:strike w:val="0"/>
          <w:color w:val="2E97D3"/>
          <w:sz w:val="24"/>
          <w:u w:val="single" w:color="2E97D3"/>
        </w:rPr>
        <w:t>Form </w:t>
      </w:r>
      <w:r>
        <w:rPr>
          <w:strike w:val="0"/>
          <w:sz w:val="24"/>
        </w:rPr>
        <w:t>220).  Section 6868.  See also </w:t>
      </w:r>
      <w:r>
        <w:rPr>
          <w:i/>
          <w:strike w:val="0"/>
          <w:sz w:val="24"/>
        </w:rPr>
        <w:t>Architecture and Revolving Fund.</w:t>
      </w:r>
    </w:p>
    <w:p>
      <w:pPr>
        <w:spacing w:line="237" w:lineRule="auto" w:before="86"/>
        <w:ind w:left="686" w:right="148" w:firstLine="0"/>
        <w:jc w:val="left"/>
        <w:rPr>
          <w:sz w:val="24"/>
        </w:rPr>
      </w:pPr>
      <w:r>
        <w:rPr/>
        <w:pict>
          <v:line style="position:absolute;mso-position-horizontal-relative:page;mso-position-vertical-relative:paragraph;z-index:-424384" from="192.960007pt,12.6233pt" to="196.320007pt,12.6233pt" stroked="true" strokeweight=".6pt" strokecolor="#2e97d3">
            <v:stroke dashstyle="solid"/>
            <w10:wrap type="none"/>
          </v:line>
        </w:pict>
      </w:r>
      <w:r>
        <w:rPr/>
        <w:pict>
          <v:line style="position:absolute;mso-position-horizontal-relative:page;mso-position-vertical-relative:paragraph;z-index:48520" from="29.4pt,45.6833pt" to="29.4pt,63.5633pt" stroked="true" strokeweight=".72pt" strokecolor="#000000">
            <v:stroke dashstyle="solid"/>
            <w10:wrap type="none"/>
          </v:line>
        </w:pict>
      </w:r>
      <w:r>
        <w:rPr>
          <w:b/>
          <w:sz w:val="24"/>
        </w:rPr>
        <w:t>True interest cost (TIC)</w:t>
      </w:r>
      <w:r>
        <w:rPr>
          <w:sz w:val="24"/>
        </w:rPr>
        <w:t>: A measure of the interest cost of an issue that accounts for the time value of money; sometimes called the </w:t>
      </w:r>
      <w:r>
        <w:rPr>
          <w:i/>
          <w:sz w:val="24"/>
        </w:rPr>
        <w:t>internal rate of return </w:t>
      </w:r>
      <w:r>
        <w:rPr>
          <w:sz w:val="24"/>
        </w:rPr>
        <w:t>or the </w:t>
      </w:r>
      <w:r>
        <w:rPr>
          <w:i/>
          <w:sz w:val="24"/>
        </w:rPr>
        <w:t>net effective </w:t>
      </w:r>
      <w:r>
        <w:rPr>
          <w:i/>
          <w:sz w:val="24"/>
        </w:rPr>
        <w:t>interest rate.”  </w:t>
      </w:r>
      <w:r>
        <w:rPr>
          <w:sz w:val="24"/>
        </w:rPr>
        <w:t>Overall interest costs on a bond sale are expressed as the TIC.</w:t>
      </w:r>
    </w:p>
    <w:p>
      <w:pPr>
        <w:pStyle w:val="BodyText"/>
        <w:spacing w:before="84"/>
        <w:ind w:left="686" w:right="460"/>
        <w:jc w:val="both"/>
      </w:pPr>
      <w:r>
        <w:rPr/>
        <w:pict>
          <v:line style="position:absolute;mso-position-horizontal-relative:page;mso-position-vertical-relative:paragraph;z-index:-424360" from="187.199997pt,12.635858pt" to="190.319997pt,12.635858pt" stroked="true" strokeweight=".6pt" strokecolor="#2e97d3">
            <v:stroke dashstyle="solid"/>
            <w10:wrap type="none"/>
          </v:line>
        </w:pict>
      </w:r>
      <w:r>
        <w:rPr/>
        <w:pict>
          <v:line style="position:absolute;mso-position-horizontal-relative:page;mso-position-vertical-relative:paragraph;z-index:-424336" from="201.240005pt,40.235859pt" to="204.480005pt,40.235859pt" stroked="true" strokeweight=".6pt" strokecolor="#2e97d3">
            <v:stroke dashstyle="solid"/>
            <w10:wrap type="none"/>
          </v:line>
        </w:pict>
      </w:r>
      <w:r>
        <w:rPr/>
        <w:pict>
          <v:line style="position:absolute;mso-position-horizontal-relative:page;mso-position-vertical-relative:paragraph;z-index:48544" from="29.4pt,32.015858pt" to="29.4pt,111.215858pt" stroked="true" strokeweight=".72pt" strokecolor="#000000">
            <v:stroke dashstyle="solid"/>
            <w10:wrap type="none"/>
          </v:line>
        </w:pict>
      </w:r>
      <w:r>
        <w:rPr>
          <w:b/>
        </w:rPr>
        <w:t>Turnkey construction</w:t>
      </w:r>
      <w:r>
        <w:rPr/>
        <w:t>: A procurement method in which the vendor delivers a ready-to- operate</w:t>
      </w:r>
      <w:r>
        <w:rPr>
          <w:spacing w:val="-15"/>
        </w:rPr>
        <w:t> </w:t>
      </w:r>
      <w:r>
        <w:rPr/>
        <w:t>facility</w:t>
      </w:r>
      <w:r>
        <w:rPr>
          <w:spacing w:val="-16"/>
        </w:rPr>
        <w:t> </w:t>
      </w:r>
      <w:r>
        <w:rPr/>
        <w:t>to</w:t>
      </w:r>
      <w:r>
        <w:rPr>
          <w:spacing w:val="-15"/>
        </w:rPr>
        <w:t> </w:t>
      </w:r>
      <w:r>
        <w:rPr/>
        <w:t>the</w:t>
      </w:r>
      <w:r>
        <w:rPr>
          <w:spacing w:val="-15"/>
        </w:rPr>
        <w:t> </w:t>
      </w:r>
      <w:r>
        <w:rPr/>
        <w:t>client</w:t>
      </w:r>
      <w:r>
        <w:rPr>
          <w:spacing w:val="-15"/>
        </w:rPr>
        <w:t> </w:t>
      </w:r>
      <w:r>
        <w:rPr/>
        <w:t>department’s</w:t>
      </w:r>
      <w:r>
        <w:rPr>
          <w:spacing w:val="-16"/>
        </w:rPr>
        <w:t> </w:t>
      </w:r>
      <w:r>
        <w:rPr/>
        <w:t>specifications,</w:t>
      </w:r>
      <w:r>
        <w:rPr>
          <w:spacing w:val="-15"/>
        </w:rPr>
        <w:t> </w:t>
      </w:r>
      <w:r>
        <w:rPr/>
        <w:t>either</w:t>
      </w:r>
      <w:r>
        <w:rPr>
          <w:spacing w:val="-17"/>
        </w:rPr>
        <w:t> </w:t>
      </w:r>
      <w:r>
        <w:rPr/>
        <w:t>through</w:t>
      </w:r>
      <w:r>
        <w:rPr>
          <w:spacing w:val="-13"/>
        </w:rPr>
        <w:t> </w:t>
      </w:r>
      <w:r>
        <w:rPr/>
        <w:t>a</w:t>
      </w:r>
      <w:r>
        <w:rPr>
          <w:spacing w:val="-15"/>
        </w:rPr>
        <w:t> </w:t>
      </w:r>
      <w:r>
        <w:rPr/>
        <w:t>long-term</w:t>
      </w:r>
      <w:r>
        <w:rPr>
          <w:spacing w:val="-12"/>
        </w:rPr>
        <w:t> </w:t>
      </w:r>
      <w:r>
        <w:rPr/>
        <w:t>(pure) lease or a financing lease.  Section</w:t>
      </w:r>
      <w:r>
        <w:rPr>
          <w:spacing w:val="-18"/>
        </w:rPr>
        <w:t> </w:t>
      </w:r>
      <w:r>
        <w:rPr/>
        <w:t>6841.</w:t>
      </w:r>
    </w:p>
    <w:p>
      <w:pPr>
        <w:pStyle w:val="BodyText"/>
        <w:spacing w:before="4"/>
        <w:rPr>
          <w:sz w:val="26"/>
        </w:rPr>
      </w:pPr>
    </w:p>
    <w:p>
      <w:pPr>
        <w:pStyle w:val="BodyText"/>
        <w:spacing w:before="92"/>
        <w:ind w:left="686"/>
      </w:pPr>
      <w:r>
        <w:rPr>
          <w:strike/>
          <w:color w:val="2E97D3"/>
        </w:rPr>
        <w:t>(Continued)</w:t>
      </w:r>
    </w:p>
    <w:p>
      <w:pPr>
        <w:spacing w:after="0"/>
        <w:sectPr>
          <w:pgSz w:w="12240" w:h="15840"/>
          <w:pgMar w:header="822" w:footer="785" w:top="1800" w:bottom="980" w:left="480" w:right="1320"/>
        </w:sectPr>
      </w:pPr>
    </w:p>
    <w:p>
      <w:pPr>
        <w:tabs>
          <w:tab w:pos="8649" w:val="left" w:leader="none"/>
        </w:tabs>
        <w:spacing w:before="0"/>
        <w:ind w:left="686" w:right="117" w:firstLine="0"/>
        <w:jc w:val="left"/>
        <w:rPr>
          <w:sz w:val="24"/>
        </w:rPr>
      </w:pPr>
      <w:r>
        <w:rPr/>
        <w:pict>
          <v:line style="position:absolute;mso-position-horizontal-relative:page;mso-position-vertical-relative:paragraph;z-index:-424096" from="58.32pt,8.436345pt" to="539.88pt,8.436345pt" stroked="true" strokeweight=".599pt" strokecolor="#2e97d3">
            <v:stroke dashstyle="solid"/>
            <w10:wrap type="none"/>
          </v:line>
        </w:pict>
      </w:r>
      <w:r>
        <w:rPr/>
        <w:pict>
          <v:line style="position:absolute;mso-position-horizontal-relative:page;mso-position-vertical-relative:page;z-index:48760" from="29.4pt,63pt" to="29.4pt,149.76pt" stroked="true" strokeweight=".72pt" strokecolor="#000000">
            <v:stroke dashstyle="solid"/>
            <w10:wrap type="none"/>
          </v:line>
        </w:pict>
      </w:r>
      <w:bookmarkStart w:name="(New 5/1998)" w:id="173"/>
      <w:bookmarkEnd w:id="173"/>
      <w:r>
        <w:rPr/>
      </w:r>
      <w:r>
        <w:rPr>
          <w:b/>
          <w:color w:val="2E97D3"/>
          <w:sz w:val="24"/>
        </w:rPr>
        <w:t>TERMINOLOGY</w:t>
      </w:r>
      <w:r>
        <w:rPr>
          <w:b/>
          <w:color w:val="2E97D3"/>
          <w:spacing w:val="-3"/>
          <w:sz w:val="24"/>
        </w:rPr>
        <w:t> </w:t>
      </w:r>
      <w:r>
        <w:rPr>
          <w:b/>
          <w:color w:val="2E97D3"/>
          <w:sz w:val="24"/>
        </w:rPr>
        <w:t>AND</w:t>
      </w:r>
      <w:r>
        <w:rPr>
          <w:b/>
          <w:color w:val="2E97D3"/>
          <w:spacing w:val="-2"/>
          <w:sz w:val="24"/>
        </w:rPr>
        <w:t> </w:t>
      </w:r>
      <w:r>
        <w:rPr>
          <w:b/>
          <w:color w:val="2E97D3"/>
          <w:sz w:val="24"/>
        </w:rPr>
        <w:t>FORMS</w:t>
        <w:tab/>
        <w:t>6899</w:t>
      </w:r>
      <w:r>
        <w:rPr>
          <w:b/>
          <w:color w:val="2E97D3"/>
          <w:spacing w:val="-2"/>
          <w:sz w:val="24"/>
        </w:rPr>
        <w:t> </w:t>
      </w:r>
      <w:r>
        <w:rPr>
          <w:color w:val="2E97D3"/>
          <w:sz w:val="24"/>
        </w:rPr>
        <w:t>(Cont.</w:t>
      </w:r>
      <w:r>
        <w:rPr>
          <w:color w:val="2E97D3"/>
          <w:spacing w:val="-5"/>
          <w:sz w:val="24"/>
        </w:rPr>
        <w:t> </w:t>
      </w:r>
      <w:r>
        <w:rPr>
          <w:color w:val="2E97D3"/>
          <w:sz w:val="24"/>
        </w:rPr>
        <w:t>17)</w:t>
      </w:r>
      <w:r>
        <w:rPr>
          <w:color w:val="2E97D3"/>
          <w:w w:val="99"/>
          <w:sz w:val="24"/>
        </w:rPr>
        <w:t> </w:t>
      </w:r>
      <w:r>
        <w:rPr>
          <w:strike/>
          <w:color w:val="2E97D3"/>
          <w:sz w:val="24"/>
        </w:rPr>
        <w:t>(New</w:t>
      </w:r>
      <w:r>
        <w:rPr>
          <w:strike/>
          <w:color w:val="2E97D3"/>
          <w:spacing w:val="-6"/>
          <w:sz w:val="24"/>
        </w:rPr>
        <w:t> </w:t>
      </w:r>
      <w:r>
        <w:rPr>
          <w:strike/>
          <w:color w:val="2E97D3"/>
          <w:sz w:val="24"/>
        </w:rPr>
        <w:t>5/1998)</w:t>
      </w:r>
    </w:p>
    <w:p>
      <w:pPr>
        <w:pStyle w:val="BodyText"/>
        <w:spacing w:before="81"/>
        <w:ind w:left="686" w:right="396"/>
      </w:pPr>
      <w:r>
        <w:rPr/>
        <w:pict>
          <v:line style="position:absolute;mso-position-horizontal-relative:page;mso-position-vertical-relative:paragraph;z-index:-424072" from="109.68pt,26.166351pt" to="113.04pt,26.166351pt" stroked="true" strokeweight=".599pt" strokecolor="#2e97d3">
            <v:stroke dashstyle="solid"/>
            <w10:wrap type="none"/>
          </v:line>
        </w:pict>
      </w:r>
      <w:r>
        <w:rPr/>
        <w:pict>
          <v:line style="position:absolute;mso-position-horizontal-relative:page;mso-position-vertical-relative:paragraph;z-index:-424048" from="393.959991pt,53.765854pt" to="397.320991pt,53.765854pt" stroked="true" strokeweight=".6pt" strokecolor="#2e97d3">
            <v:stroke dashstyle="solid"/>
            <w10:wrap type="none"/>
          </v:line>
        </w:pict>
      </w:r>
      <w:r>
        <w:rPr/>
        <w:pict>
          <v:line style="position:absolute;mso-position-horizontal-relative:page;mso-position-vertical-relative:paragraph;z-index:48784" from="29.4pt,45.545853pt" to="29.4pt,77.225853pt" stroked="true" strokeweight=".72pt" strokecolor="#000000">
            <v:stroke dashstyle="solid"/>
            <w10:wrap type="none"/>
          </v:line>
        </w:pict>
      </w:r>
      <w:r>
        <w:rPr>
          <w:b/>
          <w:strike/>
          <w:color w:val="2E97D3"/>
        </w:rPr>
        <w:t>Underwriters</w:t>
      </w:r>
      <w:r>
        <w:rPr>
          <w:strike/>
          <w:color w:val="2E97D3"/>
        </w:rPr>
        <w:t>: </w:t>
      </w:r>
      <w:r>
        <w:rPr>
          <w:b/>
          <w:strike w:val="0"/>
          <w:color w:val="2E97D3"/>
          <w:u w:val="thick" w:color="2E97D3"/>
        </w:rPr>
        <w:t>Underwriter</w:t>
      </w:r>
      <w:r>
        <w:rPr>
          <w:strike w:val="0"/>
          <w:color w:val="2E97D3"/>
          <w:u w:val="thick" w:color="2E97D3"/>
        </w:rPr>
        <w:t>: </w:t>
      </w:r>
      <w:r>
        <w:rPr>
          <w:strike w:val="0"/>
        </w:rPr>
        <w:t>A dealer which purchases municipal securities for resale to investors. The underwriter may acquire the securities either by negotiation with the issuer or by award on the basis of competitive bidding. In either case, the underwriter assumes complete risk and responsibility for selling the bonds.  Section 6880.</w:t>
      </w:r>
    </w:p>
    <w:p>
      <w:pPr>
        <w:pStyle w:val="BodyText"/>
        <w:spacing w:before="81"/>
        <w:ind w:left="686" w:right="428"/>
      </w:pPr>
      <w:r>
        <w:rPr/>
        <w:pict>
          <v:line style="position:absolute;mso-position-horizontal-relative:page;mso-position-vertical-relative:paragraph;z-index:-424024" from="165.119995pt,12.485879pt" to="168.479995pt,12.485879pt" stroked="true" strokeweight=".6pt" strokecolor="#2e97d3">
            <v:stroke dashstyle="solid"/>
            <w10:wrap type="none"/>
          </v:line>
        </w:pict>
      </w:r>
      <w:r>
        <w:rPr/>
        <w:pict>
          <v:line style="position:absolute;mso-position-horizontal-relative:page;mso-position-vertical-relative:paragraph;z-index:-424000" from="273.239990pt,40.08638pt" to="276.59999pt,40.08638pt" stroked="true" strokeweight=".599pt" strokecolor="#2e97d3">
            <v:stroke dashstyle="solid"/>
            <w10:wrap type="none"/>
          </v:line>
        </w:pict>
      </w:r>
      <w:r>
        <w:rPr/>
        <w:pict>
          <v:line style="position:absolute;mso-position-horizontal-relative:page;mso-position-vertical-relative:paragraph;z-index:-423976" from="154.440002pt,67.685883pt" to="157.800002pt,67.685883pt" stroked="true" strokeweight=".6pt" strokecolor="#2e97d3">
            <v:stroke dashstyle="solid"/>
            <w10:wrap type="none"/>
          </v:line>
        </w:pict>
      </w:r>
      <w:r>
        <w:rPr/>
        <w:pict>
          <v:line style="position:absolute;mso-position-horizontal-relative:page;mso-position-vertical-relative:paragraph;z-index:48808" from="29.4pt,31.866879pt" to="29.4pt,154.865879pt" stroked="true" strokeweight=".72pt" strokecolor="#000000">
            <v:stroke dashstyle="solid"/>
            <w10:wrap type="none"/>
          </v:line>
        </w:pict>
      </w:r>
      <w:r>
        <w:rPr>
          <w:b/>
        </w:rPr>
        <w:t>Value engineering</w:t>
      </w:r>
      <w:r>
        <w:rPr/>
        <w:t>: A project evaluation technique which seeks to reduce costs and/or increase value by analyzing the functional requirements of a project’s materials, methods, components and subsystems. PWB may require value engineering </w:t>
      </w:r>
      <w:r>
        <w:rPr>
          <w:strike/>
          <w:color w:val="2E97D3"/>
        </w:rPr>
        <w:t>as a precondition</w:t>
      </w:r>
      <w:r>
        <w:rPr>
          <w:strike w:val="0"/>
          <w:color w:val="2E97D3"/>
          <w:u w:val="single" w:color="2E97D3"/>
        </w:rPr>
        <w:t>prior </w:t>
      </w:r>
      <w:r>
        <w:rPr>
          <w:strike w:val="0"/>
        </w:rPr>
        <w:t>to </w:t>
      </w:r>
      <w:r>
        <w:rPr>
          <w:strike/>
          <w:color w:val="2E97D3"/>
        </w:rPr>
        <w:t>a recognized</w:t>
      </w:r>
      <w:r>
        <w:rPr>
          <w:strike w:val="0"/>
          <w:color w:val="2E97D3"/>
          <w:u w:val="single" w:color="2E97D3"/>
        </w:rPr>
        <w:t>authorizing an augmentation or recognizing an anticipated </w:t>
      </w:r>
      <w:r>
        <w:rPr>
          <w:strike w:val="0"/>
        </w:rPr>
        <w:t>deficit.  Section 6851.</w:t>
      </w:r>
    </w:p>
    <w:p>
      <w:pPr>
        <w:spacing w:line="240" w:lineRule="auto" w:before="0"/>
        <w:ind w:left="686" w:right="281" w:firstLine="0"/>
        <w:jc w:val="left"/>
        <w:rPr>
          <w:sz w:val="24"/>
        </w:rPr>
      </w:pPr>
      <w:r>
        <w:rPr/>
        <w:pict>
          <v:line style="position:absolute;mso-position-horizontal-relative:page;mso-position-vertical-relative:paragraph;z-index:-423952" from="189.240005pt,7.497851pt" to="192.480005pt,7.497851pt" stroked="true" strokeweight=".6pt" strokecolor="#2e97d3">
            <v:stroke dashstyle="solid"/>
            <w10:wrap type="none"/>
          </v:line>
        </w:pict>
      </w:r>
      <w:r>
        <w:rPr/>
        <w:pict>
          <v:line style="position:absolute;mso-position-horizontal-relative:page;mso-position-vertical-relative:paragraph;z-index:-423928" from="115.32pt,20.217852pt" to="118.56pt,20.217852pt" stroked="true" strokeweight=".6pt" strokecolor="#2e97d3">
            <v:stroke dashstyle="solid"/>
            <w10:wrap type="none"/>
          </v:line>
        </w:pict>
      </w:r>
      <w:r>
        <w:rPr>
          <w:b/>
          <w:sz w:val="22"/>
        </w:rPr>
        <w:t>Working drawing phase: </w:t>
      </w:r>
      <w:r>
        <w:rPr>
          <w:sz w:val="22"/>
        </w:rPr>
        <w:t>The final design phase in preparing the construction bidding documents. Includes a complete set of plans and specifications and a final cost estimate (dated). Section 6852</w:t>
      </w:r>
      <w:r>
        <w:rPr>
          <w:sz w:val="24"/>
        </w:rPr>
        <w:t>.</w:t>
      </w:r>
    </w:p>
    <w:p>
      <w:pPr>
        <w:spacing w:after="0" w:line="240" w:lineRule="auto"/>
        <w:jc w:val="left"/>
        <w:rPr>
          <w:sz w:val="24"/>
        </w:rPr>
        <w:sectPr>
          <w:pgSz w:w="12240" w:h="15840"/>
          <w:pgMar w:header="822" w:footer="785" w:top="1800" w:bottom="980" w:left="480" w:right="1320"/>
        </w:sectPr>
      </w:pPr>
    </w:p>
    <w:p>
      <w:pPr>
        <w:pStyle w:val="BodyText"/>
        <w:rPr>
          <w:sz w:val="22"/>
        </w:rPr>
      </w:pPr>
    </w:p>
    <w:p>
      <w:pPr>
        <w:tabs>
          <w:tab w:pos="9784" w:val="left" w:leader="none"/>
        </w:tabs>
        <w:spacing w:before="92"/>
        <w:ind w:left="686" w:right="0" w:firstLine="0"/>
        <w:jc w:val="left"/>
        <w:rPr>
          <w:b/>
          <w:sz w:val="24"/>
        </w:rPr>
      </w:pPr>
      <w:r>
        <w:rPr>
          <w:b/>
          <w:sz w:val="24"/>
        </w:rPr>
        <w:t>THE</w:t>
      </w:r>
      <w:r>
        <w:rPr>
          <w:b/>
          <w:spacing w:val="-3"/>
          <w:sz w:val="24"/>
        </w:rPr>
        <w:t> </w:t>
      </w:r>
      <w:r>
        <w:rPr>
          <w:b/>
          <w:sz w:val="24"/>
        </w:rPr>
        <w:t>LEGISLATURE</w:t>
        <w:tab/>
        <w:t>6900</w:t>
      </w:r>
    </w:p>
    <w:p>
      <w:pPr>
        <w:pStyle w:val="BodyText"/>
        <w:ind w:left="686"/>
      </w:pPr>
      <w:r>
        <w:rPr/>
        <w:t>(New 2/1998)</w:t>
      </w:r>
    </w:p>
    <w:p>
      <w:pPr>
        <w:pStyle w:val="BodyText"/>
      </w:pPr>
    </w:p>
    <w:p>
      <w:pPr>
        <w:pStyle w:val="BodyText"/>
        <w:ind w:left="686" w:right="335"/>
      </w:pPr>
      <w:r>
        <w:rPr/>
        <w:t>The California State Legislature is a two-house (bicameral) body composed of an Assembly, whose 80 members are elected to two-year terms; and a Senate, whose 40 members are elected for four-year terms. The California Legislature meets for two-year sessions and each house conducts business in its own chamber within the Capitol, often referred to as the Senate and Assembly "floors.”</w:t>
      </w:r>
    </w:p>
    <w:p>
      <w:pPr>
        <w:pStyle w:val="BodyText"/>
        <w:spacing w:before="10"/>
        <w:rPr>
          <w:sz w:val="23"/>
        </w:rPr>
      </w:pPr>
    </w:p>
    <w:p>
      <w:pPr>
        <w:pStyle w:val="BodyText"/>
        <w:spacing w:before="1"/>
        <w:ind w:left="686" w:right="167"/>
      </w:pPr>
      <w:r>
        <w:rPr/>
        <w:t>Each house of the Legislature has established a number of standing committees with differing purviews. When a legislative measure is sent to a committee for review, it is said to be "referred" to that committee. It is the job of the committees to review legislation and to recommend amendments to the floor of the house if the committee believes them warranted. A committee may also "hold" a measure by making no recommendation to the floor to pass or amend it.  Technically, only the house floors can (by majority vote) amend a piece of legislation.  However, the recommendations of the committees are nearly always carried out by the floors as a matter of course.</w:t>
      </w:r>
    </w:p>
    <w:p>
      <w:pPr>
        <w:pStyle w:val="BodyText"/>
      </w:pPr>
    </w:p>
    <w:p>
      <w:pPr>
        <w:pStyle w:val="BodyText"/>
        <w:ind w:left="686" w:right="167"/>
      </w:pPr>
      <w:r>
        <w:rPr/>
        <w:t>There are basically two types of committees: "policy" committees and "fiscal" committees. The vast majority of measures are sent to a policy committee for review of the proposed programmatic or public policy change. If a measure would have a fiscal impact on the state, then it is also sent to a fiscal committee for review of financial implications of the measure.</w:t>
      </w:r>
    </w:p>
    <w:p>
      <w:pPr>
        <w:pStyle w:val="BodyText"/>
        <w:spacing w:before="11"/>
        <w:rPr>
          <w:sz w:val="23"/>
        </w:rPr>
      </w:pPr>
    </w:p>
    <w:p>
      <w:pPr>
        <w:pStyle w:val="BodyText"/>
        <w:ind w:left="686" w:right="282"/>
      </w:pPr>
      <w:r>
        <w:rPr/>
        <w:t>In the Senate, there are two fiscal committees, Appropriations and Budget and Fiscal Review. The Budget and Fiscal Review Committee deals primarily with the Budget Bill. However, it will also conduct hearings on other pieces of legislation which would directly amend or otherwise significantly affect the Budget Act. The Appropriations Committee hears all non-Budget Bill legislation that would have a fiscal impact. The Assembly has two fiscal committees, Appropriations and Budget, whose functions are the same as their Senate counterparts.</w:t>
      </w:r>
    </w:p>
    <w:p>
      <w:pPr>
        <w:pStyle w:val="BodyText"/>
        <w:spacing w:before="11"/>
        <w:rPr>
          <w:sz w:val="23"/>
        </w:rPr>
      </w:pPr>
    </w:p>
    <w:p>
      <w:pPr>
        <w:pStyle w:val="BodyText"/>
        <w:ind w:left="686" w:right="165"/>
      </w:pPr>
      <w:r>
        <w:rPr/>
        <w:t>Each house also has a Rules Committee which is considered neither a policy nor a fiscal committee since it deals with "housekeeping" and other matters internal to that house. It is the Rules Committees that assign bills to the various standing committees.</w:t>
      </w:r>
    </w:p>
    <w:p>
      <w:pPr>
        <w:pStyle w:val="BodyText"/>
        <w:spacing w:before="11"/>
        <w:rPr>
          <w:sz w:val="23"/>
        </w:rPr>
      </w:pPr>
    </w:p>
    <w:p>
      <w:pPr>
        <w:pStyle w:val="BodyText"/>
        <w:ind w:left="686" w:right="122"/>
      </w:pPr>
      <w:r>
        <w:rPr/>
        <w:t>There also are a number of "joint" committees comprised of members from both houses. Some examples of these are the Joint Legislative Budget Committee (which oversees the operation of the Legislative Analyst), and the Joint Rules Committee (which develops rules that govern the two houses in addition to the individual houses’ rules).</w:t>
      </w:r>
    </w:p>
    <w:p>
      <w:pPr>
        <w:pStyle w:val="BodyText"/>
        <w:spacing w:before="11"/>
        <w:rPr>
          <w:sz w:val="23"/>
        </w:rPr>
      </w:pPr>
    </w:p>
    <w:p>
      <w:pPr>
        <w:pStyle w:val="BodyText"/>
        <w:ind w:left="686" w:right="175"/>
      </w:pPr>
      <w:r>
        <w:rPr/>
        <w:t>Each house may also establish "special" and "select" committees. These committees generally are established to conduct research into or provide oversight on narrow areas of subject matter for the purpose of providing special expertise and advice to the house which created them.  They generally do not hear bills and meet infrequently.</w:t>
      </w:r>
    </w:p>
    <w:p>
      <w:pPr>
        <w:pStyle w:val="BodyText"/>
        <w:spacing w:before="11"/>
        <w:rPr>
          <w:sz w:val="23"/>
        </w:rPr>
      </w:pPr>
    </w:p>
    <w:p>
      <w:pPr>
        <w:pStyle w:val="BodyText"/>
        <w:ind w:left="686" w:right="477"/>
      </w:pPr>
      <w:r>
        <w:rPr/>
        <w:pict>
          <v:line style="position:absolute;mso-position-horizontal-relative:page;mso-position-vertical-relative:paragraph;z-index:48832" from="29.4pt,14.015863pt" to="29.4pt,27.815863pt" stroked="true" strokeweight=".72pt" strokecolor="#000000">
            <v:stroke dashstyle="solid"/>
            <w10:wrap type="none"/>
          </v:line>
        </w:pict>
      </w:r>
      <w:r>
        <w:rPr/>
        <w:t>A complete listing of all committees and their memberships can be found in each "Daily File.”</w:t>
      </w:r>
    </w:p>
    <w:p>
      <w:pPr>
        <w:spacing w:after="0"/>
        <w:sectPr>
          <w:headerReference w:type="default" r:id="rId378"/>
          <w:footerReference w:type="default" r:id="rId379"/>
          <w:pgSz w:w="12240" w:h="15840"/>
          <w:pgMar w:header="822" w:footer="792" w:top="1080" w:bottom="980" w:left="480" w:right="1340"/>
        </w:sectPr>
      </w:pPr>
    </w:p>
    <w:p>
      <w:pPr>
        <w:pStyle w:val="BodyText"/>
        <w:spacing w:before="11"/>
        <w:rPr>
          <w:sz w:val="15"/>
        </w:rPr>
      </w:pPr>
    </w:p>
    <w:p>
      <w:pPr>
        <w:pStyle w:val="BodyText"/>
        <w:spacing w:before="92"/>
        <w:ind w:left="106" w:right="134"/>
      </w:pPr>
      <w:r>
        <w:rPr/>
        <w:t>The Legislature meets in two-year sessions. The sessions roughly coincide with the biennial elections at which all of the Assembly seats and half of the Senate seats are up for election. Each two-year session is considered a “regular session.” The California Constitution (</w:t>
      </w:r>
      <w:hyperlink r:id="rId381">
        <w:r>
          <w:rPr>
            <w:color w:val="0000FF"/>
            <w:u w:val="single" w:color="0000FF"/>
          </w:rPr>
          <w:t>Article IV, Section 3</w:t>
        </w:r>
      </w:hyperlink>
      <w:r>
        <w:rPr/>
        <w:t>) prescribes that the regular session shall begin on the first Monday in December in each even-number year (i.e., following the election the preceding November) and end November 30 two years hence (i.e., after the</w:t>
      </w:r>
      <w:r>
        <w:rPr>
          <w:spacing w:val="-46"/>
        </w:rPr>
        <w:t> </w:t>
      </w:r>
      <w:r>
        <w:rPr/>
        <w:t>next election). The sessions are referred to by the two calendar years which they almost encompass (e.g., the session after the elections in 1996 is the 1997–98 regular session—it begins in December 1996 and ends in November</w:t>
      </w:r>
      <w:r>
        <w:rPr>
          <w:spacing w:val="-22"/>
        </w:rPr>
        <w:t> </w:t>
      </w:r>
      <w:r>
        <w:rPr/>
        <w:t>1998.)</w:t>
      </w:r>
    </w:p>
    <w:p>
      <w:pPr>
        <w:pStyle w:val="BodyText"/>
        <w:spacing w:before="11"/>
        <w:rPr>
          <w:sz w:val="23"/>
        </w:rPr>
      </w:pPr>
    </w:p>
    <w:p>
      <w:pPr>
        <w:pStyle w:val="BodyText"/>
        <w:ind w:left="106" w:right="268"/>
      </w:pPr>
      <w:r>
        <w:rPr/>
        <w:t>Within the constitutionally prescribed dates of convening and adjourning the session, the Legislature has freedom to set its own calendar of meetings and recesses. Generally, however, the Legislature begins meeting in January each year and concludes its work for the year in September. During the year, the Legislature traditionally has scheduled two recesses, an Easter recess of one week and a summer recess of usually four weeks.</w:t>
      </w:r>
    </w:p>
    <w:p>
      <w:pPr>
        <w:pStyle w:val="BodyText"/>
      </w:pPr>
    </w:p>
    <w:p>
      <w:pPr>
        <w:pStyle w:val="BodyText"/>
        <w:ind w:left="106" w:right="136"/>
      </w:pPr>
      <w:r>
        <w:rPr/>
        <w:t>In addition to the regular session, the Governor may by proclamation require the Legislature to meet in “special session.” A special session may run concurrently with the Legislature’s normally scheduled meeting time and/or during its recesses. During the special session, the Legislature may only act on subjects specified in the proclamation. To handle both the regular session and a special session at the same time, the Legislature may have to temporarily recess its work in the regular session, convene in the special session and then reconvene the regular session after temporarily recessing the special session.  This recessing and reconvening may happen more than once on the same day.</w:t>
      </w:r>
    </w:p>
    <w:p>
      <w:pPr>
        <w:pStyle w:val="BodyText"/>
      </w:pPr>
    </w:p>
    <w:p>
      <w:pPr>
        <w:pStyle w:val="BodyText"/>
        <w:ind w:left="106" w:right="135"/>
      </w:pPr>
      <w:r>
        <w:rPr/>
        <w:t>Other than being limited to the subject matter for which it was called, there is no significant difference in process between a regular and special session. However, the effective dates for bills enacted during a special session are somewhat different than those for a regular session.  (See </w:t>
      </w:r>
      <w:hyperlink r:id="rId382">
        <w:r>
          <w:rPr>
            <w:color w:val="0000FF"/>
            <w:u w:val="single" w:color="0000FF"/>
          </w:rPr>
          <w:t>Article IV, Section 8 </w:t>
        </w:r>
      </w:hyperlink>
      <w:r>
        <w:rPr/>
        <w:t>for more details.)</w:t>
      </w:r>
    </w:p>
    <w:p>
      <w:pPr>
        <w:spacing w:after="0"/>
        <w:sectPr>
          <w:headerReference w:type="default" r:id="rId380"/>
          <w:pgSz w:w="12240" w:h="15840"/>
          <w:pgMar w:header="822" w:footer="792" w:top="1980" w:bottom="980" w:left="1060" w:right="1340"/>
        </w:sectPr>
      </w:pPr>
    </w:p>
    <w:p>
      <w:pPr>
        <w:pStyle w:val="BodyText"/>
        <w:spacing w:before="11"/>
        <w:rPr>
          <w:sz w:val="15"/>
        </w:rPr>
      </w:pPr>
    </w:p>
    <w:p>
      <w:pPr>
        <w:pStyle w:val="BodyText"/>
        <w:spacing w:before="92"/>
        <w:ind w:left="106"/>
      </w:pPr>
      <w:r>
        <w:rPr/>
        <w:t>Measures considered by the Legislature fall into six classes. There are differences among these classes in their requirements for passage and the weight of authority they carry.</w:t>
      </w:r>
    </w:p>
    <w:p>
      <w:pPr>
        <w:pStyle w:val="BodyText"/>
        <w:ind w:left="106" w:right="136"/>
      </w:pPr>
      <w:r>
        <w:rPr/>
        <w:t>The six classes are Bills, Constitutional Amendments, Joint Resolutions, Concurrent Resolutions, House Resolutions, and Rules Committee Resolutions.  Each of these types of measures are designated as originating either in the Assembly or the Senate and are assigned a number. The first of any given type of measure to be introduced in a session is numbered “1” and the numbering continues sequentially throughout the two-year session. At the beginning of a new session, the numbering starts over. For example, the tenth Senate bill introduced in a session is labeled “SB 10”; the third Assembly Constitutional Amendment is “ACA 3.”)</w:t>
      </w:r>
    </w:p>
    <w:p>
      <w:pPr>
        <w:pStyle w:val="BodyText"/>
        <w:rPr>
          <w:sz w:val="26"/>
        </w:rPr>
      </w:pPr>
    </w:p>
    <w:p>
      <w:pPr>
        <w:pStyle w:val="Heading2"/>
        <w:tabs>
          <w:tab w:pos="9041" w:val="left" w:leader="none"/>
        </w:tabs>
        <w:spacing w:before="217"/>
        <w:ind w:left="106"/>
      </w:pPr>
      <w:r>
        <w:rPr/>
        <w:t>BILLS</w:t>
      </w:r>
      <w:r>
        <w:rPr>
          <w:spacing w:val="-3"/>
        </w:rPr>
        <w:t> </w:t>
      </w:r>
      <w:r>
        <w:rPr/>
        <w:t>(AB/SB)</w:t>
        <w:tab/>
        <w:t>6915</w:t>
      </w:r>
    </w:p>
    <w:p>
      <w:pPr>
        <w:pStyle w:val="BodyText"/>
        <w:ind w:left="106"/>
      </w:pPr>
      <w:r>
        <w:rPr/>
        <w:t>(New 2/1998)</w:t>
      </w:r>
    </w:p>
    <w:p>
      <w:pPr>
        <w:pStyle w:val="BodyText"/>
      </w:pPr>
    </w:p>
    <w:p>
      <w:pPr>
        <w:pStyle w:val="BodyText"/>
        <w:ind w:left="106" w:right="402"/>
      </w:pPr>
      <w:r>
        <w:rPr/>
        <w:t>In California, most laws are enacted, repealed, or amended through the medium of bills, which are proposals to add new laws or change or repeal existing laws.</w:t>
      </w:r>
    </w:p>
    <w:p>
      <w:pPr>
        <w:pStyle w:val="BodyText"/>
        <w:spacing w:before="10"/>
        <w:rPr>
          <w:sz w:val="23"/>
        </w:rPr>
      </w:pPr>
    </w:p>
    <w:p>
      <w:pPr>
        <w:pStyle w:val="BodyText"/>
        <w:spacing w:before="1"/>
        <w:ind w:left="106" w:right="361"/>
      </w:pPr>
      <w:r>
        <w:rPr/>
        <w:t>To become law, a bill must be passed in both houses by at least a simple majority. A two-thirds vote is required if the bill contains a General Fund appropriation, unless the appropriation is for education, in which case only a majority vote is required. In addition, any bill which contains an urgency clause (i.e., a provision which would make the bill effective immediately upon gubernatorial approval, rather than on Jan. 1 following signature by the Governor as is normally the case) requires a two-thirds vote.</w:t>
      </w:r>
    </w:p>
    <w:p>
      <w:pPr>
        <w:pStyle w:val="BodyText"/>
      </w:pPr>
    </w:p>
    <w:p>
      <w:pPr>
        <w:pStyle w:val="BodyText"/>
        <w:ind w:left="106" w:right="175"/>
      </w:pPr>
      <w:r>
        <w:rPr/>
        <w:t>After passage by both houses of the Legislature, the bill is sent to the Governor who may either sign or veto the bill within a specified period of time (either 12 or 30 days depending on what time of the year it is sent to him/her) or it becomes law without his signature.</w:t>
      </w:r>
    </w:p>
    <w:p>
      <w:pPr>
        <w:pStyle w:val="BodyText"/>
        <w:ind w:left="106" w:right="149"/>
      </w:pPr>
      <w:r>
        <w:rPr/>
        <w:t>There is no "pocket veto" in California such as exists at the federal level. If the Governor fails to act on a bill sent to him/her within the prescribed period, the measure becomes law without the Governor’s signature.  (For more specifics regarding deadlines for gubernatorial actions on bills, refer to </w:t>
      </w:r>
      <w:hyperlink r:id="rId384">
        <w:r>
          <w:rPr>
            <w:color w:val="0000FF"/>
            <w:u w:val="single" w:color="0000FF"/>
          </w:rPr>
          <w:t>Section 10 of Article IV </w:t>
        </w:r>
      </w:hyperlink>
      <w:r>
        <w:rPr/>
        <w:t>of the State Constitution.)</w:t>
      </w:r>
    </w:p>
    <w:p>
      <w:pPr>
        <w:spacing w:after="0"/>
        <w:sectPr>
          <w:headerReference w:type="default" r:id="rId383"/>
          <w:pgSz w:w="12240" w:h="15840"/>
          <w:pgMar w:header="822" w:footer="792" w:top="1980" w:bottom="980" w:left="1060" w:right="1340"/>
        </w:sectPr>
      </w:pPr>
    </w:p>
    <w:p>
      <w:pPr>
        <w:pStyle w:val="BodyText"/>
        <w:rPr>
          <w:sz w:val="22"/>
        </w:rPr>
      </w:pPr>
    </w:p>
    <w:p>
      <w:pPr>
        <w:tabs>
          <w:tab w:pos="9202" w:val="left" w:leader="none"/>
        </w:tabs>
        <w:spacing w:before="92"/>
        <w:ind w:left="106" w:right="0" w:firstLine="0"/>
        <w:jc w:val="left"/>
        <w:rPr>
          <w:b/>
          <w:sz w:val="24"/>
        </w:rPr>
      </w:pPr>
      <w:r>
        <w:rPr>
          <w:b/>
          <w:sz w:val="24"/>
        </w:rPr>
        <w:t>CONSTITUTIONAL</w:t>
      </w:r>
      <w:r>
        <w:rPr>
          <w:b/>
          <w:spacing w:val="-2"/>
          <w:sz w:val="24"/>
        </w:rPr>
        <w:t> </w:t>
      </w:r>
      <w:r>
        <w:rPr>
          <w:b/>
          <w:sz w:val="24"/>
        </w:rPr>
        <w:t>AMENDMENTS</w:t>
      </w:r>
      <w:r>
        <w:rPr>
          <w:b/>
          <w:spacing w:val="-6"/>
          <w:sz w:val="24"/>
        </w:rPr>
        <w:t> </w:t>
      </w:r>
      <w:r>
        <w:rPr>
          <w:b/>
          <w:sz w:val="24"/>
        </w:rPr>
        <w:t>(ACA/SCA)</w:t>
        <w:tab/>
        <w:t>6920</w:t>
      </w:r>
    </w:p>
    <w:p>
      <w:pPr>
        <w:pStyle w:val="BodyText"/>
        <w:ind w:left="106"/>
      </w:pPr>
      <w:r>
        <w:rPr/>
        <w:t>(New 2/1998)</w:t>
      </w:r>
    </w:p>
    <w:p>
      <w:pPr>
        <w:pStyle w:val="BodyText"/>
      </w:pPr>
    </w:p>
    <w:p>
      <w:pPr>
        <w:pStyle w:val="BodyText"/>
        <w:ind w:left="106" w:right="214"/>
      </w:pPr>
      <w:r>
        <w:rPr/>
        <w:t>A constitutional amendment can be initiated by the Legislature if it passes both houses by a two-thirds vote.  A constitutional amendment does not need the Governor's signature, but becomes part of the constitution only if the electorate approves it at the next general election. A special election can also be called by the Governor to consider a proposed constitutional amendment, if it is deemed necessary.</w:t>
      </w:r>
    </w:p>
    <w:p>
      <w:pPr>
        <w:pStyle w:val="BodyText"/>
        <w:spacing w:before="10"/>
        <w:rPr>
          <w:sz w:val="23"/>
        </w:rPr>
      </w:pPr>
    </w:p>
    <w:p>
      <w:pPr>
        <w:pStyle w:val="BodyText"/>
        <w:spacing w:before="1"/>
        <w:ind w:left="106" w:right="241"/>
      </w:pPr>
      <w:r>
        <w:rPr/>
        <w:t>When the Legislature adopts a proposed constitutional amendment, it often also adopts a "companion bill"; i.e., a bill which takes effect only if the constitutional amendment is passed by the people. These companion measures generally contain detailed statutory provisions which would implement the constitutional amendment.</w:t>
      </w:r>
    </w:p>
    <w:p>
      <w:pPr>
        <w:pStyle w:val="BodyText"/>
      </w:pPr>
    </w:p>
    <w:p>
      <w:pPr>
        <w:pStyle w:val="BodyText"/>
        <w:ind w:left="106" w:right="162"/>
      </w:pPr>
      <w:r>
        <w:rPr/>
        <w:t>The constitution can also be amended through the "initiative process," in which the signatures of the requisite number of voters on a petition is sufficient to cause the Secretary of State to place the petition on the ballot. No action by the Legislature is needed in this process and the Legislature cannot prevent it from occurring.</w:t>
      </w:r>
    </w:p>
    <w:p>
      <w:pPr>
        <w:pStyle w:val="BodyText"/>
        <w:rPr>
          <w:sz w:val="26"/>
        </w:rPr>
      </w:pPr>
    </w:p>
    <w:p>
      <w:pPr>
        <w:pStyle w:val="Heading2"/>
        <w:tabs>
          <w:tab w:pos="9187" w:val="left" w:leader="none"/>
        </w:tabs>
        <w:spacing w:before="217"/>
        <w:ind w:left="106"/>
      </w:pPr>
      <w:r>
        <w:rPr/>
        <w:t>JOINT</w:t>
      </w:r>
      <w:r>
        <w:rPr>
          <w:spacing w:val="-4"/>
        </w:rPr>
        <w:t> </w:t>
      </w:r>
      <w:r>
        <w:rPr/>
        <w:t>RESOLUTIONS</w:t>
      </w:r>
      <w:r>
        <w:rPr>
          <w:spacing w:val="-3"/>
        </w:rPr>
        <w:t> </w:t>
      </w:r>
      <w:r>
        <w:rPr/>
        <w:t>(AJR/SJR)</w:t>
        <w:tab/>
        <w:t>6925</w:t>
      </w:r>
    </w:p>
    <w:p>
      <w:pPr>
        <w:pStyle w:val="BodyText"/>
        <w:ind w:left="106"/>
      </w:pPr>
      <w:r>
        <w:rPr/>
        <w:t>(New 2/1998)</w:t>
      </w:r>
    </w:p>
    <w:p>
      <w:pPr>
        <w:pStyle w:val="BodyText"/>
        <w:spacing w:before="11"/>
        <w:rPr>
          <w:sz w:val="23"/>
        </w:rPr>
      </w:pPr>
    </w:p>
    <w:p>
      <w:pPr>
        <w:pStyle w:val="BodyText"/>
        <w:ind w:left="106" w:right="136"/>
      </w:pPr>
      <w:r>
        <w:rPr/>
        <w:t>Joint resolutions are initiated when the Legislature wants to comment to Congress and/or the President on a federal matter of concern to the state. These resolutions require a majority vote in both houses. Joint resolutions neither need the signature of the Governor nor have the force of law. They take effect upon their being filed with the Secretary of State.</w:t>
      </w:r>
    </w:p>
    <w:p>
      <w:pPr>
        <w:pStyle w:val="BodyText"/>
        <w:rPr>
          <w:sz w:val="26"/>
        </w:rPr>
      </w:pPr>
    </w:p>
    <w:p>
      <w:pPr>
        <w:pStyle w:val="Heading2"/>
        <w:tabs>
          <w:tab w:pos="9202" w:val="left" w:leader="none"/>
        </w:tabs>
        <w:spacing w:before="219"/>
        <w:ind w:left="106"/>
      </w:pPr>
      <w:r>
        <w:rPr/>
        <w:t>CONCURRENT</w:t>
      </w:r>
      <w:r>
        <w:rPr>
          <w:spacing w:val="-5"/>
        </w:rPr>
        <w:t> </w:t>
      </w:r>
      <w:r>
        <w:rPr/>
        <w:t>RESOLUTIONS</w:t>
      </w:r>
      <w:r>
        <w:rPr>
          <w:spacing w:val="-4"/>
        </w:rPr>
        <w:t> </w:t>
      </w:r>
      <w:r>
        <w:rPr/>
        <w:t>(ACR/SCR)</w:t>
        <w:tab/>
        <w:t>6930</w:t>
      </w:r>
    </w:p>
    <w:p>
      <w:pPr>
        <w:pStyle w:val="BodyText"/>
        <w:ind w:left="106"/>
      </w:pPr>
      <w:r>
        <w:rPr/>
        <w:t>(New 2/1998)</w:t>
      </w:r>
    </w:p>
    <w:p>
      <w:pPr>
        <w:pStyle w:val="BodyText"/>
      </w:pPr>
    </w:p>
    <w:p>
      <w:pPr>
        <w:pStyle w:val="BodyText"/>
        <w:ind w:left="106" w:right="308"/>
      </w:pPr>
      <w:r>
        <w:rPr/>
        <w:t>Concurrent resolutions deal with state matters that are of concern to both houses. They are used for such things as adopting the joint rules, creating joint committees, requesting studies, expressing legislative intent and expressing the Legislature's congratulations to organizations, persons, or other states. Concurrent Resolutions need a majority in each house to pass and take effect upon their being filed with the Secretary of State. These measures do not go to the Governor for approval.</w:t>
      </w:r>
    </w:p>
    <w:p>
      <w:pPr>
        <w:pStyle w:val="BodyText"/>
        <w:rPr>
          <w:sz w:val="26"/>
        </w:rPr>
      </w:pPr>
    </w:p>
    <w:p>
      <w:pPr>
        <w:pStyle w:val="Heading2"/>
        <w:tabs>
          <w:tab w:pos="9163" w:val="left" w:leader="none"/>
        </w:tabs>
        <w:spacing w:before="217"/>
        <w:ind w:left="106"/>
      </w:pPr>
      <w:r>
        <w:rPr/>
        <w:t>HOUSE </w:t>
      </w:r>
      <w:r>
        <w:rPr>
          <w:spacing w:val="-3"/>
        </w:rPr>
        <w:t>AND </w:t>
      </w:r>
      <w:r>
        <w:rPr/>
        <w:t>SENATE</w:t>
      </w:r>
      <w:r>
        <w:rPr>
          <w:spacing w:val="1"/>
        </w:rPr>
        <w:t> </w:t>
      </w:r>
      <w:r>
        <w:rPr/>
        <w:t>RESOLUTIONS</w:t>
      </w:r>
      <w:r>
        <w:rPr>
          <w:spacing w:val="-1"/>
        </w:rPr>
        <w:t> </w:t>
      </w:r>
      <w:r>
        <w:rPr/>
        <w:t>(HR/SR)</w:t>
        <w:tab/>
        <w:t>6935</w:t>
      </w:r>
    </w:p>
    <w:p>
      <w:pPr>
        <w:pStyle w:val="BodyText"/>
        <w:ind w:left="106"/>
      </w:pPr>
      <w:r>
        <w:rPr/>
        <w:t>(New 2/1998)</w:t>
      </w:r>
    </w:p>
    <w:p>
      <w:pPr>
        <w:pStyle w:val="BodyText"/>
      </w:pPr>
    </w:p>
    <w:p>
      <w:pPr>
        <w:pStyle w:val="BodyText"/>
        <w:ind w:left="106" w:right="136"/>
      </w:pPr>
      <w:r>
        <w:rPr/>
        <w:t>"House" (i.e., Assembly) and Senate resolutions are acted on in one house only. These resolutions are usually congratulatory, but they are also used to adopt and amend the house rules and create house interim committees. These measures do not go to the Governor for approval.</w:t>
      </w:r>
    </w:p>
    <w:p>
      <w:pPr>
        <w:spacing w:after="0"/>
        <w:sectPr>
          <w:headerReference w:type="default" r:id="rId385"/>
          <w:pgSz w:w="12240" w:h="15840"/>
          <w:pgMar w:header="822" w:footer="792" w:top="1080" w:bottom="980" w:left="1060" w:right="1340"/>
        </w:sectPr>
      </w:pPr>
    </w:p>
    <w:p>
      <w:pPr>
        <w:pStyle w:val="BodyText"/>
        <w:rPr>
          <w:sz w:val="22"/>
        </w:rPr>
      </w:pPr>
    </w:p>
    <w:p>
      <w:pPr>
        <w:tabs>
          <w:tab w:pos="9096" w:val="left" w:leader="none"/>
        </w:tabs>
        <w:spacing w:before="92"/>
        <w:ind w:left="106" w:right="0" w:firstLine="0"/>
        <w:jc w:val="left"/>
        <w:rPr>
          <w:b/>
          <w:sz w:val="24"/>
        </w:rPr>
      </w:pPr>
      <w:r>
        <w:rPr>
          <w:b/>
          <w:sz w:val="24"/>
        </w:rPr>
        <w:t>RULES</w:t>
      </w:r>
      <w:r>
        <w:rPr>
          <w:b/>
          <w:spacing w:val="-3"/>
          <w:sz w:val="24"/>
        </w:rPr>
        <w:t> </w:t>
      </w:r>
      <w:r>
        <w:rPr>
          <w:b/>
          <w:sz w:val="24"/>
        </w:rPr>
        <w:t>COMMITTEE</w:t>
      </w:r>
      <w:r>
        <w:rPr>
          <w:b/>
          <w:spacing w:val="-3"/>
          <w:sz w:val="24"/>
        </w:rPr>
        <w:t> </w:t>
      </w:r>
      <w:r>
        <w:rPr>
          <w:b/>
          <w:sz w:val="24"/>
        </w:rPr>
        <w:t>RESOLUTIONS</w:t>
        <w:tab/>
        <w:t>6940</w:t>
      </w:r>
    </w:p>
    <w:p>
      <w:pPr>
        <w:pStyle w:val="BodyText"/>
        <w:ind w:left="106"/>
      </w:pPr>
      <w:r>
        <w:rPr/>
        <w:t>(New 2/1998)</w:t>
      </w:r>
    </w:p>
    <w:p>
      <w:pPr>
        <w:pStyle w:val="BodyText"/>
      </w:pPr>
    </w:p>
    <w:p>
      <w:pPr>
        <w:pStyle w:val="BodyText"/>
        <w:ind w:left="106"/>
      </w:pPr>
      <w:r>
        <w:rPr/>
        <w:t>The Rules Committee of each house also takes action by way of the resolution. A majority vote of the committee is required to pass such measures which usually deal with internal operations of the Legislature.</w:t>
      </w:r>
    </w:p>
    <w:p>
      <w:pPr>
        <w:pStyle w:val="BodyText"/>
        <w:rPr>
          <w:sz w:val="26"/>
        </w:rPr>
      </w:pPr>
    </w:p>
    <w:p>
      <w:pPr>
        <w:pStyle w:val="Heading2"/>
        <w:tabs>
          <w:tab w:pos="9202" w:val="left" w:leader="none"/>
        </w:tabs>
        <w:spacing w:before="218"/>
        <w:ind w:left="106"/>
      </w:pPr>
      <w:r>
        <w:rPr/>
        <w:t>THE</w:t>
      </w:r>
      <w:r>
        <w:rPr>
          <w:spacing w:val="-2"/>
        </w:rPr>
        <w:t> </w:t>
      </w:r>
      <w:r>
        <w:rPr/>
        <w:t>LEGISLATIVE</w:t>
      </w:r>
      <w:r>
        <w:rPr>
          <w:spacing w:val="-2"/>
        </w:rPr>
        <w:t> </w:t>
      </w:r>
      <w:r>
        <w:rPr/>
        <w:t>PROCESS</w:t>
        <w:tab/>
        <w:t>6945</w:t>
      </w:r>
    </w:p>
    <w:p>
      <w:pPr>
        <w:pStyle w:val="BodyText"/>
        <w:ind w:left="106"/>
      </w:pPr>
      <w:r>
        <w:rPr/>
        <w:t>(New 2/1998)</w:t>
      </w:r>
    </w:p>
    <w:p>
      <w:pPr>
        <w:pStyle w:val="BodyText"/>
        <w:spacing w:before="9"/>
        <w:rPr>
          <w:sz w:val="23"/>
        </w:rPr>
      </w:pPr>
    </w:p>
    <w:p>
      <w:pPr>
        <w:pStyle w:val="BodyText"/>
        <w:spacing w:before="1"/>
        <w:ind w:left="106" w:right="175"/>
      </w:pPr>
      <w:r>
        <w:rPr/>
        <w:t>When a legislator wants to propose a measure, she/he must go to the Legislative Counsel to have the specific language of the proposal put in proper bill form. The Legislative Counsel's staff, which provides legal services to both houses in support of the legislative process, will draft the language of the code section amendments to accomplish the author's purpose.</w:t>
      </w:r>
    </w:p>
    <w:p>
      <w:pPr>
        <w:pStyle w:val="BodyText"/>
      </w:pPr>
    </w:p>
    <w:p>
      <w:pPr>
        <w:pStyle w:val="BodyText"/>
        <w:ind w:left="106" w:right="119"/>
      </w:pPr>
      <w:r>
        <w:rPr/>
        <w:t>The staff attorney will also write the Legislative Counsel's Digest for the bill, which includes a summary of the current law and what the proposed changes will do. At the end of the Digest, Counsel will indicate the vote required for passage of the bill (usually "majority" or "two-thirds"), whether the bill must be referred to the fiscal committees, and whether the bill contains a state-mandated local</w:t>
      </w:r>
      <w:r>
        <w:rPr>
          <w:spacing w:val="-22"/>
        </w:rPr>
        <w:t> </w:t>
      </w:r>
      <w:r>
        <w:rPr/>
        <w:t>program.</w:t>
      </w:r>
    </w:p>
    <w:p>
      <w:pPr>
        <w:pStyle w:val="BodyText"/>
        <w:spacing w:before="11"/>
        <w:rPr>
          <w:sz w:val="23"/>
        </w:rPr>
      </w:pPr>
    </w:p>
    <w:p>
      <w:pPr>
        <w:pStyle w:val="BodyText"/>
        <w:ind w:left="106" w:right="122"/>
      </w:pPr>
      <w:r>
        <w:rPr/>
        <w:t>When the bill is written, it is returned to the author who will then introduce it in the house of which she/he is a member.  From there, the bill proceeds through the legislative process.</w:t>
      </w:r>
    </w:p>
    <w:p>
      <w:pPr>
        <w:pStyle w:val="BodyText"/>
        <w:spacing w:before="11"/>
        <w:rPr>
          <w:sz w:val="23"/>
        </w:rPr>
      </w:pPr>
    </w:p>
    <w:p>
      <w:pPr>
        <w:pStyle w:val="BodyText"/>
        <w:ind w:left="106"/>
      </w:pPr>
      <w:r>
        <w:rPr/>
        <w:t>The following presents the steps a bill typically goes through to become law.</w:t>
      </w:r>
    </w:p>
    <w:p>
      <w:pPr>
        <w:pStyle w:val="BodyText"/>
        <w:spacing w:before="11"/>
        <w:rPr>
          <w:sz w:val="23"/>
        </w:rPr>
      </w:pPr>
    </w:p>
    <w:p>
      <w:pPr>
        <w:pStyle w:val="Heading2"/>
        <w:ind w:left="106"/>
      </w:pPr>
      <w:bookmarkStart w:name="BILL FLOW IN THE CALIFORNIA LEGISLATURE" w:id="174"/>
      <w:bookmarkEnd w:id="174"/>
      <w:r>
        <w:rPr>
          <w:b w:val="0"/>
        </w:rPr>
      </w:r>
      <w:r>
        <w:rPr/>
        <w:t>BILL FLOW IN THE CALIFORNIA LEGISLATURE</w:t>
      </w:r>
    </w:p>
    <w:p>
      <w:pPr>
        <w:pStyle w:val="BodyText"/>
        <w:spacing w:before="2"/>
        <w:rPr>
          <w:b/>
        </w:rPr>
      </w:pPr>
    </w:p>
    <w:p>
      <w:pPr>
        <w:pStyle w:val="ListParagraph"/>
        <w:numPr>
          <w:ilvl w:val="0"/>
          <w:numId w:val="140"/>
        </w:numPr>
        <w:tabs>
          <w:tab w:pos="466" w:val="left" w:leader="none"/>
          <w:tab w:pos="467" w:val="left" w:leader="none"/>
        </w:tabs>
        <w:spacing w:line="240" w:lineRule="auto" w:before="0" w:after="0"/>
        <w:ind w:left="466" w:right="0" w:hanging="360"/>
        <w:jc w:val="left"/>
        <w:rPr>
          <w:sz w:val="24"/>
        </w:rPr>
      </w:pPr>
      <w:r>
        <w:rPr>
          <w:sz w:val="24"/>
        </w:rPr>
        <w:t>Introduction (first</w:t>
      </w:r>
      <w:r>
        <w:rPr>
          <w:spacing w:val="-15"/>
          <w:sz w:val="24"/>
        </w:rPr>
        <w:t> </w:t>
      </w:r>
      <w:r>
        <w:rPr>
          <w:sz w:val="24"/>
        </w:rPr>
        <w:t>reading)</w:t>
      </w:r>
    </w:p>
    <w:p>
      <w:pPr>
        <w:pStyle w:val="ListParagraph"/>
        <w:numPr>
          <w:ilvl w:val="1"/>
          <w:numId w:val="140"/>
        </w:numPr>
        <w:tabs>
          <w:tab w:pos="827" w:val="left" w:leader="none"/>
        </w:tabs>
        <w:spacing w:line="242" w:lineRule="auto" w:before="199" w:after="0"/>
        <w:ind w:left="826" w:right="563" w:hanging="360"/>
        <w:jc w:val="left"/>
        <w:rPr>
          <w:sz w:val="24"/>
        </w:rPr>
      </w:pPr>
      <w:r>
        <w:rPr>
          <w:sz w:val="24"/>
        </w:rPr>
        <w:t>Author puts a legislative measure "across the desk" of the floor of the member's house.</w:t>
      </w:r>
    </w:p>
    <w:p>
      <w:pPr>
        <w:pStyle w:val="ListParagraph"/>
        <w:numPr>
          <w:ilvl w:val="1"/>
          <w:numId w:val="140"/>
        </w:numPr>
        <w:tabs>
          <w:tab w:pos="827" w:val="left" w:leader="none"/>
        </w:tabs>
        <w:spacing w:line="240" w:lineRule="auto" w:before="196" w:after="0"/>
        <w:ind w:left="826" w:right="0" w:hanging="360"/>
        <w:jc w:val="left"/>
        <w:rPr>
          <w:sz w:val="24"/>
        </w:rPr>
      </w:pPr>
      <w:r>
        <w:rPr>
          <w:sz w:val="24"/>
        </w:rPr>
        <w:t>Measure is given a number (e.g., AB 456, SB 612, ACA 3, SJR</w:t>
      </w:r>
      <w:r>
        <w:rPr>
          <w:spacing w:val="-26"/>
          <w:sz w:val="24"/>
        </w:rPr>
        <w:t> </w:t>
      </w:r>
      <w:r>
        <w:rPr>
          <w:sz w:val="24"/>
        </w:rPr>
        <w:t>1).</w:t>
      </w:r>
    </w:p>
    <w:p>
      <w:pPr>
        <w:pStyle w:val="ListParagraph"/>
        <w:numPr>
          <w:ilvl w:val="1"/>
          <w:numId w:val="140"/>
        </w:numPr>
        <w:tabs>
          <w:tab w:pos="827" w:val="left" w:leader="none"/>
        </w:tabs>
        <w:spacing w:line="240" w:lineRule="auto" w:before="196" w:after="0"/>
        <w:ind w:left="826" w:right="204" w:hanging="360"/>
        <w:jc w:val="left"/>
        <w:rPr>
          <w:sz w:val="24"/>
        </w:rPr>
      </w:pPr>
      <w:r>
        <w:rPr>
          <w:sz w:val="24"/>
        </w:rPr>
        <w:t>Title of measure is read on the floor of the house of origin. (The State Constitution prohibits any bill from being enacted unless it is "read" on three separate days in each house, or unless two-thirds of the members of a house vote to dispense with the reading of a bill. Reading aloud the title of a bill at this point constitutes the first of the three</w:t>
      </w:r>
      <w:r>
        <w:rPr>
          <w:spacing w:val="-9"/>
          <w:sz w:val="24"/>
        </w:rPr>
        <w:t> </w:t>
      </w:r>
      <w:r>
        <w:rPr>
          <w:sz w:val="24"/>
        </w:rPr>
        <w:t>readings.)</w:t>
      </w:r>
    </w:p>
    <w:p>
      <w:pPr>
        <w:pStyle w:val="ListParagraph"/>
        <w:numPr>
          <w:ilvl w:val="1"/>
          <w:numId w:val="140"/>
        </w:numPr>
        <w:tabs>
          <w:tab w:pos="827" w:val="left" w:leader="none"/>
        </w:tabs>
        <w:spacing w:line="240" w:lineRule="auto" w:before="198" w:after="0"/>
        <w:ind w:left="826" w:right="191" w:hanging="360"/>
        <w:jc w:val="left"/>
        <w:rPr>
          <w:sz w:val="24"/>
        </w:rPr>
      </w:pPr>
      <w:r>
        <w:rPr>
          <w:sz w:val="24"/>
        </w:rPr>
        <w:t>Measure is assigned ("referred") to a standing policy committee by the Rules Committee of the house of origin. The committee of assignment is based generally on the subject matter of the</w:t>
      </w:r>
      <w:r>
        <w:rPr>
          <w:spacing w:val="-16"/>
          <w:sz w:val="24"/>
        </w:rPr>
        <w:t> </w:t>
      </w:r>
      <w:r>
        <w:rPr>
          <w:sz w:val="24"/>
        </w:rPr>
        <w:t>bill.</w:t>
      </w:r>
    </w:p>
    <w:p>
      <w:pPr>
        <w:pStyle w:val="BodyText"/>
        <w:rPr>
          <w:sz w:val="26"/>
        </w:rPr>
      </w:pPr>
    </w:p>
    <w:p>
      <w:pPr>
        <w:pStyle w:val="BodyText"/>
        <w:spacing w:before="4"/>
        <w:rPr>
          <w:sz w:val="32"/>
        </w:rPr>
      </w:pPr>
    </w:p>
    <w:p>
      <w:pPr>
        <w:pStyle w:val="BodyText"/>
        <w:ind w:left="106"/>
      </w:pPr>
      <w:r>
        <w:rPr/>
        <w:t>(Continued)</w:t>
      </w:r>
    </w:p>
    <w:p>
      <w:pPr>
        <w:spacing w:after="0"/>
        <w:sectPr>
          <w:headerReference w:type="default" r:id="rId386"/>
          <w:pgSz w:w="12240" w:h="15840"/>
          <w:pgMar w:header="822" w:footer="792" w:top="1080" w:bottom="980" w:left="1060" w:right="1340"/>
        </w:sectPr>
      </w:pPr>
    </w:p>
    <w:p>
      <w:pPr>
        <w:pStyle w:val="ListParagraph"/>
        <w:numPr>
          <w:ilvl w:val="0"/>
          <w:numId w:val="140"/>
        </w:numPr>
        <w:tabs>
          <w:tab w:pos="467" w:val="left" w:leader="none"/>
        </w:tabs>
        <w:spacing w:line="240" w:lineRule="auto" w:before="2" w:after="0"/>
        <w:ind w:left="466" w:right="0" w:hanging="360"/>
        <w:jc w:val="left"/>
        <w:rPr>
          <w:sz w:val="24"/>
        </w:rPr>
      </w:pPr>
      <w:r>
        <w:rPr>
          <w:sz w:val="24"/>
        </w:rPr>
        <w:t>Consideration by Policy</w:t>
      </w:r>
      <w:r>
        <w:rPr>
          <w:spacing w:val="-16"/>
          <w:sz w:val="24"/>
        </w:rPr>
        <w:t> </w:t>
      </w:r>
      <w:r>
        <w:rPr>
          <w:sz w:val="24"/>
        </w:rPr>
        <w:t>Committee</w:t>
      </w:r>
    </w:p>
    <w:p>
      <w:pPr>
        <w:pStyle w:val="ListParagraph"/>
        <w:numPr>
          <w:ilvl w:val="1"/>
          <w:numId w:val="140"/>
        </w:numPr>
        <w:tabs>
          <w:tab w:pos="827" w:val="left" w:leader="none"/>
        </w:tabs>
        <w:spacing w:line="240" w:lineRule="auto" w:before="199" w:after="0"/>
        <w:ind w:left="826" w:right="0" w:hanging="360"/>
        <w:jc w:val="left"/>
        <w:rPr>
          <w:sz w:val="24"/>
        </w:rPr>
      </w:pPr>
      <w:r>
        <w:rPr>
          <w:sz w:val="24"/>
        </w:rPr>
        <w:t>Committee holds public</w:t>
      </w:r>
      <w:r>
        <w:rPr>
          <w:spacing w:val="-17"/>
          <w:sz w:val="24"/>
        </w:rPr>
        <w:t> </w:t>
      </w:r>
      <w:r>
        <w:rPr>
          <w:sz w:val="24"/>
        </w:rPr>
        <w:t>hearing.</w:t>
      </w:r>
    </w:p>
    <w:p>
      <w:pPr>
        <w:pStyle w:val="ListParagraph"/>
        <w:numPr>
          <w:ilvl w:val="2"/>
          <w:numId w:val="140"/>
        </w:numPr>
        <w:tabs>
          <w:tab w:pos="1187" w:val="left" w:leader="none"/>
        </w:tabs>
        <w:spacing w:line="242" w:lineRule="auto" w:before="199" w:after="0"/>
        <w:ind w:left="1186" w:right="130" w:hanging="360"/>
        <w:jc w:val="left"/>
        <w:rPr>
          <w:sz w:val="24"/>
        </w:rPr>
      </w:pPr>
      <w:r>
        <w:rPr>
          <w:sz w:val="24"/>
        </w:rPr>
        <w:t>Date set by committee and published in advance in the Daily File of the house of origin.</w:t>
      </w:r>
    </w:p>
    <w:p>
      <w:pPr>
        <w:pStyle w:val="ListParagraph"/>
        <w:numPr>
          <w:ilvl w:val="2"/>
          <w:numId w:val="140"/>
        </w:numPr>
        <w:tabs>
          <w:tab w:pos="1187" w:val="left" w:leader="none"/>
        </w:tabs>
        <w:spacing w:line="240" w:lineRule="auto" w:before="193" w:after="0"/>
        <w:ind w:left="1186" w:right="223" w:hanging="360"/>
        <w:jc w:val="left"/>
        <w:rPr>
          <w:sz w:val="24"/>
        </w:rPr>
      </w:pPr>
      <w:r>
        <w:rPr>
          <w:sz w:val="24"/>
        </w:rPr>
        <w:t>Hearing may be scheduled any time beginning 30 days after introduction of the bill unless it is an urgency measure, in which case the 30-day provisions can be waived by a 3/4 vote of the</w:t>
      </w:r>
      <w:r>
        <w:rPr>
          <w:spacing w:val="-13"/>
          <w:sz w:val="24"/>
        </w:rPr>
        <w:t> </w:t>
      </w:r>
      <w:r>
        <w:rPr>
          <w:sz w:val="24"/>
        </w:rPr>
        <w:t>house.</w:t>
      </w:r>
    </w:p>
    <w:p>
      <w:pPr>
        <w:pStyle w:val="ListParagraph"/>
        <w:numPr>
          <w:ilvl w:val="2"/>
          <w:numId w:val="140"/>
        </w:numPr>
        <w:tabs>
          <w:tab w:pos="1187" w:val="left" w:leader="none"/>
        </w:tabs>
        <w:spacing w:line="240" w:lineRule="auto" w:before="196" w:after="0"/>
        <w:ind w:left="1186" w:right="115" w:hanging="360"/>
        <w:jc w:val="left"/>
        <w:rPr>
          <w:sz w:val="24"/>
        </w:rPr>
      </w:pPr>
      <w:r>
        <w:rPr>
          <w:sz w:val="24"/>
        </w:rPr>
        <w:t>On the day of the hearing, the author presents the bill to the committee and explains why the committee should approve it. The policy committee is concerned </w:t>
      </w:r>
      <w:r>
        <w:rPr>
          <w:b/>
          <w:sz w:val="24"/>
        </w:rPr>
        <w:t>primarily </w:t>
      </w:r>
      <w:r>
        <w:rPr>
          <w:sz w:val="24"/>
        </w:rPr>
        <w:t>with the policy or programmatic features of the bill, not its fiscal consequences. Proponents and opponents also present their views on the measure. In addition, the committee may invite experts on the issue under consideration to</w:t>
      </w:r>
      <w:r>
        <w:rPr>
          <w:spacing w:val="-12"/>
          <w:sz w:val="24"/>
        </w:rPr>
        <w:t> </w:t>
      </w:r>
      <w:r>
        <w:rPr>
          <w:sz w:val="24"/>
        </w:rPr>
        <w:t>testify.</w:t>
      </w:r>
    </w:p>
    <w:p>
      <w:pPr>
        <w:pStyle w:val="ListParagraph"/>
        <w:numPr>
          <w:ilvl w:val="1"/>
          <w:numId w:val="140"/>
        </w:numPr>
        <w:tabs>
          <w:tab w:pos="827" w:val="left" w:leader="none"/>
        </w:tabs>
        <w:spacing w:line="242" w:lineRule="auto" w:before="199" w:after="0"/>
        <w:ind w:left="826" w:right="200" w:hanging="360"/>
        <w:jc w:val="left"/>
        <w:rPr>
          <w:sz w:val="24"/>
        </w:rPr>
      </w:pPr>
      <w:r>
        <w:rPr>
          <w:sz w:val="24"/>
        </w:rPr>
        <w:t>Committee recommendations to the floor, which generally require a majority vote of the committee, are customarily in one of the following</w:t>
      </w:r>
      <w:r>
        <w:rPr>
          <w:spacing w:val="-25"/>
          <w:sz w:val="24"/>
        </w:rPr>
        <w:t> </w:t>
      </w:r>
      <w:r>
        <w:rPr>
          <w:sz w:val="24"/>
        </w:rPr>
        <w:t>forms:</w:t>
      </w:r>
    </w:p>
    <w:p>
      <w:pPr>
        <w:pStyle w:val="ListParagraph"/>
        <w:numPr>
          <w:ilvl w:val="2"/>
          <w:numId w:val="140"/>
        </w:numPr>
        <w:tabs>
          <w:tab w:pos="1187" w:val="left" w:leader="none"/>
        </w:tabs>
        <w:spacing w:line="240" w:lineRule="auto" w:before="196" w:after="0"/>
        <w:ind w:left="1186" w:right="0" w:hanging="360"/>
        <w:jc w:val="left"/>
        <w:rPr>
          <w:sz w:val="24"/>
        </w:rPr>
      </w:pPr>
      <w:r>
        <w:rPr>
          <w:sz w:val="24"/>
        </w:rPr>
        <w:t>"Do pass"–if the committee wants the bill to become</w:t>
      </w:r>
      <w:r>
        <w:rPr>
          <w:spacing w:val="-22"/>
          <w:sz w:val="24"/>
        </w:rPr>
        <w:t> </w:t>
      </w:r>
      <w:r>
        <w:rPr>
          <w:sz w:val="24"/>
        </w:rPr>
        <w:t>law.</w:t>
      </w:r>
    </w:p>
    <w:p>
      <w:pPr>
        <w:pStyle w:val="ListParagraph"/>
        <w:numPr>
          <w:ilvl w:val="2"/>
          <w:numId w:val="140"/>
        </w:numPr>
        <w:tabs>
          <w:tab w:pos="1187" w:val="left" w:leader="none"/>
        </w:tabs>
        <w:spacing w:line="242" w:lineRule="auto" w:before="196" w:after="0"/>
        <w:ind w:left="1186" w:right="178" w:hanging="360"/>
        <w:jc w:val="left"/>
        <w:rPr>
          <w:sz w:val="24"/>
        </w:rPr>
      </w:pPr>
      <w:r>
        <w:rPr>
          <w:sz w:val="24"/>
        </w:rPr>
        <w:t>"Amend and do pass as amended"–if the committee rejected the original form</w:t>
      </w:r>
      <w:r>
        <w:rPr>
          <w:spacing w:val="-37"/>
          <w:sz w:val="24"/>
        </w:rPr>
        <w:t> </w:t>
      </w:r>
      <w:r>
        <w:rPr>
          <w:sz w:val="24"/>
        </w:rPr>
        <w:t>of the bill, but approved it with certain specified changes or</w:t>
      </w:r>
      <w:r>
        <w:rPr>
          <w:spacing w:val="-34"/>
          <w:sz w:val="24"/>
        </w:rPr>
        <w:t> </w:t>
      </w:r>
      <w:r>
        <w:rPr>
          <w:sz w:val="24"/>
        </w:rPr>
        <w:t>"amendments.”</w:t>
      </w:r>
    </w:p>
    <w:p>
      <w:pPr>
        <w:pStyle w:val="ListParagraph"/>
        <w:numPr>
          <w:ilvl w:val="2"/>
          <w:numId w:val="140"/>
        </w:numPr>
        <w:tabs>
          <w:tab w:pos="1187" w:val="left" w:leader="none"/>
        </w:tabs>
        <w:spacing w:line="240" w:lineRule="auto" w:before="193" w:after="0"/>
        <w:ind w:left="1186" w:right="304" w:hanging="360"/>
        <w:jc w:val="left"/>
        <w:rPr>
          <w:sz w:val="24"/>
        </w:rPr>
      </w:pPr>
      <w:r>
        <w:rPr>
          <w:sz w:val="24"/>
        </w:rPr>
        <w:t>"Amend and re-refer"–if the committee wants the bill to be considered by a committee again after it is reprinted as amended. "Amend and re-refer" may bring the amended bill back to the same committee or it may specify another committee (usually a fiscal committee) that can properly consider the</w:t>
      </w:r>
      <w:r>
        <w:rPr>
          <w:spacing w:val="-35"/>
          <w:sz w:val="24"/>
        </w:rPr>
        <w:t> </w:t>
      </w:r>
      <w:r>
        <w:rPr>
          <w:sz w:val="24"/>
        </w:rPr>
        <w:t>measure.</w:t>
      </w:r>
    </w:p>
    <w:p>
      <w:pPr>
        <w:pStyle w:val="ListParagraph"/>
        <w:numPr>
          <w:ilvl w:val="2"/>
          <w:numId w:val="140"/>
        </w:numPr>
        <w:tabs>
          <w:tab w:pos="1187" w:val="left" w:leader="none"/>
        </w:tabs>
        <w:spacing w:line="240" w:lineRule="auto" w:before="198" w:after="0"/>
        <w:ind w:left="1186" w:right="388" w:hanging="360"/>
        <w:jc w:val="left"/>
        <w:rPr>
          <w:sz w:val="24"/>
        </w:rPr>
      </w:pPr>
      <w:r>
        <w:rPr>
          <w:sz w:val="24"/>
        </w:rPr>
        <w:t>"Do pass and re-refer"–if the committee recommends the bill favorably without amendments but sends it to another committee. If the bill has a fiscal impact ("Fiscal committee: yes" at end of digest) it will be re-referred to the fiscal committee.</w:t>
      </w:r>
    </w:p>
    <w:p>
      <w:pPr>
        <w:pStyle w:val="ListParagraph"/>
        <w:numPr>
          <w:ilvl w:val="2"/>
          <w:numId w:val="140"/>
        </w:numPr>
        <w:tabs>
          <w:tab w:pos="1187" w:val="left" w:leader="none"/>
        </w:tabs>
        <w:spacing w:line="240" w:lineRule="auto" w:before="198" w:after="0"/>
        <w:ind w:left="1186" w:right="0" w:hanging="360"/>
        <w:jc w:val="left"/>
        <w:rPr>
          <w:sz w:val="24"/>
        </w:rPr>
      </w:pPr>
      <w:r>
        <w:rPr>
          <w:sz w:val="24"/>
        </w:rPr>
        <w:t>"Do not pass"–if committee opposes the bill, but prefers to let the house</w:t>
      </w:r>
      <w:r>
        <w:rPr>
          <w:spacing w:val="-31"/>
          <w:sz w:val="24"/>
        </w:rPr>
        <w:t> </w:t>
      </w:r>
      <w:r>
        <w:rPr>
          <w:sz w:val="24"/>
        </w:rPr>
        <w:t>decide.</w:t>
      </w:r>
    </w:p>
    <w:p>
      <w:pPr>
        <w:pStyle w:val="ListParagraph"/>
        <w:numPr>
          <w:ilvl w:val="2"/>
          <w:numId w:val="140"/>
        </w:numPr>
        <w:tabs>
          <w:tab w:pos="1187" w:val="left" w:leader="none"/>
        </w:tabs>
        <w:spacing w:line="242" w:lineRule="auto" w:before="196" w:after="0"/>
        <w:ind w:left="1186" w:right="188" w:hanging="360"/>
        <w:jc w:val="left"/>
        <w:rPr>
          <w:sz w:val="24"/>
        </w:rPr>
      </w:pPr>
      <w:r>
        <w:rPr>
          <w:sz w:val="24"/>
        </w:rPr>
        <w:t>"To the house without recommendation"–if the committee is divided or uncertain and wants the house to decide the bill on its</w:t>
      </w:r>
      <w:r>
        <w:rPr>
          <w:spacing w:val="-18"/>
          <w:sz w:val="24"/>
        </w:rPr>
        <w:t> </w:t>
      </w:r>
      <w:r>
        <w:rPr>
          <w:sz w:val="24"/>
        </w:rPr>
        <w:t>merits.</w:t>
      </w:r>
    </w:p>
    <w:p>
      <w:pPr>
        <w:pStyle w:val="ListParagraph"/>
        <w:numPr>
          <w:ilvl w:val="2"/>
          <w:numId w:val="140"/>
        </w:numPr>
        <w:tabs>
          <w:tab w:pos="1187" w:val="left" w:leader="none"/>
        </w:tabs>
        <w:spacing w:line="240" w:lineRule="auto" w:before="196" w:after="0"/>
        <w:ind w:left="1186" w:right="183" w:hanging="360"/>
        <w:jc w:val="left"/>
        <w:rPr>
          <w:sz w:val="24"/>
        </w:rPr>
      </w:pPr>
      <w:r>
        <w:rPr>
          <w:sz w:val="24"/>
        </w:rPr>
        <w:t>"Refer to Interim"–if the committee believes the subject is of sufficient importance to need further in-depth study by a legislative committee before adequate legislation can be written, then this recommendation suggests that the bill receive detailed analysis and hearings during the Legislature's recess (interim)</w:t>
      </w:r>
      <w:r>
        <w:rPr>
          <w:spacing w:val="-9"/>
          <w:sz w:val="24"/>
        </w:rPr>
        <w:t> </w:t>
      </w:r>
      <w:r>
        <w:rPr>
          <w:sz w:val="24"/>
        </w:rPr>
        <w:t>period.</w:t>
      </w:r>
    </w:p>
    <w:p>
      <w:pPr>
        <w:pStyle w:val="BodyText"/>
        <w:spacing w:before="198"/>
        <w:ind w:left="466"/>
      </w:pPr>
      <w:r>
        <w:rPr/>
        <w:t>(Continued)</w:t>
      </w:r>
    </w:p>
    <w:p>
      <w:pPr>
        <w:spacing w:after="0"/>
        <w:sectPr>
          <w:headerReference w:type="default" r:id="rId387"/>
          <w:pgSz w:w="12240" w:h="15840"/>
          <w:pgMar w:header="822" w:footer="792" w:top="2260" w:bottom="980" w:left="1060" w:right="1320"/>
          <w:pgNumType w:start="1"/>
        </w:sectPr>
      </w:pPr>
    </w:p>
    <w:p>
      <w:pPr>
        <w:pStyle w:val="BodyText"/>
        <w:rPr>
          <w:sz w:val="20"/>
        </w:rPr>
      </w:pPr>
    </w:p>
    <w:p>
      <w:pPr>
        <w:pStyle w:val="BodyText"/>
        <w:spacing w:before="3"/>
        <w:rPr>
          <w:sz w:val="21"/>
        </w:rPr>
      </w:pPr>
    </w:p>
    <w:p>
      <w:pPr>
        <w:pStyle w:val="ListParagraph"/>
        <w:numPr>
          <w:ilvl w:val="1"/>
          <w:numId w:val="140"/>
        </w:numPr>
        <w:tabs>
          <w:tab w:pos="827" w:val="left" w:leader="none"/>
        </w:tabs>
        <w:spacing w:line="240" w:lineRule="auto" w:before="0" w:after="0"/>
        <w:ind w:left="826" w:right="401" w:hanging="360"/>
        <w:jc w:val="left"/>
        <w:rPr>
          <w:sz w:val="24"/>
        </w:rPr>
      </w:pPr>
      <w:r>
        <w:rPr>
          <w:sz w:val="24"/>
        </w:rPr>
        <w:t>Instead of reporting its recommendation, the committee may effectively kill the bill by voting to "lay it on the table" or by taking no action (i.e., “holding” the bill in committee).</w:t>
      </w:r>
    </w:p>
    <w:p>
      <w:pPr>
        <w:pStyle w:val="ListParagraph"/>
        <w:numPr>
          <w:ilvl w:val="0"/>
          <w:numId w:val="140"/>
        </w:numPr>
        <w:tabs>
          <w:tab w:pos="467" w:val="left" w:leader="none"/>
        </w:tabs>
        <w:spacing w:line="240" w:lineRule="auto" w:before="201" w:after="0"/>
        <w:ind w:left="466" w:right="0" w:hanging="360"/>
        <w:jc w:val="left"/>
        <w:rPr>
          <w:sz w:val="24"/>
        </w:rPr>
      </w:pPr>
      <w:r>
        <w:rPr>
          <w:sz w:val="24"/>
        </w:rPr>
        <w:t>Consideration by Fiscal</w:t>
      </w:r>
      <w:r>
        <w:rPr>
          <w:spacing w:val="-16"/>
          <w:sz w:val="24"/>
        </w:rPr>
        <w:t> </w:t>
      </w:r>
      <w:r>
        <w:rPr>
          <w:sz w:val="24"/>
        </w:rPr>
        <w:t>Committee</w:t>
      </w:r>
    </w:p>
    <w:p>
      <w:pPr>
        <w:pStyle w:val="BodyText"/>
        <w:spacing w:before="197"/>
        <w:ind w:left="466" w:right="200"/>
      </w:pPr>
      <w:r>
        <w:rPr/>
        <w:t>Essentially the same procedural requirements apply to the fiscal committees as do to the policy committees. However, these committees' attention, and the testimony they hear, is focused primarily (though not necessarily exclusively) on the fiscal ramifications of legislation, not the program or policy issues involved.</w:t>
      </w:r>
    </w:p>
    <w:p>
      <w:pPr>
        <w:pStyle w:val="ListParagraph"/>
        <w:numPr>
          <w:ilvl w:val="0"/>
          <w:numId w:val="140"/>
        </w:numPr>
        <w:tabs>
          <w:tab w:pos="467" w:val="left" w:leader="none"/>
        </w:tabs>
        <w:spacing w:line="240" w:lineRule="auto" w:before="199" w:after="0"/>
        <w:ind w:left="466" w:right="0" w:hanging="360"/>
        <w:jc w:val="left"/>
        <w:rPr>
          <w:sz w:val="24"/>
        </w:rPr>
      </w:pPr>
      <w:r>
        <w:rPr>
          <w:sz w:val="24"/>
        </w:rPr>
        <w:t>Second Reading in House of</w:t>
      </w:r>
      <w:r>
        <w:rPr>
          <w:spacing w:val="-15"/>
          <w:sz w:val="24"/>
        </w:rPr>
        <w:t> </w:t>
      </w:r>
      <w:r>
        <w:rPr>
          <w:sz w:val="24"/>
        </w:rPr>
        <w:t>Origin</w:t>
      </w:r>
    </w:p>
    <w:p>
      <w:pPr>
        <w:pStyle w:val="ListParagraph"/>
        <w:numPr>
          <w:ilvl w:val="1"/>
          <w:numId w:val="140"/>
        </w:numPr>
        <w:tabs>
          <w:tab w:pos="827" w:val="left" w:leader="none"/>
        </w:tabs>
        <w:spacing w:line="240" w:lineRule="auto" w:before="199" w:after="0"/>
        <w:ind w:left="826" w:right="440" w:hanging="360"/>
        <w:jc w:val="left"/>
        <w:rPr>
          <w:sz w:val="24"/>
        </w:rPr>
      </w:pPr>
      <w:r>
        <w:rPr>
          <w:sz w:val="24"/>
        </w:rPr>
        <w:t>The measure is listed in second reading file of the floor of the house of origin, but consideration usually involves no more than reading the bill number to satisfy procedural</w:t>
      </w:r>
      <w:r>
        <w:rPr>
          <w:spacing w:val="-13"/>
          <w:sz w:val="24"/>
        </w:rPr>
        <w:t> </w:t>
      </w:r>
      <w:r>
        <w:rPr>
          <w:sz w:val="24"/>
        </w:rPr>
        <w:t>requirements.</w:t>
      </w:r>
    </w:p>
    <w:p>
      <w:pPr>
        <w:pStyle w:val="ListParagraph"/>
        <w:numPr>
          <w:ilvl w:val="1"/>
          <w:numId w:val="140"/>
        </w:numPr>
        <w:tabs>
          <w:tab w:pos="827" w:val="left" w:leader="none"/>
        </w:tabs>
        <w:spacing w:line="242" w:lineRule="auto" w:before="197" w:after="0"/>
        <w:ind w:left="826" w:right="159" w:hanging="360"/>
        <w:jc w:val="left"/>
        <w:rPr>
          <w:sz w:val="24"/>
        </w:rPr>
      </w:pPr>
      <w:r>
        <w:rPr>
          <w:sz w:val="24"/>
        </w:rPr>
        <w:t>If the committee recommended amendments, such amendments are printed as part of the bill and may be discussed and</w:t>
      </w:r>
      <w:r>
        <w:rPr>
          <w:spacing w:val="-20"/>
          <w:sz w:val="24"/>
        </w:rPr>
        <w:t> </w:t>
      </w:r>
      <w:r>
        <w:rPr>
          <w:sz w:val="24"/>
        </w:rPr>
        <w:t>adopted.</w:t>
      </w:r>
    </w:p>
    <w:p>
      <w:pPr>
        <w:pStyle w:val="ListParagraph"/>
        <w:numPr>
          <w:ilvl w:val="0"/>
          <w:numId w:val="140"/>
        </w:numPr>
        <w:tabs>
          <w:tab w:pos="467" w:val="left" w:leader="none"/>
        </w:tabs>
        <w:spacing w:line="240" w:lineRule="auto" w:before="196" w:after="0"/>
        <w:ind w:left="466" w:right="0" w:hanging="360"/>
        <w:jc w:val="left"/>
        <w:rPr>
          <w:sz w:val="24"/>
        </w:rPr>
      </w:pPr>
      <w:r>
        <w:rPr>
          <w:sz w:val="24"/>
        </w:rPr>
        <w:t>Third Reading in House of</w:t>
      </w:r>
      <w:r>
        <w:rPr>
          <w:spacing w:val="-16"/>
          <w:sz w:val="24"/>
        </w:rPr>
        <w:t> </w:t>
      </w:r>
      <w:r>
        <w:rPr>
          <w:sz w:val="24"/>
        </w:rPr>
        <w:t>Origin</w:t>
      </w:r>
    </w:p>
    <w:p>
      <w:pPr>
        <w:pStyle w:val="ListParagraph"/>
        <w:numPr>
          <w:ilvl w:val="1"/>
          <w:numId w:val="140"/>
        </w:numPr>
        <w:tabs>
          <w:tab w:pos="827" w:val="left" w:leader="none"/>
        </w:tabs>
        <w:spacing w:line="242" w:lineRule="auto" w:before="196" w:after="0"/>
        <w:ind w:left="826" w:right="782" w:hanging="360"/>
        <w:jc w:val="left"/>
        <w:rPr>
          <w:sz w:val="24"/>
        </w:rPr>
      </w:pPr>
      <w:r>
        <w:rPr>
          <w:sz w:val="24"/>
        </w:rPr>
        <w:t>The measure listed on third reading file is taken up for final passage when the author is ready to present</w:t>
      </w:r>
      <w:r>
        <w:rPr>
          <w:spacing w:val="-13"/>
          <w:sz w:val="24"/>
        </w:rPr>
        <w:t> </w:t>
      </w:r>
      <w:r>
        <w:rPr>
          <w:sz w:val="24"/>
        </w:rPr>
        <w:t>it.</w:t>
      </w:r>
    </w:p>
    <w:p>
      <w:pPr>
        <w:pStyle w:val="ListParagraph"/>
        <w:numPr>
          <w:ilvl w:val="2"/>
          <w:numId w:val="140"/>
        </w:numPr>
        <w:tabs>
          <w:tab w:pos="1187" w:val="left" w:leader="none"/>
        </w:tabs>
        <w:spacing w:line="242" w:lineRule="auto" w:before="196" w:after="0"/>
        <w:ind w:left="1186" w:right="382" w:hanging="360"/>
        <w:jc w:val="left"/>
        <w:rPr>
          <w:sz w:val="24"/>
        </w:rPr>
      </w:pPr>
      <w:r>
        <w:rPr>
          <w:sz w:val="24"/>
        </w:rPr>
        <w:t>The author of a bill makes the case for approving the bill and floor debate may take</w:t>
      </w:r>
      <w:r>
        <w:rPr>
          <w:spacing w:val="-3"/>
          <w:sz w:val="24"/>
        </w:rPr>
        <w:t> </w:t>
      </w:r>
      <w:r>
        <w:rPr>
          <w:sz w:val="24"/>
        </w:rPr>
        <w:t>place.</w:t>
      </w:r>
    </w:p>
    <w:p>
      <w:pPr>
        <w:pStyle w:val="ListParagraph"/>
        <w:numPr>
          <w:ilvl w:val="2"/>
          <w:numId w:val="140"/>
        </w:numPr>
        <w:tabs>
          <w:tab w:pos="1187" w:val="left" w:leader="none"/>
        </w:tabs>
        <w:spacing w:line="240" w:lineRule="auto" w:before="193" w:after="0"/>
        <w:ind w:left="1186" w:right="144" w:hanging="360"/>
        <w:jc w:val="left"/>
        <w:rPr>
          <w:sz w:val="24"/>
        </w:rPr>
      </w:pPr>
      <w:r>
        <w:rPr>
          <w:sz w:val="24"/>
        </w:rPr>
        <w:t>Members of the House may ask questions of the author and make statements of support or opposition to the</w:t>
      </w:r>
      <w:r>
        <w:rPr>
          <w:spacing w:val="-16"/>
          <w:sz w:val="24"/>
        </w:rPr>
        <w:t> </w:t>
      </w:r>
      <w:r>
        <w:rPr>
          <w:sz w:val="24"/>
        </w:rPr>
        <w:t>measure.</w:t>
      </w:r>
    </w:p>
    <w:p>
      <w:pPr>
        <w:pStyle w:val="ListParagraph"/>
        <w:numPr>
          <w:ilvl w:val="2"/>
          <w:numId w:val="140"/>
        </w:numPr>
        <w:tabs>
          <w:tab w:pos="1187" w:val="left" w:leader="none"/>
        </w:tabs>
        <w:spacing w:line="240" w:lineRule="auto" w:before="119" w:after="0"/>
        <w:ind w:left="1186" w:right="0" w:hanging="360"/>
        <w:jc w:val="left"/>
        <w:rPr>
          <w:sz w:val="24"/>
        </w:rPr>
      </w:pPr>
      <w:r>
        <w:rPr>
          <w:sz w:val="24"/>
        </w:rPr>
        <w:t>Vote on final passage of bill is by roll</w:t>
      </w:r>
      <w:r>
        <w:rPr>
          <w:spacing w:val="-19"/>
          <w:sz w:val="24"/>
        </w:rPr>
        <w:t> </w:t>
      </w:r>
      <w:r>
        <w:rPr>
          <w:sz w:val="24"/>
        </w:rPr>
        <w:t>call.</w:t>
      </w:r>
    </w:p>
    <w:p>
      <w:pPr>
        <w:pStyle w:val="ListParagraph"/>
        <w:numPr>
          <w:ilvl w:val="1"/>
          <w:numId w:val="140"/>
        </w:numPr>
        <w:tabs>
          <w:tab w:pos="827" w:val="left" w:leader="none"/>
        </w:tabs>
        <w:spacing w:line="240" w:lineRule="auto" w:before="119" w:after="0"/>
        <w:ind w:left="826" w:right="145" w:hanging="360"/>
        <w:jc w:val="left"/>
        <w:rPr>
          <w:sz w:val="24"/>
        </w:rPr>
      </w:pPr>
      <w:r>
        <w:rPr>
          <w:sz w:val="24"/>
        </w:rPr>
        <w:t>According to the California Constitution, "Any bill introduced during the first (odd) year of the biennium of the legislative session that has not been passed by the house of origin by January 31 of the second (even) calendar year of the biennium may no longer be acted on by the house. No bill may be passed by either house on or after September 1 of an even numbered year except statutes calling elections, statutes providing for tax levies or appropriations for the usual current expenses of the state, and urgency statutes, and bills passed after being vetoed by the Governor."</w:t>
      </w:r>
    </w:p>
    <w:p>
      <w:pPr>
        <w:pStyle w:val="BodyText"/>
        <w:rPr>
          <w:sz w:val="26"/>
        </w:rPr>
      </w:pPr>
    </w:p>
    <w:p>
      <w:pPr>
        <w:pStyle w:val="BodyText"/>
        <w:spacing w:before="9"/>
        <w:rPr>
          <w:sz w:val="32"/>
        </w:rPr>
      </w:pPr>
    </w:p>
    <w:p>
      <w:pPr>
        <w:pStyle w:val="BodyText"/>
        <w:ind w:left="106"/>
      </w:pPr>
      <w:r>
        <w:rPr/>
        <w:t>(Continued)</w:t>
      </w:r>
    </w:p>
    <w:p>
      <w:pPr>
        <w:spacing w:after="0"/>
        <w:sectPr>
          <w:pgSz w:w="12240" w:h="15840"/>
          <w:pgMar w:header="822" w:footer="792" w:top="2260" w:bottom="980" w:left="1060" w:right="1320"/>
        </w:sectPr>
      </w:pPr>
    </w:p>
    <w:p>
      <w:pPr>
        <w:pStyle w:val="ListParagraph"/>
        <w:numPr>
          <w:ilvl w:val="0"/>
          <w:numId w:val="140"/>
        </w:numPr>
        <w:tabs>
          <w:tab w:pos="467" w:val="left" w:leader="none"/>
        </w:tabs>
        <w:spacing w:line="240" w:lineRule="auto" w:before="1" w:after="0"/>
        <w:ind w:left="466" w:right="0" w:hanging="360"/>
        <w:jc w:val="left"/>
        <w:rPr>
          <w:sz w:val="24"/>
        </w:rPr>
      </w:pPr>
      <w:r>
        <w:rPr>
          <w:sz w:val="24"/>
        </w:rPr>
        <w:t>Procedure After Bill Passes House of Origin</w:t>
      </w:r>
      <w:r>
        <w:rPr>
          <w:spacing w:val="-18"/>
          <w:sz w:val="24"/>
        </w:rPr>
        <w:t> </w:t>
      </w:r>
      <w:r>
        <w:rPr>
          <w:position w:val="10"/>
          <w:sz w:val="24"/>
        </w:rPr>
        <w:t>1</w:t>
      </w:r>
    </w:p>
    <w:p>
      <w:pPr>
        <w:pStyle w:val="ListParagraph"/>
        <w:numPr>
          <w:ilvl w:val="1"/>
          <w:numId w:val="140"/>
        </w:numPr>
        <w:tabs>
          <w:tab w:pos="827" w:val="left" w:leader="none"/>
        </w:tabs>
        <w:spacing w:line="240" w:lineRule="auto" w:before="202" w:after="0"/>
        <w:ind w:left="826" w:right="0" w:hanging="360"/>
        <w:jc w:val="left"/>
        <w:rPr>
          <w:sz w:val="24"/>
        </w:rPr>
      </w:pPr>
      <w:r>
        <w:rPr>
          <w:sz w:val="24"/>
        </w:rPr>
        <w:t>Sent to other house where same general procedure is</w:t>
      </w:r>
      <w:r>
        <w:rPr>
          <w:spacing w:val="-32"/>
          <w:sz w:val="24"/>
        </w:rPr>
        <w:t> </w:t>
      </w:r>
      <w:r>
        <w:rPr>
          <w:sz w:val="24"/>
        </w:rPr>
        <w:t>followed.</w:t>
      </w:r>
    </w:p>
    <w:p>
      <w:pPr>
        <w:pStyle w:val="ListParagraph"/>
        <w:numPr>
          <w:ilvl w:val="1"/>
          <w:numId w:val="140"/>
        </w:numPr>
        <w:tabs>
          <w:tab w:pos="827" w:val="left" w:leader="none"/>
        </w:tabs>
        <w:spacing w:line="242" w:lineRule="auto" w:before="197" w:after="0"/>
        <w:ind w:left="826" w:right="836" w:hanging="360"/>
        <w:jc w:val="left"/>
        <w:rPr>
          <w:sz w:val="24"/>
        </w:rPr>
      </w:pPr>
      <w:r>
        <w:rPr>
          <w:sz w:val="24"/>
        </w:rPr>
        <w:t>If passed in second house, bill is returned to house of origin with a transmittal message stating</w:t>
      </w:r>
      <w:r>
        <w:rPr>
          <w:spacing w:val="-13"/>
          <w:sz w:val="24"/>
        </w:rPr>
        <w:t> </w:t>
      </w:r>
      <w:r>
        <w:rPr>
          <w:sz w:val="24"/>
        </w:rPr>
        <w:t>either:</w:t>
      </w:r>
    </w:p>
    <w:p>
      <w:pPr>
        <w:pStyle w:val="ListParagraph"/>
        <w:numPr>
          <w:ilvl w:val="2"/>
          <w:numId w:val="140"/>
        </w:numPr>
        <w:tabs>
          <w:tab w:pos="1187" w:val="left" w:leader="none"/>
        </w:tabs>
        <w:spacing w:line="240" w:lineRule="auto" w:before="197" w:after="0"/>
        <w:ind w:left="1186" w:right="0" w:hanging="360"/>
        <w:jc w:val="left"/>
        <w:rPr>
          <w:sz w:val="24"/>
        </w:rPr>
      </w:pPr>
      <w:r>
        <w:rPr>
          <w:sz w:val="24"/>
        </w:rPr>
        <w:t>Bill passed second house and may be enrolled and sent to the Governor</w:t>
      </w:r>
      <w:r>
        <w:rPr>
          <w:position w:val="10"/>
          <w:sz w:val="24"/>
        </w:rPr>
        <w:t>2</w:t>
      </w:r>
      <w:r>
        <w:rPr>
          <w:spacing w:val="-32"/>
          <w:position w:val="10"/>
          <w:sz w:val="24"/>
        </w:rPr>
        <w:t> </w:t>
      </w:r>
      <w:r>
        <w:rPr>
          <w:sz w:val="24"/>
        </w:rPr>
        <w:t>or</w:t>
      </w:r>
    </w:p>
    <w:p>
      <w:pPr>
        <w:pStyle w:val="ListParagraph"/>
        <w:numPr>
          <w:ilvl w:val="2"/>
          <w:numId w:val="140"/>
        </w:numPr>
        <w:tabs>
          <w:tab w:pos="1187" w:val="left" w:leader="none"/>
        </w:tabs>
        <w:spacing w:line="240" w:lineRule="auto" w:before="199" w:after="0"/>
        <w:ind w:left="1186" w:right="371" w:hanging="360"/>
        <w:jc w:val="left"/>
        <w:rPr>
          <w:sz w:val="16"/>
        </w:rPr>
      </w:pPr>
      <w:r>
        <w:rPr>
          <w:sz w:val="24"/>
        </w:rPr>
        <w:t>Bill passed second house with amendments, and concurrence in amendments by house of origin is requested so that bill may be enrolled and sent to Governor.</w:t>
      </w:r>
      <w:hyperlink w:history="true" w:anchor="_bookmark0">
        <w:r>
          <w:rPr>
            <w:position w:val="8"/>
            <w:sz w:val="16"/>
          </w:rPr>
          <w:t>2</w:t>
        </w:r>
      </w:hyperlink>
    </w:p>
    <w:p>
      <w:pPr>
        <w:pStyle w:val="BodyText"/>
        <w:spacing w:before="197"/>
        <w:ind w:left="1186" w:right="196"/>
      </w:pPr>
      <w:r>
        <w:rPr/>
        <w:t>An exception to the above is specified in the Constitution: "Until the budget bill has been enacted, the Legislature shall not send to the Governor for consideration any bill appropriating funds for expenditure during the fiscal year for which the budget bill is to be enacted, except emergency bills recommended by the Governor or appropriations for the salaries and expenses of the Legislature."</w:t>
      </w:r>
    </w:p>
    <w:p>
      <w:pPr>
        <w:pStyle w:val="ListParagraph"/>
        <w:numPr>
          <w:ilvl w:val="1"/>
          <w:numId w:val="140"/>
        </w:numPr>
        <w:tabs>
          <w:tab w:pos="827" w:val="left" w:leader="none"/>
        </w:tabs>
        <w:spacing w:line="240" w:lineRule="auto" w:before="197" w:after="0"/>
        <w:ind w:left="826" w:right="571" w:hanging="360"/>
        <w:jc w:val="left"/>
        <w:rPr>
          <w:sz w:val="24"/>
        </w:rPr>
      </w:pPr>
      <w:r>
        <w:rPr>
          <w:sz w:val="24"/>
        </w:rPr>
        <w:t>If amendments are not satisfactory to house of origin, it appoints members of its house to a Committee on Conference and notifies the other house to appoint its Committee on Conference members (each house appoints three members to a conference</w:t>
      </w:r>
      <w:r>
        <w:rPr>
          <w:spacing w:val="-13"/>
          <w:sz w:val="24"/>
        </w:rPr>
        <w:t> </w:t>
      </w:r>
      <w:r>
        <w:rPr>
          <w:sz w:val="24"/>
        </w:rPr>
        <w:t>committee).</w:t>
      </w:r>
    </w:p>
    <w:p>
      <w:pPr>
        <w:pStyle w:val="ListParagraph"/>
        <w:numPr>
          <w:ilvl w:val="2"/>
          <w:numId w:val="140"/>
        </w:numPr>
        <w:tabs>
          <w:tab w:pos="1187" w:val="left" w:leader="none"/>
        </w:tabs>
        <w:spacing w:line="240" w:lineRule="auto" w:before="199" w:after="0"/>
        <w:ind w:left="1186" w:right="0" w:hanging="360"/>
        <w:jc w:val="left"/>
        <w:rPr>
          <w:sz w:val="24"/>
        </w:rPr>
      </w:pPr>
      <w:r>
        <w:rPr>
          <w:sz w:val="24"/>
        </w:rPr>
        <w:t>Conference Committee considers the bill and seeks agreement on its final</w:t>
      </w:r>
      <w:r>
        <w:rPr>
          <w:spacing w:val="-35"/>
          <w:sz w:val="24"/>
        </w:rPr>
        <w:t> </w:t>
      </w:r>
      <w:r>
        <w:rPr>
          <w:sz w:val="24"/>
        </w:rPr>
        <w:t>form.</w:t>
      </w:r>
    </w:p>
    <w:p>
      <w:pPr>
        <w:pStyle w:val="ListParagraph"/>
        <w:numPr>
          <w:ilvl w:val="3"/>
          <w:numId w:val="140"/>
        </w:numPr>
        <w:tabs>
          <w:tab w:pos="1547" w:val="left" w:leader="none"/>
        </w:tabs>
        <w:spacing w:line="240" w:lineRule="auto" w:before="201" w:after="0"/>
        <w:ind w:left="1546" w:right="0" w:hanging="360"/>
        <w:jc w:val="left"/>
        <w:rPr>
          <w:sz w:val="24"/>
        </w:rPr>
      </w:pPr>
      <w:r>
        <w:rPr>
          <w:sz w:val="24"/>
        </w:rPr>
        <w:t>If conferees cannot agree, a new Committee on Conference is</w:t>
      </w:r>
      <w:r>
        <w:rPr>
          <w:spacing w:val="-33"/>
          <w:sz w:val="24"/>
        </w:rPr>
        <w:t> </w:t>
      </w:r>
      <w:r>
        <w:rPr>
          <w:sz w:val="24"/>
        </w:rPr>
        <w:t>appointed.</w:t>
      </w:r>
    </w:p>
    <w:p>
      <w:pPr>
        <w:pStyle w:val="ListParagraph"/>
        <w:numPr>
          <w:ilvl w:val="3"/>
          <w:numId w:val="140"/>
        </w:numPr>
        <w:tabs>
          <w:tab w:pos="1547" w:val="left" w:leader="none"/>
        </w:tabs>
        <w:spacing w:line="240" w:lineRule="auto" w:before="199" w:after="0"/>
        <w:ind w:left="1546" w:right="0" w:hanging="360"/>
        <w:jc w:val="left"/>
        <w:rPr>
          <w:sz w:val="24"/>
        </w:rPr>
      </w:pPr>
      <w:r>
        <w:rPr>
          <w:sz w:val="24"/>
        </w:rPr>
        <w:t>If no agreement is reached on the third conference try, the bill is</w:t>
      </w:r>
      <w:r>
        <w:rPr>
          <w:spacing w:val="-31"/>
          <w:sz w:val="24"/>
        </w:rPr>
        <w:t> </w:t>
      </w:r>
      <w:r>
        <w:rPr>
          <w:sz w:val="24"/>
        </w:rPr>
        <w:t>dead.</w:t>
      </w:r>
    </w:p>
    <w:p>
      <w:pPr>
        <w:pStyle w:val="ListParagraph"/>
        <w:numPr>
          <w:ilvl w:val="2"/>
          <w:numId w:val="140"/>
        </w:numPr>
        <w:tabs>
          <w:tab w:pos="1187" w:val="left" w:leader="none"/>
        </w:tabs>
        <w:spacing w:line="240" w:lineRule="auto" w:before="197" w:after="0"/>
        <w:ind w:left="1186" w:right="200" w:hanging="360"/>
        <w:jc w:val="left"/>
        <w:rPr>
          <w:sz w:val="24"/>
        </w:rPr>
      </w:pPr>
      <w:r>
        <w:rPr>
          <w:sz w:val="24"/>
        </w:rPr>
        <w:t>Conference Committee reports its recommendations to both houses, each of which must adopt the conference report at a roll-call vote (majority or two-thirds, depending upon the nature of the bill) before the bill can be sent to the Governor.</w:t>
      </w:r>
    </w:p>
    <w:p>
      <w:pPr>
        <w:pStyle w:val="BodyText"/>
        <w:spacing w:before="201"/>
        <w:ind w:left="106"/>
      </w:pPr>
      <w:r>
        <w:rPr/>
        <w:t>(Continued)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r>
        <w:rPr/>
        <w:pict>
          <v:line style="position:absolute;mso-position-horizontal-relative:page;mso-position-vertical-relative:paragraph;z-index:48856;mso-wrap-distance-left:0;mso-wrap-distance-right:0" from="58.32pt,11.026048pt" to="202.32pt,11.026048pt" stroked="true" strokeweight=".6pt" strokecolor="#000000">
            <v:stroke dashstyle="solid"/>
            <w10:wrap type="topAndBottom"/>
          </v:line>
        </w:pict>
      </w:r>
    </w:p>
    <w:p>
      <w:pPr>
        <w:pStyle w:val="ListParagraph"/>
        <w:numPr>
          <w:ilvl w:val="0"/>
          <w:numId w:val="141"/>
        </w:numPr>
        <w:tabs>
          <w:tab w:pos="688" w:val="left" w:leader="none"/>
        </w:tabs>
        <w:spacing w:line="240" w:lineRule="auto" w:before="71" w:after="0"/>
        <w:ind w:left="646" w:right="0" w:hanging="180"/>
        <w:jc w:val="left"/>
        <w:rPr>
          <w:i/>
          <w:sz w:val="20"/>
        </w:rPr>
      </w:pPr>
      <w:bookmarkStart w:name="_bookmark0" w:id="175"/>
      <w:bookmarkEnd w:id="175"/>
      <w:r>
        <w:rPr/>
      </w:r>
      <w:bookmarkStart w:name="_bookmark0" w:id="176"/>
      <w:bookmarkEnd w:id="176"/>
      <w:r>
        <w:rPr>
          <w:i/>
          <w:sz w:val="20"/>
        </w:rPr>
        <w:t>S</w:t>
      </w:r>
      <w:r>
        <w:rPr>
          <w:i/>
          <w:sz w:val="20"/>
        </w:rPr>
        <w:t>imple</w:t>
      </w:r>
      <w:r>
        <w:rPr>
          <w:i/>
          <w:spacing w:val="-2"/>
          <w:sz w:val="20"/>
        </w:rPr>
        <w:t> </w:t>
      </w:r>
      <w:r>
        <w:rPr>
          <w:i/>
          <w:sz w:val="20"/>
        </w:rPr>
        <w:t>resolutions</w:t>
      </w:r>
      <w:r>
        <w:rPr>
          <w:i/>
          <w:spacing w:val="-3"/>
          <w:sz w:val="20"/>
        </w:rPr>
        <w:t> </w:t>
      </w:r>
      <w:r>
        <w:rPr>
          <w:i/>
          <w:sz w:val="20"/>
        </w:rPr>
        <w:t>(HR</w:t>
      </w:r>
      <w:r>
        <w:rPr>
          <w:i/>
          <w:spacing w:val="-4"/>
          <w:sz w:val="20"/>
        </w:rPr>
        <w:t> </w:t>
      </w:r>
      <w:r>
        <w:rPr>
          <w:i/>
          <w:sz w:val="20"/>
        </w:rPr>
        <w:t>and</w:t>
      </w:r>
      <w:r>
        <w:rPr>
          <w:i/>
          <w:spacing w:val="-4"/>
          <w:sz w:val="20"/>
        </w:rPr>
        <w:t> </w:t>
      </w:r>
      <w:r>
        <w:rPr>
          <w:i/>
          <w:sz w:val="20"/>
        </w:rPr>
        <w:t>SR)</w:t>
      </w:r>
      <w:r>
        <w:rPr>
          <w:i/>
          <w:spacing w:val="-3"/>
          <w:sz w:val="20"/>
        </w:rPr>
        <w:t> </w:t>
      </w:r>
      <w:r>
        <w:rPr>
          <w:i/>
          <w:sz w:val="20"/>
        </w:rPr>
        <w:t>require</w:t>
      </w:r>
      <w:r>
        <w:rPr>
          <w:i/>
          <w:spacing w:val="-4"/>
          <w:sz w:val="20"/>
        </w:rPr>
        <w:t> </w:t>
      </w:r>
      <w:r>
        <w:rPr>
          <w:i/>
          <w:sz w:val="20"/>
        </w:rPr>
        <w:t>no</w:t>
      </w:r>
      <w:r>
        <w:rPr>
          <w:i/>
          <w:spacing w:val="-4"/>
          <w:sz w:val="20"/>
        </w:rPr>
        <w:t> </w:t>
      </w:r>
      <w:r>
        <w:rPr>
          <w:i/>
          <w:sz w:val="20"/>
        </w:rPr>
        <w:t>further</w:t>
      </w:r>
      <w:r>
        <w:rPr>
          <w:i/>
          <w:spacing w:val="-3"/>
          <w:sz w:val="20"/>
        </w:rPr>
        <w:t> </w:t>
      </w:r>
      <w:r>
        <w:rPr>
          <w:i/>
          <w:sz w:val="20"/>
        </w:rPr>
        <w:t>action</w:t>
      </w:r>
      <w:r>
        <w:rPr>
          <w:i/>
          <w:spacing w:val="-4"/>
          <w:sz w:val="20"/>
        </w:rPr>
        <w:t> </w:t>
      </w:r>
      <w:r>
        <w:rPr>
          <w:i/>
          <w:sz w:val="20"/>
        </w:rPr>
        <w:t>than</w:t>
      </w:r>
      <w:r>
        <w:rPr>
          <w:i/>
          <w:spacing w:val="-2"/>
          <w:sz w:val="20"/>
        </w:rPr>
        <w:t> </w:t>
      </w:r>
      <w:r>
        <w:rPr>
          <w:i/>
          <w:sz w:val="20"/>
        </w:rPr>
        <w:t>acceptance</w:t>
      </w:r>
      <w:r>
        <w:rPr>
          <w:i/>
          <w:spacing w:val="-4"/>
          <w:sz w:val="20"/>
        </w:rPr>
        <w:t> </w:t>
      </w:r>
      <w:r>
        <w:rPr>
          <w:i/>
          <w:sz w:val="20"/>
        </w:rPr>
        <w:t>by</w:t>
      </w:r>
      <w:r>
        <w:rPr>
          <w:i/>
          <w:spacing w:val="-3"/>
          <w:sz w:val="20"/>
        </w:rPr>
        <w:t> </w:t>
      </w:r>
      <w:r>
        <w:rPr>
          <w:i/>
          <w:sz w:val="20"/>
        </w:rPr>
        <w:t>the</w:t>
      </w:r>
      <w:r>
        <w:rPr>
          <w:i/>
          <w:spacing w:val="-4"/>
          <w:sz w:val="20"/>
        </w:rPr>
        <w:t> </w:t>
      </w:r>
      <w:r>
        <w:rPr>
          <w:i/>
          <w:sz w:val="20"/>
        </w:rPr>
        <w:t>house</w:t>
      </w:r>
      <w:r>
        <w:rPr>
          <w:i/>
          <w:spacing w:val="-4"/>
          <w:sz w:val="20"/>
        </w:rPr>
        <w:t> </w:t>
      </w:r>
      <w:r>
        <w:rPr>
          <w:i/>
          <w:sz w:val="20"/>
        </w:rPr>
        <w:t>of</w:t>
      </w:r>
      <w:r>
        <w:rPr>
          <w:i/>
          <w:spacing w:val="-2"/>
          <w:sz w:val="20"/>
        </w:rPr>
        <w:t> </w:t>
      </w:r>
      <w:r>
        <w:rPr>
          <w:i/>
          <w:sz w:val="20"/>
        </w:rPr>
        <w:t>origin.</w:t>
      </w:r>
    </w:p>
    <w:p>
      <w:pPr>
        <w:pStyle w:val="ListParagraph"/>
        <w:numPr>
          <w:ilvl w:val="0"/>
          <w:numId w:val="141"/>
        </w:numPr>
        <w:tabs>
          <w:tab w:pos="688" w:val="left" w:leader="none"/>
        </w:tabs>
        <w:spacing w:line="240" w:lineRule="auto" w:before="120" w:after="0"/>
        <w:ind w:left="646" w:right="563" w:hanging="180"/>
        <w:jc w:val="left"/>
        <w:rPr>
          <w:i/>
          <w:sz w:val="20"/>
        </w:rPr>
      </w:pPr>
      <w:r>
        <w:rPr>
          <w:i/>
          <w:sz w:val="20"/>
        </w:rPr>
        <w:t>Neither resolutions nor constitutional amendments require the signature of the Governor. </w:t>
      </w:r>
      <w:r>
        <w:rPr>
          <w:i/>
          <w:sz w:val="20"/>
        </w:rPr>
        <w:t>Constitutional amendments, however, must receive a favorable vote at the next statewide</w:t>
      </w:r>
      <w:r>
        <w:rPr>
          <w:i/>
          <w:spacing w:val="-38"/>
          <w:sz w:val="20"/>
        </w:rPr>
        <w:t> </w:t>
      </w:r>
      <w:r>
        <w:rPr>
          <w:i/>
          <w:sz w:val="20"/>
        </w:rPr>
        <w:t>election before they become</w:t>
      </w:r>
      <w:r>
        <w:rPr>
          <w:i/>
          <w:spacing w:val="-16"/>
          <w:sz w:val="20"/>
        </w:rPr>
        <w:t> </w:t>
      </w:r>
      <w:r>
        <w:rPr>
          <w:i/>
          <w:sz w:val="20"/>
        </w:rPr>
        <w:t>effective.</w:t>
      </w:r>
    </w:p>
    <w:p>
      <w:pPr>
        <w:spacing w:after="0" w:line="240" w:lineRule="auto"/>
        <w:jc w:val="left"/>
        <w:rPr>
          <w:sz w:val="20"/>
        </w:rPr>
        <w:sectPr>
          <w:pgSz w:w="12240" w:h="15840"/>
          <w:pgMar w:header="822" w:footer="792" w:top="2260" w:bottom="980" w:left="1060" w:right="1320"/>
        </w:sectPr>
      </w:pPr>
    </w:p>
    <w:p>
      <w:pPr>
        <w:pStyle w:val="BodyText"/>
        <w:rPr>
          <w:i/>
          <w:sz w:val="13"/>
        </w:rPr>
      </w:pPr>
    </w:p>
    <w:p>
      <w:pPr>
        <w:pStyle w:val="ListParagraph"/>
        <w:numPr>
          <w:ilvl w:val="0"/>
          <w:numId w:val="140"/>
        </w:numPr>
        <w:tabs>
          <w:tab w:pos="826" w:val="left" w:leader="none"/>
          <w:tab w:pos="827" w:val="left" w:leader="none"/>
        </w:tabs>
        <w:spacing w:line="240" w:lineRule="auto" w:before="93" w:after="0"/>
        <w:ind w:left="826" w:right="0" w:hanging="720"/>
        <w:jc w:val="left"/>
        <w:rPr>
          <w:sz w:val="24"/>
        </w:rPr>
      </w:pPr>
      <w:r>
        <w:rPr>
          <w:sz w:val="24"/>
        </w:rPr>
        <w:t>Action by</w:t>
      </w:r>
      <w:r>
        <w:rPr>
          <w:spacing w:val="-9"/>
          <w:sz w:val="24"/>
        </w:rPr>
        <w:t> </w:t>
      </w:r>
      <w:r>
        <w:rPr>
          <w:sz w:val="24"/>
        </w:rPr>
        <w:t>Governor</w:t>
      </w:r>
    </w:p>
    <w:p>
      <w:pPr>
        <w:pStyle w:val="ListParagraph"/>
        <w:numPr>
          <w:ilvl w:val="1"/>
          <w:numId w:val="140"/>
        </w:numPr>
        <w:tabs>
          <w:tab w:pos="827" w:val="left" w:leader="none"/>
        </w:tabs>
        <w:spacing w:line="240" w:lineRule="auto" w:before="197" w:after="0"/>
        <w:ind w:left="826" w:right="159" w:hanging="360"/>
        <w:jc w:val="left"/>
        <w:rPr>
          <w:sz w:val="24"/>
        </w:rPr>
      </w:pPr>
      <w:r>
        <w:rPr>
          <w:sz w:val="24"/>
        </w:rPr>
        <w:t>Sign or Veto—</w:t>
      </w:r>
      <w:hyperlink r:id="rId384">
        <w:r>
          <w:rPr>
            <w:color w:val="0000FF"/>
            <w:sz w:val="24"/>
            <w:u w:val="single" w:color="0000FF"/>
          </w:rPr>
          <w:t>Article IV, Section 10 </w:t>
        </w:r>
      </w:hyperlink>
      <w:r>
        <w:rPr>
          <w:sz w:val="24"/>
        </w:rPr>
        <w:t>of the California Constitution provides: "Each bill passed by the Legislature shall be presented to the Governor. It becomes a statute if he signs it.  He may veto it by returning it with his objections to the house of origin, which shall enter the objections in the journal and proceed to reconsider it. If each house then passes the bill by roll-call vote entered in the journal, two-thirds of the membership concurring, it becomes a statute." This latter action of the Legislature to approve by a two-thirds vote a bill vetoed by the Governor is referred to as a "veto</w:t>
      </w:r>
      <w:r>
        <w:rPr>
          <w:spacing w:val="-10"/>
          <w:sz w:val="24"/>
        </w:rPr>
        <w:t> </w:t>
      </w:r>
      <w:r>
        <w:rPr>
          <w:sz w:val="24"/>
        </w:rPr>
        <w:t>override.”</w:t>
      </w:r>
    </w:p>
    <w:p>
      <w:pPr>
        <w:pStyle w:val="ListParagraph"/>
        <w:numPr>
          <w:ilvl w:val="1"/>
          <w:numId w:val="140"/>
        </w:numPr>
        <w:tabs>
          <w:tab w:pos="827" w:val="left" w:leader="none"/>
        </w:tabs>
        <w:spacing w:line="242" w:lineRule="auto" w:before="199" w:after="0"/>
        <w:ind w:left="826" w:right="173" w:hanging="360"/>
        <w:jc w:val="left"/>
        <w:rPr>
          <w:sz w:val="24"/>
        </w:rPr>
      </w:pPr>
      <w:r>
        <w:rPr>
          <w:sz w:val="24"/>
        </w:rPr>
        <w:t>Item Veto—The California Constitution provides: "The Governor may reduce or eliminate one or more items of appropriation while approving other portions of a</w:t>
      </w:r>
      <w:r>
        <w:rPr>
          <w:spacing w:val="-45"/>
          <w:sz w:val="24"/>
        </w:rPr>
        <w:t> </w:t>
      </w:r>
      <w:r>
        <w:rPr>
          <w:sz w:val="24"/>
        </w:rPr>
        <w:t>bill.</w:t>
      </w:r>
    </w:p>
    <w:p>
      <w:pPr>
        <w:pStyle w:val="ListParagraph"/>
        <w:numPr>
          <w:ilvl w:val="1"/>
          <w:numId w:val="140"/>
        </w:numPr>
        <w:tabs>
          <w:tab w:pos="827" w:val="left" w:leader="none"/>
        </w:tabs>
        <w:spacing w:line="240" w:lineRule="auto" w:before="194" w:after="0"/>
        <w:ind w:left="826" w:right="263" w:hanging="360"/>
        <w:jc w:val="left"/>
        <w:rPr>
          <w:sz w:val="24"/>
        </w:rPr>
      </w:pPr>
      <w:r>
        <w:rPr>
          <w:sz w:val="24"/>
        </w:rPr>
        <w:t>He shall append to the bill a statement of the items reduced or eliminated with the reasons for his action. The Governor shall transmit to the house originating the bill a copy of his statement and reasons. Items reduced or eliminated shall be separately reconsidered and may be passed over the Governor's veto in the same manner as bills."  Overriding a gubernatorial veto requires a two-thirds</w:t>
      </w:r>
      <w:r>
        <w:rPr>
          <w:spacing w:val="-41"/>
          <w:sz w:val="24"/>
        </w:rPr>
        <w:t> </w:t>
      </w:r>
      <w:r>
        <w:rPr>
          <w:sz w:val="24"/>
        </w:rPr>
        <w:t>vote.</w:t>
      </w:r>
    </w:p>
    <w:p>
      <w:pPr>
        <w:pStyle w:val="ListParagraph"/>
        <w:numPr>
          <w:ilvl w:val="1"/>
          <w:numId w:val="140"/>
        </w:numPr>
        <w:tabs>
          <w:tab w:pos="827" w:val="left" w:leader="none"/>
        </w:tabs>
        <w:spacing w:line="240" w:lineRule="auto" w:before="197" w:after="0"/>
        <w:ind w:left="826" w:right="117" w:hanging="360"/>
        <w:jc w:val="left"/>
        <w:rPr>
          <w:sz w:val="24"/>
        </w:rPr>
      </w:pPr>
      <w:r>
        <w:rPr>
          <w:sz w:val="24"/>
        </w:rPr>
        <w:t>Deadlines for Action—The Constitution goes on to specify how much time the Governor has to act on (sign or veto) a bill sent to him/her. If the Governor does not act within that time, the bill becomes law without signature. Generally, the Governor’s deadlines are as</w:t>
      </w:r>
      <w:r>
        <w:rPr>
          <w:spacing w:val="-20"/>
          <w:sz w:val="24"/>
        </w:rPr>
        <w:t> </w:t>
      </w:r>
      <w:r>
        <w:rPr>
          <w:sz w:val="24"/>
        </w:rPr>
        <w:t>follows:</w:t>
      </w:r>
    </w:p>
    <w:p>
      <w:pPr>
        <w:pStyle w:val="ListParagraph"/>
        <w:numPr>
          <w:ilvl w:val="2"/>
          <w:numId w:val="140"/>
        </w:numPr>
        <w:tabs>
          <w:tab w:pos="1163" w:val="left" w:leader="none"/>
        </w:tabs>
        <w:spacing w:line="240" w:lineRule="auto" w:before="197" w:after="0"/>
        <w:ind w:left="1162" w:right="0" w:hanging="336"/>
        <w:jc w:val="left"/>
        <w:rPr>
          <w:sz w:val="24"/>
        </w:rPr>
      </w:pPr>
      <w:r>
        <w:rPr>
          <w:sz w:val="24"/>
        </w:rPr>
        <w:t>In the first year of the</w:t>
      </w:r>
      <w:r>
        <w:rPr>
          <w:spacing w:val="-13"/>
          <w:sz w:val="24"/>
        </w:rPr>
        <w:t> </w:t>
      </w:r>
      <w:r>
        <w:rPr>
          <w:sz w:val="24"/>
        </w:rPr>
        <w:t>session:</w:t>
      </w:r>
    </w:p>
    <w:p>
      <w:pPr>
        <w:pStyle w:val="BodyText"/>
        <w:spacing w:before="120"/>
        <w:ind w:left="1186" w:right="343"/>
      </w:pPr>
      <w:r>
        <w:rPr/>
        <w:t>If the bill is delivered to the Governor before the interim recess: 12 days to act. If the bill is delivered after the beginning of recess: 30 days to act.</w:t>
      </w:r>
    </w:p>
    <w:p>
      <w:pPr>
        <w:pStyle w:val="ListParagraph"/>
        <w:numPr>
          <w:ilvl w:val="2"/>
          <w:numId w:val="140"/>
        </w:numPr>
        <w:tabs>
          <w:tab w:pos="1163" w:val="left" w:leader="none"/>
        </w:tabs>
        <w:spacing w:line="240" w:lineRule="auto" w:before="120" w:after="0"/>
        <w:ind w:left="1162" w:right="0" w:hanging="336"/>
        <w:jc w:val="left"/>
        <w:rPr>
          <w:sz w:val="24"/>
        </w:rPr>
      </w:pPr>
      <w:r>
        <w:rPr>
          <w:sz w:val="24"/>
        </w:rPr>
        <w:t>In the second year of the</w:t>
      </w:r>
      <w:r>
        <w:rPr>
          <w:spacing w:val="-14"/>
          <w:sz w:val="24"/>
        </w:rPr>
        <w:t> </w:t>
      </w:r>
      <w:r>
        <w:rPr>
          <w:sz w:val="24"/>
        </w:rPr>
        <w:t>session:</w:t>
      </w:r>
    </w:p>
    <w:p>
      <w:pPr>
        <w:pStyle w:val="BodyText"/>
        <w:spacing w:before="120"/>
        <w:ind w:left="1186"/>
      </w:pPr>
      <w:r>
        <w:rPr/>
        <w:t>If the bill is delivered before adjournment: 12 days to act.</w:t>
      </w:r>
    </w:p>
    <w:p>
      <w:pPr>
        <w:pStyle w:val="BodyText"/>
        <w:ind w:left="1186"/>
      </w:pPr>
      <w:r>
        <w:rPr/>
        <w:t>If the bill is delivered on or after September 1: until September 30 to act.</w:t>
      </w:r>
    </w:p>
    <w:p>
      <w:pPr>
        <w:pStyle w:val="BodyText"/>
        <w:spacing w:before="120"/>
        <w:ind w:left="826" w:right="142"/>
      </w:pPr>
      <w:r>
        <w:rPr/>
        <w:t>The Governor’s timeframe for action begins when the bill is </w:t>
      </w:r>
      <w:r>
        <w:rPr>
          <w:b/>
        </w:rPr>
        <w:t>received</w:t>
      </w:r>
      <w:r>
        <w:rPr/>
        <w:t>.  The date a bill passes the Legislature usually is not the day the Governor receives it. After passage by the Legislature, the bill must go to “enrolling and engrossing” where it is prepared for formal transmission to the Governor. Sometimes, several days will elapse between the time of final legislative approval of a bill and the time the Governor receives it.</w:t>
      </w:r>
    </w:p>
    <w:p>
      <w:pPr>
        <w:pStyle w:val="BodyText"/>
        <w:spacing w:before="201"/>
        <w:ind w:left="106"/>
      </w:pPr>
      <w:r>
        <w:rPr/>
        <w:t>(Continued)</w:t>
      </w:r>
    </w:p>
    <w:p>
      <w:pPr>
        <w:spacing w:after="0"/>
        <w:sectPr>
          <w:pgSz w:w="12240" w:h="15840"/>
          <w:pgMar w:header="822" w:footer="792" w:top="2260" w:bottom="980" w:left="1060" w:right="1320"/>
        </w:sectPr>
      </w:pPr>
    </w:p>
    <w:p>
      <w:pPr>
        <w:pStyle w:val="BodyText"/>
        <w:rPr>
          <w:sz w:val="22"/>
        </w:rPr>
      </w:pPr>
    </w:p>
    <w:p>
      <w:pPr>
        <w:pStyle w:val="BodyText"/>
        <w:spacing w:before="92"/>
        <w:ind w:left="106"/>
      </w:pPr>
      <w:r>
        <w:rPr/>
        <w:t>(Continued)</w:t>
      </w:r>
    </w:p>
    <w:p>
      <w:pPr>
        <w:tabs>
          <w:tab w:pos="8203" w:val="left" w:leader="none"/>
        </w:tabs>
        <w:spacing w:before="0"/>
        <w:ind w:left="106" w:right="117" w:firstLine="0"/>
        <w:jc w:val="left"/>
        <w:rPr>
          <w:sz w:val="24"/>
        </w:rPr>
      </w:pPr>
      <w:r>
        <w:rPr>
          <w:b/>
          <w:sz w:val="24"/>
        </w:rPr>
        <w:t>THE</w:t>
      </w:r>
      <w:r>
        <w:rPr>
          <w:b/>
          <w:spacing w:val="-2"/>
          <w:sz w:val="24"/>
        </w:rPr>
        <w:t> </w:t>
      </w:r>
      <w:r>
        <w:rPr>
          <w:b/>
          <w:sz w:val="24"/>
        </w:rPr>
        <w:t>LEGISLATIVE</w:t>
      </w:r>
      <w:r>
        <w:rPr>
          <w:b/>
          <w:spacing w:val="-2"/>
          <w:sz w:val="24"/>
        </w:rPr>
        <w:t> </w:t>
      </w:r>
      <w:r>
        <w:rPr>
          <w:b/>
          <w:sz w:val="24"/>
        </w:rPr>
        <w:t>PROCESS</w:t>
        <w:tab/>
        <w:t>6945</w:t>
      </w:r>
      <w:r>
        <w:rPr>
          <w:b/>
          <w:spacing w:val="-2"/>
          <w:sz w:val="24"/>
        </w:rPr>
        <w:t> </w:t>
      </w:r>
      <w:r>
        <w:rPr>
          <w:sz w:val="24"/>
        </w:rPr>
        <w:t>(Cont.</w:t>
      </w:r>
      <w:r>
        <w:rPr>
          <w:spacing w:val="-5"/>
          <w:sz w:val="24"/>
        </w:rPr>
        <w:t> </w:t>
      </w:r>
      <w:r>
        <w:rPr>
          <w:sz w:val="24"/>
        </w:rPr>
        <w:t>5)</w:t>
      </w:r>
      <w:r>
        <w:rPr>
          <w:w w:val="99"/>
          <w:sz w:val="24"/>
        </w:rPr>
        <w:t> </w:t>
      </w:r>
      <w:r>
        <w:rPr>
          <w:sz w:val="24"/>
        </w:rPr>
        <w:t>(New</w:t>
      </w:r>
      <w:r>
        <w:rPr>
          <w:spacing w:val="-6"/>
          <w:sz w:val="24"/>
        </w:rPr>
        <w:t> </w:t>
      </w:r>
      <w:r>
        <w:rPr>
          <w:sz w:val="24"/>
        </w:rPr>
        <w:t>2/1998)</w:t>
      </w:r>
    </w:p>
    <w:p>
      <w:pPr>
        <w:pStyle w:val="BodyText"/>
        <w:rPr>
          <w:sz w:val="26"/>
        </w:rPr>
      </w:pPr>
    </w:p>
    <w:p>
      <w:pPr>
        <w:pStyle w:val="ListParagraph"/>
        <w:numPr>
          <w:ilvl w:val="0"/>
          <w:numId w:val="140"/>
        </w:numPr>
        <w:tabs>
          <w:tab w:pos="668" w:val="left" w:leader="none"/>
        </w:tabs>
        <w:spacing w:line="240" w:lineRule="auto" w:before="222" w:after="0"/>
        <w:ind w:left="668" w:right="0" w:hanging="562"/>
        <w:jc w:val="left"/>
        <w:rPr>
          <w:sz w:val="24"/>
        </w:rPr>
      </w:pPr>
      <w:r>
        <w:rPr>
          <w:sz w:val="24"/>
        </w:rPr>
        <w:t>Effective Dates of</w:t>
      </w:r>
      <w:r>
        <w:rPr>
          <w:spacing w:val="-11"/>
          <w:sz w:val="24"/>
        </w:rPr>
        <w:t> </w:t>
      </w:r>
      <w:r>
        <w:rPr>
          <w:sz w:val="24"/>
        </w:rPr>
        <w:t>Statutes</w:t>
      </w:r>
    </w:p>
    <w:p>
      <w:pPr>
        <w:pStyle w:val="ListParagraph"/>
        <w:numPr>
          <w:ilvl w:val="1"/>
          <w:numId w:val="140"/>
        </w:numPr>
        <w:tabs>
          <w:tab w:pos="827" w:val="left" w:leader="none"/>
        </w:tabs>
        <w:spacing w:line="240" w:lineRule="auto" w:before="196" w:after="0"/>
        <w:ind w:left="826" w:right="143" w:hanging="360"/>
        <w:jc w:val="left"/>
        <w:rPr>
          <w:sz w:val="24"/>
        </w:rPr>
      </w:pPr>
      <w:r>
        <w:rPr>
          <w:sz w:val="24"/>
        </w:rPr>
        <w:t>Under the State Constitution, except for statutes calling elections, statutes providing for tax levies or appropriations for the “usual current expenses of the state,” and urgency statutes, "...a statute enacted at a regular session shall go into effect on January 1 next following a 90-day period from the date of enactment of the statute and a statute enacted at a special session shall go into effect on the 91st day after adjournment of the special session at which the bill was</w:t>
      </w:r>
      <w:r>
        <w:rPr>
          <w:spacing w:val="-27"/>
          <w:sz w:val="24"/>
        </w:rPr>
        <w:t> </w:t>
      </w:r>
      <w:r>
        <w:rPr>
          <w:sz w:val="24"/>
        </w:rPr>
        <w:t>passed."</w:t>
      </w:r>
    </w:p>
    <w:p>
      <w:pPr>
        <w:pStyle w:val="ListParagraph"/>
        <w:numPr>
          <w:ilvl w:val="1"/>
          <w:numId w:val="140"/>
        </w:numPr>
        <w:tabs>
          <w:tab w:pos="827" w:val="left" w:leader="none"/>
        </w:tabs>
        <w:spacing w:line="240" w:lineRule="auto" w:before="196" w:after="0"/>
        <w:ind w:left="826" w:right="198" w:hanging="360"/>
        <w:jc w:val="left"/>
        <w:rPr>
          <w:sz w:val="24"/>
        </w:rPr>
      </w:pPr>
      <w:r>
        <w:rPr>
          <w:sz w:val="24"/>
        </w:rPr>
        <w:t>Urgency statutes are those "...necessary for immediate preservation of the public peace, health, or safety."  A statement of facts constituting the necessity shall be set forth in one section of the bill (the “urgency clause”). Urgency bills become effective upon enactment unless a different effective date is specified in the bill. An urgency statute may not create or abolish any office or change the salary, terms, or duties of any office, or grant any franchise or special privileges, or create any vested right or</w:t>
      </w:r>
      <w:r>
        <w:rPr>
          <w:spacing w:val="-12"/>
          <w:sz w:val="24"/>
        </w:rPr>
        <w:t> </w:t>
      </w:r>
      <w:r>
        <w:rPr>
          <w:sz w:val="24"/>
        </w:rPr>
        <w:t>interest.</w:t>
      </w:r>
    </w:p>
    <w:p>
      <w:pPr>
        <w:spacing w:after="0" w:line="240" w:lineRule="auto"/>
        <w:jc w:val="left"/>
        <w:rPr>
          <w:sz w:val="24"/>
        </w:rPr>
        <w:sectPr>
          <w:headerReference w:type="default" r:id="rId388"/>
          <w:pgSz w:w="12240" w:h="15840"/>
          <w:pgMar w:header="822" w:footer="792" w:top="1080" w:bottom="980" w:left="1060" w:right="1320"/>
        </w:sectPr>
      </w:pPr>
    </w:p>
    <w:p>
      <w:pPr>
        <w:pStyle w:val="BodyText"/>
        <w:rPr>
          <w:sz w:val="22"/>
        </w:rPr>
      </w:pPr>
    </w:p>
    <w:p>
      <w:pPr>
        <w:pStyle w:val="Heading2"/>
        <w:tabs>
          <w:tab w:pos="9204" w:val="left" w:leader="none"/>
        </w:tabs>
        <w:spacing w:before="92"/>
        <w:ind w:left="106"/>
      </w:pPr>
      <w:r>
        <w:rPr/>
        <w:t>DEPARTMENTAL</w:t>
      </w:r>
      <w:r>
        <w:rPr>
          <w:spacing w:val="-3"/>
        </w:rPr>
        <w:t> </w:t>
      </w:r>
      <w:r>
        <w:rPr/>
        <w:t>PROPOSED</w:t>
      </w:r>
      <w:r>
        <w:rPr>
          <w:spacing w:val="-5"/>
        </w:rPr>
        <w:t> </w:t>
      </w:r>
      <w:r>
        <w:rPr/>
        <w:t>LEGISLATION</w:t>
        <w:tab/>
        <w:t>6950</w:t>
      </w:r>
    </w:p>
    <w:p>
      <w:pPr>
        <w:pStyle w:val="BodyText"/>
        <w:ind w:left="106"/>
      </w:pPr>
      <w:r>
        <w:rPr/>
        <w:t>(New 2/1998)</w:t>
      </w:r>
    </w:p>
    <w:p>
      <w:pPr>
        <w:pStyle w:val="BodyText"/>
      </w:pPr>
    </w:p>
    <w:p>
      <w:pPr>
        <w:pStyle w:val="BodyText"/>
        <w:ind w:left="106" w:right="136"/>
      </w:pPr>
      <w:r>
        <w:rPr/>
        <w:t>The subject matter of legislation is derived from a variety of sources. In some instances, legislators introduce bills based on their own knowledge of, or personal experience with, the subject matter the bill proposes to affect. More frequently, legislators are asked by individuals or organizations to introduce (or “author” or “carry”) a bill for them. Those making such requests are said to be the “sponsors” of the bill.</w:t>
      </w:r>
    </w:p>
    <w:p>
      <w:pPr>
        <w:pStyle w:val="BodyText"/>
        <w:spacing w:before="10"/>
        <w:rPr>
          <w:sz w:val="23"/>
        </w:rPr>
      </w:pPr>
    </w:p>
    <w:p>
      <w:pPr>
        <w:pStyle w:val="BodyText"/>
        <w:spacing w:before="1"/>
        <w:ind w:left="106" w:right="95"/>
      </w:pPr>
      <w:r>
        <w:rPr/>
        <w:t>One large source of sponsorship is the individual departments within state government. A department may feel that if a particular statute is amended, repealed, or enacted, then some aspect of its administrative function will be done more efficiently or the effectiveness of a program will be enhanced. If this is the case, the department will request a member of the Legislature to introduce such legislation.</w:t>
      </w:r>
    </w:p>
    <w:p>
      <w:pPr>
        <w:pStyle w:val="BodyText"/>
      </w:pPr>
    </w:p>
    <w:p>
      <w:pPr>
        <w:pStyle w:val="BodyText"/>
        <w:ind w:left="106" w:right="522"/>
      </w:pPr>
      <w:r>
        <w:rPr/>
        <w:t>No department under the authority of the Governor may sponsor legislation without the prior approval of the department’s Agency Secretary and the Governor’s Legislative Secretary.</w:t>
      </w:r>
    </w:p>
    <w:p>
      <w:pPr>
        <w:pStyle w:val="BodyText"/>
        <w:spacing w:before="11"/>
        <w:rPr>
          <w:sz w:val="23"/>
        </w:rPr>
      </w:pPr>
    </w:p>
    <w:p>
      <w:pPr>
        <w:pStyle w:val="BodyText"/>
        <w:ind w:left="106" w:right="136"/>
      </w:pPr>
      <w:r>
        <w:rPr/>
        <w:t>All proposals to introduce legislation from departments under the control of the Governor are sent to the Legislative Unit in the Governor's Office after approval at the Agency Secretary level. The Legislative Unit then forwards copies of the proposals to DOF for review and comment. In addition, a department’s proposal may also be forwarded to other departments which may be affected by the proposal for their comment.</w:t>
      </w:r>
    </w:p>
    <w:p>
      <w:pPr>
        <w:pStyle w:val="BodyText"/>
        <w:spacing w:before="11"/>
        <w:rPr>
          <w:sz w:val="23"/>
        </w:rPr>
      </w:pPr>
    </w:p>
    <w:p>
      <w:pPr>
        <w:pStyle w:val="BodyText"/>
        <w:ind w:left="106" w:right="146"/>
      </w:pPr>
      <w:r>
        <w:rPr/>
        <w:t>All legislative proposals must be consistent with the decisions made during budget preparation. Proposed legislation is routed by the Governor’s Office through the DOF for analysis. The fiscal impact of proposed legislation is of particular concern. Fiscal impact includes proposals which would: (1) appropriate money; (2) result—for any reason—in additional expenditure of state money by any state agency or to reimburse any local government for a state mandate; (3) result in any loss or gain of revenue to a state or local government entity; or (4) result in a substantial reduction in expenditures of state money by reducing, transferring, eliminating or making more efficient the administration of any existing responsibilities of any state agency, program or</w:t>
      </w:r>
      <w:r>
        <w:rPr>
          <w:spacing w:val="-31"/>
        </w:rPr>
        <w:t> </w:t>
      </w:r>
      <w:r>
        <w:rPr/>
        <w:t>function.</w:t>
      </w:r>
    </w:p>
    <w:p>
      <w:pPr>
        <w:pStyle w:val="BodyText"/>
        <w:spacing w:before="11"/>
        <w:rPr>
          <w:sz w:val="23"/>
        </w:rPr>
      </w:pPr>
    </w:p>
    <w:p>
      <w:pPr>
        <w:pStyle w:val="BodyText"/>
        <w:ind w:left="106" w:right="322"/>
      </w:pPr>
      <w:r>
        <w:rPr/>
        <w:t>It is the responsibility of the originating organization to develop valid fiscal information for proposed legislation. This information must include the estimated fiscal impact to both state and local government.</w:t>
      </w:r>
    </w:p>
    <w:p>
      <w:pPr>
        <w:pStyle w:val="BodyText"/>
        <w:spacing w:before="11"/>
        <w:rPr>
          <w:sz w:val="23"/>
        </w:rPr>
      </w:pPr>
    </w:p>
    <w:p>
      <w:pPr>
        <w:pStyle w:val="BodyText"/>
        <w:ind w:left="106" w:right="136"/>
      </w:pPr>
      <w:r>
        <w:rPr/>
        <w:t>The proposal must include an estimate of the initial fiscal impact in the first year of implementation and the full-year cost for a succeeding fiscal year. It must also identify the source of funds involved (e.g., General Fund, a particular special fund, a specific federal grant). When funds are available in the department’s budget to cover any costs of a proposal, those resources must be identified to DOF by the proposing department. If the proposal does not involve an appropriation or state fiscal impact, a statement attesting to that fact and noting that funds will not be requested in subsequent budgets is to be included in the department’s proposal.</w:t>
      </w:r>
    </w:p>
    <w:p>
      <w:pPr>
        <w:spacing w:after="0"/>
        <w:sectPr>
          <w:pgSz w:w="12240" w:h="15840"/>
          <w:pgMar w:header="822" w:footer="792" w:top="1080" w:bottom="980" w:left="1060" w:right="1340"/>
        </w:sectPr>
      </w:pPr>
    </w:p>
    <w:p>
      <w:pPr>
        <w:pStyle w:val="BodyText"/>
        <w:rPr>
          <w:sz w:val="22"/>
        </w:rPr>
      </w:pPr>
    </w:p>
    <w:p>
      <w:pPr>
        <w:pStyle w:val="Heading2"/>
        <w:tabs>
          <w:tab w:pos="9204" w:val="left" w:leader="none"/>
        </w:tabs>
        <w:spacing w:before="92"/>
        <w:ind w:left="106"/>
      </w:pPr>
      <w:r>
        <w:rPr/>
        <w:t>HEARINGS</w:t>
        <w:tab/>
        <w:t>6955</w:t>
      </w:r>
    </w:p>
    <w:p>
      <w:pPr>
        <w:pStyle w:val="BodyText"/>
        <w:ind w:left="106"/>
      </w:pPr>
      <w:r>
        <w:rPr/>
        <w:t>(Revised 9/2010)</w:t>
      </w:r>
    </w:p>
    <w:p>
      <w:pPr>
        <w:pStyle w:val="BodyText"/>
      </w:pPr>
    </w:p>
    <w:p>
      <w:pPr>
        <w:pStyle w:val="BodyText"/>
        <w:ind w:left="106" w:right="188"/>
      </w:pPr>
      <w:r>
        <w:rPr/>
        <w:t>If it has prepared a bill analysis (see Bill Analysis section below) and recommended a position which has been approved by the Governor’s Office Legislative Unit, a department under the control of the Governor may testify at policy committee hearings. A department should not express any position on a measure unless that position has been approved by the Governor’s Office Legislative Unit.</w:t>
      </w:r>
    </w:p>
    <w:p>
      <w:pPr>
        <w:pStyle w:val="BodyText"/>
        <w:spacing w:before="10"/>
        <w:rPr>
          <w:sz w:val="23"/>
        </w:rPr>
      </w:pPr>
    </w:p>
    <w:p>
      <w:pPr>
        <w:pStyle w:val="BodyText"/>
        <w:spacing w:before="1"/>
        <w:ind w:left="106"/>
      </w:pPr>
      <w:r>
        <w:rPr/>
        <w:t>In the Assembly and Senate Revenue and Taxation committees (which are policy committees), Finance has an established role. Staff of Finance present testimony on the Administration's position on each bill heard by those committees. The basis of both the testimony and the Administration's position is the Finance bill analysis after it has been approved by the Governor's Office Legislative Unit.</w:t>
      </w:r>
    </w:p>
    <w:p>
      <w:pPr>
        <w:pStyle w:val="BodyText"/>
      </w:pPr>
    </w:p>
    <w:p>
      <w:pPr>
        <w:pStyle w:val="BodyText"/>
        <w:ind w:left="106" w:right="112"/>
      </w:pPr>
      <w:r>
        <w:rPr/>
        <w:t>Except for the Revenue and Taxation Committees, Finance typically does not get involved with a bill while it is in the jurisdiction of a policy committee.  Finance does, however, have a role in the fiscal committee (Appropriations and Budget) hearing process. A Finance “testifier” attends the hearings of the Assembly and Senate Appropriations committees to present testimony and the Administration's position on legislation before those committees. The basis of both the testimony and the Administration's position is the Finance bill analysis after it has been approved by the Governor's Office Legislative Unit. On bills that would affect them, departments may join Finance in this testimony to augment or reinforce the view expressed by</w:t>
      </w:r>
      <w:r>
        <w:rPr>
          <w:spacing w:val="-18"/>
        </w:rPr>
        <w:t> </w:t>
      </w:r>
      <w:r>
        <w:rPr/>
        <w:t>Finance.</w:t>
      </w:r>
    </w:p>
    <w:p>
      <w:pPr>
        <w:pStyle w:val="BodyText"/>
        <w:spacing w:before="11"/>
        <w:rPr>
          <w:sz w:val="23"/>
        </w:rPr>
      </w:pPr>
    </w:p>
    <w:p>
      <w:pPr>
        <w:pStyle w:val="BodyText"/>
        <w:ind w:left="106" w:right="109"/>
      </w:pPr>
      <w:r>
        <w:rPr/>
        <w:t>In the Budget committees, which deal almost exclusively with the Budget Bill, Finance staff play the essential role of presenting and defending the Governor’s Budget in hearings of the subcommittees which review different components of the Budget Bill. Departments under the control of the Governor join Finance in this function by elaborating on the justification for decisions reflected in the Governor’s Budget.</w:t>
      </w:r>
    </w:p>
    <w:p>
      <w:pPr>
        <w:spacing w:after="0"/>
        <w:sectPr>
          <w:pgSz w:w="12240" w:h="15840"/>
          <w:pgMar w:header="822" w:footer="792" w:top="1080" w:bottom="980" w:left="1060" w:right="1340"/>
        </w:sectPr>
      </w:pPr>
    </w:p>
    <w:p>
      <w:pPr>
        <w:pStyle w:val="BodyText"/>
        <w:rPr>
          <w:sz w:val="22"/>
        </w:rPr>
      </w:pPr>
    </w:p>
    <w:p>
      <w:pPr>
        <w:pStyle w:val="Heading2"/>
        <w:tabs>
          <w:tab w:pos="9204" w:val="left" w:leader="none"/>
        </w:tabs>
        <w:spacing w:before="92"/>
        <w:ind w:left="106"/>
      </w:pPr>
      <w:r>
        <w:rPr/>
        <w:t>BILL</w:t>
      </w:r>
      <w:r>
        <w:rPr>
          <w:spacing w:val="-2"/>
        </w:rPr>
        <w:t> </w:t>
      </w:r>
      <w:r>
        <w:rPr/>
        <w:t>ANALYSIS</w:t>
        <w:tab/>
        <w:t>6960</w:t>
      </w:r>
    </w:p>
    <w:p>
      <w:pPr>
        <w:pStyle w:val="BodyText"/>
        <w:ind w:left="106"/>
      </w:pPr>
      <w:r>
        <w:rPr/>
        <w:t>(New 2/1998)</w:t>
      </w:r>
    </w:p>
    <w:p>
      <w:pPr>
        <w:pStyle w:val="BodyText"/>
      </w:pPr>
    </w:p>
    <w:p>
      <w:pPr>
        <w:pStyle w:val="BodyText"/>
        <w:ind w:left="106" w:right="136"/>
      </w:pPr>
      <w:r>
        <w:rPr/>
        <w:t>Bill analyses are prepared for bills, constitutional amendments, joint resolutions, and concurrent resolutions when they are set for a hearing or otherwise requested by the Governor’s Office. Bills which are passed by both houses and referred to the Governor have enrolled analyses prepared (see Enrolled Bill Report, SAM Section 6965).</w:t>
      </w:r>
    </w:p>
    <w:p>
      <w:pPr>
        <w:pStyle w:val="BodyText"/>
        <w:spacing w:before="10"/>
        <w:rPr>
          <w:sz w:val="23"/>
        </w:rPr>
      </w:pPr>
    </w:p>
    <w:p>
      <w:pPr>
        <w:pStyle w:val="BodyText"/>
        <w:spacing w:before="1"/>
        <w:ind w:left="106" w:right="362"/>
      </w:pPr>
      <w:r>
        <w:rPr/>
        <w:t>The purpose of the bill analysis function is to provide the Governor, his/her staff, Agency Secretaries, the department heads, and DOF with information concerning the probable program and fiscal effects of proposed legislation pending before the Legislature.</w:t>
      </w:r>
    </w:p>
    <w:p>
      <w:pPr>
        <w:pStyle w:val="BodyText"/>
        <w:ind w:left="106" w:right="375"/>
      </w:pPr>
      <w:r>
        <w:rPr/>
        <w:t>Typically, the bill analysis also recommends a position which the Administration should adopt on the proposed legislation. The analyses from various departments are used by the Governor’s Office in determining what position will be taken by the Administration on the proposed legislation.</w:t>
      </w:r>
    </w:p>
    <w:p>
      <w:pPr>
        <w:pStyle w:val="BodyText"/>
        <w:spacing w:before="11"/>
        <w:rPr>
          <w:sz w:val="23"/>
        </w:rPr>
      </w:pPr>
    </w:p>
    <w:p>
      <w:pPr>
        <w:pStyle w:val="BodyText"/>
        <w:ind w:left="106" w:right="242"/>
      </w:pPr>
      <w:r>
        <w:rPr/>
        <w:t>Until approved by the Governor’s Office, bill analyses prepared by departments under the control of the Governor are not public documents and may not be made available to anyone outside of the review process. Once a position has been determined by the Governor’s Office, an analysis consistent with that position generally is made available to the public and the Legislature. An analysis that has not yet been approved, or which expresses a position inconsistent with that adopted by the Governor’s Office may not be made public, since such documents are working papers of the Administration and do not necessarily reflect the policy position of the Governor.</w:t>
      </w:r>
    </w:p>
    <w:p>
      <w:pPr>
        <w:pStyle w:val="BodyText"/>
        <w:rPr>
          <w:sz w:val="26"/>
        </w:rPr>
      </w:pPr>
    </w:p>
    <w:p>
      <w:pPr>
        <w:pStyle w:val="Heading2"/>
        <w:tabs>
          <w:tab w:pos="9204" w:val="left" w:leader="none"/>
        </w:tabs>
        <w:spacing w:before="216"/>
        <w:ind w:left="106"/>
      </w:pPr>
      <w:r>
        <w:rPr/>
        <w:t>ENROLLED</w:t>
      </w:r>
      <w:r>
        <w:rPr>
          <w:spacing w:val="-2"/>
        </w:rPr>
        <w:t> </w:t>
      </w:r>
      <w:r>
        <w:rPr/>
        <w:t>BILL</w:t>
      </w:r>
      <w:r>
        <w:rPr>
          <w:spacing w:val="-2"/>
        </w:rPr>
        <w:t> </w:t>
      </w:r>
      <w:r>
        <w:rPr/>
        <w:t>REPORT</w:t>
        <w:tab/>
        <w:t>6965</w:t>
      </w:r>
    </w:p>
    <w:p>
      <w:pPr>
        <w:pStyle w:val="BodyText"/>
        <w:ind w:left="106"/>
      </w:pPr>
      <w:r>
        <w:rPr/>
        <w:t>(New 2/1998)</w:t>
      </w:r>
    </w:p>
    <w:p>
      <w:pPr>
        <w:pStyle w:val="BodyText"/>
      </w:pPr>
    </w:p>
    <w:p>
      <w:pPr>
        <w:pStyle w:val="BodyText"/>
        <w:ind w:left="106" w:right="176"/>
      </w:pPr>
      <w:r>
        <w:rPr/>
        <w:t>When a bill is passed by the Legislature and sent to the Governor, departments under the control of the Governor that would likely be affected by the bill must prepare an enrolled bill report (EBR) for the Governor’s Office. The EBR serves essentially the same function as the bill analysis except that it recommends to the Governor what action (i.e., sign, veto, sign with a message) should be taken on the measure. EBRs are considered confidential communications with the Governor and therefore are not public documents.</w:t>
      </w:r>
    </w:p>
    <w:p>
      <w:pPr>
        <w:pStyle w:val="BodyText"/>
        <w:ind w:left="106" w:right="815"/>
      </w:pPr>
      <w:r>
        <w:rPr/>
        <w:t>Consequently, even if approved, EBRs may not be released to the public by anyone without Governor’s Office approval.</w:t>
      </w:r>
    </w:p>
    <w:p>
      <w:pPr>
        <w:pStyle w:val="BodyText"/>
      </w:pPr>
    </w:p>
    <w:p>
      <w:pPr>
        <w:pStyle w:val="BodyText"/>
        <w:ind w:left="106" w:right="215"/>
      </w:pPr>
      <w:r>
        <w:rPr/>
        <w:t>The EBRs are not prepared for constitutional amendments and resolutions as these kinds of legislative measures are not sent to the Governor for approval.</w:t>
      </w:r>
    </w:p>
    <w:p>
      <w:pPr>
        <w:spacing w:after="0"/>
        <w:sectPr>
          <w:pgSz w:w="12240" w:h="15840"/>
          <w:pgMar w:header="822" w:footer="792" w:top="1080" w:bottom="980" w:left="1060" w:right="1340"/>
        </w:sectPr>
      </w:pPr>
    </w:p>
    <w:p>
      <w:pPr>
        <w:pStyle w:val="BodyText"/>
        <w:spacing w:before="11"/>
        <w:rPr>
          <w:sz w:val="29"/>
        </w:rPr>
      </w:pPr>
    </w:p>
    <w:p>
      <w:pPr>
        <w:tabs>
          <w:tab w:pos="10239" w:val="right" w:leader="none"/>
        </w:tabs>
        <w:spacing w:line="274" w:lineRule="exact" w:before="98"/>
        <w:ind w:left="880" w:right="119" w:firstLine="0"/>
        <w:jc w:val="left"/>
        <w:rPr>
          <w:b/>
          <w:sz w:val="24"/>
        </w:rPr>
      </w:pPr>
      <w:r>
        <w:rPr/>
        <w:pict>
          <v:line style="position:absolute;mso-position-horizontal-relative:page;mso-position-vertical-relative:paragraph;z-index:48904" from="33.360001pt,32.300003pt" to="33.360001pt,45.620003pt" stroked="true" strokeweight=".72pt" strokecolor="#000000">
            <v:stroke dashstyle="solid"/>
            <w10:wrap type="none"/>
          </v:line>
        </w:pict>
      </w:r>
      <w:r>
        <w:rPr>
          <w:b/>
          <w:sz w:val="24"/>
        </w:rPr>
        <w:t>REPORTABLE PAYMENT IDENTIFICATION </w:t>
      </w:r>
      <w:r>
        <w:rPr>
          <w:b/>
          <w:spacing w:val="-3"/>
          <w:sz w:val="24"/>
        </w:rPr>
        <w:t>AND </w:t>
      </w:r>
      <w:r>
        <w:rPr>
          <w:b/>
          <w:sz w:val="24"/>
        </w:rPr>
        <w:t>CLASSIFICATION REQUIREMENTS</w:t>
        <w:tab/>
        <w:t>8422.190</w:t>
      </w:r>
    </w:p>
    <w:p>
      <w:pPr>
        <w:spacing w:before="0"/>
        <w:ind w:left="880" w:right="0" w:firstLine="0"/>
        <w:jc w:val="left"/>
        <w:rPr>
          <w:sz w:val="23"/>
        </w:rPr>
      </w:pPr>
      <w:r>
        <w:rPr>
          <w:sz w:val="23"/>
        </w:rPr>
        <w:t>(Revised </w:t>
      </w:r>
      <w:r>
        <w:rPr>
          <w:strike/>
          <w:color w:val="B5082E"/>
          <w:sz w:val="23"/>
        </w:rPr>
        <w:t>04</w:t>
      </w:r>
      <w:r>
        <w:rPr>
          <w:strike w:val="0"/>
          <w:color w:val="B5082E"/>
          <w:sz w:val="23"/>
          <w:u w:val="single" w:color="B5082E"/>
        </w:rPr>
        <w:t>12</w:t>
      </w:r>
      <w:r>
        <w:rPr>
          <w:strike w:val="0"/>
          <w:sz w:val="23"/>
        </w:rPr>
        <w:t>/2017)</w:t>
      </w:r>
    </w:p>
    <w:p>
      <w:pPr>
        <w:pStyle w:val="BodyText"/>
        <w:spacing w:before="10"/>
        <w:rPr>
          <w:sz w:val="22"/>
        </w:rPr>
      </w:pPr>
    </w:p>
    <w:p>
      <w:pPr>
        <w:spacing w:before="0"/>
        <w:ind w:left="880" w:right="0" w:firstLine="0"/>
        <w:jc w:val="left"/>
        <w:rPr>
          <w:sz w:val="23"/>
        </w:rPr>
      </w:pPr>
      <w:r>
        <w:rPr>
          <w:sz w:val="23"/>
        </w:rPr>
        <w:t>The four items below provide the guidelines for the reportable payment requirements.</w:t>
      </w:r>
    </w:p>
    <w:p>
      <w:pPr>
        <w:pStyle w:val="BodyText"/>
        <w:spacing w:before="1"/>
        <w:rPr>
          <w:sz w:val="23"/>
        </w:rPr>
      </w:pPr>
    </w:p>
    <w:p>
      <w:pPr>
        <w:pStyle w:val="ListParagraph"/>
        <w:numPr>
          <w:ilvl w:val="2"/>
          <w:numId w:val="140"/>
        </w:numPr>
        <w:tabs>
          <w:tab w:pos="1241" w:val="left" w:leader="none"/>
        </w:tabs>
        <w:spacing w:line="240" w:lineRule="auto" w:before="0" w:after="0"/>
        <w:ind w:left="1240" w:right="788" w:hanging="360"/>
        <w:jc w:val="left"/>
        <w:rPr>
          <w:sz w:val="23"/>
        </w:rPr>
      </w:pPr>
      <w:r>
        <w:rPr/>
        <w:pict>
          <v:line style="position:absolute;mso-position-horizontal-relative:page;mso-position-vertical-relative:paragraph;z-index:48928" from="33.360001pt,.106895pt" to="33.360001pt,13.306895pt" stroked="true" strokeweight=".72pt" strokecolor="#000000">
            <v:stroke dashstyle="solid"/>
            <w10:wrap type="none"/>
          </v:line>
        </w:pict>
      </w:r>
      <w:r>
        <w:rPr>
          <w:strike/>
          <w:color w:val="B5082E"/>
          <w:sz w:val="23"/>
        </w:rPr>
        <w:t>Required</w:t>
      </w:r>
      <w:r>
        <w:rPr>
          <w:strike/>
          <w:color w:val="B5082E"/>
          <w:spacing w:val="-10"/>
          <w:sz w:val="23"/>
        </w:rPr>
        <w:t> </w:t>
      </w:r>
      <w:r>
        <w:rPr>
          <w:strike w:val="0"/>
          <w:sz w:val="23"/>
        </w:rPr>
        <w:t>Payee</w:t>
      </w:r>
      <w:r>
        <w:rPr>
          <w:strike w:val="0"/>
          <w:spacing w:val="-9"/>
          <w:sz w:val="23"/>
        </w:rPr>
        <w:t> </w:t>
      </w:r>
      <w:r>
        <w:rPr>
          <w:strike w:val="0"/>
          <w:sz w:val="23"/>
        </w:rPr>
        <w:t>Data</w:t>
      </w:r>
      <w:r>
        <w:rPr>
          <w:strike w:val="0"/>
          <w:spacing w:val="-9"/>
          <w:sz w:val="23"/>
        </w:rPr>
        <w:t> </w:t>
      </w:r>
      <w:r>
        <w:rPr>
          <w:strike w:val="0"/>
          <w:sz w:val="23"/>
        </w:rPr>
        <w:t>Record</w:t>
      </w:r>
      <w:r>
        <w:rPr>
          <w:strike w:val="0"/>
          <w:spacing w:val="-10"/>
          <w:sz w:val="23"/>
        </w:rPr>
        <w:t> </w:t>
      </w:r>
      <w:r>
        <w:rPr>
          <w:strike w:val="0"/>
          <w:sz w:val="23"/>
        </w:rPr>
        <w:t>form,</w:t>
      </w:r>
      <w:r>
        <w:rPr>
          <w:strike w:val="0"/>
          <w:spacing w:val="-9"/>
          <w:sz w:val="23"/>
        </w:rPr>
        <w:t> </w:t>
      </w:r>
      <w:r>
        <w:rPr>
          <w:strike w:val="0"/>
          <w:sz w:val="23"/>
        </w:rPr>
        <w:t>STD.</w:t>
      </w:r>
      <w:r>
        <w:rPr>
          <w:strike w:val="0"/>
          <w:spacing w:val="-7"/>
          <w:sz w:val="23"/>
        </w:rPr>
        <w:t> </w:t>
      </w:r>
      <w:r>
        <w:rPr>
          <w:strike w:val="0"/>
          <w:sz w:val="23"/>
        </w:rPr>
        <w:t>204.</w:t>
      </w:r>
      <w:r>
        <w:rPr>
          <w:strike w:val="0"/>
          <w:spacing w:val="-10"/>
          <w:sz w:val="23"/>
        </w:rPr>
        <w:t> </w:t>
      </w:r>
      <w:r>
        <w:rPr>
          <w:strike w:val="0"/>
          <w:sz w:val="23"/>
        </w:rPr>
        <w:t>See</w:t>
      </w:r>
      <w:r>
        <w:rPr>
          <w:strike w:val="0"/>
          <w:spacing w:val="-9"/>
          <w:sz w:val="23"/>
        </w:rPr>
        <w:t> </w:t>
      </w:r>
      <w:r>
        <w:rPr>
          <w:strike w:val="0"/>
          <w:sz w:val="23"/>
        </w:rPr>
        <w:t>section</w:t>
      </w:r>
      <w:r>
        <w:rPr>
          <w:strike w:val="0"/>
          <w:spacing w:val="-9"/>
          <w:sz w:val="23"/>
        </w:rPr>
        <w:t> </w:t>
      </w:r>
      <w:r>
        <w:rPr>
          <w:strike w:val="0"/>
          <w:sz w:val="23"/>
        </w:rPr>
        <w:t>8422.190</w:t>
      </w:r>
      <w:r>
        <w:rPr>
          <w:strike w:val="0"/>
          <w:spacing w:val="-10"/>
          <w:sz w:val="23"/>
        </w:rPr>
        <w:t> </w:t>
      </w:r>
      <w:r>
        <w:rPr>
          <w:strike w:val="0"/>
          <w:sz w:val="23"/>
        </w:rPr>
        <w:t>Illustrations</w:t>
      </w:r>
      <w:r>
        <w:rPr>
          <w:strike w:val="0"/>
          <w:spacing w:val="-5"/>
          <w:sz w:val="23"/>
        </w:rPr>
        <w:t> </w:t>
      </w:r>
      <w:r>
        <w:rPr>
          <w:strike w:val="0"/>
          <w:sz w:val="23"/>
        </w:rPr>
        <w:t>1 and</w:t>
      </w:r>
      <w:r>
        <w:rPr>
          <w:strike w:val="0"/>
          <w:spacing w:val="-7"/>
          <w:sz w:val="23"/>
        </w:rPr>
        <w:t> </w:t>
      </w:r>
      <w:r>
        <w:rPr>
          <w:strike w:val="0"/>
          <w:sz w:val="23"/>
        </w:rPr>
        <w:t>2.</w:t>
      </w:r>
    </w:p>
    <w:p>
      <w:pPr>
        <w:pStyle w:val="BodyText"/>
        <w:spacing w:before="1"/>
        <w:rPr>
          <w:sz w:val="23"/>
        </w:rPr>
      </w:pPr>
    </w:p>
    <w:p>
      <w:pPr>
        <w:spacing w:before="0"/>
        <w:ind w:left="1239" w:right="390" w:firstLine="0"/>
        <w:jc w:val="left"/>
        <w:rPr>
          <w:sz w:val="23"/>
        </w:rPr>
      </w:pPr>
      <w:r>
        <w:rPr/>
        <w:pict>
          <v:line style="position:absolute;mso-position-horizontal-relative:page;mso-position-vertical-relative:paragraph;z-index:-423784" from="284.760010pt,52.006863pt" to="287.880010pt,52.006863pt" stroked="true" strokeweight=".84pt" strokecolor="#b5082e">
            <v:stroke dashstyle="solid"/>
            <w10:wrap type="none"/>
          </v:line>
        </w:pict>
      </w:r>
      <w:r>
        <w:rPr/>
        <w:pict>
          <v:line style="position:absolute;mso-position-horizontal-relative:page;mso-position-vertical-relative:paragraph;z-index:48952" from="33.360001pt,39.706863pt" to="33.360001pt,145.546863pt" stroked="true" strokeweight=".72pt" strokecolor="#000000">
            <v:stroke dashstyle="solid"/>
            <w10:wrap type="none"/>
          </v:line>
        </w:pict>
      </w:r>
      <w:r>
        <w:rPr>
          <w:sz w:val="23"/>
        </w:rPr>
        <w:t>The purpose of the </w:t>
      </w:r>
      <w:hyperlink r:id="rId391">
        <w:r>
          <w:rPr>
            <w:color w:val="0000FF"/>
            <w:spacing w:val="-3"/>
            <w:sz w:val="23"/>
            <w:u w:val="single" w:color="0000FF"/>
          </w:rPr>
          <w:t>STD. </w:t>
        </w:r>
        <w:r>
          <w:rPr>
            <w:color w:val="0000FF"/>
            <w:sz w:val="23"/>
            <w:u w:val="single" w:color="0000FF"/>
          </w:rPr>
          <w:t>204</w:t>
        </w:r>
      </w:hyperlink>
      <w:r>
        <w:rPr>
          <w:color w:val="0000FF"/>
          <w:sz w:val="23"/>
          <w:u w:val="single" w:color="0000FF"/>
        </w:rPr>
        <w:t> </w:t>
      </w:r>
      <w:r>
        <w:rPr>
          <w:sz w:val="23"/>
        </w:rPr>
        <w:t>form is to obtain payee information for income tax reporting and to ensure tax compliance </w:t>
      </w:r>
      <w:r>
        <w:rPr>
          <w:spacing w:val="-4"/>
          <w:sz w:val="23"/>
        </w:rPr>
        <w:t>with </w:t>
      </w:r>
      <w:r>
        <w:rPr>
          <w:sz w:val="23"/>
        </w:rPr>
        <w:t>federal and state law. The STD. 204 is required for any non-governmental entity or individual entering into a transaction that may lead to a payment from the state. Therefore, a completed, </w:t>
      </w:r>
      <w:r>
        <w:rPr>
          <w:color w:val="B5082E"/>
          <w:sz w:val="23"/>
          <w:u w:val="single" w:color="B5082E"/>
        </w:rPr>
        <w:t>dated, and signed STD. 204 </w:t>
      </w:r>
      <w:r>
        <w:rPr>
          <w:color w:val="B5082E"/>
          <w:spacing w:val="-4"/>
          <w:sz w:val="23"/>
          <w:u w:val="single" w:color="B5082E"/>
        </w:rPr>
        <w:t>with </w:t>
      </w:r>
      <w:r>
        <w:rPr>
          <w:color w:val="B5082E"/>
          <w:sz w:val="23"/>
          <w:u w:val="single" w:color="B5082E"/>
        </w:rPr>
        <w:t>handwritten or electronic signature</w:t>
      </w:r>
      <w:r>
        <w:rPr>
          <w:strike/>
          <w:color w:val="B5082E"/>
          <w:sz w:val="23"/>
        </w:rPr>
        <w:t>signed, and dated  STD. 204 </w:t>
      </w:r>
      <w:r>
        <w:rPr>
          <w:strike w:val="0"/>
          <w:sz w:val="23"/>
        </w:rPr>
        <w:t>must be on file </w:t>
      </w:r>
      <w:r>
        <w:rPr>
          <w:strike w:val="0"/>
          <w:spacing w:val="-4"/>
          <w:sz w:val="23"/>
        </w:rPr>
        <w:t>with </w:t>
      </w:r>
      <w:r>
        <w:rPr>
          <w:strike w:val="0"/>
          <w:sz w:val="23"/>
        </w:rPr>
        <w:t>the state before payments are disbursed. </w:t>
      </w:r>
      <w:r>
        <w:rPr>
          <w:strike w:val="0"/>
          <w:color w:val="B5082E"/>
          <w:sz w:val="23"/>
          <w:u w:val="single" w:color="B5082E"/>
        </w:rPr>
        <w:t>Electronic signatures must meet</w:t>
      </w:r>
      <w:r>
        <w:rPr>
          <w:strike w:val="0"/>
          <w:color w:val="B5082E"/>
          <w:spacing w:val="-8"/>
          <w:sz w:val="23"/>
          <w:u w:val="single" w:color="B5082E"/>
        </w:rPr>
        <w:t> </w:t>
      </w:r>
      <w:r>
        <w:rPr>
          <w:strike w:val="0"/>
          <w:color w:val="B5082E"/>
          <w:sz w:val="23"/>
          <w:u w:val="single" w:color="B5082E"/>
        </w:rPr>
        <w:t>the</w:t>
      </w:r>
      <w:r>
        <w:rPr>
          <w:strike w:val="0"/>
          <w:color w:val="B5082E"/>
          <w:spacing w:val="-12"/>
          <w:sz w:val="23"/>
          <w:u w:val="single" w:color="B5082E"/>
        </w:rPr>
        <w:t> </w:t>
      </w:r>
      <w:r>
        <w:rPr>
          <w:strike w:val="0"/>
          <w:color w:val="B5082E"/>
          <w:sz w:val="23"/>
          <w:u w:val="single" w:color="B5082E"/>
        </w:rPr>
        <w:t>requirements</w:t>
      </w:r>
      <w:r>
        <w:rPr>
          <w:strike w:val="0"/>
          <w:color w:val="B5082E"/>
          <w:spacing w:val="-12"/>
          <w:sz w:val="23"/>
          <w:u w:val="single" w:color="B5082E"/>
        </w:rPr>
        <w:t> </w:t>
      </w:r>
      <w:r>
        <w:rPr>
          <w:strike w:val="0"/>
          <w:color w:val="B5082E"/>
          <w:sz w:val="23"/>
          <w:u w:val="single" w:color="B5082E"/>
        </w:rPr>
        <w:t>of</w:t>
      </w:r>
      <w:r>
        <w:rPr>
          <w:strike w:val="0"/>
          <w:color w:val="B5082E"/>
          <w:spacing w:val="-6"/>
          <w:sz w:val="23"/>
          <w:u w:val="single" w:color="B5082E"/>
        </w:rPr>
        <w:t> </w:t>
      </w:r>
      <w:r>
        <w:rPr>
          <w:strike w:val="0"/>
          <w:color w:val="B5082E"/>
          <w:sz w:val="23"/>
          <w:u w:val="single" w:color="B5082E"/>
        </w:rPr>
        <w:t>the</w:t>
      </w:r>
      <w:r>
        <w:rPr>
          <w:strike w:val="0"/>
          <w:color w:val="B5082E"/>
          <w:spacing w:val="-10"/>
          <w:sz w:val="23"/>
          <w:u w:val="single" w:color="B5082E"/>
        </w:rPr>
        <w:t> </w:t>
      </w:r>
      <w:r>
        <w:rPr>
          <w:strike w:val="0"/>
          <w:color w:val="B5082E"/>
          <w:sz w:val="23"/>
          <w:u w:val="single" w:color="B5082E"/>
        </w:rPr>
        <w:t>Secretary</w:t>
      </w:r>
      <w:r>
        <w:rPr>
          <w:strike w:val="0"/>
          <w:color w:val="B5082E"/>
          <w:spacing w:val="-9"/>
          <w:sz w:val="23"/>
          <w:u w:val="single" w:color="B5082E"/>
        </w:rPr>
        <w:t> </w:t>
      </w:r>
      <w:r>
        <w:rPr>
          <w:strike w:val="0"/>
          <w:color w:val="B5082E"/>
          <w:sz w:val="23"/>
          <w:u w:val="single" w:color="B5082E"/>
        </w:rPr>
        <w:t>of</w:t>
      </w:r>
      <w:r>
        <w:rPr>
          <w:strike w:val="0"/>
          <w:color w:val="B5082E"/>
          <w:spacing w:val="-8"/>
          <w:sz w:val="23"/>
          <w:u w:val="single" w:color="B5082E"/>
        </w:rPr>
        <w:t> </w:t>
      </w:r>
      <w:r>
        <w:rPr>
          <w:strike w:val="0"/>
          <w:color w:val="B5082E"/>
          <w:sz w:val="23"/>
          <w:u w:val="single" w:color="B5082E"/>
        </w:rPr>
        <w:t>State,</w:t>
      </w:r>
      <w:r>
        <w:rPr>
          <w:strike w:val="0"/>
          <w:color w:val="B5082E"/>
          <w:spacing w:val="-9"/>
          <w:sz w:val="23"/>
          <w:u w:val="single" w:color="B5082E"/>
        </w:rPr>
        <w:t> </w:t>
      </w:r>
      <w:r>
        <w:rPr>
          <w:strike w:val="0"/>
          <w:color w:val="B5082E"/>
          <w:sz w:val="23"/>
          <w:u w:val="single" w:color="B5082E"/>
        </w:rPr>
        <w:t>California</w:t>
      </w:r>
      <w:r>
        <w:rPr>
          <w:strike w:val="0"/>
          <w:color w:val="B5082E"/>
          <w:spacing w:val="-10"/>
          <w:sz w:val="23"/>
          <w:u w:val="single" w:color="B5082E"/>
        </w:rPr>
        <w:t> </w:t>
      </w:r>
      <w:r>
        <w:rPr>
          <w:strike w:val="0"/>
          <w:color w:val="B5082E"/>
          <w:sz w:val="23"/>
          <w:u w:val="single" w:color="B5082E"/>
        </w:rPr>
        <w:t>Code</w:t>
      </w:r>
      <w:r>
        <w:rPr>
          <w:strike w:val="0"/>
          <w:color w:val="B5082E"/>
          <w:spacing w:val="-10"/>
          <w:sz w:val="23"/>
          <w:u w:val="single" w:color="B5082E"/>
        </w:rPr>
        <w:t> </w:t>
      </w:r>
      <w:r>
        <w:rPr>
          <w:strike w:val="0"/>
          <w:color w:val="B5082E"/>
          <w:sz w:val="23"/>
          <w:u w:val="single" w:color="B5082E"/>
        </w:rPr>
        <w:t>of</w:t>
      </w:r>
      <w:r>
        <w:rPr>
          <w:strike w:val="0"/>
          <w:color w:val="B5082E"/>
          <w:spacing w:val="-8"/>
          <w:sz w:val="23"/>
          <w:u w:val="single" w:color="B5082E"/>
        </w:rPr>
        <w:t> </w:t>
      </w:r>
      <w:r>
        <w:rPr>
          <w:strike w:val="0"/>
          <w:color w:val="B5082E"/>
          <w:sz w:val="23"/>
          <w:u w:val="single" w:color="B5082E"/>
        </w:rPr>
        <w:t>Regulations,</w:t>
      </w:r>
      <w:r>
        <w:rPr>
          <w:strike w:val="0"/>
          <w:color w:val="B5082E"/>
          <w:spacing w:val="-8"/>
          <w:sz w:val="23"/>
          <w:u w:val="single" w:color="B5082E"/>
        </w:rPr>
        <w:t> </w:t>
      </w:r>
      <w:r>
        <w:rPr>
          <w:strike w:val="0"/>
          <w:color w:val="B5082E"/>
          <w:sz w:val="23"/>
          <w:u w:val="single" w:color="B5082E"/>
        </w:rPr>
        <w:t>title</w:t>
      </w:r>
      <w:r>
        <w:rPr>
          <w:strike w:val="0"/>
          <w:color w:val="B5082E"/>
          <w:spacing w:val="-8"/>
          <w:sz w:val="23"/>
          <w:u w:val="single" w:color="B5082E"/>
        </w:rPr>
        <w:t> </w:t>
      </w:r>
      <w:r>
        <w:rPr>
          <w:strike w:val="0"/>
          <w:color w:val="B5082E"/>
          <w:sz w:val="23"/>
          <w:u w:val="single" w:color="B5082E"/>
        </w:rPr>
        <w:t>2 section 22003. The original form must also be available and provided upon request. For more information on electronic signatures, refer to California Civil Code sections 1633.1 through</w:t>
      </w:r>
      <w:r>
        <w:rPr>
          <w:strike w:val="0"/>
          <w:color w:val="B5082E"/>
          <w:spacing w:val="-28"/>
          <w:sz w:val="23"/>
          <w:u w:val="single" w:color="B5082E"/>
        </w:rPr>
        <w:t> </w:t>
      </w:r>
      <w:r>
        <w:rPr>
          <w:strike w:val="0"/>
          <w:color w:val="B5082E"/>
          <w:sz w:val="23"/>
          <w:u w:val="single" w:color="B5082E"/>
        </w:rPr>
        <w:t>1633.17.</w:t>
      </w:r>
    </w:p>
    <w:p>
      <w:pPr>
        <w:pStyle w:val="BodyText"/>
        <w:rPr>
          <w:sz w:val="20"/>
        </w:rPr>
      </w:pPr>
    </w:p>
    <w:p>
      <w:pPr>
        <w:pStyle w:val="BodyText"/>
        <w:rPr>
          <w:sz w:val="18"/>
        </w:rPr>
      </w:pPr>
    </w:p>
    <w:p>
      <w:pPr>
        <w:spacing w:before="93"/>
        <w:ind w:left="1239" w:right="305" w:firstLine="0"/>
        <w:jc w:val="left"/>
        <w:rPr>
          <w:sz w:val="23"/>
        </w:rPr>
      </w:pPr>
      <w:r>
        <w:rPr>
          <w:sz w:val="23"/>
        </w:rPr>
        <w:t>A completed STD. 204 is necessary to determine what payments are reportable by the payee and must be attached to each contract. For non-contract transactions, a completed STD. 204 must be retained in the department’s business services or accounting office. A completed STD. 204 is also required for non-state employees authorized to receive travel expense reimbursements directly from departments before the reimbursement is paid.</w:t>
      </w:r>
    </w:p>
    <w:p>
      <w:pPr>
        <w:pStyle w:val="BodyText"/>
        <w:spacing w:before="10"/>
        <w:rPr>
          <w:sz w:val="22"/>
        </w:rPr>
      </w:pPr>
    </w:p>
    <w:p>
      <w:pPr>
        <w:spacing w:before="0"/>
        <w:ind w:left="1240" w:right="137" w:firstLine="0"/>
        <w:jc w:val="left"/>
        <w:rPr>
          <w:sz w:val="23"/>
        </w:rPr>
      </w:pPr>
      <w:r>
        <w:rPr/>
        <w:pict>
          <v:line style="position:absolute;mso-position-horizontal-relative:page;mso-position-vertical-relative:paragraph;z-index:48976" from="33.360001pt,.106859pt" to="33.360001pt,13.306859pt" stroked="true" strokeweight=".72pt" strokecolor="#000000">
            <v:stroke dashstyle="solid"/>
            <w10:wrap type="none"/>
          </v:line>
        </w:pict>
      </w:r>
      <w:r>
        <w:rPr>
          <w:sz w:val="23"/>
        </w:rPr>
        <w:t>The payee will provide the following information on the STD. 204 </w:t>
      </w:r>
      <w:r>
        <w:rPr>
          <w:strike/>
          <w:color w:val="B5082E"/>
          <w:sz w:val="23"/>
        </w:rPr>
        <w:t>form </w:t>
      </w:r>
      <w:r>
        <w:rPr>
          <w:strike w:val="0"/>
          <w:sz w:val="23"/>
        </w:rPr>
        <w:t>in accordance with Internal Revenue Code (</w:t>
      </w:r>
      <w:hyperlink r:id="rId392">
        <w:r>
          <w:rPr>
            <w:strike w:val="0"/>
            <w:color w:val="0000FF"/>
            <w:sz w:val="23"/>
            <w:u w:val="single" w:color="0000FF"/>
          </w:rPr>
          <w:t>IRC</w:t>
        </w:r>
      </w:hyperlink>
      <w:r>
        <w:rPr>
          <w:strike w:val="0"/>
          <w:sz w:val="23"/>
        </w:rPr>
        <w:t>) section 6109(a) and California Revenue and Taxation Code (R&amp;TC) sections 18646 and 18661. Instructions for the payee are provided on page 2 of the form.</w:t>
      </w:r>
    </w:p>
    <w:p>
      <w:pPr>
        <w:pStyle w:val="BodyText"/>
        <w:spacing w:before="10"/>
        <w:rPr>
          <w:sz w:val="22"/>
        </w:rPr>
      </w:pPr>
    </w:p>
    <w:p>
      <w:pPr>
        <w:pStyle w:val="ListParagraph"/>
        <w:numPr>
          <w:ilvl w:val="3"/>
          <w:numId w:val="140"/>
        </w:numPr>
        <w:tabs>
          <w:tab w:pos="1961" w:val="left" w:leader="none"/>
        </w:tabs>
        <w:spacing w:line="240" w:lineRule="auto" w:before="0" w:after="0"/>
        <w:ind w:left="1959" w:right="209" w:hanging="359"/>
        <w:jc w:val="left"/>
        <w:rPr>
          <w:sz w:val="23"/>
        </w:rPr>
      </w:pPr>
      <w:r>
        <w:rPr>
          <w:sz w:val="23"/>
        </w:rPr>
        <w:t>Complete</w:t>
      </w:r>
      <w:r>
        <w:rPr>
          <w:spacing w:val="-8"/>
          <w:sz w:val="23"/>
        </w:rPr>
        <w:t> </w:t>
      </w:r>
      <w:r>
        <w:rPr>
          <w:sz w:val="23"/>
        </w:rPr>
        <w:t>legal</w:t>
      </w:r>
      <w:r>
        <w:rPr>
          <w:spacing w:val="-7"/>
          <w:sz w:val="23"/>
        </w:rPr>
        <w:t> </w:t>
      </w:r>
      <w:r>
        <w:rPr>
          <w:sz w:val="23"/>
        </w:rPr>
        <w:t>business</w:t>
      </w:r>
      <w:r>
        <w:rPr>
          <w:spacing w:val="-6"/>
          <w:sz w:val="23"/>
        </w:rPr>
        <w:t> </w:t>
      </w:r>
      <w:r>
        <w:rPr>
          <w:sz w:val="23"/>
        </w:rPr>
        <w:t>name</w:t>
      </w:r>
      <w:r>
        <w:rPr>
          <w:spacing w:val="-8"/>
          <w:sz w:val="23"/>
        </w:rPr>
        <w:t> </w:t>
      </w:r>
      <w:r>
        <w:rPr>
          <w:sz w:val="23"/>
        </w:rPr>
        <w:t>and</w:t>
      </w:r>
      <w:r>
        <w:rPr>
          <w:spacing w:val="-8"/>
          <w:sz w:val="23"/>
        </w:rPr>
        <w:t> </w:t>
      </w:r>
      <w:r>
        <w:rPr>
          <w:sz w:val="23"/>
        </w:rPr>
        <w:t>address</w:t>
      </w:r>
      <w:r>
        <w:rPr>
          <w:spacing w:val="-5"/>
          <w:sz w:val="23"/>
        </w:rPr>
        <w:t> </w:t>
      </w:r>
      <w:r>
        <w:rPr>
          <w:sz w:val="23"/>
        </w:rPr>
        <w:t>of</w:t>
      </w:r>
      <w:r>
        <w:rPr>
          <w:spacing w:val="-7"/>
          <w:sz w:val="23"/>
        </w:rPr>
        <w:t> </w:t>
      </w:r>
      <w:r>
        <w:rPr>
          <w:sz w:val="23"/>
        </w:rPr>
        <w:t>the</w:t>
      </w:r>
      <w:r>
        <w:rPr>
          <w:spacing w:val="-7"/>
          <w:sz w:val="23"/>
        </w:rPr>
        <w:t> </w:t>
      </w:r>
      <w:r>
        <w:rPr>
          <w:sz w:val="23"/>
        </w:rPr>
        <w:t>payee</w:t>
      </w:r>
      <w:r>
        <w:rPr>
          <w:spacing w:val="-8"/>
          <w:sz w:val="23"/>
        </w:rPr>
        <w:t> </w:t>
      </w:r>
      <w:r>
        <w:rPr>
          <w:sz w:val="23"/>
        </w:rPr>
        <w:t>doing</w:t>
      </w:r>
      <w:r>
        <w:rPr>
          <w:spacing w:val="-8"/>
          <w:sz w:val="23"/>
        </w:rPr>
        <w:t> </w:t>
      </w:r>
      <w:r>
        <w:rPr>
          <w:sz w:val="23"/>
        </w:rPr>
        <w:t>business </w:t>
      </w:r>
      <w:r>
        <w:rPr>
          <w:spacing w:val="-4"/>
          <w:sz w:val="23"/>
        </w:rPr>
        <w:t>with</w:t>
      </w:r>
      <w:r>
        <w:rPr>
          <w:spacing w:val="-8"/>
          <w:sz w:val="23"/>
        </w:rPr>
        <w:t> </w:t>
      </w:r>
      <w:r>
        <w:rPr>
          <w:sz w:val="23"/>
        </w:rPr>
        <w:t>the state. The business owner's full name is required if the business is a sole proprietorship.  The name of the business or owner should match the name on the payee’s income tax</w:t>
      </w:r>
      <w:r>
        <w:rPr>
          <w:spacing w:val="-32"/>
          <w:sz w:val="23"/>
        </w:rPr>
        <w:t> </w:t>
      </w:r>
      <w:r>
        <w:rPr>
          <w:sz w:val="23"/>
        </w:rPr>
        <w:t>return.</w:t>
      </w:r>
    </w:p>
    <w:p>
      <w:pPr>
        <w:pStyle w:val="BodyText"/>
        <w:spacing w:before="10"/>
        <w:rPr>
          <w:sz w:val="22"/>
        </w:rPr>
      </w:pPr>
    </w:p>
    <w:p>
      <w:pPr>
        <w:pStyle w:val="ListParagraph"/>
        <w:numPr>
          <w:ilvl w:val="3"/>
          <w:numId w:val="140"/>
        </w:numPr>
        <w:tabs>
          <w:tab w:pos="1961" w:val="left" w:leader="none"/>
        </w:tabs>
        <w:spacing w:line="240" w:lineRule="auto" w:before="0" w:after="0"/>
        <w:ind w:left="1959" w:right="500" w:hanging="359"/>
        <w:jc w:val="left"/>
        <w:rPr>
          <w:sz w:val="23"/>
        </w:rPr>
      </w:pPr>
      <w:r>
        <w:rPr>
          <w:sz w:val="23"/>
        </w:rPr>
        <w:t>Payee entity type and the Taxpayer Identification Number (TIN). </w:t>
      </w:r>
      <w:r>
        <w:rPr>
          <w:spacing w:val="-3"/>
          <w:sz w:val="23"/>
        </w:rPr>
        <w:t>Payees </w:t>
      </w:r>
      <w:r>
        <w:rPr>
          <w:sz w:val="23"/>
        </w:rPr>
        <w:t>must provide</w:t>
      </w:r>
      <w:r>
        <w:rPr>
          <w:spacing w:val="-7"/>
          <w:sz w:val="23"/>
        </w:rPr>
        <w:t> </w:t>
      </w:r>
      <w:r>
        <w:rPr>
          <w:sz w:val="23"/>
        </w:rPr>
        <w:t>one</w:t>
      </w:r>
      <w:r>
        <w:rPr>
          <w:spacing w:val="-8"/>
          <w:sz w:val="23"/>
        </w:rPr>
        <w:t> </w:t>
      </w:r>
      <w:r>
        <w:rPr>
          <w:sz w:val="23"/>
        </w:rPr>
        <w:t>of</w:t>
      </w:r>
      <w:r>
        <w:rPr>
          <w:spacing w:val="-6"/>
          <w:sz w:val="23"/>
        </w:rPr>
        <w:t> </w:t>
      </w:r>
      <w:r>
        <w:rPr>
          <w:sz w:val="23"/>
        </w:rPr>
        <w:t>the</w:t>
      </w:r>
      <w:r>
        <w:rPr>
          <w:spacing w:val="-14"/>
          <w:sz w:val="23"/>
        </w:rPr>
        <w:t> </w:t>
      </w:r>
      <w:r>
        <w:rPr>
          <w:sz w:val="23"/>
        </w:rPr>
        <w:t>following</w:t>
      </w:r>
      <w:r>
        <w:rPr>
          <w:spacing w:val="-7"/>
          <w:sz w:val="23"/>
        </w:rPr>
        <w:t> </w:t>
      </w:r>
      <w:r>
        <w:rPr>
          <w:sz w:val="23"/>
        </w:rPr>
        <w:t>applicable</w:t>
      </w:r>
      <w:r>
        <w:rPr>
          <w:spacing w:val="-11"/>
          <w:sz w:val="23"/>
        </w:rPr>
        <w:t> </w:t>
      </w:r>
      <w:r>
        <w:rPr>
          <w:sz w:val="23"/>
        </w:rPr>
        <w:t>TINs:</w:t>
      </w:r>
    </w:p>
    <w:p>
      <w:pPr>
        <w:pStyle w:val="ListParagraph"/>
        <w:numPr>
          <w:ilvl w:val="4"/>
          <w:numId w:val="140"/>
        </w:numPr>
        <w:tabs>
          <w:tab w:pos="2680" w:val="left" w:leader="none"/>
        </w:tabs>
        <w:spacing w:line="262" w:lineRule="exact" w:before="0" w:after="0"/>
        <w:ind w:left="2679" w:right="0" w:hanging="360"/>
        <w:jc w:val="left"/>
        <w:rPr>
          <w:sz w:val="23"/>
        </w:rPr>
      </w:pPr>
      <w:r>
        <w:rPr>
          <w:sz w:val="23"/>
        </w:rPr>
        <w:t>Social Security Number</w:t>
      </w:r>
      <w:r>
        <w:rPr>
          <w:spacing w:val="-19"/>
          <w:sz w:val="23"/>
        </w:rPr>
        <w:t> </w:t>
      </w:r>
      <w:r>
        <w:rPr>
          <w:sz w:val="23"/>
        </w:rPr>
        <w:t>(SSN)</w:t>
      </w:r>
    </w:p>
    <w:p>
      <w:pPr>
        <w:pStyle w:val="ListParagraph"/>
        <w:numPr>
          <w:ilvl w:val="4"/>
          <w:numId w:val="140"/>
        </w:numPr>
        <w:tabs>
          <w:tab w:pos="2680" w:val="left" w:leader="none"/>
        </w:tabs>
        <w:spacing w:line="240" w:lineRule="auto" w:before="38" w:after="0"/>
        <w:ind w:left="2679" w:right="0" w:hanging="360"/>
        <w:jc w:val="left"/>
        <w:rPr>
          <w:sz w:val="23"/>
        </w:rPr>
      </w:pPr>
      <w:r>
        <w:rPr>
          <w:sz w:val="23"/>
        </w:rPr>
        <w:t>Individual</w:t>
      </w:r>
      <w:r>
        <w:rPr>
          <w:spacing w:val="-17"/>
          <w:sz w:val="23"/>
        </w:rPr>
        <w:t> </w:t>
      </w:r>
      <w:r>
        <w:rPr>
          <w:sz w:val="23"/>
        </w:rPr>
        <w:t>Taxpayer</w:t>
      </w:r>
      <w:r>
        <w:rPr>
          <w:spacing w:val="-16"/>
          <w:sz w:val="23"/>
        </w:rPr>
        <w:t> </w:t>
      </w:r>
      <w:r>
        <w:rPr>
          <w:sz w:val="23"/>
        </w:rPr>
        <w:t>Identification</w:t>
      </w:r>
      <w:r>
        <w:rPr>
          <w:spacing w:val="-17"/>
          <w:sz w:val="23"/>
        </w:rPr>
        <w:t> </w:t>
      </w:r>
      <w:r>
        <w:rPr>
          <w:sz w:val="23"/>
        </w:rPr>
        <w:t>Number</w:t>
      </w:r>
      <w:r>
        <w:rPr>
          <w:spacing w:val="-16"/>
          <w:sz w:val="23"/>
        </w:rPr>
        <w:t> </w:t>
      </w:r>
      <w:r>
        <w:rPr>
          <w:sz w:val="23"/>
        </w:rPr>
        <w:t>(ITIN)</w:t>
      </w:r>
    </w:p>
    <w:p>
      <w:pPr>
        <w:pStyle w:val="ListParagraph"/>
        <w:numPr>
          <w:ilvl w:val="4"/>
          <w:numId w:val="140"/>
        </w:numPr>
        <w:tabs>
          <w:tab w:pos="2680" w:val="left" w:leader="none"/>
        </w:tabs>
        <w:spacing w:line="240" w:lineRule="auto" w:before="42" w:after="0"/>
        <w:ind w:left="2679" w:right="0" w:hanging="360"/>
        <w:jc w:val="left"/>
        <w:rPr>
          <w:sz w:val="23"/>
        </w:rPr>
      </w:pPr>
      <w:r>
        <w:rPr>
          <w:sz w:val="23"/>
        </w:rPr>
        <w:t>Federal Employer Identification Number</w:t>
      </w:r>
      <w:r>
        <w:rPr>
          <w:spacing w:val="-45"/>
          <w:sz w:val="23"/>
        </w:rPr>
        <w:t> </w:t>
      </w:r>
      <w:r>
        <w:rPr>
          <w:spacing w:val="-3"/>
          <w:sz w:val="23"/>
        </w:rPr>
        <w:t>(FEIN)</w:t>
      </w:r>
    </w:p>
    <w:p>
      <w:pPr>
        <w:pStyle w:val="BodyText"/>
        <w:rPr>
          <w:sz w:val="21"/>
        </w:rPr>
      </w:pPr>
    </w:p>
    <w:p>
      <w:pPr>
        <w:spacing w:before="0"/>
        <w:ind w:left="1959" w:right="207" w:firstLine="0"/>
        <w:jc w:val="left"/>
        <w:rPr>
          <w:sz w:val="23"/>
        </w:rPr>
      </w:pPr>
      <w:r>
        <w:rPr/>
        <w:pict>
          <v:line style="position:absolute;mso-position-horizontal-relative:page;mso-position-vertical-relative:paragraph;z-index:49000" from="33.360001pt,13.306867pt" to="33.360001pt,26.506867pt" stroked="true" strokeweight=".72pt" strokecolor="#000000">
            <v:stroke dashstyle="solid"/>
            <w10:wrap type="none"/>
          </v:line>
        </w:pict>
      </w:r>
      <w:r>
        <w:rPr>
          <w:sz w:val="23"/>
        </w:rPr>
        <w:t>The TIN for individuals and sole proprietors is the SSN. Individuals who do not have an SSN and who are not eligible for one </w:t>
      </w:r>
      <w:r>
        <w:rPr>
          <w:strike/>
          <w:color w:val="B5082E"/>
          <w:sz w:val="23"/>
        </w:rPr>
        <w:t>can </w:t>
      </w:r>
      <w:r>
        <w:rPr>
          <w:strike w:val="0"/>
          <w:color w:val="B5082E"/>
          <w:sz w:val="23"/>
          <w:u w:val="single" w:color="B5082E"/>
        </w:rPr>
        <w:t>may </w:t>
      </w:r>
      <w:r>
        <w:rPr>
          <w:strike w:val="0"/>
          <w:sz w:val="23"/>
        </w:rPr>
        <w:t>provide their ITIN. The ITIN is a tax processing number issued by the Internal Revenue Service (IRS) through the W-7 application process. It is a nine-digit number that always begin with the number 9 (i.e., 9XX-XX-XXXX). For all other payees, the TIN is the FEIN.  Refer to the IRS website for more information on TINs.</w:t>
      </w:r>
    </w:p>
    <w:p>
      <w:pPr>
        <w:spacing w:after="0"/>
        <w:jc w:val="left"/>
        <w:rPr>
          <w:sz w:val="23"/>
        </w:rPr>
        <w:sectPr>
          <w:headerReference w:type="default" r:id="rId389"/>
          <w:footerReference w:type="default" r:id="rId390"/>
          <w:pgSz w:w="12240" w:h="15840"/>
          <w:pgMar w:header="721" w:footer="800" w:top="980" w:bottom="980" w:left="560" w:right="1320"/>
        </w:sectPr>
      </w:pPr>
    </w:p>
    <w:p>
      <w:pPr>
        <w:pStyle w:val="BodyText"/>
        <w:spacing w:before="11"/>
        <w:rPr>
          <w:sz w:val="12"/>
        </w:rPr>
      </w:pPr>
    </w:p>
    <w:p>
      <w:pPr>
        <w:spacing w:before="93"/>
        <w:ind w:left="1960" w:right="0" w:firstLine="0"/>
        <w:jc w:val="left"/>
        <w:rPr>
          <w:sz w:val="23"/>
        </w:rPr>
      </w:pPr>
      <w:r>
        <w:rPr>
          <w:sz w:val="23"/>
        </w:rPr>
        <w:t>(Continued)</w:t>
      </w:r>
    </w:p>
    <w:p>
      <w:pPr>
        <w:spacing w:after="0"/>
        <w:jc w:val="left"/>
        <w:rPr>
          <w:sz w:val="23"/>
        </w:rPr>
        <w:sectPr>
          <w:pgSz w:w="12240" w:h="15840"/>
          <w:pgMar w:header="721" w:footer="800" w:top="980" w:bottom="980" w:left="560" w:right="1720"/>
        </w:sectPr>
      </w:pPr>
    </w:p>
    <w:p>
      <w:pPr>
        <w:pStyle w:val="BodyText"/>
        <w:rPr>
          <w:sz w:val="20"/>
        </w:rPr>
      </w:pPr>
    </w:p>
    <w:p>
      <w:pPr>
        <w:pStyle w:val="BodyText"/>
        <w:rPr>
          <w:sz w:val="17"/>
        </w:rPr>
      </w:pPr>
    </w:p>
    <w:p>
      <w:pPr>
        <w:pStyle w:val="ListParagraph"/>
        <w:numPr>
          <w:ilvl w:val="3"/>
          <w:numId w:val="140"/>
        </w:numPr>
        <w:tabs>
          <w:tab w:pos="1961" w:val="left" w:leader="none"/>
        </w:tabs>
        <w:spacing w:line="240" w:lineRule="auto" w:before="93" w:after="0"/>
        <w:ind w:left="1959" w:right="1079" w:hanging="359"/>
        <w:jc w:val="left"/>
        <w:rPr>
          <w:sz w:val="23"/>
        </w:rPr>
      </w:pPr>
      <w:r>
        <w:rPr>
          <w:sz w:val="23"/>
        </w:rPr>
        <w:t>Residency</w:t>
      </w:r>
      <w:r>
        <w:rPr>
          <w:spacing w:val="-10"/>
          <w:sz w:val="23"/>
        </w:rPr>
        <w:t> </w:t>
      </w:r>
      <w:r>
        <w:rPr>
          <w:sz w:val="23"/>
        </w:rPr>
        <w:t>status</w:t>
      </w:r>
      <w:r>
        <w:rPr>
          <w:spacing w:val="-8"/>
          <w:sz w:val="23"/>
        </w:rPr>
        <w:t> </w:t>
      </w:r>
      <w:r>
        <w:rPr>
          <w:sz w:val="23"/>
        </w:rPr>
        <w:t>of</w:t>
      </w:r>
      <w:r>
        <w:rPr>
          <w:spacing w:val="-3"/>
          <w:sz w:val="23"/>
        </w:rPr>
        <w:t> </w:t>
      </w:r>
      <w:r>
        <w:rPr>
          <w:sz w:val="23"/>
        </w:rPr>
        <w:t>the</w:t>
      </w:r>
      <w:r>
        <w:rPr>
          <w:spacing w:val="-11"/>
          <w:sz w:val="23"/>
        </w:rPr>
        <w:t> </w:t>
      </w:r>
      <w:r>
        <w:rPr>
          <w:sz w:val="23"/>
        </w:rPr>
        <w:t>payee</w:t>
      </w:r>
      <w:r>
        <w:rPr>
          <w:spacing w:val="-7"/>
          <w:sz w:val="23"/>
        </w:rPr>
        <w:t> </w:t>
      </w:r>
      <w:r>
        <w:rPr>
          <w:sz w:val="23"/>
        </w:rPr>
        <w:t>by</w:t>
      </w:r>
      <w:r>
        <w:rPr>
          <w:spacing w:val="-10"/>
          <w:sz w:val="23"/>
        </w:rPr>
        <w:t> </w:t>
      </w:r>
      <w:r>
        <w:rPr>
          <w:sz w:val="23"/>
        </w:rPr>
        <w:t>indicating</w:t>
      </w:r>
      <w:r>
        <w:rPr>
          <w:spacing w:val="-9"/>
          <w:sz w:val="23"/>
        </w:rPr>
        <w:t> </w:t>
      </w:r>
      <w:r>
        <w:rPr>
          <w:sz w:val="23"/>
        </w:rPr>
        <w:t>resident</w:t>
      </w:r>
      <w:r>
        <w:rPr>
          <w:spacing w:val="-6"/>
          <w:sz w:val="23"/>
        </w:rPr>
        <w:t> </w:t>
      </w:r>
      <w:r>
        <w:rPr>
          <w:sz w:val="23"/>
        </w:rPr>
        <w:t>or</w:t>
      </w:r>
      <w:r>
        <w:rPr>
          <w:spacing w:val="-7"/>
          <w:sz w:val="23"/>
        </w:rPr>
        <w:t> </w:t>
      </w:r>
      <w:r>
        <w:rPr>
          <w:sz w:val="23"/>
        </w:rPr>
        <w:t>nonresident.</w:t>
      </w:r>
      <w:r>
        <w:rPr>
          <w:spacing w:val="-6"/>
          <w:sz w:val="23"/>
        </w:rPr>
        <w:t> </w:t>
      </w:r>
      <w:r>
        <w:rPr>
          <w:spacing w:val="-4"/>
          <w:sz w:val="23"/>
        </w:rPr>
        <w:t>The </w:t>
      </w:r>
      <w:r>
        <w:rPr>
          <w:sz w:val="23"/>
        </w:rPr>
        <w:t>STD.</w:t>
      </w:r>
      <w:r>
        <w:rPr>
          <w:spacing w:val="-5"/>
          <w:sz w:val="23"/>
        </w:rPr>
        <w:t> </w:t>
      </w:r>
      <w:r>
        <w:rPr>
          <w:sz w:val="23"/>
        </w:rPr>
        <w:t>204</w:t>
      </w:r>
      <w:r>
        <w:rPr>
          <w:spacing w:val="-8"/>
          <w:sz w:val="23"/>
        </w:rPr>
        <w:t> </w:t>
      </w:r>
      <w:r>
        <w:rPr>
          <w:sz w:val="23"/>
        </w:rPr>
        <w:t>instructions</w:t>
      </w:r>
      <w:r>
        <w:rPr>
          <w:spacing w:val="-5"/>
          <w:sz w:val="23"/>
        </w:rPr>
        <w:t> </w:t>
      </w:r>
      <w:r>
        <w:rPr>
          <w:sz w:val="23"/>
        </w:rPr>
        <w:t>on</w:t>
      </w:r>
      <w:r>
        <w:rPr>
          <w:spacing w:val="-7"/>
          <w:sz w:val="23"/>
        </w:rPr>
        <w:t> </w:t>
      </w:r>
      <w:r>
        <w:rPr>
          <w:sz w:val="23"/>
        </w:rPr>
        <w:t>page</w:t>
      </w:r>
      <w:r>
        <w:rPr>
          <w:spacing w:val="-8"/>
          <w:sz w:val="23"/>
        </w:rPr>
        <w:t> </w:t>
      </w:r>
      <w:r>
        <w:rPr>
          <w:sz w:val="23"/>
        </w:rPr>
        <w:t>2</w:t>
      </w:r>
      <w:r>
        <w:rPr>
          <w:spacing w:val="-8"/>
          <w:sz w:val="23"/>
        </w:rPr>
        <w:t> </w:t>
      </w:r>
      <w:r>
        <w:rPr>
          <w:sz w:val="23"/>
        </w:rPr>
        <w:t>provide</w:t>
      </w:r>
      <w:r>
        <w:rPr>
          <w:spacing w:val="-8"/>
          <w:sz w:val="23"/>
        </w:rPr>
        <w:t> </w:t>
      </w:r>
      <w:r>
        <w:rPr>
          <w:sz w:val="23"/>
        </w:rPr>
        <w:t>information</w:t>
      </w:r>
      <w:r>
        <w:rPr>
          <w:spacing w:val="-10"/>
          <w:sz w:val="23"/>
        </w:rPr>
        <w:t> </w:t>
      </w:r>
      <w:r>
        <w:rPr>
          <w:sz w:val="23"/>
        </w:rPr>
        <w:t>for</w:t>
      </w:r>
      <w:r>
        <w:rPr>
          <w:spacing w:val="-12"/>
          <w:sz w:val="23"/>
        </w:rPr>
        <w:t> </w:t>
      </w:r>
      <w:r>
        <w:rPr>
          <w:sz w:val="23"/>
        </w:rPr>
        <w:t>making</w:t>
      </w:r>
      <w:r>
        <w:rPr>
          <w:spacing w:val="-10"/>
          <w:sz w:val="23"/>
        </w:rPr>
        <w:t> </w:t>
      </w:r>
      <w:r>
        <w:rPr>
          <w:sz w:val="23"/>
        </w:rPr>
        <w:t>this</w:t>
      </w:r>
    </w:p>
    <w:p>
      <w:pPr>
        <w:spacing w:before="0"/>
        <w:ind w:left="1959" w:right="110" w:firstLine="0"/>
        <w:jc w:val="left"/>
        <w:rPr>
          <w:sz w:val="23"/>
        </w:rPr>
      </w:pPr>
      <w:r>
        <w:rPr/>
        <w:pict>
          <v:line style="position:absolute;mso-position-horizontal-relative:page;mso-position-vertical-relative:paragraph;z-index:-423640" from="338.76001pt,78.527313pt" to="341.88001pt,78.527313pt" stroked="true" strokeweight=".841pt" strokecolor="#0000ff">
            <v:stroke dashstyle="solid"/>
            <w10:wrap type="none"/>
          </v:line>
        </w:pict>
      </w:r>
      <w:r>
        <w:rPr/>
        <w:pict>
          <v:line style="position:absolute;mso-position-horizontal-relative:page;mso-position-vertical-relative:paragraph;z-index:-423616" from="355.799988pt,91.727814pt" to="359.639988pt,91.727814pt" stroked="true" strokeweight=".84pt" strokecolor="#b5082e">
            <v:stroke dashstyle="solid"/>
            <w10:wrap type="none"/>
          </v:line>
        </w:pict>
      </w:r>
      <w:r>
        <w:rPr/>
        <w:pict>
          <v:line style="position:absolute;mso-position-horizontal-relative:page;mso-position-vertical-relative:paragraph;z-index:-423592" from="484.079987pt,87.407814pt" to="490.919987pt,87.407814pt" stroked="true" strokeweight=".6pt" strokecolor="#b5082e">
            <v:stroke dashstyle="solid"/>
            <w10:wrap type="none"/>
          </v:line>
        </w:pict>
      </w:r>
      <w:r>
        <w:rPr/>
        <w:pict>
          <v:line style="position:absolute;mso-position-horizontal-relative:page;mso-position-vertical-relative:paragraph;z-index:49120" from="33.360001pt,66.226814pt" to="33.360001pt,92.627814pt" stroked="true" strokeweight=".72pt" strokecolor="#000000">
            <v:stroke dashstyle="solid"/>
            <w10:wrap type="none"/>
          </v:line>
        </w:pict>
      </w:r>
      <w:r>
        <w:rPr>
          <w:sz w:val="23"/>
        </w:rPr>
        <w:t>determination. Pursuant to R&amp;TC section 18662, nonresidents may be subject to state withholding at the standard rate for payment(s) that exceed $1,500 in a calendar year unless a verification authorizing a reduced withholding amount or a waiver approved by the Franchise Tax Board (</w:t>
      </w:r>
      <w:hyperlink r:id="rId394">
        <w:r>
          <w:rPr>
            <w:color w:val="0000FF"/>
            <w:sz w:val="23"/>
            <w:u w:val="single" w:color="0000FF"/>
          </w:rPr>
          <w:t>FTB</w:t>
        </w:r>
      </w:hyperlink>
      <w:r>
        <w:rPr>
          <w:sz w:val="23"/>
        </w:rPr>
        <w:t>) is attached to the STD. 204. To determine if withholding is required and the standard withholding rate, refer to the decision charts on the FTB website at </w:t>
      </w:r>
      <w:hyperlink r:id="rId395">
        <w:r>
          <w:rPr>
            <w:color w:val="0000FF"/>
            <w:sz w:val="23"/>
            <w:u w:val="single" w:color="0000FF"/>
          </w:rPr>
          <w:t>http://www.ftb.ca.gov/individuals/wsc/decision</w:t>
        </w:r>
        <w:r>
          <w:rPr>
            <w:color w:val="B5082E"/>
            <w:sz w:val="23"/>
          </w:rPr>
          <w:t>-</w:t>
        </w:r>
        <w:r>
          <w:rPr>
            <w:strike/>
            <w:color w:val="B5082E"/>
            <w:sz w:val="23"/>
            <w:u w:val="single" w:color="0000FF"/>
          </w:rPr>
          <w:t>_</w:t>
        </w:r>
        <w:r>
          <w:rPr>
            <w:strike w:val="0"/>
            <w:color w:val="0000FF"/>
            <w:sz w:val="23"/>
            <w:u w:val="single" w:color="0000FF"/>
          </w:rPr>
          <w:t>chart.shtml</w:t>
        </w:r>
      </w:hyperlink>
      <w:r>
        <w:rPr>
          <w:strike w:val="0"/>
          <w:sz w:val="23"/>
        </w:rPr>
        <w:t>. For further information on nonresident withholding, see SAM section </w:t>
      </w:r>
      <w:hyperlink r:id="rId396">
        <w:r>
          <w:rPr>
            <w:strike w:val="0"/>
            <w:color w:val="0000FF"/>
            <w:sz w:val="23"/>
            <w:u w:val="single" w:color="0000FF"/>
          </w:rPr>
          <w:t>8422.195</w:t>
        </w:r>
      </w:hyperlink>
      <w:r>
        <w:rPr>
          <w:strike w:val="0"/>
          <w:sz w:val="23"/>
        </w:rPr>
        <w:t>.</w:t>
      </w:r>
    </w:p>
    <w:p>
      <w:pPr>
        <w:pStyle w:val="BodyText"/>
        <w:spacing w:before="1"/>
        <w:rPr>
          <w:sz w:val="15"/>
        </w:rPr>
      </w:pPr>
    </w:p>
    <w:p>
      <w:pPr>
        <w:pStyle w:val="ListParagraph"/>
        <w:numPr>
          <w:ilvl w:val="3"/>
          <w:numId w:val="140"/>
        </w:numPr>
        <w:tabs>
          <w:tab w:pos="1961" w:val="left" w:leader="none"/>
        </w:tabs>
        <w:spacing w:line="240" w:lineRule="auto" w:before="93" w:after="0"/>
        <w:ind w:left="1960" w:right="161" w:hanging="360"/>
        <w:jc w:val="left"/>
        <w:rPr>
          <w:sz w:val="23"/>
        </w:rPr>
      </w:pPr>
      <w:r>
        <w:rPr/>
        <w:pict>
          <v:line style="position:absolute;mso-position-horizontal-relative:page;mso-position-vertical-relative:paragraph;z-index:49144" from="33.360001pt,1.27786pt" to="33.360001pt,57.67686pt" stroked="true" strokeweight=".72pt" strokecolor="#000000">
            <v:stroke dashstyle="solid"/>
            <w10:wrap type="none"/>
          </v:line>
        </w:pict>
      </w:r>
      <w:r>
        <w:rPr>
          <w:sz w:val="23"/>
        </w:rPr>
        <w:t>Complete name, title, e-mail address, telephone number, </w:t>
      </w:r>
      <w:r>
        <w:rPr>
          <w:strike/>
          <w:color w:val="B5082E"/>
          <w:sz w:val="23"/>
        </w:rPr>
        <w:t>and </w:t>
      </w:r>
      <w:r>
        <w:rPr>
          <w:strike w:val="0"/>
          <w:sz w:val="23"/>
        </w:rPr>
        <w:t>date</w:t>
      </w:r>
      <w:r>
        <w:rPr>
          <w:strike/>
          <w:color w:val="B5082E"/>
          <w:sz w:val="23"/>
        </w:rPr>
        <w:t>d</w:t>
      </w:r>
      <w:r>
        <w:rPr>
          <w:strike w:val="0"/>
          <w:color w:val="B5082E"/>
          <w:sz w:val="23"/>
          <w:u w:val="single" w:color="B5082E"/>
        </w:rPr>
        <w:t>, </w:t>
      </w:r>
      <w:r>
        <w:rPr>
          <w:strike w:val="0"/>
          <w:color w:val="B5082E"/>
          <w:spacing w:val="-3"/>
          <w:sz w:val="23"/>
          <w:u w:val="single" w:color="B5082E"/>
        </w:rPr>
        <w:t>and </w:t>
      </w:r>
      <w:r>
        <w:rPr>
          <w:strike w:val="0"/>
          <w:color w:val="B5082E"/>
          <w:sz w:val="23"/>
          <w:u w:val="single" w:color="B5082E"/>
        </w:rPr>
        <w:t>handwritten or electronic </w:t>
      </w:r>
      <w:r>
        <w:rPr>
          <w:strike w:val="0"/>
          <w:sz w:val="23"/>
        </w:rPr>
        <w:t>signature of the payee’s authorized representative.</w:t>
      </w:r>
      <w:r>
        <w:rPr>
          <w:strike w:val="0"/>
          <w:spacing w:val="-29"/>
          <w:sz w:val="23"/>
        </w:rPr>
        <w:t> </w:t>
      </w:r>
      <w:r>
        <w:rPr>
          <w:strike w:val="0"/>
          <w:spacing w:val="-3"/>
          <w:sz w:val="23"/>
        </w:rPr>
        <w:t>This </w:t>
      </w:r>
      <w:r>
        <w:rPr>
          <w:strike w:val="0"/>
          <w:sz w:val="23"/>
        </w:rPr>
        <w:t>signature certifies the accuracy of the information provided. </w:t>
      </w:r>
      <w:r>
        <w:rPr>
          <w:strike w:val="0"/>
          <w:color w:val="B5082E"/>
          <w:sz w:val="23"/>
          <w:u w:val="single" w:color="B5082E"/>
        </w:rPr>
        <w:t>All data on the submitted</w:t>
      </w:r>
      <w:r>
        <w:rPr>
          <w:strike w:val="0"/>
          <w:color w:val="B5082E"/>
          <w:spacing w:val="-12"/>
          <w:sz w:val="23"/>
          <w:u w:val="single" w:color="B5082E"/>
        </w:rPr>
        <w:t> </w:t>
      </w:r>
      <w:r>
        <w:rPr>
          <w:strike w:val="0"/>
          <w:color w:val="B5082E"/>
          <w:sz w:val="23"/>
          <w:u w:val="single" w:color="B5082E"/>
        </w:rPr>
        <w:t>STD</w:t>
      </w:r>
      <w:r>
        <w:rPr>
          <w:strike w:val="0"/>
          <w:color w:val="B5082E"/>
          <w:spacing w:val="-10"/>
          <w:sz w:val="23"/>
          <w:u w:val="single" w:color="B5082E"/>
        </w:rPr>
        <w:t> </w:t>
      </w:r>
      <w:r>
        <w:rPr>
          <w:strike w:val="0"/>
          <w:color w:val="B5082E"/>
          <w:sz w:val="23"/>
          <w:u w:val="single" w:color="B5082E"/>
        </w:rPr>
        <w:t>204</w:t>
      </w:r>
      <w:r>
        <w:rPr>
          <w:strike w:val="0"/>
          <w:color w:val="B5082E"/>
          <w:spacing w:val="-12"/>
          <w:sz w:val="23"/>
          <w:u w:val="single" w:color="B5082E"/>
        </w:rPr>
        <w:t> </w:t>
      </w:r>
      <w:r>
        <w:rPr>
          <w:strike w:val="0"/>
          <w:color w:val="B5082E"/>
          <w:sz w:val="23"/>
          <w:u w:val="single" w:color="B5082E"/>
        </w:rPr>
        <w:t>must</w:t>
      </w:r>
      <w:r>
        <w:rPr>
          <w:strike w:val="0"/>
          <w:color w:val="B5082E"/>
          <w:spacing w:val="-8"/>
          <w:sz w:val="23"/>
          <w:u w:val="single" w:color="B5082E"/>
        </w:rPr>
        <w:t> </w:t>
      </w:r>
      <w:r>
        <w:rPr>
          <w:strike w:val="0"/>
          <w:color w:val="B5082E"/>
          <w:sz w:val="23"/>
          <w:u w:val="single" w:color="B5082E"/>
        </w:rPr>
        <w:t>be</w:t>
      </w:r>
      <w:r>
        <w:rPr>
          <w:strike w:val="0"/>
          <w:color w:val="B5082E"/>
          <w:spacing w:val="-10"/>
          <w:sz w:val="23"/>
          <w:u w:val="single" w:color="B5082E"/>
        </w:rPr>
        <w:t> </w:t>
      </w:r>
      <w:r>
        <w:rPr>
          <w:strike w:val="0"/>
          <w:color w:val="B5082E"/>
          <w:sz w:val="23"/>
          <w:u w:val="single" w:color="B5082E"/>
        </w:rPr>
        <w:t>unalterable</w:t>
      </w:r>
      <w:r>
        <w:rPr>
          <w:strike w:val="0"/>
          <w:color w:val="B5082E"/>
          <w:spacing w:val="-10"/>
          <w:sz w:val="23"/>
          <w:u w:val="single" w:color="B5082E"/>
        </w:rPr>
        <w:t> </w:t>
      </w:r>
      <w:r>
        <w:rPr>
          <w:strike w:val="0"/>
          <w:color w:val="B5082E"/>
          <w:sz w:val="23"/>
          <w:u w:val="single" w:color="B5082E"/>
        </w:rPr>
        <w:t>including</w:t>
      </w:r>
      <w:r>
        <w:rPr>
          <w:strike w:val="0"/>
          <w:color w:val="B5082E"/>
          <w:spacing w:val="-10"/>
          <w:sz w:val="23"/>
          <w:u w:val="single" w:color="B5082E"/>
        </w:rPr>
        <w:t> </w:t>
      </w:r>
      <w:r>
        <w:rPr>
          <w:strike w:val="0"/>
          <w:color w:val="B5082E"/>
          <w:sz w:val="23"/>
          <w:u w:val="single" w:color="B5082E"/>
        </w:rPr>
        <w:t>the</w:t>
      </w:r>
      <w:r>
        <w:rPr>
          <w:strike w:val="0"/>
          <w:color w:val="B5082E"/>
          <w:spacing w:val="-10"/>
          <w:sz w:val="23"/>
          <w:u w:val="single" w:color="B5082E"/>
        </w:rPr>
        <w:t> </w:t>
      </w:r>
      <w:r>
        <w:rPr>
          <w:strike w:val="0"/>
          <w:color w:val="B5082E"/>
          <w:sz w:val="23"/>
          <w:u w:val="single" w:color="B5082E"/>
        </w:rPr>
        <w:t>signature.</w:t>
      </w:r>
    </w:p>
    <w:p>
      <w:pPr>
        <w:pStyle w:val="BodyText"/>
        <w:rPr>
          <w:sz w:val="15"/>
        </w:rPr>
      </w:pPr>
    </w:p>
    <w:p>
      <w:pPr>
        <w:spacing w:before="93"/>
        <w:ind w:left="1239" w:right="706" w:firstLine="0"/>
        <w:jc w:val="left"/>
        <w:rPr>
          <w:sz w:val="23"/>
        </w:rPr>
      </w:pPr>
      <w:r>
        <w:rPr>
          <w:sz w:val="23"/>
        </w:rPr>
        <w:t>If the STD. 204 is not completed by the payee, then payment to the payee shall be reduced by the following:</w:t>
      </w:r>
    </w:p>
    <w:p>
      <w:pPr>
        <w:pStyle w:val="BodyText"/>
        <w:spacing w:before="6"/>
        <w:rPr>
          <w:sz w:val="22"/>
        </w:rPr>
      </w:pPr>
    </w:p>
    <w:p>
      <w:pPr>
        <w:pStyle w:val="ListParagraph"/>
        <w:numPr>
          <w:ilvl w:val="0"/>
          <w:numId w:val="142"/>
        </w:numPr>
        <w:tabs>
          <w:tab w:pos="1599" w:val="left" w:leader="none"/>
          <w:tab w:pos="1600" w:val="left" w:leader="none"/>
        </w:tabs>
        <w:spacing w:line="240" w:lineRule="auto" w:before="0" w:after="0"/>
        <w:ind w:left="1599" w:right="249" w:hanging="359"/>
        <w:jc w:val="left"/>
        <w:rPr>
          <w:rFonts w:ascii="Symbol" w:hAnsi="Symbol"/>
          <w:sz w:val="23"/>
        </w:rPr>
      </w:pPr>
      <w:r>
        <w:rPr>
          <w:sz w:val="23"/>
        </w:rPr>
        <w:t>Federal backup withholding at a rate determined by the Internal Revenue Service (IRS). For more information, refer to the IRS website </w:t>
      </w:r>
      <w:hyperlink r:id="rId397">
        <w:r>
          <w:rPr>
            <w:color w:val="0000FF"/>
            <w:sz w:val="23"/>
            <w:u w:val="single" w:color="0000FF"/>
          </w:rPr>
          <w:t>http://www.irs.gov/</w:t>
        </w:r>
      </w:hyperlink>
      <w:r>
        <w:rPr>
          <w:color w:val="0000FF"/>
          <w:sz w:val="23"/>
          <w:u w:val="single" w:color="0000FF"/>
        </w:rPr>
        <w:t> </w:t>
      </w:r>
      <w:r>
        <w:rPr>
          <w:sz w:val="23"/>
        </w:rPr>
        <w:t>for </w:t>
      </w:r>
      <w:r>
        <w:rPr>
          <w:spacing w:val="-3"/>
          <w:sz w:val="23"/>
        </w:rPr>
        <w:t>IRS </w:t>
      </w:r>
      <w:r>
        <w:rPr>
          <w:sz w:val="23"/>
        </w:rPr>
        <w:t>Publication 1281, Backup Withholding for Missing and Incorrect Name/TIN(S). Additional resources include IRS Publication 15, Employer’s Tax Guide, and IRS Publication 17, Your Federal Income Tax</w:t>
      </w:r>
      <w:r>
        <w:rPr>
          <w:i/>
          <w:sz w:val="23"/>
        </w:rPr>
        <w:t>. </w:t>
      </w:r>
      <w:r>
        <w:rPr>
          <w:sz w:val="23"/>
        </w:rPr>
        <w:t>For questions about federal backup withholding</w:t>
      </w:r>
      <w:r>
        <w:rPr>
          <w:spacing w:val="-12"/>
          <w:sz w:val="23"/>
        </w:rPr>
        <w:t> </w:t>
      </w:r>
      <w:r>
        <w:rPr>
          <w:sz w:val="23"/>
        </w:rPr>
        <w:t>or</w:t>
      </w:r>
      <w:r>
        <w:rPr>
          <w:spacing w:val="-11"/>
          <w:sz w:val="23"/>
        </w:rPr>
        <w:t> </w:t>
      </w:r>
      <w:r>
        <w:rPr>
          <w:sz w:val="23"/>
        </w:rPr>
        <w:t>information</w:t>
      </w:r>
      <w:r>
        <w:rPr>
          <w:spacing w:val="-12"/>
          <w:sz w:val="23"/>
        </w:rPr>
        <w:t> </w:t>
      </w:r>
      <w:r>
        <w:rPr>
          <w:sz w:val="23"/>
        </w:rPr>
        <w:t>reporting,</w:t>
      </w:r>
      <w:r>
        <w:rPr>
          <w:spacing w:val="-11"/>
          <w:sz w:val="23"/>
        </w:rPr>
        <w:t> </w:t>
      </w:r>
      <w:r>
        <w:rPr>
          <w:sz w:val="23"/>
        </w:rPr>
        <w:t>contact</w:t>
      </w:r>
      <w:r>
        <w:rPr>
          <w:spacing w:val="-11"/>
          <w:sz w:val="23"/>
        </w:rPr>
        <w:t> </w:t>
      </w:r>
      <w:r>
        <w:rPr>
          <w:sz w:val="23"/>
        </w:rPr>
        <w:t>the</w:t>
      </w:r>
      <w:r>
        <w:rPr>
          <w:spacing w:val="-12"/>
          <w:sz w:val="23"/>
        </w:rPr>
        <w:t> </w:t>
      </w:r>
      <w:r>
        <w:rPr>
          <w:sz w:val="23"/>
        </w:rPr>
        <w:t>IRS’</w:t>
      </w:r>
      <w:r>
        <w:rPr>
          <w:spacing w:val="-12"/>
          <w:sz w:val="23"/>
        </w:rPr>
        <w:t> </w:t>
      </w:r>
      <w:r>
        <w:rPr>
          <w:sz w:val="23"/>
        </w:rPr>
        <w:t>Information</w:t>
      </w:r>
      <w:r>
        <w:rPr>
          <w:spacing w:val="-12"/>
          <w:sz w:val="23"/>
        </w:rPr>
        <w:t> </w:t>
      </w:r>
      <w:r>
        <w:rPr>
          <w:sz w:val="23"/>
        </w:rPr>
        <w:t>Reporting</w:t>
      </w:r>
      <w:r>
        <w:rPr>
          <w:spacing w:val="-12"/>
          <w:sz w:val="23"/>
        </w:rPr>
        <w:t> </w:t>
      </w:r>
      <w:r>
        <w:rPr>
          <w:sz w:val="23"/>
        </w:rPr>
        <w:t>Program Customer</w:t>
      </w:r>
      <w:r>
        <w:rPr>
          <w:spacing w:val="-11"/>
          <w:sz w:val="23"/>
        </w:rPr>
        <w:t> </w:t>
      </w:r>
      <w:r>
        <w:rPr>
          <w:sz w:val="23"/>
        </w:rPr>
        <w:t>Service</w:t>
      </w:r>
      <w:r>
        <w:rPr>
          <w:spacing w:val="-12"/>
          <w:sz w:val="23"/>
        </w:rPr>
        <w:t> </w:t>
      </w:r>
      <w:r>
        <w:rPr>
          <w:sz w:val="23"/>
        </w:rPr>
        <w:t>Section</w:t>
      </w:r>
      <w:r>
        <w:rPr>
          <w:spacing w:val="-9"/>
          <w:sz w:val="23"/>
        </w:rPr>
        <w:t> </w:t>
      </w:r>
      <w:r>
        <w:rPr>
          <w:sz w:val="23"/>
        </w:rPr>
        <w:t>at</w:t>
      </w:r>
      <w:r>
        <w:rPr>
          <w:spacing w:val="-9"/>
          <w:sz w:val="23"/>
        </w:rPr>
        <w:t> </w:t>
      </w:r>
      <w:r>
        <w:rPr>
          <w:sz w:val="23"/>
        </w:rPr>
        <w:t>(866)</w:t>
      </w:r>
      <w:r>
        <w:rPr>
          <w:spacing w:val="-11"/>
          <w:sz w:val="23"/>
        </w:rPr>
        <w:t> </w:t>
      </w:r>
      <w:r>
        <w:rPr>
          <w:sz w:val="23"/>
        </w:rPr>
        <w:t>455-7438.</w:t>
      </w:r>
    </w:p>
    <w:p>
      <w:pPr>
        <w:pStyle w:val="BodyText"/>
        <w:spacing w:before="8"/>
        <w:rPr>
          <w:sz w:val="26"/>
        </w:rPr>
      </w:pPr>
    </w:p>
    <w:p>
      <w:pPr>
        <w:pStyle w:val="ListParagraph"/>
        <w:numPr>
          <w:ilvl w:val="0"/>
          <w:numId w:val="142"/>
        </w:numPr>
        <w:tabs>
          <w:tab w:pos="1599" w:val="left" w:leader="none"/>
          <w:tab w:pos="1600" w:val="left" w:leader="none"/>
        </w:tabs>
        <w:spacing w:line="281" w:lineRule="exact" w:before="0" w:after="0"/>
        <w:ind w:left="1599" w:right="0" w:hanging="359"/>
        <w:jc w:val="left"/>
        <w:rPr>
          <w:rFonts w:ascii="Symbol"/>
          <w:color w:val="B5082E"/>
          <w:sz w:val="23"/>
        </w:rPr>
      </w:pPr>
      <w:r>
        <w:rPr/>
        <w:pict>
          <v:line style="position:absolute;mso-position-horizontal-relative:page;mso-position-vertical-relative:paragraph;z-index:49168" from="33.360001pt,.161764pt" to="33.360001pt,28.241764pt" stroked="true" strokeweight=".72pt" strokecolor="#000000">
            <v:stroke dashstyle="solid"/>
            <w10:wrap type="none"/>
          </v:line>
        </w:pict>
      </w:r>
      <w:r>
        <w:rPr>
          <w:strike w:val="0"/>
          <w:sz w:val="23"/>
        </w:rPr>
        <w:t>State</w:t>
      </w:r>
      <w:r>
        <w:rPr>
          <w:strike w:val="0"/>
          <w:spacing w:val="-8"/>
          <w:sz w:val="23"/>
        </w:rPr>
        <w:t> </w:t>
      </w:r>
      <w:r>
        <w:rPr>
          <w:strike w:val="0"/>
          <w:sz w:val="23"/>
        </w:rPr>
        <w:t>backup</w:t>
      </w:r>
      <w:r>
        <w:rPr>
          <w:strike w:val="0"/>
          <w:spacing w:val="-4"/>
          <w:sz w:val="23"/>
        </w:rPr>
        <w:t> </w:t>
      </w:r>
      <w:r>
        <w:rPr>
          <w:strike w:val="0"/>
          <w:sz w:val="23"/>
        </w:rPr>
        <w:t>withholding</w:t>
      </w:r>
      <w:r>
        <w:rPr>
          <w:strike w:val="0"/>
          <w:spacing w:val="-6"/>
          <w:sz w:val="23"/>
        </w:rPr>
        <w:t> </w:t>
      </w:r>
      <w:r>
        <w:rPr>
          <w:strike w:val="0"/>
          <w:sz w:val="23"/>
        </w:rPr>
        <w:t>of</w:t>
      </w:r>
      <w:r>
        <w:rPr>
          <w:strike w:val="0"/>
          <w:spacing w:val="-4"/>
          <w:sz w:val="23"/>
        </w:rPr>
        <w:t> </w:t>
      </w:r>
      <w:r>
        <w:rPr>
          <w:strike w:val="0"/>
          <w:sz w:val="23"/>
        </w:rPr>
        <w:t>7</w:t>
      </w:r>
      <w:r>
        <w:rPr>
          <w:strike w:val="0"/>
          <w:spacing w:val="-6"/>
          <w:sz w:val="23"/>
        </w:rPr>
        <w:t> </w:t>
      </w:r>
      <w:r>
        <w:rPr>
          <w:strike w:val="0"/>
          <w:sz w:val="23"/>
        </w:rPr>
        <w:t>percent</w:t>
      </w:r>
      <w:r>
        <w:rPr>
          <w:strike w:val="0"/>
          <w:spacing w:val="-8"/>
          <w:sz w:val="23"/>
        </w:rPr>
        <w:t> </w:t>
      </w:r>
      <w:r>
        <w:rPr>
          <w:strike/>
          <w:color w:val="B5082E"/>
          <w:sz w:val="23"/>
        </w:rPr>
        <w:t>for</w:t>
      </w:r>
      <w:r>
        <w:rPr>
          <w:strike/>
          <w:color w:val="B5082E"/>
          <w:spacing w:val="-7"/>
          <w:sz w:val="23"/>
        </w:rPr>
        <w:t> </w:t>
      </w:r>
      <w:r>
        <w:rPr>
          <w:strike/>
          <w:color w:val="B5082E"/>
          <w:sz w:val="23"/>
        </w:rPr>
        <w:t>payments</w:t>
      </w:r>
      <w:r>
        <w:rPr>
          <w:strike/>
          <w:color w:val="B5082E"/>
          <w:spacing w:val="-9"/>
          <w:sz w:val="23"/>
        </w:rPr>
        <w:t> </w:t>
      </w:r>
      <w:r>
        <w:rPr>
          <w:strike/>
          <w:color w:val="B5082E"/>
          <w:sz w:val="23"/>
        </w:rPr>
        <w:t>made</w:t>
      </w:r>
      <w:r>
        <w:rPr>
          <w:strike/>
          <w:color w:val="B5082E"/>
          <w:spacing w:val="-6"/>
          <w:sz w:val="23"/>
        </w:rPr>
        <w:t> </w:t>
      </w:r>
      <w:r>
        <w:rPr>
          <w:strike/>
          <w:color w:val="B5082E"/>
          <w:sz w:val="23"/>
        </w:rPr>
        <w:t>on</w:t>
      </w:r>
      <w:r>
        <w:rPr>
          <w:strike/>
          <w:color w:val="B5082E"/>
          <w:spacing w:val="-8"/>
          <w:sz w:val="23"/>
        </w:rPr>
        <w:t> </w:t>
      </w:r>
      <w:r>
        <w:rPr>
          <w:strike/>
          <w:color w:val="B5082E"/>
          <w:sz w:val="23"/>
        </w:rPr>
        <w:t>or</w:t>
      </w:r>
      <w:r>
        <w:rPr>
          <w:strike/>
          <w:color w:val="B5082E"/>
          <w:spacing w:val="-7"/>
          <w:sz w:val="23"/>
        </w:rPr>
        <w:t> </w:t>
      </w:r>
      <w:r>
        <w:rPr>
          <w:strike/>
          <w:color w:val="B5082E"/>
          <w:sz w:val="23"/>
        </w:rPr>
        <w:t>after</w:t>
      </w:r>
    </w:p>
    <w:p>
      <w:pPr>
        <w:pStyle w:val="ListParagraph"/>
        <w:numPr>
          <w:ilvl w:val="0"/>
          <w:numId w:val="142"/>
        </w:numPr>
        <w:tabs>
          <w:tab w:pos="1599" w:val="left" w:leader="none"/>
          <w:tab w:pos="1600" w:val="left" w:leader="none"/>
        </w:tabs>
        <w:spacing w:line="281" w:lineRule="exact" w:before="0" w:after="0"/>
        <w:ind w:left="1599" w:right="0" w:hanging="359"/>
        <w:jc w:val="left"/>
        <w:rPr>
          <w:rFonts w:ascii="Symbol"/>
          <w:color w:val="B5082E"/>
          <w:sz w:val="23"/>
        </w:rPr>
      </w:pPr>
      <w:r>
        <w:rPr>
          <w:strike/>
          <w:color w:val="B5082E"/>
          <w:sz w:val="23"/>
        </w:rPr>
        <w:t>January</w:t>
      </w:r>
      <w:r>
        <w:rPr>
          <w:strike/>
          <w:color w:val="B5082E"/>
          <w:spacing w:val="-10"/>
          <w:sz w:val="23"/>
        </w:rPr>
        <w:t> </w:t>
      </w:r>
      <w:r>
        <w:rPr>
          <w:strike/>
          <w:color w:val="B5082E"/>
          <w:sz w:val="23"/>
        </w:rPr>
        <w:t>1,</w:t>
      </w:r>
      <w:r>
        <w:rPr>
          <w:strike/>
          <w:color w:val="B5082E"/>
          <w:spacing w:val="-5"/>
          <w:sz w:val="23"/>
        </w:rPr>
        <w:t> </w:t>
      </w:r>
      <w:r>
        <w:rPr>
          <w:strike/>
          <w:color w:val="B5082E"/>
          <w:sz w:val="23"/>
        </w:rPr>
        <w:t>2010</w:t>
      </w:r>
      <w:r>
        <w:rPr>
          <w:strike/>
          <w:color w:val="B5082E"/>
          <w:spacing w:val="-11"/>
          <w:sz w:val="23"/>
        </w:rPr>
        <w:t> </w:t>
      </w:r>
      <w:r>
        <w:rPr>
          <w:strike/>
          <w:color w:val="B5082E"/>
          <w:sz w:val="23"/>
        </w:rPr>
        <w:t>to</w:t>
      </w:r>
      <w:r>
        <w:rPr>
          <w:strike/>
          <w:color w:val="B5082E"/>
          <w:spacing w:val="-9"/>
          <w:sz w:val="23"/>
        </w:rPr>
        <w:t> </w:t>
      </w:r>
      <w:r>
        <w:rPr>
          <w:strike/>
          <w:color w:val="B5082E"/>
          <w:sz w:val="23"/>
        </w:rPr>
        <w:t>residents</w:t>
      </w:r>
      <w:r>
        <w:rPr>
          <w:strike/>
          <w:color w:val="B5082E"/>
          <w:spacing w:val="-6"/>
          <w:sz w:val="23"/>
        </w:rPr>
        <w:t> </w:t>
      </w:r>
      <w:r>
        <w:rPr>
          <w:strike/>
          <w:color w:val="B5082E"/>
          <w:sz w:val="23"/>
        </w:rPr>
        <w:t>or</w:t>
      </w:r>
      <w:r>
        <w:rPr>
          <w:strike/>
          <w:color w:val="B5082E"/>
          <w:spacing w:val="-6"/>
          <w:sz w:val="23"/>
        </w:rPr>
        <w:t> </w:t>
      </w:r>
      <w:r>
        <w:rPr>
          <w:strike/>
          <w:color w:val="B5082E"/>
          <w:sz w:val="23"/>
        </w:rPr>
        <w:t>nonresidents</w:t>
      </w:r>
      <w:r>
        <w:rPr>
          <w:strike/>
          <w:color w:val="B5082E"/>
          <w:spacing w:val="-8"/>
          <w:sz w:val="23"/>
        </w:rPr>
        <w:t> </w:t>
      </w:r>
      <w:r>
        <w:rPr>
          <w:strike w:val="0"/>
          <w:sz w:val="23"/>
        </w:rPr>
        <w:t>pursuant</w:t>
      </w:r>
      <w:r>
        <w:rPr>
          <w:strike w:val="0"/>
          <w:spacing w:val="-5"/>
          <w:sz w:val="23"/>
        </w:rPr>
        <w:t> </w:t>
      </w:r>
      <w:r>
        <w:rPr>
          <w:strike w:val="0"/>
          <w:sz w:val="23"/>
        </w:rPr>
        <w:t>to</w:t>
      </w:r>
      <w:r>
        <w:rPr>
          <w:strike w:val="0"/>
          <w:spacing w:val="-9"/>
          <w:sz w:val="23"/>
        </w:rPr>
        <w:t> </w:t>
      </w:r>
      <w:r>
        <w:rPr>
          <w:strike w:val="0"/>
          <w:sz w:val="23"/>
        </w:rPr>
        <w:t>R&amp;TC</w:t>
      </w:r>
      <w:r>
        <w:rPr>
          <w:strike w:val="0"/>
          <w:spacing w:val="-9"/>
          <w:sz w:val="23"/>
        </w:rPr>
        <w:t> </w:t>
      </w:r>
      <w:r>
        <w:rPr>
          <w:strike w:val="0"/>
          <w:sz w:val="23"/>
        </w:rPr>
        <w:t>section</w:t>
      </w:r>
      <w:r>
        <w:rPr>
          <w:strike w:val="0"/>
          <w:spacing w:val="-11"/>
          <w:sz w:val="23"/>
        </w:rPr>
        <w:t> </w:t>
      </w:r>
      <w:r>
        <w:rPr>
          <w:strike w:val="0"/>
          <w:sz w:val="23"/>
        </w:rPr>
        <w:t>18664.</w:t>
      </w:r>
    </w:p>
    <w:p>
      <w:pPr>
        <w:pStyle w:val="BodyText"/>
        <w:spacing w:before="7"/>
        <w:rPr>
          <w:sz w:val="22"/>
        </w:rPr>
      </w:pPr>
    </w:p>
    <w:p>
      <w:pPr>
        <w:pStyle w:val="ListParagraph"/>
        <w:numPr>
          <w:ilvl w:val="0"/>
          <w:numId w:val="142"/>
        </w:numPr>
        <w:tabs>
          <w:tab w:pos="1599" w:val="left" w:leader="none"/>
          <w:tab w:pos="1600" w:val="left" w:leader="none"/>
        </w:tabs>
        <w:spacing w:line="240" w:lineRule="auto" w:before="1" w:after="0"/>
        <w:ind w:left="1599" w:right="739" w:hanging="359"/>
        <w:jc w:val="left"/>
        <w:rPr>
          <w:rFonts w:ascii="Symbol" w:hAnsi="Symbol"/>
          <w:sz w:val="23"/>
        </w:rPr>
      </w:pPr>
      <w:r>
        <w:rPr>
          <w:sz w:val="23"/>
        </w:rPr>
        <w:t>Payment may be subject to state income tax withholding if the payee indicates ”nonresident” on the STD. 204 per </w:t>
      </w:r>
      <w:r>
        <w:rPr>
          <w:spacing w:val="-3"/>
          <w:sz w:val="23"/>
        </w:rPr>
        <w:t>item </w:t>
      </w:r>
      <w:r>
        <w:rPr>
          <w:sz w:val="23"/>
        </w:rPr>
        <w:t>#1c listed above. Under circumstances where</w:t>
      </w:r>
      <w:r>
        <w:rPr>
          <w:spacing w:val="-9"/>
          <w:sz w:val="23"/>
        </w:rPr>
        <w:t> </w:t>
      </w:r>
      <w:r>
        <w:rPr>
          <w:sz w:val="23"/>
        </w:rPr>
        <w:t>both</w:t>
      </w:r>
      <w:r>
        <w:rPr>
          <w:spacing w:val="-10"/>
          <w:sz w:val="23"/>
        </w:rPr>
        <w:t> </w:t>
      </w:r>
      <w:r>
        <w:rPr>
          <w:sz w:val="23"/>
        </w:rPr>
        <w:t>backup</w:t>
      </w:r>
      <w:r>
        <w:rPr>
          <w:spacing w:val="-8"/>
          <w:sz w:val="23"/>
        </w:rPr>
        <w:t> </w:t>
      </w:r>
      <w:r>
        <w:rPr>
          <w:sz w:val="23"/>
        </w:rPr>
        <w:t>withholding</w:t>
      </w:r>
      <w:r>
        <w:rPr>
          <w:spacing w:val="-10"/>
          <w:sz w:val="23"/>
        </w:rPr>
        <w:t> </w:t>
      </w:r>
      <w:r>
        <w:rPr>
          <w:sz w:val="23"/>
        </w:rPr>
        <w:t>and</w:t>
      </w:r>
      <w:r>
        <w:rPr>
          <w:spacing w:val="-9"/>
          <w:sz w:val="23"/>
        </w:rPr>
        <w:t> </w:t>
      </w:r>
      <w:r>
        <w:rPr>
          <w:sz w:val="23"/>
        </w:rPr>
        <w:t>nonresident</w:t>
      </w:r>
      <w:r>
        <w:rPr>
          <w:spacing w:val="-4"/>
          <w:sz w:val="23"/>
        </w:rPr>
        <w:t> </w:t>
      </w:r>
      <w:r>
        <w:rPr>
          <w:sz w:val="23"/>
        </w:rPr>
        <w:t>withholding</w:t>
      </w:r>
      <w:r>
        <w:rPr>
          <w:spacing w:val="-10"/>
          <w:sz w:val="23"/>
        </w:rPr>
        <w:t> </w:t>
      </w:r>
      <w:r>
        <w:rPr>
          <w:sz w:val="23"/>
        </w:rPr>
        <w:t>apply,</w:t>
      </w:r>
      <w:r>
        <w:rPr>
          <w:spacing w:val="-7"/>
          <w:sz w:val="23"/>
        </w:rPr>
        <w:t> </w:t>
      </w:r>
      <w:r>
        <w:rPr>
          <w:sz w:val="23"/>
        </w:rPr>
        <w:t>only</w:t>
      </w:r>
      <w:r>
        <w:rPr>
          <w:spacing w:val="-10"/>
          <w:sz w:val="23"/>
        </w:rPr>
        <w:t> </w:t>
      </w:r>
      <w:r>
        <w:rPr>
          <w:sz w:val="23"/>
        </w:rPr>
        <w:t>backup withholding shall be required. Refer to FTB Publication 1017 </w:t>
      </w:r>
      <w:r>
        <w:rPr>
          <w:spacing w:val="-4"/>
          <w:sz w:val="23"/>
        </w:rPr>
        <w:t>at </w:t>
      </w:r>
      <w:hyperlink r:id="rId398">
        <w:r>
          <w:rPr>
            <w:color w:val="0000FF"/>
            <w:sz w:val="23"/>
            <w:u w:val="single" w:color="0000FF"/>
          </w:rPr>
          <w:t>http://www.ftb.ca.gov/</w:t>
        </w:r>
        <w:r>
          <w:rPr>
            <w:color w:val="0000FF"/>
            <w:spacing w:val="-20"/>
            <w:sz w:val="23"/>
            <w:u w:val="single" w:color="0000FF"/>
          </w:rPr>
          <w:t> </w:t>
        </w:r>
      </w:hyperlink>
      <w:r>
        <w:rPr>
          <w:sz w:val="23"/>
        </w:rPr>
        <w:t>for</w:t>
      </w:r>
      <w:r>
        <w:rPr>
          <w:spacing w:val="-21"/>
          <w:sz w:val="23"/>
        </w:rPr>
        <w:t> </w:t>
      </w:r>
      <w:r>
        <w:rPr>
          <w:sz w:val="23"/>
        </w:rPr>
        <w:t>further</w:t>
      </w:r>
      <w:r>
        <w:rPr>
          <w:spacing w:val="-17"/>
          <w:sz w:val="23"/>
        </w:rPr>
        <w:t> </w:t>
      </w:r>
      <w:r>
        <w:rPr>
          <w:sz w:val="23"/>
        </w:rPr>
        <w:t>information.</w:t>
      </w:r>
    </w:p>
    <w:p>
      <w:pPr>
        <w:pStyle w:val="BodyText"/>
        <w:spacing w:before="9"/>
        <w:rPr>
          <w:sz w:val="14"/>
        </w:rPr>
      </w:pPr>
    </w:p>
    <w:p>
      <w:pPr>
        <w:spacing w:before="93"/>
        <w:ind w:left="1239" w:right="131" w:firstLine="0"/>
        <w:jc w:val="left"/>
        <w:rPr>
          <w:sz w:val="23"/>
        </w:rPr>
      </w:pPr>
      <w:r>
        <w:rPr/>
        <w:pict>
          <v:line style="position:absolute;mso-position-horizontal-relative:page;mso-position-vertical-relative:paragraph;z-index:-423568" from="305.160004pt,30.256866pt" to="308.400004pt,30.256866pt" stroked="true" strokeweight=".84pt" strokecolor="#b5082e">
            <v:stroke dashstyle="solid"/>
            <w10:wrap type="none"/>
          </v:line>
        </w:pict>
      </w:r>
      <w:r>
        <w:rPr/>
        <w:pict>
          <v:line style="position:absolute;mso-position-horizontal-relative:page;mso-position-vertical-relative:paragraph;z-index:49192" from="33.360001pt,17.956865pt" to="33.360001pt,31.276865pt" stroked="true" strokeweight=".72pt" strokecolor="#000000">
            <v:stroke dashstyle="solid"/>
            <w10:wrap type="none"/>
          </v:line>
        </w:pict>
      </w:r>
      <w:r>
        <w:rPr>
          <w:sz w:val="23"/>
        </w:rPr>
        <w:t>State departments are liable for amounts not withheld, under-withheld, or not remitted to the FTB pursuant to R&amp;TC sections 18662 (d) and 18668. Information on federal and state tax withholdings is provided in SAM section 8422.195. In addition, state departments are responsible for sending additional requests to those payees that fail to provide their TIN, as described in SAM section </w:t>
      </w:r>
      <w:hyperlink r:id="rId399">
        <w:r>
          <w:rPr>
            <w:color w:val="0000FF"/>
            <w:sz w:val="23"/>
            <w:u w:val="single" w:color="0000FF"/>
          </w:rPr>
          <w:t>8422.193</w:t>
        </w:r>
      </w:hyperlink>
      <w:r>
        <w:rPr>
          <w:sz w:val="23"/>
        </w:rPr>
        <w:t>.</w:t>
      </w:r>
    </w:p>
    <w:p>
      <w:pPr>
        <w:pStyle w:val="BodyText"/>
        <w:spacing w:before="9"/>
        <w:rPr>
          <w:sz w:val="14"/>
        </w:rPr>
      </w:pPr>
    </w:p>
    <w:p>
      <w:pPr>
        <w:spacing w:before="93"/>
        <w:ind w:left="1240" w:right="0" w:firstLine="0"/>
        <w:jc w:val="left"/>
        <w:rPr>
          <w:sz w:val="23"/>
        </w:rPr>
      </w:pPr>
      <w:r>
        <w:rPr>
          <w:sz w:val="23"/>
        </w:rPr>
        <w:t>(Continued)</w:t>
      </w:r>
    </w:p>
    <w:p>
      <w:pPr>
        <w:spacing w:after="0"/>
        <w:jc w:val="left"/>
        <w:rPr>
          <w:sz w:val="23"/>
        </w:rPr>
        <w:sectPr>
          <w:headerReference w:type="default" r:id="rId393"/>
          <w:pgSz w:w="12240" w:h="15840"/>
          <w:pgMar w:header="721" w:footer="800" w:top="2520" w:bottom="980" w:left="560" w:right="1340"/>
          <w:pgNumType w:start="1"/>
        </w:sectPr>
      </w:pPr>
    </w:p>
    <w:p>
      <w:pPr>
        <w:pStyle w:val="BodyText"/>
        <w:rPr>
          <w:sz w:val="20"/>
        </w:rPr>
      </w:pPr>
    </w:p>
    <w:p>
      <w:pPr>
        <w:pStyle w:val="BodyText"/>
        <w:spacing w:before="7"/>
        <w:rPr>
          <w:sz w:val="16"/>
        </w:rPr>
      </w:pPr>
    </w:p>
    <w:p>
      <w:pPr>
        <w:pStyle w:val="ListParagraph"/>
        <w:numPr>
          <w:ilvl w:val="2"/>
          <w:numId w:val="140"/>
        </w:numPr>
        <w:tabs>
          <w:tab w:pos="1202" w:val="left" w:leader="none"/>
        </w:tabs>
        <w:spacing w:line="240" w:lineRule="auto" w:before="93" w:after="0"/>
        <w:ind w:left="1201" w:right="0" w:hanging="321"/>
        <w:jc w:val="left"/>
        <w:rPr>
          <w:sz w:val="23"/>
        </w:rPr>
      </w:pPr>
      <w:r>
        <w:rPr>
          <w:sz w:val="23"/>
        </w:rPr>
        <w:t>Payments that must be</w:t>
      </w:r>
      <w:r>
        <w:rPr>
          <w:spacing w:val="-38"/>
          <w:sz w:val="23"/>
        </w:rPr>
        <w:t> </w:t>
      </w:r>
      <w:r>
        <w:rPr>
          <w:sz w:val="23"/>
        </w:rPr>
        <w:t>reported.</w:t>
      </w:r>
    </w:p>
    <w:p>
      <w:pPr>
        <w:pStyle w:val="ListParagraph"/>
        <w:numPr>
          <w:ilvl w:val="3"/>
          <w:numId w:val="140"/>
        </w:numPr>
        <w:tabs>
          <w:tab w:pos="1961" w:val="left" w:leader="none"/>
        </w:tabs>
        <w:spacing w:line="240" w:lineRule="auto" w:before="4" w:after="0"/>
        <w:ind w:left="1958" w:right="423" w:hanging="358"/>
        <w:jc w:val="left"/>
        <w:rPr>
          <w:sz w:val="23"/>
        </w:rPr>
      </w:pPr>
      <w:r>
        <w:rPr>
          <w:sz w:val="23"/>
        </w:rPr>
        <w:t>Payments for services to medical corporations, legal service corporations, and non-corporate</w:t>
      </w:r>
      <w:r>
        <w:rPr>
          <w:spacing w:val="-10"/>
          <w:sz w:val="23"/>
        </w:rPr>
        <w:t> </w:t>
      </w:r>
      <w:r>
        <w:rPr>
          <w:sz w:val="23"/>
        </w:rPr>
        <w:t>entities</w:t>
      </w:r>
      <w:r>
        <w:rPr>
          <w:spacing w:val="-9"/>
          <w:sz w:val="23"/>
        </w:rPr>
        <w:t> </w:t>
      </w:r>
      <w:r>
        <w:rPr>
          <w:sz w:val="23"/>
        </w:rPr>
        <w:t>(except</w:t>
      </w:r>
      <w:r>
        <w:rPr>
          <w:spacing w:val="-6"/>
          <w:sz w:val="23"/>
        </w:rPr>
        <w:t> </w:t>
      </w:r>
      <w:r>
        <w:rPr>
          <w:sz w:val="23"/>
        </w:rPr>
        <w:t>governmental</w:t>
      </w:r>
      <w:r>
        <w:rPr>
          <w:spacing w:val="-10"/>
          <w:sz w:val="23"/>
        </w:rPr>
        <w:t> </w:t>
      </w:r>
      <w:r>
        <w:rPr>
          <w:sz w:val="23"/>
        </w:rPr>
        <w:t>units)</w:t>
      </w:r>
      <w:r>
        <w:rPr>
          <w:spacing w:val="-5"/>
          <w:sz w:val="23"/>
        </w:rPr>
        <w:t> </w:t>
      </w:r>
      <w:r>
        <w:rPr>
          <w:spacing w:val="-3"/>
          <w:sz w:val="23"/>
        </w:rPr>
        <w:t>will</w:t>
      </w:r>
      <w:r>
        <w:rPr>
          <w:spacing w:val="-10"/>
          <w:sz w:val="23"/>
        </w:rPr>
        <w:t> </w:t>
      </w:r>
      <w:r>
        <w:rPr>
          <w:sz w:val="23"/>
        </w:rPr>
        <w:t>be</w:t>
      </w:r>
      <w:r>
        <w:rPr>
          <w:spacing w:val="-8"/>
          <w:sz w:val="23"/>
        </w:rPr>
        <w:t> </w:t>
      </w:r>
      <w:r>
        <w:rPr>
          <w:sz w:val="23"/>
        </w:rPr>
        <w:t>reported.</w:t>
      </w:r>
      <w:r>
        <w:rPr>
          <w:spacing w:val="-6"/>
          <w:sz w:val="23"/>
        </w:rPr>
        <w:t> </w:t>
      </w:r>
      <w:r>
        <w:rPr>
          <w:sz w:val="23"/>
        </w:rPr>
        <w:t>These</w:t>
      </w:r>
      <w:r>
        <w:rPr>
          <w:spacing w:val="-13"/>
          <w:sz w:val="23"/>
        </w:rPr>
        <w:t> </w:t>
      </w:r>
      <w:r>
        <w:rPr>
          <w:sz w:val="23"/>
        </w:rPr>
        <w:t>may include: fees, commissions, other forms </w:t>
      </w:r>
      <w:r>
        <w:rPr>
          <w:spacing w:val="-3"/>
          <w:sz w:val="23"/>
        </w:rPr>
        <w:t>of </w:t>
      </w:r>
      <w:r>
        <w:rPr>
          <w:sz w:val="23"/>
        </w:rPr>
        <w:t>compensation for services (to the extent</w:t>
      </w:r>
      <w:r>
        <w:rPr>
          <w:spacing w:val="-6"/>
          <w:sz w:val="23"/>
        </w:rPr>
        <w:t> </w:t>
      </w:r>
      <w:r>
        <w:rPr>
          <w:sz w:val="23"/>
        </w:rPr>
        <w:t>not</w:t>
      </w:r>
      <w:r>
        <w:rPr>
          <w:spacing w:val="-8"/>
          <w:sz w:val="23"/>
        </w:rPr>
        <w:t> </w:t>
      </w:r>
      <w:r>
        <w:rPr>
          <w:sz w:val="23"/>
        </w:rPr>
        <w:t>reported</w:t>
      </w:r>
      <w:r>
        <w:rPr>
          <w:spacing w:val="-9"/>
          <w:sz w:val="23"/>
        </w:rPr>
        <w:t> </w:t>
      </w:r>
      <w:r>
        <w:rPr>
          <w:sz w:val="23"/>
        </w:rPr>
        <w:t>on</w:t>
      </w:r>
      <w:r>
        <w:rPr>
          <w:spacing w:val="-9"/>
          <w:sz w:val="23"/>
        </w:rPr>
        <w:t> </w:t>
      </w:r>
      <w:r>
        <w:rPr>
          <w:sz w:val="23"/>
        </w:rPr>
        <w:t>Form</w:t>
      </w:r>
      <w:r>
        <w:rPr>
          <w:spacing w:val="-12"/>
          <w:sz w:val="23"/>
        </w:rPr>
        <w:t> </w:t>
      </w:r>
      <w:r>
        <w:rPr>
          <w:sz w:val="23"/>
        </w:rPr>
        <w:t>W–2),</w:t>
      </w:r>
      <w:r>
        <w:rPr>
          <w:spacing w:val="-6"/>
          <w:sz w:val="23"/>
        </w:rPr>
        <w:t> </w:t>
      </w:r>
      <w:r>
        <w:rPr>
          <w:sz w:val="23"/>
        </w:rPr>
        <w:t>interest,</w:t>
      </w:r>
      <w:r>
        <w:rPr>
          <w:spacing w:val="-8"/>
          <w:sz w:val="23"/>
        </w:rPr>
        <w:t> </w:t>
      </w:r>
      <w:r>
        <w:rPr>
          <w:sz w:val="23"/>
        </w:rPr>
        <w:t>rent,</w:t>
      </w:r>
      <w:r>
        <w:rPr>
          <w:spacing w:val="-6"/>
          <w:sz w:val="23"/>
        </w:rPr>
        <w:t> </w:t>
      </w:r>
      <w:r>
        <w:rPr>
          <w:sz w:val="23"/>
        </w:rPr>
        <w:t>royalties,</w:t>
      </w:r>
      <w:r>
        <w:rPr>
          <w:spacing w:val="-6"/>
          <w:sz w:val="23"/>
        </w:rPr>
        <w:t> </w:t>
      </w:r>
      <w:r>
        <w:rPr>
          <w:sz w:val="23"/>
        </w:rPr>
        <w:t>prizes,</w:t>
      </w:r>
      <w:r>
        <w:rPr>
          <w:spacing w:val="-6"/>
          <w:sz w:val="23"/>
        </w:rPr>
        <w:t> </w:t>
      </w:r>
      <w:r>
        <w:rPr>
          <w:sz w:val="23"/>
        </w:rPr>
        <w:t>awards,</w:t>
      </w:r>
      <w:r>
        <w:rPr>
          <w:spacing w:val="-6"/>
          <w:sz w:val="23"/>
        </w:rPr>
        <w:t> </w:t>
      </w:r>
      <w:r>
        <w:rPr>
          <w:sz w:val="23"/>
        </w:rPr>
        <w:t>and "gross proceeds" connected </w:t>
      </w:r>
      <w:r>
        <w:rPr>
          <w:spacing w:val="-3"/>
          <w:sz w:val="23"/>
        </w:rPr>
        <w:t>with </w:t>
      </w:r>
      <w:r>
        <w:rPr>
          <w:sz w:val="23"/>
        </w:rPr>
        <w:t>legal</w:t>
      </w:r>
      <w:r>
        <w:rPr>
          <w:spacing w:val="-39"/>
          <w:sz w:val="23"/>
        </w:rPr>
        <w:t> </w:t>
      </w:r>
      <w:r>
        <w:rPr>
          <w:sz w:val="23"/>
        </w:rPr>
        <w:t>services.</w:t>
      </w:r>
    </w:p>
    <w:p>
      <w:pPr>
        <w:pStyle w:val="BodyText"/>
        <w:spacing w:before="5"/>
        <w:rPr>
          <w:sz w:val="22"/>
        </w:rPr>
      </w:pPr>
    </w:p>
    <w:p>
      <w:pPr>
        <w:pStyle w:val="ListParagraph"/>
        <w:numPr>
          <w:ilvl w:val="3"/>
          <w:numId w:val="140"/>
        </w:numPr>
        <w:tabs>
          <w:tab w:pos="1961" w:val="left" w:leader="none"/>
        </w:tabs>
        <w:spacing w:line="264" w:lineRule="exact" w:before="0" w:after="0"/>
        <w:ind w:left="1960" w:right="0" w:hanging="360"/>
        <w:jc w:val="left"/>
        <w:rPr>
          <w:sz w:val="23"/>
        </w:rPr>
      </w:pPr>
      <w:r>
        <w:rPr>
          <w:sz w:val="23"/>
        </w:rPr>
        <w:t>Payments</w:t>
      </w:r>
      <w:r>
        <w:rPr>
          <w:spacing w:val="-8"/>
          <w:sz w:val="23"/>
        </w:rPr>
        <w:t> </w:t>
      </w:r>
      <w:r>
        <w:rPr>
          <w:sz w:val="23"/>
        </w:rPr>
        <w:t>are</w:t>
      </w:r>
      <w:r>
        <w:rPr>
          <w:spacing w:val="-11"/>
          <w:sz w:val="23"/>
        </w:rPr>
        <w:t> </w:t>
      </w:r>
      <w:r>
        <w:rPr>
          <w:sz w:val="23"/>
        </w:rPr>
        <w:t>reportable</w:t>
      </w:r>
      <w:r>
        <w:rPr>
          <w:spacing w:val="-6"/>
          <w:sz w:val="23"/>
        </w:rPr>
        <w:t> </w:t>
      </w:r>
      <w:r>
        <w:rPr>
          <w:sz w:val="23"/>
        </w:rPr>
        <w:t>if</w:t>
      </w:r>
      <w:r>
        <w:rPr>
          <w:spacing w:val="-5"/>
          <w:sz w:val="23"/>
        </w:rPr>
        <w:t> </w:t>
      </w:r>
      <w:r>
        <w:rPr>
          <w:sz w:val="23"/>
        </w:rPr>
        <w:t>all</w:t>
      </w:r>
      <w:r>
        <w:rPr>
          <w:spacing w:val="-9"/>
          <w:sz w:val="23"/>
        </w:rPr>
        <w:t> </w:t>
      </w:r>
      <w:r>
        <w:rPr>
          <w:sz w:val="23"/>
        </w:rPr>
        <w:t>three</w:t>
      </w:r>
      <w:r>
        <w:rPr>
          <w:spacing w:val="-9"/>
          <w:sz w:val="23"/>
        </w:rPr>
        <w:t> </w:t>
      </w:r>
      <w:r>
        <w:rPr>
          <w:sz w:val="23"/>
        </w:rPr>
        <w:t>of</w:t>
      </w:r>
      <w:r>
        <w:rPr>
          <w:spacing w:val="-7"/>
          <w:sz w:val="23"/>
        </w:rPr>
        <w:t> </w:t>
      </w:r>
      <w:r>
        <w:rPr>
          <w:sz w:val="23"/>
        </w:rPr>
        <w:t>the</w:t>
      </w:r>
      <w:r>
        <w:rPr>
          <w:spacing w:val="-11"/>
          <w:sz w:val="23"/>
        </w:rPr>
        <w:t> </w:t>
      </w:r>
      <w:r>
        <w:rPr>
          <w:sz w:val="23"/>
        </w:rPr>
        <w:t>following</w:t>
      </w:r>
      <w:r>
        <w:rPr>
          <w:spacing w:val="-7"/>
          <w:sz w:val="23"/>
        </w:rPr>
        <w:t> </w:t>
      </w:r>
      <w:r>
        <w:rPr>
          <w:sz w:val="23"/>
        </w:rPr>
        <w:t>points</w:t>
      </w:r>
      <w:r>
        <w:rPr>
          <w:spacing w:val="-8"/>
          <w:sz w:val="23"/>
        </w:rPr>
        <w:t> </w:t>
      </w:r>
      <w:r>
        <w:rPr>
          <w:sz w:val="23"/>
        </w:rPr>
        <w:t>can</w:t>
      </w:r>
      <w:r>
        <w:rPr>
          <w:spacing w:val="-9"/>
          <w:sz w:val="23"/>
        </w:rPr>
        <w:t> </w:t>
      </w:r>
      <w:r>
        <w:rPr>
          <w:sz w:val="23"/>
        </w:rPr>
        <w:t>be</w:t>
      </w:r>
      <w:r>
        <w:rPr>
          <w:spacing w:val="-9"/>
          <w:sz w:val="23"/>
        </w:rPr>
        <w:t> </w:t>
      </w:r>
      <w:r>
        <w:rPr>
          <w:sz w:val="23"/>
        </w:rPr>
        <w:t>answered</w:t>
      </w:r>
      <w:r>
        <w:rPr>
          <w:spacing w:val="-4"/>
          <w:sz w:val="23"/>
        </w:rPr>
        <w:t> </w:t>
      </w:r>
      <w:r>
        <w:rPr>
          <w:sz w:val="23"/>
        </w:rPr>
        <w:t>yes:</w:t>
      </w:r>
    </w:p>
    <w:p>
      <w:pPr>
        <w:pStyle w:val="ListParagraph"/>
        <w:numPr>
          <w:ilvl w:val="0"/>
          <w:numId w:val="143"/>
        </w:numPr>
        <w:tabs>
          <w:tab w:pos="2320" w:val="left" w:leader="none"/>
        </w:tabs>
        <w:spacing w:line="264" w:lineRule="exact" w:before="0" w:after="0"/>
        <w:ind w:left="2320" w:right="0" w:hanging="361"/>
        <w:jc w:val="left"/>
        <w:rPr>
          <w:sz w:val="23"/>
        </w:rPr>
      </w:pPr>
      <w:r>
        <w:rPr/>
        <w:pict>
          <v:line style="position:absolute;mso-position-horizontal-relative:page;mso-position-vertical-relative:paragraph;z-index:49240" from="33.360001pt,13.533969pt" to="33.360001pt,40.053969pt" stroked="true" strokeweight=".72pt" strokecolor="#000000">
            <v:stroke dashstyle="solid"/>
            <w10:wrap type="none"/>
          </v:line>
        </w:pict>
      </w:r>
      <w:r>
        <w:rPr>
          <w:sz w:val="23"/>
        </w:rPr>
        <w:t>Payment is </w:t>
      </w:r>
      <w:r>
        <w:rPr>
          <w:spacing w:val="-4"/>
          <w:sz w:val="23"/>
        </w:rPr>
        <w:t>within </w:t>
      </w:r>
      <w:r>
        <w:rPr>
          <w:sz w:val="23"/>
        </w:rPr>
        <w:t>the conduct of trade or</w:t>
      </w:r>
      <w:r>
        <w:rPr>
          <w:spacing w:val="-35"/>
          <w:sz w:val="23"/>
        </w:rPr>
        <w:t> </w:t>
      </w:r>
      <w:r>
        <w:rPr>
          <w:sz w:val="23"/>
        </w:rPr>
        <w:t>business.</w:t>
      </w:r>
    </w:p>
    <w:p>
      <w:pPr>
        <w:pStyle w:val="ListParagraph"/>
        <w:numPr>
          <w:ilvl w:val="0"/>
          <w:numId w:val="143"/>
        </w:numPr>
        <w:tabs>
          <w:tab w:pos="2321" w:val="left" w:leader="none"/>
        </w:tabs>
        <w:spacing w:line="240" w:lineRule="auto" w:before="4" w:after="0"/>
        <w:ind w:left="2320" w:right="1017" w:hanging="360"/>
        <w:jc w:val="both"/>
        <w:rPr>
          <w:sz w:val="23"/>
        </w:rPr>
      </w:pPr>
      <w:r>
        <w:rPr/>
        <w:pict>
          <v:line style="position:absolute;mso-position-horizontal-relative:page;mso-position-vertical-relative:paragraph;z-index:-423448" from="212.399994pt,21.607374pt" to="218.039994pt,21.607374pt" stroked="true" strokeweight=".599pt" strokecolor="#b5082e">
            <v:stroke dashstyle="solid"/>
            <w10:wrap type="none"/>
          </v:line>
        </w:pict>
      </w:r>
      <w:r>
        <w:rPr>
          <w:sz w:val="23"/>
        </w:rPr>
        <w:t>Payee is not a corporation</w:t>
      </w:r>
      <w:r>
        <w:rPr>
          <w:color w:val="B5082E"/>
          <w:sz w:val="23"/>
          <w:u w:val="single" w:color="B5082E"/>
        </w:rPr>
        <w:t>. </w:t>
      </w:r>
      <w:r>
        <w:rPr>
          <w:sz w:val="23"/>
        </w:rPr>
        <w:t>(</w:t>
      </w:r>
      <w:r>
        <w:rPr>
          <w:color w:val="B5082E"/>
          <w:sz w:val="23"/>
          <w:u w:val="single" w:color="B5082E"/>
        </w:rPr>
        <w:t>N</w:t>
      </w:r>
      <w:r>
        <w:rPr>
          <w:strike/>
          <w:color w:val="B5082E"/>
          <w:sz w:val="23"/>
        </w:rPr>
        <w:t>n</w:t>
      </w:r>
      <w:r>
        <w:rPr>
          <w:strike w:val="0"/>
          <w:sz w:val="23"/>
        </w:rPr>
        <w:t>ote</w:t>
      </w:r>
      <w:r>
        <w:rPr>
          <w:strike w:val="0"/>
          <w:color w:val="B5082E"/>
          <w:sz w:val="23"/>
          <w:u w:val="single" w:color="B5082E"/>
        </w:rPr>
        <w:t>: </w:t>
      </w:r>
      <w:r>
        <w:rPr>
          <w:strike/>
          <w:color w:val="B5082E"/>
          <w:sz w:val="23"/>
        </w:rPr>
        <w:t>that a</w:t>
      </w:r>
      <w:r>
        <w:rPr>
          <w:strike w:val="0"/>
          <w:color w:val="B5082E"/>
          <w:sz w:val="23"/>
          <w:u w:val="single" w:color="B5082E"/>
        </w:rPr>
        <w:t>A</w:t>
      </w:r>
      <w:r>
        <w:rPr>
          <w:strike w:val="0"/>
          <w:sz w:val="23"/>
        </w:rPr>
        <w:t>ll payments to </w:t>
      </w:r>
      <w:r>
        <w:rPr>
          <w:strike/>
          <w:color w:val="B5082E"/>
          <w:sz w:val="23"/>
        </w:rPr>
        <w:t>a] </w:t>
      </w:r>
      <w:r>
        <w:rPr>
          <w:strike w:val="0"/>
          <w:sz w:val="23"/>
        </w:rPr>
        <w:t>medical corporations for services provided and </w:t>
      </w:r>
      <w:r>
        <w:rPr>
          <w:strike/>
          <w:color w:val="B5082E"/>
          <w:sz w:val="23"/>
        </w:rPr>
        <w:t>b] </w:t>
      </w:r>
      <w:r>
        <w:rPr>
          <w:strike w:val="0"/>
          <w:spacing w:val="-2"/>
          <w:sz w:val="23"/>
        </w:rPr>
        <w:t>attorneys </w:t>
      </w:r>
      <w:r>
        <w:rPr>
          <w:strike w:val="0"/>
          <w:sz w:val="23"/>
        </w:rPr>
        <w:t>or legal services corporations including gross proceeds are reportable).</w:t>
      </w:r>
    </w:p>
    <w:p>
      <w:pPr>
        <w:pStyle w:val="ListParagraph"/>
        <w:numPr>
          <w:ilvl w:val="0"/>
          <w:numId w:val="143"/>
        </w:numPr>
        <w:tabs>
          <w:tab w:pos="2321" w:val="left" w:leader="none"/>
        </w:tabs>
        <w:spacing w:line="240" w:lineRule="auto" w:before="0" w:after="0"/>
        <w:ind w:left="2320" w:right="829" w:hanging="360"/>
        <w:jc w:val="left"/>
        <w:rPr>
          <w:sz w:val="23"/>
        </w:rPr>
      </w:pPr>
      <w:r>
        <w:rPr>
          <w:sz w:val="23"/>
        </w:rPr>
        <w:t>Payment</w:t>
      </w:r>
      <w:r>
        <w:rPr>
          <w:spacing w:val="-7"/>
          <w:sz w:val="23"/>
        </w:rPr>
        <w:t> </w:t>
      </w:r>
      <w:r>
        <w:rPr>
          <w:sz w:val="23"/>
        </w:rPr>
        <w:t>is</w:t>
      </w:r>
      <w:r>
        <w:rPr>
          <w:spacing w:val="-11"/>
          <w:sz w:val="23"/>
        </w:rPr>
        <w:t> </w:t>
      </w:r>
      <w:r>
        <w:rPr>
          <w:sz w:val="23"/>
        </w:rPr>
        <w:t>for</w:t>
      </w:r>
      <w:r>
        <w:rPr>
          <w:spacing w:val="-9"/>
          <w:sz w:val="23"/>
        </w:rPr>
        <w:t> </w:t>
      </w:r>
      <w:r>
        <w:rPr>
          <w:sz w:val="23"/>
        </w:rPr>
        <w:t>rents,</w:t>
      </w:r>
      <w:r>
        <w:rPr>
          <w:spacing w:val="-9"/>
          <w:sz w:val="23"/>
        </w:rPr>
        <w:t> </w:t>
      </w:r>
      <w:r>
        <w:rPr>
          <w:sz w:val="23"/>
        </w:rPr>
        <w:t>prizes,</w:t>
      </w:r>
      <w:r>
        <w:rPr>
          <w:spacing w:val="-7"/>
          <w:sz w:val="23"/>
        </w:rPr>
        <w:t> </w:t>
      </w:r>
      <w:r>
        <w:rPr>
          <w:sz w:val="23"/>
        </w:rPr>
        <w:t>awards,</w:t>
      </w:r>
      <w:r>
        <w:rPr>
          <w:spacing w:val="-7"/>
          <w:sz w:val="23"/>
        </w:rPr>
        <w:t> </w:t>
      </w:r>
      <w:r>
        <w:rPr>
          <w:sz w:val="23"/>
        </w:rPr>
        <w:t>or</w:t>
      </w:r>
      <w:r>
        <w:rPr>
          <w:spacing w:val="-9"/>
          <w:sz w:val="23"/>
        </w:rPr>
        <w:t> </w:t>
      </w:r>
      <w:r>
        <w:rPr>
          <w:sz w:val="23"/>
        </w:rPr>
        <w:t>services</w:t>
      </w:r>
      <w:r>
        <w:rPr>
          <w:spacing w:val="-9"/>
          <w:sz w:val="23"/>
        </w:rPr>
        <w:t> </w:t>
      </w:r>
      <w:r>
        <w:rPr>
          <w:sz w:val="23"/>
        </w:rPr>
        <w:t>(including</w:t>
      </w:r>
      <w:r>
        <w:rPr>
          <w:spacing w:val="-12"/>
          <w:sz w:val="23"/>
        </w:rPr>
        <w:t> </w:t>
      </w:r>
      <w:r>
        <w:rPr>
          <w:sz w:val="23"/>
        </w:rPr>
        <w:t>construction contract</w:t>
      </w:r>
      <w:r>
        <w:rPr>
          <w:spacing w:val="-8"/>
          <w:sz w:val="23"/>
        </w:rPr>
        <w:t> </w:t>
      </w:r>
      <w:r>
        <w:rPr>
          <w:sz w:val="23"/>
        </w:rPr>
        <w:t>services)</w:t>
      </w:r>
      <w:r>
        <w:rPr>
          <w:spacing w:val="-8"/>
          <w:sz w:val="23"/>
        </w:rPr>
        <w:t> </w:t>
      </w:r>
      <w:r>
        <w:rPr>
          <w:sz w:val="23"/>
        </w:rPr>
        <w:t>rendered</w:t>
      </w:r>
      <w:r>
        <w:rPr>
          <w:spacing w:val="-9"/>
          <w:sz w:val="23"/>
        </w:rPr>
        <w:t> </w:t>
      </w:r>
      <w:r>
        <w:rPr>
          <w:sz w:val="23"/>
        </w:rPr>
        <w:t>and</w:t>
      </w:r>
      <w:r>
        <w:rPr>
          <w:spacing w:val="-9"/>
          <w:sz w:val="23"/>
        </w:rPr>
        <w:t> </w:t>
      </w:r>
      <w:r>
        <w:rPr>
          <w:sz w:val="23"/>
        </w:rPr>
        <w:t>not</w:t>
      </w:r>
      <w:r>
        <w:rPr>
          <w:spacing w:val="-6"/>
          <w:sz w:val="23"/>
        </w:rPr>
        <w:t> </w:t>
      </w:r>
      <w:r>
        <w:rPr>
          <w:sz w:val="23"/>
        </w:rPr>
        <w:t>solely</w:t>
      </w:r>
      <w:r>
        <w:rPr>
          <w:spacing w:val="-10"/>
          <w:sz w:val="23"/>
        </w:rPr>
        <w:t> </w:t>
      </w:r>
      <w:r>
        <w:rPr>
          <w:sz w:val="23"/>
        </w:rPr>
        <w:t>for</w:t>
      </w:r>
      <w:r>
        <w:rPr>
          <w:spacing w:val="-10"/>
          <w:sz w:val="23"/>
        </w:rPr>
        <w:t> </w:t>
      </w:r>
      <w:r>
        <w:rPr>
          <w:sz w:val="23"/>
        </w:rPr>
        <w:t>merchandise.</w:t>
      </w:r>
    </w:p>
    <w:p>
      <w:pPr>
        <w:pStyle w:val="BodyText"/>
        <w:spacing w:before="2"/>
        <w:rPr>
          <w:sz w:val="23"/>
        </w:rPr>
      </w:pPr>
    </w:p>
    <w:p>
      <w:pPr>
        <w:pStyle w:val="ListParagraph"/>
        <w:numPr>
          <w:ilvl w:val="3"/>
          <w:numId w:val="140"/>
        </w:numPr>
        <w:tabs>
          <w:tab w:pos="1961" w:val="left" w:leader="none"/>
        </w:tabs>
        <w:spacing w:line="240" w:lineRule="auto" w:before="0" w:after="0"/>
        <w:ind w:left="1959" w:right="307" w:hanging="359"/>
        <w:jc w:val="left"/>
        <w:rPr>
          <w:sz w:val="23"/>
        </w:rPr>
      </w:pPr>
      <w:r>
        <w:rPr>
          <w:sz w:val="23"/>
        </w:rPr>
        <w:t>The</w:t>
      </w:r>
      <w:r>
        <w:rPr>
          <w:spacing w:val="-14"/>
          <w:sz w:val="23"/>
        </w:rPr>
        <w:t> </w:t>
      </w:r>
      <w:r>
        <w:rPr>
          <w:sz w:val="23"/>
        </w:rPr>
        <w:t>following</w:t>
      </w:r>
      <w:r>
        <w:rPr>
          <w:spacing w:val="-8"/>
          <w:sz w:val="23"/>
        </w:rPr>
        <w:t> </w:t>
      </w:r>
      <w:r>
        <w:rPr>
          <w:sz w:val="23"/>
        </w:rPr>
        <w:t>identifies</w:t>
      </w:r>
      <w:r>
        <w:rPr>
          <w:spacing w:val="-10"/>
          <w:sz w:val="23"/>
        </w:rPr>
        <w:t> </w:t>
      </w:r>
      <w:r>
        <w:rPr>
          <w:sz w:val="23"/>
        </w:rPr>
        <w:t>(1)</w:t>
      </w:r>
      <w:r>
        <w:rPr>
          <w:spacing w:val="-9"/>
          <w:sz w:val="23"/>
        </w:rPr>
        <w:t> </w:t>
      </w:r>
      <w:r>
        <w:rPr>
          <w:sz w:val="23"/>
        </w:rPr>
        <w:t>the</w:t>
      </w:r>
      <w:r>
        <w:rPr>
          <w:spacing w:val="-10"/>
          <w:sz w:val="23"/>
        </w:rPr>
        <w:t> </w:t>
      </w:r>
      <w:r>
        <w:rPr>
          <w:sz w:val="23"/>
        </w:rPr>
        <w:t>various</w:t>
      </w:r>
      <w:r>
        <w:rPr>
          <w:spacing w:val="-9"/>
          <w:sz w:val="23"/>
        </w:rPr>
        <w:t> </w:t>
      </w:r>
      <w:r>
        <w:rPr>
          <w:sz w:val="23"/>
        </w:rPr>
        <w:t>recurring</w:t>
      </w:r>
      <w:r>
        <w:rPr>
          <w:spacing w:val="-7"/>
          <w:sz w:val="23"/>
        </w:rPr>
        <w:t> </w:t>
      </w:r>
      <w:r>
        <w:rPr>
          <w:sz w:val="23"/>
        </w:rPr>
        <w:t>payment</w:t>
      </w:r>
      <w:r>
        <w:rPr>
          <w:spacing w:val="-10"/>
          <w:sz w:val="23"/>
        </w:rPr>
        <w:t> </w:t>
      </w:r>
      <w:r>
        <w:rPr>
          <w:sz w:val="23"/>
        </w:rPr>
        <w:t>types</w:t>
      </w:r>
      <w:r>
        <w:rPr>
          <w:spacing w:val="-9"/>
          <w:sz w:val="23"/>
        </w:rPr>
        <w:t> </w:t>
      </w:r>
      <w:r>
        <w:rPr>
          <w:sz w:val="23"/>
        </w:rPr>
        <w:t>that</w:t>
      </w:r>
      <w:r>
        <w:rPr>
          <w:spacing w:val="-6"/>
          <w:sz w:val="23"/>
        </w:rPr>
        <w:t> </w:t>
      </w:r>
      <w:r>
        <w:rPr>
          <w:sz w:val="23"/>
        </w:rPr>
        <w:t>are</w:t>
      </w:r>
      <w:r>
        <w:rPr>
          <w:spacing w:val="-10"/>
          <w:sz w:val="23"/>
        </w:rPr>
        <w:t> </w:t>
      </w:r>
      <w:r>
        <w:rPr>
          <w:sz w:val="23"/>
        </w:rPr>
        <w:t>required to be reported and (2) the box on the Form 1099 MISC in </w:t>
      </w:r>
      <w:r>
        <w:rPr>
          <w:spacing w:val="-3"/>
          <w:sz w:val="23"/>
        </w:rPr>
        <w:t>which </w:t>
      </w:r>
      <w:r>
        <w:rPr>
          <w:sz w:val="23"/>
        </w:rPr>
        <w:t>they are to </w:t>
      </w:r>
      <w:r>
        <w:rPr>
          <w:spacing w:val="-4"/>
          <w:sz w:val="23"/>
        </w:rPr>
        <w:t>be </w:t>
      </w:r>
      <w:r>
        <w:rPr>
          <w:sz w:val="23"/>
        </w:rPr>
        <w:t>reported:</w:t>
      </w:r>
    </w:p>
    <w:p>
      <w:pPr>
        <w:spacing w:before="1"/>
        <w:ind w:left="1958" w:right="3978" w:firstLine="0"/>
        <w:jc w:val="left"/>
        <w:rPr>
          <w:sz w:val="23"/>
        </w:rPr>
      </w:pPr>
      <w:r>
        <w:rPr>
          <w:sz w:val="23"/>
        </w:rPr>
        <w:t>Box 1 Rent of real or personal property. Box 2 Royalties.</w:t>
      </w:r>
    </w:p>
    <w:p>
      <w:pPr>
        <w:spacing w:before="1"/>
        <w:ind w:left="2589" w:right="975" w:hanging="634"/>
        <w:jc w:val="left"/>
        <w:rPr>
          <w:sz w:val="23"/>
        </w:rPr>
      </w:pPr>
      <w:r>
        <w:rPr>
          <w:sz w:val="23"/>
        </w:rPr>
        <w:t>Box 3 Other income (including prizes, awards, and punitive damages not involving physical injury or sickness).</w:t>
      </w:r>
    </w:p>
    <w:p>
      <w:pPr>
        <w:spacing w:line="259" w:lineRule="exact" w:before="0"/>
        <w:ind w:left="1958" w:right="0" w:firstLine="0"/>
        <w:jc w:val="left"/>
        <w:rPr>
          <w:sz w:val="23"/>
        </w:rPr>
      </w:pPr>
      <w:r>
        <w:rPr>
          <w:sz w:val="23"/>
        </w:rPr>
        <w:t>Box 4 Federal income tax withheld (backup withholding).</w:t>
      </w:r>
    </w:p>
    <w:p>
      <w:pPr>
        <w:spacing w:before="4"/>
        <w:ind w:left="2589" w:right="1249" w:hanging="634"/>
        <w:jc w:val="left"/>
        <w:rPr>
          <w:sz w:val="23"/>
        </w:rPr>
      </w:pPr>
      <w:r>
        <w:rPr>
          <w:sz w:val="23"/>
        </w:rPr>
        <w:t>Box 6 Medical and health care payments, including doctors, medical corporations, dentists, audiologists, optometrists, psychologists, psychiatrists, etc.</w:t>
      </w:r>
    </w:p>
    <w:p>
      <w:pPr>
        <w:spacing w:line="259" w:lineRule="exact" w:before="0"/>
        <w:ind w:left="1958" w:right="0" w:firstLine="0"/>
        <w:jc w:val="left"/>
        <w:rPr>
          <w:sz w:val="23"/>
        </w:rPr>
      </w:pPr>
      <w:r>
        <w:rPr>
          <w:sz w:val="23"/>
        </w:rPr>
        <w:t>Box 7 Nonemployee compensation.</w:t>
      </w:r>
    </w:p>
    <w:p>
      <w:pPr>
        <w:spacing w:before="5"/>
        <w:ind w:left="2588" w:right="853" w:firstLine="0"/>
        <w:jc w:val="left"/>
        <w:rPr>
          <w:sz w:val="23"/>
        </w:rPr>
      </w:pPr>
      <w:r>
        <w:rPr>
          <w:sz w:val="23"/>
        </w:rPr>
        <w:t>Prizes and awards for services rendered (e.g. bonuses not reported in W-2).</w:t>
      </w:r>
    </w:p>
    <w:p>
      <w:pPr>
        <w:spacing w:before="0"/>
        <w:ind w:left="2588" w:right="3978" w:firstLine="0"/>
        <w:jc w:val="left"/>
        <w:rPr>
          <w:sz w:val="23"/>
        </w:rPr>
      </w:pPr>
      <w:r>
        <w:rPr>
          <w:sz w:val="23"/>
        </w:rPr>
        <w:t>Commissions to non-employees. Commissions to real estate brokers. Consulting fees to non-employees. Professional fees.</w:t>
      </w:r>
    </w:p>
    <w:p>
      <w:pPr>
        <w:spacing w:line="259" w:lineRule="exact" w:before="0"/>
        <w:ind w:left="2588" w:right="0" w:firstLine="0"/>
        <w:jc w:val="left"/>
        <w:rPr>
          <w:sz w:val="23"/>
        </w:rPr>
      </w:pPr>
      <w:r>
        <w:rPr>
          <w:sz w:val="23"/>
        </w:rPr>
        <w:t>Payments to entertainers.</w:t>
      </w:r>
    </w:p>
    <w:p>
      <w:pPr>
        <w:spacing w:line="264" w:lineRule="exact" w:before="0"/>
        <w:ind w:left="2588" w:right="0" w:firstLine="0"/>
        <w:jc w:val="left"/>
        <w:rPr>
          <w:sz w:val="23"/>
        </w:rPr>
      </w:pPr>
      <w:r>
        <w:rPr>
          <w:sz w:val="23"/>
        </w:rPr>
        <w:t>Construction service contracts (roads, streets, buildings, etc.).</w:t>
      </w:r>
    </w:p>
    <w:p>
      <w:pPr>
        <w:spacing w:before="7"/>
        <w:ind w:left="2587" w:right="407" w:hanging="633"/>
        <w:jc w:val="left"/>
        <w:rPr>
          <w:sz w:val="23"/>
        </w:rPr>
      </w:pPr>
      <w:r>
        <w:rPr>
          <w:sz w:val="23"/>
        </w:rPr>
        <w:t>Box 14 Attorney Fees - Gross Proceeds pursuant to IRC section 6045(f); that consist of (1) amounts intended to be paid to the client; and (2) amounts intended for the attorney.</w:t>
      </w:r>
    </w:p>
    <w:p>
      <w:pPr>
        <w:spacing w:line="482" w:lineRule="auto" w:before="0"/>
        <w:ind w:left="1960" w:right="3978" w:hanging="1"/>
        <w:jc w:val="left"/>
        <w:rPr>
          <w:sz w:val="23"/>
        </w:rPr>
      </w:pPr>
      <w:r>
        <w:rPr>
          <w:sz w:val="23"/>
        </w:rPr>
        <w:t>Box 16 State income tax withheld (Continued)</w:t>
      </w:r>
    </w:p>
    <w:p>
      <w:pPr>
        <w:spacing w:after="0" w:line="482" w:lineRule="auto"/>
        <w:jc w:val="left"/>
        <w:rPr>
          <w:sz w:val="23"/>
        </w:rPr>
        <w:sectPr>
          <w:pgSz w:w="12240" w:h="15840"/>
          <w:pgMar w:header="721" w:footer="800" w:top="2520" w:bottom="980" w:left="560" w:right="1340"/>
        </w:sectPr>
      </w:pPr>
    </w:p>
    <w:p>
      <w:pPr>
        <w:pStyle w:val="BodyText"/>
        <w:spacing w:before="11"/>
        <w:rPr>
          <w:sz w:val="29"/>
        </w:rPr>
      </w:pPr>
      <w:r>
        <w:rPr/>
        <w:pict>
          <v:line style="position:absolute;mso-position-horizontal-relative:page;mso-position-vertical-relative:page;z-index:49336" from="15.36pt,742.440002pt" to="15.36pt,755.640002pt" stroked="true" strokeweight=".72pt" strokecolor="#000000">
            <v:stroke dashstyle="solid"/>
            <w10:wrap type="none"/>
          </v:line>
        </w:pict>
      </w:r>
    </w:p>
    <w:p>
      <w:pPr>
        <w:pStyle w:val="BodyText"/>
        <w:spacing w:before="92"/>
        <w:ind w:left="1240"/>
      </w:pPr>
      <w:r>
        <w:rPr/>
        <w:t>(Continued)</w:t>
      </w:r>
    </w:p>
    <w:p>
      <w:pPr>
        <w:pStyle w:val="Heading2"/>
        <w:tabs>
          <w:tab w:pos="8600" w:val="left" w:leader="none"/>
        </w:tabs>
        <w:ind w:left="1240" w:right="108"/>
        <w:rPr>
          <w:b w:val="0"/>
        </w:rPr>
      </w:pPr>
      <w:r>
        <w:rPr/>
        <w:pict>
          <v:line style="position:absolute;mso-position-horizontal-relative:page;mso-position-vertical-relative:paragraph;z-index:49312" from="15.36pt,27.815874pt" to="15.36pt,41.135874pt" stroked="true" strokeweight=".72pt" strokecolor="#000000">
            <v:stroke dashstyle="solid"/>
            <w10:wrap type="none"/>
          </v:line>
        </w:pict>
      </w:r>
      <w:r>
        <w:rPr/>
        <w:t>REPORTABLE PAYMENT IDENTIFICATION </w:t>
      </w:r>
      <w:r>
        <w:rPr>
          <w:spacing w:val="-3"/>
        </w:rPr>
        <w:t>AND </w:t>
      </w:r>
      <w:r>
        <w:rPr/>
        <w:t>CLASSIFICATION REQUIREMENTS</w:t>
        <w:tab/>
        <w:t>8422.190 </w:t>
      </w:r>
      <w:r>
        <w:rPr>
          <w:b w:val="0"/>
        </w:rPr>
        <w:t>(Cont.</w:t>
      </w:r>
      <w:r>
        <w:rPr>
          <w:b w:val="0"/>
          <w:spacing w:val="-22"/>
        </w:rPr>
        <w:t> </w:t>
      </w:r>
      <w:r>
        <w:rPr>
          <w:b w:val="0"/>
        </w:rPr>
        <w:t>3)</w:t>
      </w:r>
    </w:p>
    <w:p>
      <w:pPr>
        <w:spacing w:before="5"/>
        <w:ind w:left="1240" w:right="0" w:firstLine="0"/>
        <w:jc w:val="left"/>
        <w:rPr>
          <w:sz w:val="23"/>
        </w:rPr>
      </w:pPr>
      <w:r>
        <w:rPr>
          <w:sz w:val="23"/>
        </w:rPr>
        <w:t>(Revised </w:t>
      </w:r>
      <w:r>
        <w:rPr>
          <w:strike/>
          <w:color w:val="B5082E"/>
          <w:sz w:val="23"/>
        </w:rPr>
        <w:t>04</w:t>
      </w:r>
      <w:r>
        <w:rPr>
          <w:strike w:val="0"/>
          <w:color w:val="B5082E"/>
          <w:sz w:val="23"/>
          <w:u w:val="single" w:color="B5082E"/>
        </w:rPr>
        <w:t>12</w:t>
      </w:r>
      <w:r>
        <w:rPr>
          <w:strike w:val="0"/>
          <w:sz w:val="23"/>
        </w:rPr>
        <w:t>/2017)</w:t>
      </w:r>
    </w:p>
    <w:p>
      <w:pPr>
        <w:pStyle w:val="BodyText"/>
        <w:rPr>
          <w:sz w:val="20"/>
        </w:rPr>
      </w:pPr>
    </w:p>
    <w:p>
      <w:pPr>
        <w:pStyle w:val="BodyText"/>
        <w:spacing w:before="9"/>
        <w:rPr>
          <w:sz w:val="17"/>
        </w:rPr>
      </w:pPr>
    </w:p>
    <w:p>
      <w:pPr>
        <w:pStyle w:val="ListParagraph"/>
        <w:numPr>
          <w:ilvl w:val="3"/>
          <w:numId w:val="140"/>
        </w:numPr>
        <w:tabs>
          <w:tab w:pos="2321" w:val="left" w:leader="none"/>
        </w:tabs>
        <w:spacing w:line="240" w:lineRule="auto" w:before="93" w:after="0"/>
        <w:ind w:left="2318" w:right="251" w:hanging="358"/>
        <w:jc w:val="left"/>
        <w:rPr>
          <w:sz w:val="23"/>
        </w:rPr>
      </w:pPr>
      <w:r>
        <w:rPr>
          <w:sz w:val="23"/>
        </w:rPr>
        <w:t>Interest (other than tax exempt government obligations; interest by or to nonresident</w:t>
      </w:r>
      <w:r>
        <w:rPr>
          <w:spacing w:val="-10"/>
          <w:sz w:val="23"/>
        </w:rPr>
        <w:t> </w:t>
      </w:r>
      <w:r>
        <w:rPr>
          <w:sz w:val="23"/>
        </w:rPr>
        <w:t>aliens</w:t>
      </w:r>
      <w:r>
        <w:rPr>
          <w:spacing w:val="-11"/>
          <w:sz w:val="23"/>
        </w:rPr>
        <w:t> </w:t>
      </w:r>
      <w:r>
        <w:rPr>
          <w:sz w:val="23"/>
        </w:rPr>
        <w:t>and</w:t>
      </w:r>
      <w:r>
        <w:rPr>
          <w:spacing w:val="-13"/>
          <w:sz w:val="23"/>
        </w:rPr>
        <w:t> </w:t>
      </w:r>
      <w:r>
        <w:rPr>
          <w:sz w:val="23"/>
        </w:rPr>
        <w:t>most</w:t>
      </w:r>
      <w:r>
        <w:rPr>
          <w:spacing w:val="-16"/>
          <w:sz w:val="23"/>
        </w:rPr>
        <w:t> </w:t>
      </w:r>
      <w:r>
        <w:rPr>
          <w:sz w:val="23"/>
        </w:rPr>
        <w:t>foreign</w:t>
      </w:r>
      <w:r>
        <w:rPr>
          <w:spacing w:val="-13"/>
          <w:sz w:val="23"/>
        </w:rPr>
        <w:t> </w:t>
      </w:r>
      <w:r>
        <w:rPr>
          <w:sz w:val="23"/>
        </w:rPr>
        <w:t>entities;</w:t>
      </w:r>
      <w:r>
        <w:rPr>
          <w:spacing w:val="-11"/>
          <w:sz w:val="23"/>
        </w:rPr>
        <w:t> </w:t>
      </w:r>
      <w:r>
        <w:rPr>
          <w:sz w:val="23"/>
        </w:rPr>
        <w:t>corporations;</w:t>
      </w:r>
      <w:r>
        <w:rPr>
          <w:spacing w:val="-11"/>
          <w:sz w:val="23"/>
        </w:rPr>
        <w:t> </w:t>
      </w:r>
      <w:r>
        <w:rPr>
          <w:sz w:val="23"/>
        </w:rPr>
        <w:t>tax-exempt</w:t>
      </w:r>
      <w:r>
        <w:rPr>
          <w:spacing w:val="-10"/>
          <w:sz w:val="23"/>
        </w:rPr>
        <w:t> </w:t>
      </w:r>
      <w:r>
        <w:rPr>
          <w:sz w:val="23"/>
        </w:rPr>
        <w:t>retirement plans, custodians and nominees, brokers, registered dealers in securities and commodities, and U.S. state governments, including their subdivisions and wholly-owned departments and instrumentalities) must be reported on Form 1099-INT.</w:t>
      </w:r>
      <w:r>
        <w:rPr>
          <w:spacing w:val="-8"/>
          <w:sz w:val="23"/>
        </w:rPr>
        <w:t> </w:t>
      </w:r>
      <w:r>
        <w:rPr>
          <w:sz w:val="23"/>
        </w:rPr>
        <w:t>Form</w:t>
      </w:r>
      <w:r>
        <w:rPr>
          <w:spacing w:val="-5"/>
          <w:sz w:val="23"/>
        </w:rPr>
        <w:t> </w:t>
      </w:r>
      <w:r>
        <w:rPr>
          <w:sz w:val="23"/>
        </w:rPr>
        <w:t>1099-INT</w:t>
      </w:r>
      <w:r>
        <w:rPr>
          <w:spacing w:val="-8"/>
          <w:sz w:val="23"/>
        </w:rPr>
        <w:t> </w:t>
      </w:r>
      <w:r>
        <w:rPr>
          <w:sz w:val="23"/>
        </w:rPr>
        <w:t>payments</w:t>
      </w:r>
      <w:r>
        <w:rPr>
          <w:spacing w:val="-11"/>
          <w:sz w:val="23"/>
        </w:rPr>
        <w:t> </w:t>
      </w:r>
      <w:r>
        <w:rPr>
          <w:sz w:val="23"/>
        </w:rPr>
        <w:t>are</w:t>
      </w:r>
      <w:r>
        <w:rPr>
          <w:spacing w:val="-10"/>
          <w:sz w:val="23"/>
        </w:rPr>
        <w:t> </w:t>
      </w:r>
      <w:r>
        <w:rPr>
          <w:sz w:val="23"/>
        </w:rPr>
        <w:t>not</w:t>
      </w:r>
      <w:r>
        <w:rPr>
          <w:spacing w:val="-12"/>
          <w:sz w:val="23"/>
        </w:rPr>
        <w:t> </w:t>
      </w:r>
      <w:r>
        <w:rPr>
          <w:sz w:val="23"/>
        </w:rPr>
        <w:t>subject</w:t>
      </w:r>
      <w:r>
        <w:rPr>
          <w:spacing w:val="-8"/>
          <w:sz w:val="23"/>
        </w:rPr>
        <w:t> </w:t>
      </w:r>
      <w:r>
        <w:rPr>
          <w:sz w:val="23"/>
        </w:rPr>
        <w:t>to</w:t>
      </w:r>
      <w:r>
        <w:rPr>
          <w:spacing w:val="-11"/>
          <w:sz w:val="23"/>
        </w:rPr>
        <w:t> </w:t>
      </w:r>
      <w:r>
        <w:rPr>
          <w:sz w:val="23"/>
        </w:rPr>
        <w:t>state</w:t>
      </w:r>
      <w:r>
        <w:rPr>
          <w:spacing w:val="-11"/>
          <w:sz w:val="23"/>
        </w:rPr>
        <w:t> </w:t>
      </w:r>
      <w:r>
        <w:rPr>
          <w:sz w:val="23"/>
        </w:rPr>
        <w:t>backup</w:t>
      </w:r>
      <w:r>
        <w:rPr>
          <w:spacing w:val="-9"/>
          <w:sz w:val="23"/>
        </w:rPr>
        <w:t> </w:t>
      </w:r>
      <w:r>
        <w:rPr>
          <w:sz w:val="23"/>
        </w:rPr>
        <w:t>withholding.</w:t>
      </w:r>
    </w:p>
    <w:p>
      <w:pPr>
        <w:pStyle w:val="BodyText"/>
        <w:spacing w:before="7"/>
        <w:rPr>
          <w:sz w:val="22"/>
        </w:rPr>
      </w:pPr>
    </w:p>
    <w:p>
      <w:pPr>
        <w:pStyle w:val="ListParagraph"/>
        <w:numPr>
          <w:ilvl w:val="2"/>
          <w:numId w:val="140"/>
        </w:numPr>
        <w:tabs>
          <w:tab w:pos="1601" w:val="left" w:leader="none"/>
        </w:tabs>
        <w:spacing w:line="264" w:lineRule="exact" w:before="1" w:after="0"/>
        <w:ind w:left="1600" w:right="0" w:hanging="360"/>
        <w:jc w:val="left"/>
        <w:rPr>
          <w:sz w:val="23"/>
        </w:rPr>
      </w:pPr>
      <w:r>
        <w:rPr>
          <w:sz w:val="23"/>
        </w:rPr>
        <w:t>Payments that are not</w:t>
      </w:r>
      <w:r>
        <w:rPr>
          <w:spacing w:val="-38"/>
          <w:sz w:val="23"/>
        </w:rPr>
        <w:t> </w:t>
      </w:r>
      <w:r>
        <w:rPr>
          <w:sz w:val="23"/>
        </w:rPr>
        <w:t>reported.</w:t>
      </w:r>
    </w:p>
    <w:p>
      <w:pPr>
        <w:pStyle w:val="ListParagraph"/>
        <w:numPr>
          <w:ilvl w:val="3"/>
          <w:numId w:val="140"/>
        </w:numPr>
        <w:tabs>
          <w:tab w:pos="2321" w:val="left" w:leader="none"/>
        </w:tabs>
        <w:spacing w:line="264" w:lineRule="exact" w:before="0" w:after="0"/>
        <w:ind w:left="2319" w:right="0" w:hanging="359"/>
        <w:jc w:val="left"/>
        <w:rPr>
          <w:sz w:val="23"/>
        </w:rPr>
      </w:pPr>
      <w:r>
        <w:rPr>
          <w:sz w:val="23"/>
        </w:rPr>
        <w:t>Payments to governmental</w:t>
      </w:r>
      <w:r>
        <w:rPr>
          <w:spacing w:val="-43"/>
          <w:sz w:val="23"/>
        </w:rPr>
        <w:t> </w:t>
      </w:r>
      <w:r>
        <w:rPr>
          <w:sz w:val="23"/>
        </w:rPr>
        <w:t>entities.</w:t>
      </w:r>
    </w:p>
    <w:p>
      <w:pPr>
        <w:pStyle w:val="ListParagraph"/>
        <w:numPr>
          <w:ilvl w:val="3"/>
          <w:numId w:val="140"/>
        </w:numPr>
        <w:tabs>
          <w:tab w:pos="2321" w:val="left" w:leader="none"/>
        </w:tabs>
        <w:spacing w:line="240" w:lineRule="auto" w:before="4" w:after="0"/>
        <w:ind w:left="2319" w:right="461" w:hanging="359"/>
        <w:jc w:val="left"/>
        <w:rPr>
          <w:sz w:val="23"/>
        </w:rPr>
      </w:pPr>
      <w:r>
        <w:rPr>
          <w:sz w:val="23"/>
        </w:rPr>
        <w:t>Payments</w:t>
      </w:r>
      <w:r>
        <w:rPr>
          <w:spacing w:val="-9"/>
          <w:sz w:val="23"/>
        </w:rPr>
        <w:t> </w:t>
      </w:r>
      <w:r>
        <w:rPr>
          <w:sz w:val="23"/>
        </w:rPr>
        <w:t>to</w:t>
      </w:r>
      <w:r>
        <w:rPr>
          <w:spacing w:val="-10"/>
          <w:sz w:val="23"/>
        </w:rPr>
        <w:t> </w:t>
      </w:r>
      <w:r>
        <w:rPr>
          <w:sz w:val="23"/>
        </w:rPr>
        <w:t>most</w:t>
      </w:r>
      <w:r>
        <w:rPr>
          <w:spacing w:val="-6"/>
          <w:sz w:val="23"/>
        </w:rPr>
        <w:t> </w:t>
      </w:r>
      <w:r>
        <w:rPr>
          <w:sz w:val="23"/>
        </w:rPr>
        <w:t>corporations</w:t>
      </w:r>
      <w:r>
        <w:rPr>
          <w:spacing w:val="-9"/>
          <w:sz w:val="23"/>
        </w:rPr>
        <w:t> </w:t>
      </w:r>
      <w:r>
        <w:rPr>
          <w:sz w:val="23"/>
        </w:rPr>
        <w:t>for</w:t>
      </w:r>
      <w:r>
        <w:rPr>
          <w:spacing w:val="-5"/>
          <w:sz w:val="23"/>
        </w:rPr>
        <w:t> </w:t>
      </w:r>
      <w:r>
        <w:rPr>
          <w:sz w:val="23"/>
        </w:rPr>
        <w:t>goods</w:t>
      </w:r>
      <w:r>
        <w:rPr>
          <w:spacing w:val="-7"/>
          <w:sz w:val="23"/>
        </w:rPr>
        <w:t> </w:t>
      </w:r>
      <w:r>
        <w:rPr>
          <w:sz w:val="23"/>
        </w:rPr>
        <w:t>and</w:t>
      </w:r>
      <w:r>
        <w:rPr>
          <w:spacing w:val="-8"/>
          <w:sz w:val="23"/>
        </w:rPr>
        <w:t> </w:t>
      </w:r>
      <w:r>
        <w:rPr>
          <w:sz w:val="23"/>
        </w:rPr>
        <w:t>services.</w:t>
      </w:r>
      <w:r>
        <w:rPr>
          <w:spacing w:val="-5"/>
          <w:sz w:val="23"/>
        </w:rPr>
        <w:t> </w:t>
      </w:r>
      <w:r>
        <w:rPr>
          <w:sz w:val="23"/>
        </w:rPr>
        <w:t>However,</w:t>
      </w:r>
      <w:r>
        <w:rPr>
          <w:spacing w:val="-5"/>
          <w:sz w:val="23"/>
        </w:rPr>
        <w:t> </w:t>
      </w:r>
      <w:r>
        <w:rPr>
          <w:sz w:val="23"/>
        </w:rPr>
        <w:t>payments</w:t>
      </w:r>
      <w:r>
        <w:rPr>
          <w:spacing w:val="-7"/>
          <w:sz w:val="23"/>
        </w:rPr>
        <w:t> </w:t>
      </w:r>
      <w:r>
        <w:rPr>
          <w:sz w:val="23"/>
        </w:rPr>
        <w:t>to medical</w:t>
      </w:r>
      <w:r>
        <w:rPr>
          <w:spacing w:val="-12"/>
          <w:sz w:val="23"/>
        </w:rPr>
        <w:t> </w:t>
      </w:r>
      <w:r>
        <w:rPr>
          <w:sz w:val="23"/>
        </w:rPr>
        <w:t>corporations</w:t>
      </w:r>
      <w:r>
        <w:rPr>
          <w:spacing w:val="-9"/>
          <w:sz w:val="23"/>
        </w:rPr>
        <w:t> </w:t>
      </w:r>
      <w:r>
        <w:rPr>
          <w:sz w:val="23"/>
        </w:rPr>
        <w:t>and</w:t>
      </w:r>
      <w:r>
        <w:rPr>
          <w:spacing w:val="-10"/>
          <w:sz w:val="23"/>
        </w:rPr>
        <w:t> </w:t>
      </w:r>
      <w:r>
        <w:rPr>
          <w:sz w:val="23"/>
        </w:rPr>
        <w:t>legal</w:t>
      </w:r>
      <w:r>
        <w:rPr>
          <w:spacing w:val="-12"/>
          <w:sz w:val="23"/>
        </w:rPr>
        <w:t> </w:t>
      </w:r>
      <w:r>
        <w:rPr>
          <w:sz w:val="23"/>
        </w:rPr>
        <w:t>corporations</w:t>
      </w:r>
      <w:r>
        <w:rPr>
          <w:spacing w:val="-11"/>
          <w:sz w:val="23"/>
        </w:rPr>
        <w:t> </w:t>
      </w:r>
      <w:r>
        <w:rPr>
          <w:sz w:val="23"/>
        </w:rPr>
        <w:t>are</w:t>
      </w:r>
      <w:r>
        <w:rPr>
          <w:spacing w:val="-12"/>
          <w:sz w:val="23"/>
        </w:rPr>
        <w:t> </w:t>
      </w:r>
      <w:r>
        <w:rPr>
          <w:sz w:val="23"/>
        </w:rPr>
        <w:t>reported.</w:t>
      </w:r>
    </w:p>
    <w:p>
      <w:pPr>
        <w:pStyle w:val="ListParagraph"/>
        <w:numPr>
          <w:ilvl w:val="3"/>
          <w:numId w:val="140"/>
        </w:numPr>
        <w:tabs>
          <w:tab w:pos="2320" w:val="left" w:leader="none"/>
        </w:tabs>
        <w:spacing w:line="240" w:lineRule="auto" w:before="0" w:after="0"/>
        <w:ind w:left="2319" w:right="414" w:hanging="360"/>
        <w:jc w:val="left"/>
        <w:rPr>
          <w:sz w:val="23"/>
        </w:rPr>
      </w:pPr>
      <w:r>
        <w:rPr>
          <w:sz w:val="23"/>
        </w:rPr>
        <w:t>Payments</w:t>
      </w:r>
      <w:r>
        <w:rPr>
          <w:spacing w:val="-11"/>
          <w:sz w:val="23"/>
        </w:rPr>
        <w:t> </w:t>
      </w:r>
      <w:r>
        <w:rPr>
          <w:sz w:val="23"/>
        </w:rPr>
        <w:t>for</w:t>
      </w:r>
      <w:r>
        <w:rPr>
          <w:spacing w:val="-14"/>
          <w:sz w:val="23"/>
        </w:rPr>
        <w:t> </w:t>
      </w:r>
      <w:r>
        <w:rPr>
          <w:sz w:val="23"/>
        </w:rPr>
        <w:t>merchandise</w:t>
      </w:r>
      <w:r>
        <w:rPr>
          <w:spacing w:val="-10"/>
          <w:sz w:val="23"/>
        </w:rPr>
        <w:t> </w:t>
      </w:r>
      <w:r>
        <w:rPr>
          <w:sz w:val="23"/>
        </w:rPr>
        <w:t>(including</w:t>
      </w:r>
      <w:r>
        <w:rPr>
          <w:spacing w:val="-13"/>
          <w:sz w:val="23"/>
        </w:rPr>
        <w:t> </w:t>
      </w:r>
      <w:r>
        <w:rPr>
          <w:sz w:val="23"/>
        </w:rPr>
        <w:t>freight,</w:t>
      </w:r>
      <w:r>
        <w:rPr>
          <w:spacing w:val="-7"/>
          <w:sz w:val="23"/>
        </w:rPr>
        <w:t> </w:t>
      </w:r>
      <w:r>
        <w:rPr>
          <w:sz w:val="23"/>
        </w:rPr>
        <w:t>storage,</w:t>
      </w:r>
      <w:r>
        <w:rPr>
          <w:spacing w:val="-7"/>
          <w:sz w:val="23"/>
        </w:rPr>
        <w:t> </w:t>
      </w:r>
      <w:r>
        <w:rPr>
          <w:sz w:val="23"/>
        </w:rPr>
        <w:t>and</w:t>
      </w:r>
      <w:r>
        <w:rPr>
          <w:spacing w:val="-10"/>
          <w:sz w:val="23"/>
        </w:rPr>
        <w:t> </w:t>
      </w:r>
      <w:r>
        <w:rPr>
          <w:sz w:val="23"/>
        </w:rPr>
        <w:t>similar</w:t>
      </w:r>
      <w:r>
        <w:rPr>
          <w:spacing w:val="-10"/>
          <w:sz w:val="23"/>
        </w:rPr>
        <w:t> </w:t>
      </w:r>
      <w:r>
        <w:rPr>
          <w:sz w:val="23"/>
        </w:rPr>
        <w:t>charges)</w:t>
      </w:r>
      <w:r>
        <w:rPr>
          <w:spacing w:val="-8"/>
          <w:sz w:val="23"/>
        </w:rPr>
        <w:t> </w:t>
      </w:r>
      <w:r>
        <w:rPr>
          <w:sz w:val="23"/>
        </w:rPr>
        <w:t>and utilities (such as electricity, gas, oil, water, telephone, telegraph, and similar services).</w:t>
      </w:r>
    </w:p>
    <w:p>
      <w:pPr>
        <w:pStyle w:val="ListParagraph"/>
        <w:numPr>
          <w:ilvl w:val="3"/>
          <w:numId w:val="140"/>
        </w:numPr>
        <w:tabs>
          <w:tab w:pos="2320" w:val="left" w:leader="none"/>
        </w:tabs>
        <w:spacing w:line="240" w:lineRule="auto" w:before="2" w:after="0"/>
        <w:ind w:left="2319" w:right="380" w:hanging="360"/>
        <w:jc w:val="left"/>
        <w:rPr>
          <w:sz w:val="23"/>
        </w:rPr>
      </w:pPr>
      <w:r>
        <w:rPr>
          <w:sz w:val="23"/>
        </w:rPr>
        <w:t>Payments</w:t>
      </w:r>
      <w:r>
        <w:rPr>
          <w:spacing w:val="-10"/>
          <w:sz w:val="23"/>
        </w:rPr>
        <w:t> </w:t>
      </w:r>
      <w:r>
        <w:rPr>
          <w:sz w:val="23"/>
        </w:rPr>
        <w:t>of</w:t>
      </w:r>
      <w:r>
        <w:rPr>
          <w:spacing w:val="-7"/>
          <w:sz w:val="23"/>
        </w:rPr>
        <w:t> </w:t>
      </w:r>
      <w:r>
        <w:rPr>
          <w:sz w:val="23"/>
        </w:rPr>
        <w:t>non-punitive</w:t>
      </w:r>
      <w:r>
        <w:rPr>
          <w:spacing w:val="-9"/>
          <w:sz w:val="23"/>
        </w:rPr>
        <w:t> </w:t>
      </w:r>
      <w:r>
        <w:rPr>
          <w:sz w:val="23"/>
        </w:rPr>
        <w:t>damages</w:t>
      </w:r>
      <w:r>
        <w:rPr>
          <w:spacing w:val="-7"/>
          <w:sz w:val="23"/>
        </w:rPr>
        <w:t> </w:t>
      </w:r>
      <w:r>
        <w:rPr>
          <w:sz w:val="23"/>
        </w:rPr>
        <w:t>(for</w:t>
      </w:r>
      <w:r>
        <w:rPr>
          <w:spacing w:val="-8"/>
          <w:sz w:val="23"/>
        </w:rPr>
        <w:t> </w:t>
      </w:r>
      <w:r>
        <w:rPr>
          <w:sz w:val="23"/>
        </w:rPr>
        <w:t>physical</w:t>
      </w:r>
      <w:r>
        <w:rPr>
          <w:spacing w:val="-11"/>
          <w:sz w:val="23"/>
        </w:rPr>
        <w:t> </w:t>
      </w:r>
      <w:r>
        <w:rPr>
          <w:sz w:val="23"/>
        </w:rPr>
        <w:t>injury</w:t>
      </w:r>
      <w:r>
        <w:rPr>
          <w:spacing w:val="-12"/>
          <w:sz w:val="23"/>
        </w:rPr>
        <w:t> </w:t>
      </w:r>
      <w:r>
        <w:rPr>
          <w:sz w:val="23"/>
        </w:rPr>
        <w:t>or</w:t>
      </w:r>
      <w:r>
        <w:rPr>
          <w:spacing w:val="-10"/>
          <w:sz w:val="23"/>
        </w:rPr>
        <w:t> </w:t>
      </w:r>
      <w:r>
        <w:rPr>
          <w:sz w:val="23"/>
        </w:rPr>
        <w:t>sickness)</w:t>
      </w:r>
      <w:r>
        <w:rPr>
          <w:spacing w:val="-10"/>
          <w:sz w:val="23"/>
        </w:rPr>
        <w:t> </w:t>
      </w:r>
      <w:r>
        <w:rPr>
          <w:sz w:val="23"/>
        </w:rPr>
        <w:t>awarded</w:t>
      </w:r>
      <w:r>
        <w:rPr>
          <w:spacing w:val="-8"/>
          <w:sz w:val="23"/>
        </w:rPr>
        <w:t> </w:t>
      </w:r>
      <w:r>
        <w:rPr>
          <w:sz w:val="23"/>
        </w:rPr>
        <w:t>by the courts. </w:t>
      </w:r>
      <w:r>
        <w:rPr>
          <w:spacing w:val="-3"/>
          <w:sz w:val="23"/>
        </w:rPr>
        <w:t>However, </w:t>
      </w:r>
      <w:r>
        <w:rPr>
          <w:sz w:val="23"/>
        </w:rPr>
        <w:t>interest payments are</w:t>
      </w:r>
      <w:r>
        <w:rPr>
          <w:spacing w:val="-43"/>
          <w:sz w:val="23"/>
        </w:rPr>
        <w:t> </w:t>
      </w:r>
      <w:r>
        <w:rPr>
          <w:sz w:val="23"/>
        </w:rPr>
        <w:t>reportable.</w:t>
      </w:r>
    </w:p>
    <w:p>
      <w:pPr>
        <w:pStyle w:val="ListParagraph"/>
        <w:numPr>
          <w:ilvl w:val="3"/>
          <w:numId w:val="140"/>
        </w:numPr>
        <w:tabs>
          <w:tab w:pos="2320" w:val="left" w:leader="none"/>
        </w:tabs>
        <w:spacing w:line="240" w:lineRule="auto" w:before="0" w:after="0"/>
        <w:ind w:left="2318" w:right="674" w:hanging="359"/>
        <w:jc w:val="left"/>
        <w:rPr>
          <w:sz w:val="23"/>
        </w:rPr>
      </w:pPr>
      <w:r>
        <w:rPr>
          <w:sz w:val="23"/>
        </w:rPr>
        <w:t>Salaries</w:t>
      </w:r>
      <w:r>
        <w:rPr>
          <w:spacing w:val="-7"/>
          <w:sz w:val="23"/>
        </w:rPr>
        <w:t> </w:t>
      </w:r>
      <w:r>
        <w:rPr>
          <w:sz w:val="23"/>
        </w:rPr>
        <w:t>and</w:t>
      </w:r>
      <w:r>
        <w:rPr>
          <w:spacing w:val="-5"/>
          <w:sz w:val="23"/>
        </w:rPr>
        <w:t> </w:t>
      </w:r>
      <w:r>
        <w:rPr>
          <w:sz w:val="23"/>
        </w:rPr>
        <w:t>wages</w:t>
      </w:r>
      <w:r>
        <w:rPr>
          <w:spacing w:val="-7"/>
          <w:sz w:val="23"/>
        </w:rPr>
        <w:t> </w:t>
      </w:r>
      <w:r>
        <w:rPr>
          <w:sz w:val="23"/>
        </w:rPr>
        <w:t>paid</w:t>
      </w:r>
      <w:r>
        <w:rPr>
          <w:spacing w:val="-10"/>
          <w:sz w:val="23"/>
        </w:rPr>
        <w:t> </w:t>
      </w:r>
      <w:r>
        <w:rPr>
          <w:sz w:val="23"/>
        </w:rPr>
        <w:t>from</w:t>
      </w:r>
      <w:r>
        <w:rPr>
          <w:spacing w:val="-4"/>
          <w:sz w:val="23"/>
        </w:rPr>
        <w:t> </w:t>
      </w:r>
      <w:r>
        <w:rPr>
          <w:sz w:val="23"/>
        </w:rPr>
        <w:t>the</w:t>
      </w:r>
      <w:r>
        <w:rPr>
          <w:spacing w:val="-10"/>
          <w:sz w:val="23"/>
        </w:rPr>
        <w:t> </w:t>
      </w:r>
      <w:r>
        <w:rPr>
          <w:sz w:val="23"/>
        </w:rPr>
        <w:t>State</w:t>
      </w:r>
      <w:r>
        <w:rPr>
          <w:spacing w:val="-11"/>
          <w:sz w:val="23"/>
        </w:rPr>
        <w:t> </w:t>
      </w:r>
      <w:r>
        <w:rPr>
          <w:sz w:val="23"/>
        </w:rPr>
        <w:t>Payroll</w:t>
      </w:r>
      <w:r>
        <w:rPr>
          <w:spacing w:val="-7"/>
          <w:sz w:val="23"/>
        </w:rPr>
        <w:t> </w:t>
      </w:r>
      <w:r>
        <w:rPr>
          <w:sz w:val="23"/>
        </w:rPr>
        <w:t>Revolving</w:t>
      </w:r>
      <w:r>
        <w:rPr>
          <w:spacing w:val="-7"/>
          <w:sz w:val="23"/>
        </w:rPr>
        <w:t> </w:t>
      </w:r>
      <w:r>
        <w:rPr>
          <w:sz w:val="23"/>
        </w:rPr>
        <w:t>Fund</w:t>
      </w:r>
      <w:r>
        <w:rPr>
          <w:spacing w:val="-7"/>
          <w:sz w:val="23"/>
        </w:rPr>
        <w:t> </w:t>
      </w:r>
      <w:r>
        <w:rPr>
          <w:sz w:val="23"/>
        </w:rPr>
        <w:t>or</w:t>
      </w:r>
      <w:r>
        <w:rPr>
          <w:spacing w:val="-7"/>
          <w:sz w:val="23"/>
        </w:rPr>
        <w:t> </w:t>
      </w:r>
      <w:r>
        <w:rPr>
          <w:sz w:val="23"/>
        </w:rPr>
        <w:t>otherwise reported on Form</w:t>
      </w:r>
      <w:r>
        <w:rPr>
          <w:spacing w:val="-22"/>
          <w:sz w:val="23"/>
        </w:rPr>
        <w:t> </w:t>
      </w:r>
      <w:r>
        <w:rPr>
          <w:sz w:val="23"/>
        </w:rPr>
        <w:t>W–2.</w:t>
      </w:r>
    </w:p>
    <w:p>
      <w:pPr>
        <w:pStyle w:val="ListParagraph"/>
        <w:numPr>
          <w:ilvl w:val="3"/>
          <w:numId w:val="140"/>
        </w:numPr>
        <w:tabs>
          <w:tab w:pos="2318" w:val="left" w:leader="none"/>
          <w:tab w:pos="2319" w:val="left" w:leader="none"/>
        </w:tabs>
        <w:spacing w:line="240" w:lineRule="auto" w:before="0" w:after="0"/>
        <w:ind w:left="2318" w:right="926" w:hanging="360"/>
        <w:jc w:val="left"/>
        <w:rPr>
          <w:sz w:val="23"/>
        </w:rPr>
      </w:pPr>
      <w:r>
        <w:rPr>
          <w:sz w:val="23"/>
        </w:rPr>
        <w:t>Scholarships,</w:t>
      </w:r>
      <w:r>
        <w:rPr>
          <w:spacing w:val="-9"/>
          <w:sz w:val="23"/>
        </w:rPr>
        <w:t> </w:t>
      </w:r>
      <w:r>
        <w:rPr>
          <w:sz w:val="23"/>
        </w:rPr>
        <w:t>fellowships,</w:t>
      </w:r>
      <w:r>
        <w:rPr>
          <w:spacing w:val="-8"/>
          <w:sz w:val="23"/>
        </w:rPr>
        <w:t> </w:t>
      </w:r>
      <w:r>
        <w:rPr>
          <w:sz w:val="23"/>
        </w:rPr>
        <w:t>and</w:t>
      </w:r>
      <w:r>
        <w:rPr>
          <w:spacing w:val="-11"/>
          <w:sz w:val="23"/>
        </w:rPr>
        <w:t> </w:t>
      </w:r>
      <w:r>
        <w:rPr>
          <w:sz w:val="23"/>
        </w:rPr>
        <w:t>stipends</w:t>
      </w:r>
      <w:r>
        <w:rPr>
          <w:spacing w:val="-10"/>
          <w:sz w:val="23"/>
        </w:rPr>
        <w:t> </w:t>
      </w:r>
      <w:r>
        <w:rPr>
          <w:sz w:val="23"/>
        </w:rPr>
        <w:t>(except</w:t>
      </w:r>
      <w:r>
        <w:rPr>
          <w:spacing w:val="-9"/>
          <w:sz w:val="23"/>
        </w:rPr>
        <w:t> </w:t>
      </w:r>
      <w:r>
        <w:rPr>
          <w:sz w:val="23"/>
        </w:rPr>
        <w:t>where</w:t>
      </w:r>
      <w:r>
        <w:rPr>
          <w:spacing w:val="-9"/>
          <w:sz w:val="23"/>
        </w:rPr>
        <w:t> </w:t>
      </w:r>
      <w:r>
        <w:rPr>
          <w:sz w:val="23"/>
        </w:rPr>
        <w:t>such</w:t>
      </w:r>
      <w:r>
        <w:rPr>
          <w:spacing w:val="-11"/>
          <w:sz w:val="23"/>
        </w:rPr>
        <w:t> </w:t>
      </w:r>
      <w:r>
        <w:rPr>
          <w:sz w:val="23"/>
        </w:rPr>
        <w:t>payments</w:t>
      </w:r>
      <w:r>
        <w:rPr>
          <w:spacing w:val="-8"/>
          <w:sz w:val="23"/>
        </w:rPr>
        <w:t> </w:t>
      </w:r>
      <w:r>
        <w:rPr>
          <w:spacing w:val="-3"/>
          <w:sz w:val="23"/>
        </w:rPr>
        <w:t>are </w:t>
      </w:r>
      <w:r>
        <w:rPr>
          <w:sz w:val="23"/>
        </w:rPr>
        <w:t>subject</w:t>
      </w:r>
      <w:r>
        <w:rPr>
          <w:spacing w:val="-10"/>
          <w:sz w:val="23"/>
        </w:rPr>
        <w:t> </w:t>
      </w:r>
      <w:r>
        <w:rPr>
          <w:sz w:val="23"/>
        </w:rPr>
        <w:t>to</w:t>
      </w:r>
      <w:r>
        <w:rPr>
          <w:spacing w:val="-13"/>
          <w:sz w:val="23"/>
        </w:rPr>
        <w:t> </w:t>
      </w:r>
      <w:r>
        <w:rPr>
          <w:sz w:val="23"/>
        </w:rPr>
        <w:t>the</w:t>
      </w:r>
      <w:r>
        <w:rPr>
          <w:spacing w:val="-12"/>
          <w:sz w:val="23"/>
        </w:rPr>
        <w:t> </w:t>
      </w:r>
      <w:r>
        <w:rPr>
          <w:sz w:val="23"/>
        </w:rPr>
        <w:t>performance</w:t>
      </w:r>
      <w:r>
        <w:rPr>
          <w:spacing w:val="-12"/>
          <w:sz w:val="23"/>
        </w:rPr>
        <w:t> </w:t>
      </w:r>
      <w:r>
        <w:rPr>
          <w:sz w:val="23"/>
        </w:rPr>
        <w:t>of</w:t>
      </w:r>
      <w:r>
        <w:rPr>
          <w:spacing w:val="-6"/>
          <w:sz w:val="23"/>
        </w:rPr>
        <w:t> </w:t>
      </w:r>
      <w:r>
        <w:rPr>
          <w:sz w:val="23"/>
        </w:rPr>
        <w:t>services).</w:t>
      </w:r>
    </w:p>
    <w:p>
      <w:pPr>
        <w:pStyle w:val="ListParagraph"/>
        <w:numPr>
          <w:ilvl w:val="3"/>
          <w:numId w:val="140"/>
        </w:numPr>
        <w:tabs>
          <w:tab w:pos="2320" w:val="left" w:leader="none"/>
        </w:tabs>
        <w:spacing w:line="240" w:lineRule="auto" w:before="1" w:after="0"/>
        <w:ind w:left="2318" w:right="838" w:hanging="359"/>
        <w:jc w:val="left"/>
        <w:rPr>
          <w:sz w:val="23"/>
        </w:rPr>
      </w:pPr>
      <w:r>
        <w:rPr>
          <w:sz w:val="23"/>
        </w:rPr>
        <w:t>Per</w:t>
      </w:r>
      <w:r>
        <w:rPr>
          <w:spacing w:val="-9"/>
          <w:sz w:val="23"/>
        </w:rPr>
        <w:t> </w:t>
      </w:r>
      <w:r>
        <w:rPr>
          <w:sz w:val="23"/>
        </w:rPr>
        <w:t>diem</w:t>
      </w:r>
      <w:r>
        <w:rPr>
          <w:spacing w:val="-5"/>
          <w:sz w:val="23"/>
        </w:rPr>
        <w:t> </w:t>
      </w:r>
      <w:r>
        <w:rPr>
          <w:sz w:val="23"/>
        </w:rPr>
        <w:t>and</w:t>
      </w:r>
      <w:r>
        <w:rPr>
          <w:spacing w:val="-10"/>
          <w:sz w:val="23"/>
        </w:rPr>
        <w:t> </w:t>
      </w:r>
      <w:r>
        <w:rPr>
          <w:sz w:val="23"/>
        </w:rPr>
        <w:t>travel</w:t>
      </w:r>
      <w:r>
        <w:rPr>
          <w:spacing w:val="-7"/>
          <w:sz w:val="23"/>
        </w:rPr>
        <w:t> </w:t>
      </w:r>
      <w:r>
        <w:rPr>
          <w:sz w:val="23"/>
        </w:rPr>
        <w:t>expense</w:t>
      </w:r>
      <w:r>
        <w:rPr>
          <w:spacing w:val="-10"/>
          <w:sz w:val="23"/>
        </w:rPr>
        <w:t> </w:t>
      </w:r>
      <w:r>
        <w:rPr>
          <w:sz w:val="23"/>
        </w:rPr>
        <w:t>reimbursements</w:t>
      </w:r>
      <w:r>
        <w:rPr>
          <w:spacing w:val="-11"/>
          <w:sz w:val="23"/>
        </w:rPr>
        <w:t> </w:t>
      </w:r>
      <w:r>
        <w:rPr>
          <w:spacing w:val="-3"/>
          <w:sz w:val="23"/>
        </w:rPr>
        <w:t>are</w:t>
      </w:r>
      <w:r>
        <w:rPr>
          <w:spacing w:val="-10"/>
          <w:sz w:val="23"/>
        </w:rPr>
        <w:t> </w:t>
      </w:r>
      <w:r>
        <w:rPr>
          <w:sz w:val="23"/>
        </w:rPr>
        <w:t>generally</w:t>
      </w:r>
      <w:r>
        <w:rPr>
          <w:spacing w:val="-9"/>
          <w:sz w:val="23"/>
        </w:rPr>
        <w:t> </w:t>
      </w:r>
      <w:r>
        <w:rPr>
          <w:sz w:val="23"/>
        </w:rPr>
        <w:t>not</w:t>
      </w:r>
      <w:r>
        <w:rPr>
          <w:spacing w:val="-7"/>
          <w:sz w:val="23"/>
        </w:rPr>
        <w:t> </w:t>
      </w:r>
      <w:r>
        <w:rPr>
          <w:sz w:val="23"/>
        </w:rPr>
        <w:t>considered reportable income. Refer to IRS Instructions for Form 1099-MISC on nonemployee</w:t>
      </w:r>
      <w:r>
        <w:rPr>
          <w:spacing w:val="-32"/>
          <w:sz w:val="23"/>
        </w:rPr>
        <w:t> </w:t>
      </w:r>
      <w:r>
        <w:rPr>
          <w:sz w:val="23"/>
        </w:rPr>
        <w:t>compensation.</w:t>
      </w:r>
    </w:p>
    <w:p>
      <w:pPr>
        <w:pStyle w:val="BodyText"/>
        <w:spacing w:before="9"/>
        <w:rPr>
          <w:sz w:val="22"/>
        </w:rPr>
      </w:pPr>
    </w:p>
    <w:p>
      <w:pPr>
        <w:pStyle w:val="ListParagraph"/>
        <w:numPr>
          <w:ilvl w:val="2"/>
          <w:numId w:val="140"/>
        </w:numPr>
        <w:tabs>
          <w:tab w:pos="1598" w:val="left" w:leader="none"/>
        </w:tabs>
        <w:spacing w:line="240" w:lineRule="auto" w:before="1" w:after="0"/>
        <w:ind w:left="1597" w:right="0" w:hanging="357"/>
        <w:jc w:val="left"/>
        <w:rPr>
          <w:sz w:val="23"/>
        </w:rPr>
      </w:pPr>
      <w:r>
        <w:rPr>
          <w:sz w:val="23"/>
        </w:rPr>
        <w:t>Payments</w:t>
      </w:r>
      <w:r>
        <w:rPr>
          <w:spacing w:val="-14"/>
          <w:sz w:val="23"/>
        </w:rPr>
        <w:t> </w:t>
      </w:r>
      <w:r>
        <w:rPr>
          <w:sz w:val="23"/>
        </w:rPr>
        <w:t>that</w:t>
      </w:r>
      <w:r>
        <w:rPr>
          <w:spacing w:val="-9"/>
          <w:sz w:val="23"/>
        </w:rPr>
        <w:t> </w:t>
      </w:r>
      <w:r>
        <w:rPr>
          <w:sz w:val="23"/>
        </w:rPr>
        <w:t>include</w:t>
      </w:r>
      <w:r>
        <w:rPr>
          <w:spacing w:val="-14"/>
          <w:sz w:val="23"/>
        </w:rPr>
        <w:t> </w:t>
      </w:r>
      <w:r>
        <w:rPr>
          <w:sz w:val="23"/>
        </w:rPr>
        <w:t>reportable</w:t>
      </w:r>
      <w:r>
        <w:rPr>
          <w:spacing w:val="-13"/>
          <w:sz w:val="23"/>
        </w:rPr>
        <w:t> </w:t>
      </w:r>
      <w:r>
        <w:rPr>
          <w:sz w:val="23"/>
        </w:rPr>
        <w:t>and</w:t>
      </w:r>
      <w:r>
        <w:rPr>
          <w:spacing w:val="-13"/>
          <w:sz w:val="23"/>
        </w:rPr>
        <w:t> </w:t>
      </w:r>
      <w:r>
        <w:rPr>
          <w:sz w:val="23"/>
        </w:rPr>
        <w:t>non-reportable</w:t>
      </w:r>
      <w:r>
        <w:rPr>
          <w:spacing w:val="-13"/>
          <w:sz w:val="23"/>
        </w:rPr>
        <w:t> </w:t>
      </w:r>
      <w:r>
        <w:rPr>
          <w:sz w:val="23"/>
        </w:rPr>
        <w:t>items.</w:t>
      </w:r>
    </w:p>
    <w:p>
      <w:pPr>
        <w:spacing w:before="2"/>
        <w:ind w:left="1594" w:right="328" w:firstLine="3"/>
        <w:jc w:val="left"/>
        <w:rPr>
          <w:sz w:val="23"/>
        </w:rPr>
      </w:pPr>
      <w:r>
        <w:rPr>
          <w:sz w:val="23"/>
        </w:rPr>
        <w:t>When a payment to an individual includes both reportable and non-reportable items, state departments usually have the option of reporting the total payment or only the reportable portion. If the agreement is only for a lump sum, then the full amount will be reported (including gross proceeds paid to an attorney in connection with legal services). However, when a payment includes both interest and non-reportable principal, only the interest will be reported. When a payment to an external consultant includes a stated amount for travel expenses, per diem, or other expenses, as well as an amount for services, the total amount will be reported.</w:t>
      </w:r>
    </w:p>
    <w:p>
      <w:pPr>
        <w:pStyle w:val="BodyText"/>
        <w:spacing w:before="10"/>
        <w:rPr>
          <w:sz w:val="22"/>
        </w:rPr>
      </w:pPr>
    </w:p>
    <w:p>
      <w:pPr>
        <w:spacing w:before="0"/>
        <w:ind w:left="1239" w:right="286" w:firstLine="0"/>
        <w:jc w:val="left"/>
        <w:rPr>
          <w:sz w:val="23"/>
        </w:rPr>
      </w:pPr>
      <w:r>
        <w:rPr>
          <w:sz w:val="23"/>
        </w:rPr>
        <w:t>Questions regarding the determination of reportable payments and/or the use of STD. 204 should be directed to the Franchise Tax Board, Information Reporting Unit, at</w:t>
      </w:r>
    </w:p>
    <w:p>
      <w:pPr>
        <w:spacing w:line="259" w:lineRule="exact" w:before="0"/>
        <w:ind w:left="1239" w:right="0" w:firstLine="0"/>
        <w:jc w:val="left"/>
        <w:rPr>
          <w:sz w:val="23"/>
        </w:rPr>
      </w:pPr>
      <w:r>
        <w:rPr>
          <w:sz w:val="23"/>
        </w:rPr>
        <w:t>(916) 845–6304.</w:t>
      </w:r>
    </w:p>
    <w:p>
      <w:pPr>
        <w:tabs>
          <w:tab w:pos="515" w:val="left" w:leader="none"/>
        </w:tabs>
        <w:spacing w:line="240" w:lineRule="auto"/>
        <w:ind w:left="99" w:right="0" w:firstLine="0"/>
        <w:rPr>
          <w:sz w:val="20"/>
        </w:rPr>
      </w:pPr>
      <w:r>
        <w:rPr>
          <w:sz w:val="20"/>
        </w:rPr>
        <w:pict>
          <v:group style="width:.75pt;height:15.05pt;mso-position-horizontal-relative:char;mso-position-vertical-relative:line" coordorigin="0,0" coordsize="15,301">
            <v:line style="position:absolute" from="8,8" to="8,293" stroked="true" strokeweight=".72pt" strokecolor="#000000">
              <v:stroke dashstyle="solid"/>
            </v:line>
          </v:group>
        </w:pict>
      </w:r>
      <w:r>
        <w:rPr>
          <w:sz w:val="20"/>
        </w:rPr>
      </w:r>
      <w:r>
        <w:rPr>
          <w:sz w:val="20"/>
        </w:rPr>
        <w:tab/>
      </w:r>
      <w:r>
        <w:rPr>
          <w:position w:val="1"/>
          <w:sz w:val="20"/>
        </w:rPr>
        <w:pict>
          <v:group style="width:2.7pt;height:14.05pt;mso-position-horizontal-relative:char;mso-position-vertical-relative:line" coordorigin="0,0" coordsize="54,281">
            <v:line style="position:absolute" from="5,235" to="48,235" stroked="true" strokeweight=".48pt" strokecolor="#b5082e">
              <v:stroke dashstyle="solid"/>
            </v:line>
            <v:line style="position:absolute" from="28,9" to="28,273" stroked="true" strokeweight=".84pt" strokecolor="#000000">
              <v:stroke dashstyle="solid"/>
            </v:line>
          </v:group>
        </w:pict>
      </w:r>
      <w:r>
        <w:rPr>
          <w:position w:val="1"/>
          <w:sz w:val="20"/>
        </w:rPr>
      </w:r>
    </w:p>
    <w:p>
      <w:pPr>
        <w:spacing w:after="0" w:line="240" w:lineRule="auto"/>
        <w:rPr>
          <w:sz w:val="20"/>
        </w:rPr>
        <w:sectPr>
          <w:headerReference w:type="default" r:id="rId400"/>
          <w:footerReference w:type="default" r:id="rId401"/>
          <w:pgSz w:w="12240" w:h="15840"/>
          <w:pgMar w:header="721" w:footer="800" w:top="980" w:bottom="980" w:left="200" w:right="1340"/>
        </w:sectPr>
      </w:pPr>
    </w:p>
    <w:p>
      <w:pPr>
        <w:pStyle w:val="BodyText"/>
        <w:spacing w:before="4"/>
      </w:pPr>
    </w:p>
    <w:p>
      <w:pPr>
        <w:pStyle w:val="BodyText"/>
        <w:ind w:left="879"/>
        <w:rPr>
          <w:sz w:val="20"/>
        </w:rPr>
      </w:pPr>
      <w:r>
        <w:rPr>
          <w:sz w:val="20"/>
        </w:rPr>
        <w:pict>
          <v:group style="width:471.05pt;height:608.2pt;mso-position-horizontal-relative:char;mso-position-vertical-relative:line" coordorigin="0,0" coordsize="9421,12164">
            <v:shape style="position:absolute;left:8;top:175;width:9360;height:11119" type="#_x0000_t75" stroked="false">
              <v:imagedata r:id="rId403" o:title=""/>
            </v:shape>
            <v:rect style="position:absolute;left:8;top:8;width:9406;height:12149" filled="false" stroked="true" strokeweight=".72pt" strokecolor="#000000">
              <v:stroke dashstyle="solid"/>
            </v:rect>
          </v:group>
        </w:pict>
      </w:r>
      <w:r>
        <w:rPr>
          <w:sz w:val="20"/>
        </w:rPr>
      </w:r>
    </w:p>
    <w:p>
      <w:pPr>
        <w:pStyle w:val="BodyText"/>
        <w:spacing w:before="3"/>
        <w:rPr>
          <w:sz w:val="8"/>
        </w:rPr>
      </w:pPr>
    </w:p>
    <w:p>
      <w:pPr>
        <w:spacing w:before="92"/>
        <w:ind w:left="3371" w:right="0" w:firstLine="0"/>
        <w:jc w:val="left"/>
        <w:rPr>
          <w:b/>
          <w:sz w:val="24"/>
        </w:rPr>
      </w:pPr>
      <w:bookmarkStart w:name="8422.190 Illustration 1 – Form STD 204" w:id="177"/>
      <w:bookmarkEnd w:id="177"/>
      <w:r>
        <w:rPr/>
      </w:r>
      <w:r>
        <w:rPr>
          <w:b/>
          <w:sz w:val="24"/>
        </w:rPr>
        <w:t>8422.190 Illustration 1 – Form STD 204</w:t>
      </w:r>
    </w:p>
    <w:p>
      <w:pPr>
        <w:spacing w:after="0"/>
        <w:jc w:val="left"/>
        <w:rPr>
          <w:sz w:val="24"/>
        </w:rPr>
        <w:sectPr>
          <w:footerReference w:type="default" r:id="rId402"/>
          <w:pgSz w:w="12240" w:h="15840"/>
          <w:pgMar w:footer="800" w:header="721" w:top="980" w:bottom="980" w:left="560" w:right="1280"/>
        </w:sectPr>
      </w:pPr>
    </w:p>
    <w:p>
      <w:pPr>
        <w:pStyle w:val="BodyText"/>
        <w:spacing w:before="2" w:after="1"/>
        <w:rPr>
          <w:b/>
          <w:sz w:val="17"/>
        </w:rPr>
      </w:pPr>
    </w:p>
    <w:p>
      <w:pPr>
        <w:pStyle w:val="BodyText"/>
        <w:ind w:left="855"/>
        <w:rPr>
          <w:sz w:val="20"/>
        </w:rPr>
      </w:pPr>
      <w:r>
        <w:rPr>
          <w:sz w:val="20"/>
        </w:rPr>
        <w:pict>
          <v:group style="width:477.75pt;height:615.75pt;mso-position-horizontal-relative:char;mso-position-vertical-relative:line" coordorigin="0,0" coordsize="9555,12315">
            <v:shape style="position:absolute;left:87;top:248;width:9370;height:11856" type="#_x0000_t75" stroked="false">
              <v:imagedata r:id="rId404" o:title=""/>
            </v:shape>
            <v:rect style="position:absolute;left:8;top:8;width:9540;height:12300" filled="false" stroked="true" strokeweight=".72pt" strokecolor="#000000">
              <v:stroke dashstyle="solid"/>
            </v:rect>
          </v:group>
        </w:pict>
      </w:r>
      <w:r>
        <w:rPr>
          <w:sz w:val="20"/>
        </w:rPr>
      </w:r>
    </w:p>
    <w:p>
      <w:pPr>
        <w:pStyle w:val="BodyText"/>
        <w:spacing w:before="3"/>
        <w:rPr>
          <w:b/>
          <w:sz w:val="20"/>
        </w:rPr>
      </w:pPr>
    </w:p>
    <w:p>
      <w:pPr>
        <w:spacing w:before="92"/>
        <w:ind w:left="3431" w:right="0" w:firstLine="0"/>
        <w:jc w:val="left"/>
        <w:rPr>
          <w:b/>
          <w:sz w:val="24"/>
        </w:rPr>
      </w:pPr>
      <w:r>
        <w:rPr>
          <w:b/>
          <w:sz w:val="24"/>
        </w:rPr>
        <w:t>8422.190 Illustration 2 – Form STD 204</w:t>
      </w:r>
    </w:p>
    <w:sectPr>
      <w:pgSz w:w="12240" w:h="15840"/>
      <w:pgMar w:header="721" w:footer="800" w:top="980" w:bottom="980" w:left="500" w:right="1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Symbol">
    <w:altName w:val="Symbol"/>
    <w:charset w:val="2"/>
    <w:family w:val="roman"/>
    <w:pitch w:val="variable"/>
  </w:font>
  <w:font w:name="Wingdings">
    <w:altName w:val="Wingdings"/>
    <w:charset w:val="2"/>
    <w:family w:val="auto"/>
    <w:pitch w:val="variable"/>
  </w:font>
  <w:font w:name="Minion Pro">
    <w:altName w:val="Minion Pro"/>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1592" from="36.360001pt,749.880005pt" to="36.360001pt,763.680005pt" stroked="true" strokeweight=".72pt" strokecolor="#000000">
          <v:stroke dashstyle="solid"/>
          <w10:wrap type="none"/>
        </v:line>
      </w:pict>
    </w:r>
    <w:r>
      <w:rPr/>
      <w:pict>
        <v:shape style="position:absolute;margin-left:280.640015pt;margin-top:749.056702pt;width:50.75pt;height:15.45pt;mso-position-horizontal-relative:page;mso-position-vertical-relative:page;z-index:-471568" type="#_x0000_t202" filled="false" stroked="false">
          <v:textbox inset="0,0,0,0">
            <w:txbxContent>
              <w:p>
                <w:pPr>
                  <w:spacing w:before="12"/>
                  <w:ind w:left="20" w:right="0" w:firstLine="0"/>
                  <w:jc w:val="left"/>
                  <w:rPr>
                    <w:b/>
                    <w:sz w:val="24"/>
                  </w:rPr>
                </w:pPr>
                <w:r>
                  <w:rPr>
                    <w:b/>
                    <w:color w:val="F37E43"/>
                    <w:sz w:val="24"/>
                    <w:u w:val="thick" w:color="F37E43"/>
                  </w:rPr>
                  <w:t>Rev. 4</w:t>
                </w:r>
                <w:r>
                  <w:rPr>
                    <w:b/>
                    <w:sz w:val="24"/>
                  </w:rPr>
                  <w:t>40</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6.959991pt;margin-top:741.376709pt;width:50.75pt;height:15.45pt;mso-position-horizontal-relative:page;mso-position-vertical-relative:page;z-index:-467608" type="#_x0000_t202" filled="false" stroked="false">
          <v:textbox inset="0,0,0,0">
            <w:txbxContent>
              <w:p>
                <w:pPr>
                  <w:spacing w:before="12"/>
                  <w:ind w:left="20" w:right="0" w:firstLine="0"/>
                  <w:jc w:val="left"/>
                  <w:rPr>
                    <w:b/>
                    <w:sz w:val="24"/>
                  </w:rPr>
                </w:pPr>
                <w:r>
                  <w:rPr>
                    <w:b/>
                    <w:sz w:val="24"/>
                  </w:rPr>
                  <w:t>Rev. 439</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7584" from="29.4pt,742.200012pt" to="29.4pt,756.000012pt" stroked="true" strokeweight=".72pt" strokecolor="#000000">
          <v:stroke dashstyle="solid"/>
          <w10:wrap type="none"/>
        </v:line>
      </w:pict>
    </w:r>
    <w:r>
      <w:rPr/>
      <w:pict>
        <v:shape style="position:absolute;margin-left:263.720001pt;margin-top:741.376709pt;width:70.9pt;height:15.45pt;mso-position-horizontal-relative:page;mso-position-vertical-relative:page;z-index:-467560" type="#_x0000_t202" filled="false" stroked="false">
          <v:textbox inset="0,0,0,0">
            <w:txbxContent>
              <w:p>
                <w:pPr>
                  <w:spacing w:before="12"/>
                  <w:ind w:left="20" w:right="0" w:firstLine="0"/>
                  <w:jc w:val="left"/>
                  <w:rPr>
                    <w:b/>
                    <w:sz w:val="24"/>
                  </w:rPr>
                </w:pPr>
                <w:r>
                  <w:rPr>
                    <w:b/>
                    <w:sz w:val="24"/>
                  </w:rPr>
                  <w:t>Rev. </w:t>
                </w:r>
                <w:r>
                  <w:rPr>
                    <w:b/>
                    <w:strike/>
                    <w:color w:val="2E97D3"/>
                    <w:sz w:val="24"/>
                  </w:rPr>
                  <w:t>364</w:t>
                </w:r>
                <w:r>
                  <w:rPr>
                    <w:b/>
                    <w:strike w:val="0"/>
                    <w:color w:val="2E97D3"/>
                    <w:sz w:val="24"/>
                    <w:u w:val="thick" w:color="2E97D3"/>
                  </w:rPr>
                  <w:t>439</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7488" from="27.360001pt,548.400024pt" to="27.360001pt,576.000024pt" stroked="true" strokeweight=".72pt" strokecolor="#000000">
          <v:stroke dashstyle="solid"/>
          <w10:wrap type="none"/>
        </v:line>
      </w:pict>
    </w:r>
    <w:r>
      <w:rPr/>
      <w:pict>
        <v:shape style="position:absolute;margin-left:336.320007pt;margin-top:547.576721pt;width:101.4pt;height:29.25pt;mso-position-horizontal-relative:page;mso-position-vertical-relative:page;z-index:-467464" type="#_x0000_t202" filled="false" stroked="false">
          <v:textbox inset="0,0,0,0">
            <w:txbxContent>
              <w:p>
                <w:pPr>
                  <w:spacing w:before="12"/>
                  <w:ind w:left="0" w:right="0" w:firstLine="0"/>
                  <w:jc w:val="center"/>
                  <w:rPr>
                    <w:b/>
                    <w:sz w:val="24"/>
                  </w:rPr>
                </w:pPr>
                <w:r>
                  <w:rPr>
                    <w:b/>
                    <w:sz w:val="24"/>
                  </w:rPr>
                  <w:t>Rev. </w:t>
                </w:r>
                <w:r>
                  <w:rPr>
                    <w:b/>
                    <w:strike/>
                    <w:color w:val="2E97D3"/>
                    <w:sz w:val="24"/>
                  </w:rPr>
                  <w:t>363</w:t>
                </w:r>
                <w:r>
                  <w:rPr>
                    <w:b/>
                    <w:strike w:val="0"/>
                    <w:color w:val="2E97D3"/>
                    <w:sz w:val="24"/>
                    <w:u w:val="thick" w:color="2E97D3"/>
                  </w:rPr>
                  <w:t>439</w:t>
                </w:r>
              </w:p>
              <w:p>
                <w:pPr>
                  <w:spacing w:before="0"/>
                  <w:ind w:left="0" w:right="0" w:firstLine="0"/>
                  <w:jc w:val="center"/>
                  <w:rPr>
                    <w:b/>
                    <w:i/>
                    <w:sz w:val="24"/>
                  </w:rPr>
                </w:pPr>
                <w:r>
                  <w:rPr>
                    <w:b/>
                    <w:i/>
                    <w:color w:val="2E97D3"/>
                    <w:sz w:val="24"/>
                    <w:u w:val="thick" w:color="2E97D3"/>
                  </w:rPr>
                  <w:t>(6886 Illustration)</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559998pt;margin-top:547.576721pt;width:148.8pt;height:29.25pt;mso-position-horizontal-relative:page;mso-position-vertical-relative:page;z-index:-467440"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sz w:val="24"/>
                  </w:rPr>
                  <w:t>(6886 Illustration, Cont. 1)</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736694pt;width:50.75pt;height:15.45pt;mso-position-horizontal-relative:page;mso-position-vertical-relative:page;z-index:-467368" type="#_x0000_t202" filled="false" stroked="false">
          <v:textbox inset="0,0,0,0">
            <w:txbxContent>
              <w:p>
                <w:pPr>
                  <w:spacing w:before="12"/>
                  <w:ind w:left="20" w:right="0" w:firstLine="0"/>
                  <w:jc w:val="left"/>
                  <w:rPr>
                    <w:b/>
                    <w:sz w:val="24"/>
                  </w:rPr>
                </w:pPr>
                <w:r>
                  <w:rPr>
                    <w:b/>
                    <w:sz w:val="24"/>
                  </w:rPr>
                  <w:t>Rev. 439</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736694pt;width:50.75pt;height:15.45pt;mso-position-horizontal-relative:page;mso-position-vertical-relative:page;z-index:-466984" type="#_x0000_t202" filled="false" stroked="false">
          <v:textbox inset="0,0,0,0">
            <w:txbxContent>
              <w:p>
                <w:pPr>
                  <w:spacing w:before="12"/>
                  <w:ind w:left="20" w:right="0" w:firstLine="0"/>
                  <w:jc w:val="left"/>
                  <w:rPr>
                    <w:b/>
                    <w:sz w:val="24"/>
                  </w:rPr>
                </w:pPr>
                <w:r>
                  <w:rPr>
                    <w:b/>
                    <w:sz w:val="24"/>
                  </w:rPr>
                  <w:t>Rev. 439</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376709pt;width:50.75pt;height:15.45pt;mso-position-horizontal-relative:page;mso-position-vertical-relative:page;z-index:-466816" type="#_x0000_t202" filled="false" stroked="false">
          <v:textbox inset="0,0,0,0">
            <w:txbxContent>
              <w:p>
                <w:pPr>
                  <w:spacing w:before="12"/>
                  <w:ind w:left="20" w:right="0" w:firstLine="0"/>
                  <w:jc w:val="left"/>
                  <w:rPr>
                    <w:b/>
                    <w:sz w:val="24"/>
                  </w:rPr>
                </w:pPr>
                <w:r>
                  <w:rPr>
                    <w:b/>
                    <w:sz w:val="24"/>
                  </w:rPr>
                  <w:t>Rev. 363</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6480" from="33.360001pt,742.440002pt" to="33.360001pt,755.640002pt" stroked="true" strokeweight=".72pt" strokecolor="#000000">
          <v:stroke dashstyle="solid"/>
          <w10:wrap type="none"/>
        </v:line>
      </w:pict>
    </w:r>
    <w:r>
      <w:rPr/>
      <w:pict>
        <v:shape style="position:absolute;margin-left:280.519989pt;margin-top:741.016724pt;width:63.8pt;height:15.45pt;mso-position-horizontal-relative:page;mso-position-vertical-relative:page;z-index:-466456" type="#_x0000_t202" filled="false" stroked="false">
          <v:textbox inset="0,0,0,0">
            <w:txbxContent>
              <w:p>
                <w:pPr>
                  <w:spacing w:before="12"/>
                  <w:ind w:left="20" w:right="0" w:firstLine="0"/>
                  <w:jc w:val="left"/>
                  <w:rPr>
                    <w:b/>
                    <w:sz w:val="24"/>
                  </w:rPr>
                </w:pPr>
                <w:r>
                  <w:rPr>
                    <w:b/>
                    <w:sz w:val="24"/>
                  </w:rPr>
                  <w:t>Rev. 4</w:t>
                </w:r>
                <w:r>
                  <w:rPr>
                    <w:b/>
                    <w:color w:val="2E97D3"/>
                    <w:sz w:val="24"/>
                    <w:u w:val="thick" w:color="2E97D3"/>
                  </w:rPr>
                  <w:t>40</w:t>
                </w:r>
                <w:r>
                  <w:rPr>
                    <w:b/>
                    <w:strike/>
                    <w:color w:val="2E97D3"/>
                    <w:sz w:val="24"/>
                  </w:rPr>
                  <w:t>38</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519989pt;margin-top:741.016724pt;width:63.8pt;height:15.45pt;mso-position-horizontal-relative:page;mso-position-vertical-relative:page;z-index:-466288" type="#_x0000_t202" filled="false" stroked="false">
          <v:textbox inset="0,0,0,0">
            <w:txbxContent>
              <w:p>
                <w:pPr>
                  <w:spacing w:before="12"/>
                  <w:ind w:left="20" w:right="0" w:firstLine="0"/>
                  <w:jc w:val="left"/>
                  <w:rPr>
                    <w:b/>
                    <w:sz w:val="24"/>
                  </w:rPr>
                </w:pPr>
                <w:r>
                  <w:rPr>
                    <w:b/>
                    <w:sz w:val="24"/>
                  </w:rPr>
                  <w:t>Rev. 4</w:t>
                </w:r>
                <w:r>
                  <w:rPr>
                    <w:b/>
                    <w:color w:val="2E97D3"/>
                    <w:sz w:val="24"/>
                    <w:u w:val="thick" w:color="2E97D3"/>
                  </w:rPr>
                  <w:t>40</w:t>
                </w:r>
                <w:r>
                  <w:rPr>
                    <w:b/>
                    <w:strike/>
                    <w:color w:val="2E97D3"/>
                    <w:sz w:val="24"/>
                  </w:rPr>
                  <w:t>38</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6264" from="33.360001pt,742.440002pt" to="33.360001pt,755.640002pt" stroked="true" strokeweight=".72pt" strokecolor="#000000">
          <v:stroke dashstyle="solid"/>
          <w10:wrap type="none"/>
        </v:line>
      </w:pict>
    </w:r>
    <w:r>
      <w:rPr/>
      <w:pict>
        <v:shape style="position:absolute;margin-left:280.519989pt;margin-top:741.016724pt;width:63.8pt;height:15.45pt;mso-position-horizontal-relative:page;mso-position-vertical-relative:page;z-index:-466240" type="#_x0000_t202" filled="false" stroked="false">
          <v:textbox inset="0,0,0,0">
            <w:txbxContent>
              <w:p>
                <w:pPr>
                  <w:spacing w:before="12"/>
                  <w:ind w:left="20" w:right="0" w:firstLine="0"/>
                  <w:jc w:val="left"/>
                  <w:rPr>
                    <w:b/>
                    <w:sz w:val="24"/>
                  </w:rPr>
                </w:pPr>
                <w:r>
                  <w:rPr>
                    <w:b/>
                    <w:sz w:val="24"/>
                  </w:rPr>
                  <w:t>Rev. 4</w:t>
                </w:r>
                <w:r>
                  <w:rPr>
                    <w:b/>
                    <w:color w:val="2E97D3"/>
                    <w:sz w:val="24"/>
                    <w:u w:val="thick" w:color="2E97D3"/>
                  </w:rPr>
                  <w:t>40</w:t>
                </w:r>
                <w:r>
                  <w:rPr>
                    <w:b/>
                    <w:strike/>
                    <w:color w:val="2E97D3"/>
                    <w:sz w:val="24"/>
                  </w:rPr>
                  <w:t>38</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992" type="#_x0000_t202" filled="false" stroked="false">
          <v:textbox inset="0,0,0,0">
            <w:txbxContent>
              <w:p>
                <w:pPr>
                  <w:spacing w:before="12"/>
                  <w:ind w:left="20" w:right="0" w:firstLine="0"/>
                  <w:jc w:val="left"/>
                  <w:rPr>
                    <w:b/>
                    <w:sz w:val="24"/>
                  </w:rPr>
                </w:pPr>
                <w:r>
                  <w:rPr>
                    <w:b/>
                    <w:sz w:val="24"/>
                  </w:rPr>
                  <w:t>Rev. 440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944" type="#_x0000_t202" filled="false" stroked="false">
          <v:textbox inset="0,0,0,0">
            <w:txbxContent>
              <w:p>
                <w:pPr>
                  <w:spacing w:before="12"/>
                  <w:ind w:left="20" w:right="0" w:firstLine="0"/>
                  <w:jc w:val="left"/>
                  <w:rPr>
                    <w:b/>
                    <w:sz w:val="24"/>
                  </w:rPr>
                </w:pPr>
                <w:r>
                  <w:rPr>
                    <w:b/>
                    <w:sz w:val="24"/>
                  </w:rPr>
                  <w:t>Rev. 363</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0920" from="36.360001pt,742.200012pt" to="36.360001pt,756.000012pt" stroked="true" strokeweight=".72pt" strokecolor="#000000">
          <v:stroke dashstyle="solid"/>
          <w10:wrap type="none"/>
        </v:line>
      </w:pict>
    </w:r>
    <w:r>
      <w:rPr/>
      <w:pict>
        <v:shape style="position:absolute;margin-left:270.559998pt;margin-top:741.376709pt;width:70.9pt;height:15.45pt;mso-position-horizontal-relative:page;mso-position-vertical-relative:page;z-index:-470896" type="#_x0000_t202" filled="false" stroked="false">
          <v:textbox inset="0,0,0,0">
            <w:txbxContent>
              <w:p>
                <w:pPr>
                  <w:spacing w:before="12"/>
                  <w:ind w:left="20" w:right="0" w:firstLine="0"/>
                  <w:jc w:val="left"/>
                  <w:rPr>
                    <w:b/>
                    <w:sz w:val="24"/>
                  </w:rPr>
                </w:pPr>
                <w:r>
                  <w:rPr>
                    <w:b/>
                    <w:sz w:val="24"/>
                  </w:rPr>
                  <w:t>Rev. </w:t>
                </w:r>
                <w:r>
                  <w:rPr>
                    <w:b/>
                    <w:strike/>
                    <w:color w:val="2E97D3"/>
                    <w:sz w:val="24"/>
                  </w:rPr>
                  <w:t>411</w:t>
                </w:r>
                <w:r>
                  <w:rPr>
                    <w:b/>
                    <w:strike w:val="0"/>
                    <w:color w:val="2E97D3"/>
                    <w:sz w:val="24"/>
                    <w:u w:val="thick" w:color="2E97D3"/>
                  </w:rPr>
                  <w:t>440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160004pt;margin-top:737.776733pt;width:50.75pt;height:15.45pt;mso-position-horizontal-relative:page;mso-position-vertical-relative:page;z-index:-470848" type="#_x0000_t202" filled="false" stroked="false">
          <v:textbox inset="0,0,0,0">
            <w:txbxContent>
              <w:p>
                <w:pPr>
                  <w:spacing w:before="12"/>
                  <w:ind w:left="20" w:right="0" w:firstLine="0"/>
                  <w:jc w:val="left"/>
                  <w:rPr>
                    <w:b/>
                    <w:sz w:val="24"/>
                  </w:rPr>
                </w:pPr>
                <w:r>
                  <w:rPr>
                    <w:b/>
                    <w:sz w:val="24"/>
                  </w:rPr>
                  <w:t>Rev. 440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0.559998pt;margin-top:741.376709pt;width:70.9pt;height:15.45pt;mso-position-horizontal-relative:page;mso-position-vertical-relative:page;z-index:-470824" type="#_x0000_t202" filled="false" stroked="false">
          <v:textbox inset="0,0,0,0">
            <w:txbxContent>
              <w:p>
                <w:pPr>
                  <w:spacing w:before="12"/>
                  <w:ind w:left="20" w:right="0" w:firstLine="0"/>
                  <w:jc w:val="left"/>
                  <w:rPr>
                    <w:b/>
                    <w:sz w:val="24"/>
                  </w:rPr>
                </w:pPr>
                <w:r>
                  <w:rPr>
                    <w:b/>
                    <w:sz w:val="24"/>
                  </w:rPr>
                  <w:t>Rev. </w:t>
                </w:r>
                <w:r>
                  <w:rPr>
                    <w:b/>
                    <w:strike/>
                    <w:color w:val="2E97D3"/>
                    <w:sz w:val="24"/>
                  </w:rPr>
                  <w:t>426</w:t>
                </w:r>
                <w:r>
                  <w:rPr>
                    <w:b/>
                    <w:strike w:val="0"/>
                    <w:color w:val="2E97D3"/>
                    <w:sz w:val="24"/>
                    <w:u w:val="thick" w:color="2E97D3"/>
                  </w:rPr>
                  <w:t>440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800" type="#_x0000_t202" filled="false" stroked="false">
          <v:textbox inset="0,0,0,0">
            <w:txbxContent>
              <w:p>
                <w:pPr>
                  <w:spacing w:before="12"/>
                  <w:ind w:left="20" w:right="0" w:firstLine="0"/>
                  <w:jc w:val="left"/>
                  <w:rPr>
                    <w:b/>
                    <w:sz w:val="24"/>
                  </w:rPr>
                </w:pPr>
                <w:r>
                  <w:rPr>
                    <w:b/>
                    <w:sz w:val="24"/>
                  </w:rPr>
                  <w:t>Rev. 411</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0.559998pt;margin-top:741.376709pt;width:70.9pt;height:15.45pt;mso-position-horizontal-relative:page;mso-position-vertical-relative:page;z-index:-470776" type="#_x0000_t202" filled="false" stroked="false">
          <v:textbox inset="0,0,0,0">
            <w:txbxContent>
              <w:p>
                <w:pPr>
                  <w:spacing w:before="12"/>
                  <w:ind w:left="20" w:right="0" w:firstLine="0"/>
                  <w:jc w:val="left"/>
                  <w:rPr>
                    <w:b/>
                    <w:sz w:val="24"/>
                  </w:rPr>
                </w:pPr>
                <w:r>
                  <w:rPr>
                    <w:b/>
                    <w:sz w:val="24"/>
                  </w:rPr>
                  <w:t>Rev. </w:t>
                </w:r>
                <w:r>
                  <w:rPr>
                    <w:b/>
                    <w:strike/>
                    <w:color w:val="2E97D3"/>
                    <w:sz w:val="24"/>
                  </w:rPr>
                  <w:t>411</w:t>
                </w:r>
                <w:r>
                  <w:rPr>
                    <w:b/>
                    <w:strike w:val="0"/>
                    <w:color w:val="2E97D3"/>
                    <w:sz w:val="24"/>
                    <w:u w:val="thick" w:color="2E97D3"/>
                  </w:rPr>
                  <w:t>440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752" type="#_x0000_t202" filled="false" stroked="false">
          <v:textbox inset="0,0,0,0">
            <w:txbxContent>
              <w:p>
                <w:pPr>
                  <w:spacing w:before="12"/>
                  <w:ind w:left="20" w:right="0" w:firstLine="0"/>
                  <w:jc w:val="left"/>
                  <w:rPr>
                    <w:b/>
                    <w:sz w:val="24"/>
                  </w:rPr>
                </w:pPr>
                <w:r>
                  <w:rPr>
                    <w:b/>
                    <w:sz w:val="24"/>
                  </w:rPr>
                  <w:t>Rev. 426</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959991pt;margin-top:766.891296pt;width:48.6pt;height:14.9pt;mso-position-horizontal-relative:page;mso-position-vertical-relative:page;z-index:-471448" type="#_x0000_t202" filled="false" stroked="false">
          <v:textbox inset="0,0,0,0">
            <w:txbxContent>
              <w:p>
                <w:pPr>
                  <w:spacing w:before="13"/>
                  <w:ind w:left="20" w:right="0" w:firstLine="0"/>
                  <w:jc w:val="left"/>
                  <w:rPr>
                    <w:b/>
                    <w:sz w:val="23"/>
                  </w:rPr>
                </w:pPr>
                <w:r>
                  <w:rPr>
                    <w:b/>
                    <w:sz w:val="23"/>
                  </w:rPr>
                  <w:t>Rev. 430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728" type="#_x0000_t202" filled="false" stroked="false">
          <v:textbox inset="0,0,0,0">
            <w:txbxContent>
              <w:p>
                <w:pPr>
                  <w:spacing w:before="12"/>
                  <w:ind w:left="20" w:right="0" w:firstLine="0"/>
                  <w:jc w:val="left"/>
                  <w:rPr>
                    <w:b/>
                    <w:sz w:val="24"/>
                  </w:rPr>
                </w:pPr>
                <w:r>
                  <w:rPr>
                    <w:b/>
                    <w:sz w:val="24"/>
                  </w:rPr>
                  <w:t>Rev. 440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704" type="#_x0000_t202" filled="false" stroked="false">
          <v:textbox inset="0,0,0,0">
            <w:txbxContent>
              <w:p>
                <w:pPr>
                  <w:spacing w:before="12"/>
                  <w:ind w:left="20" w:right="0" w:firstLine="0"/>
                  <w:jc w:val="left"/>
                  <w:rPr>
                    <w:b/>
                    <w:sz w:val="24"/>
                  </w:rPr>
                </w:pPr>
                <w:r>
                  <w:rPr>
                    <w:b/>
                    <w:sz w:val="24"/>
                  </w:rPr>
                  <w:t>Rev. 411</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0.559998pt;margin-top:741.376709pt;width:70.9pt;height:15.45pt;mso-position-horizontal-relative:page;mso-position-vertical-relative:page;z-index:-470680" type="#_x0000_t202" filled="false" stroked="false">
          <v:textbox inset="0,0,0,0">
            <w:txbxContent>
              <w:p>
                <w:pPr>
                  <w:spacing w:before="12"/>
                  <w:ind w:left="20" w:right="0" w:firstLine="0"/>
                  <w:jc w:val="left"/>
                  <w:rPr>
                    <w:b/>
                    <w:sz w:val="24"/>
                  </w:rPr>
                </w:pPr>
                <w:r>
                  <w:rPr>
                    <w:b/>
                    <w:sz w:val="24"/>
                  </w:rPr>
                  <w:t>Rev. </w:t>
                </w:r>
                <w:r>
                  <w:rPr>
                    <w:b/>
                    <w:strike/>
                    <w:color w:val="2E97D3"/>
                    <w:sz w:val="24"/>
                  </w:rPr>
                  <w:t>411</w:t>
                </w:r>
                <w:r>
                  <w:rPr>
                    <w:b/>
                    <w:strike w:val="0"/>
                    <w:color w:val="2E97D3"/>
                    <w:sz w:val="24"/>
                    <w:u w:val="thick" w:color="2E97D3"/>
                  </w:rPr>
                  <w:t>440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656" type="#_x0000_t202" filled="false" stroked="false">
          <v:textbox inset="0,0,0,0">
            <w:txbxContent>
              <w:p>
                <w:pPr>
                  <w:spacing w:before="12"/>
                  <w:ind w:left="20" w:right="0" w:firstLine="0"/>
                  <w:jc w:val="left"/>
                  <w:rPr>
                    <w:b/>
                    <w:sz w:val="24"/>
                  </w:rPr>
                </w:pPr>
                <w:r>
                  <w:rPr>
                    <w:b/>
                    <w:sz w:val="24"/>
                  </w:rPr>
                  <w:t>Rev. 434</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0.559998pt;margin-top:741.376709pt;width:70.9pt;height:15.45pt;mso-position-horizontal-relative:page;mso-position-vertical-relative:page;z-index:-470632" type="#_x0000_t202" filled="false" stroked="false">
          <v:textbox inset="0,0,0,0">
            <w:txbxContent>
              <w:p>
                <w:pPr>
                  <w:spacing w:before="12"/>
                  <w:ind w:left="20" w:right="0" w:firstLine="0"/>
                  <w:jc w:val="left"/>
                  <w:rPr>
                    <w:b/>
                    <w:sz w:val="24"/>
                  </w:rPr>
                </w:pPr>
                <w:r>
                  <w:rPr>
                    <w:b/>
                    <w:sz w:val="24"/>
                  </w:rPr>
                  <w:t>Rev. </w:t>
                </w:r>
                <w:r>
                  <w:rPr>
                    <w:b/>
                    <w:strike/>
                    <w:color w:val="2E97D3"/>
                    <w:sz w:val="24"/>
                  </w:rPr>
                  <w:t>434</w:t>
                </w:r>
                <w:r>
                  <w:rPr>
                    <w:b/>
                    <w:strike w:val="0"/>
                    <w:color w:val="2E97D3"/>
                    <w:sz w:val="24"/>
                    <w:u w:val="thick" w:color="2E97D3"/>
                  </w:rPr>
                  <w:t>440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608" type="#_x0000_t202" filled="false" stroked="false">
          <v:textbox inset="0,0,0,0">
            <w:txbxContent>
              <w:p>
                <w:pPr>
                  <w:spacing w:before="12"/>
                  <w:ind w:left="20" w:right="0" w:firstLine="0"/>
                  <w:jc w:val="left"/>
                  <w:rPr>
                    <w:b/>
                    <w:sz w:val="24"/>
                  </w:rPr>
                </w:pPr>
                <w:r>
                  <w:rPr>
                    <w:b/>
                    <w:sz w:val="24"/>
                  </w:rPr>
                  <w:t>Rev. 440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584" type="#_x0000_t202" filled="false" stroked="false">
          <v:textbox inset="0,0,0,0">
            <w:txbxContent>
              <w:p>
                <w:pPr>
                  <w:spacing w:before="12"/>
                  <w:ind w:left="20" w:right="0" w:firstLine="0"/>
                  <w:jc w:val="left"/>
                  <w:rPr>
                    <w:b/>
                    <w:sz w:val="24"/>
                  </w:rPr>
                </w:pPr>
                <w:r>
                  <w:rPr>
                    <w:b/>
                    <w:sz w:val="24"/>
                  </w:rPr>
                  <w:t>Rev. 411</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560" type="#_x0000_t202" filled="false" stroked="false">
          <v:textbox inset="0,0,0,0">
            <w:txbxContent>
              <w:p>
                <w:pPr>
                  <w:spacing w:before="12"/>
                  <w:ind w:left="20" w:right="0" w:firstLine="0"/>
                  <w:jc w:val="left"/>
                  <w:rPr>
                    <w:b/>
                    <w:sz w:val="24"/>
                  </w:rPr>
                </w:pPr>
                <w:r>
                  <w:rPr>
                    <w:b/>
                    <w:sz w:val="24"/>
                  </w:rPr>
                  <w:t>Rev. 440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536" type="#_x0000_t202" filled="false" stroked="false">
          <v:textbox inset="0,0,0,0">
            <w:txbxContent>
              <w:p>
                <w:pPr>
                  <w:spacing w:before="12"/>
                  <w:ind w:left="20" w:right="0" w:firstLine="0"/>
                  <w:jc w:val="left"/>
                  <w:rPr>
                    <w:b/>
                    <w:sz w:val="24"/>
                  </w:rPr>
                </w:pPr>
                <w:r>
                  <w:rPr>
                    <w:b/>
                    <w:sz w:val="24"/>
                  </w:rPr>
                  <w:t>Rev. 411</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512" type="#_x0000_t202" filled="false" stroked="false">
          <v:textbox inset="0,0,0,0">
            <w:txbxContent>
              <w:p>
                <w:pPr>
                  <w:spacing w:before="12"/>
                  <w:ind w:left="20" w:right="0" w:firstLine="0"/>
                  <w:jc w:val="left"/>
                  <w:rPr>
                    <w:b/>
                    <w:sz w:val="24"/>
                  </w:rPr>
                </w:pPr>
                <w:r>
                  <w:rPr>
                    <w:b/>
                    <w:sz w:val="24"/>
                  </w:rPr>
                  <w:t>Rev. 402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488" type="#_x0000_t202" filled="false" stroked="false">
          <v:textbox inset="0,0,0,0">
            <w:txbxContent>
              <w:p>
                <w:pPr>
                  <w:spacing w:before="12"/>
                  <w:ind w:left="20" w:right="0" w:firstLine="0"/>
                  <w:jc w:val="left"/>
                  <w:rPr>
                    <w:b/>
                    <w:sz w:val="24"/>
                  </w:rPr>
                </w:pPr>
                <w:r>
                  <w:rPr>
                    <w:b/>
                    <w:sz w:val="24"/>
                  </w:rPr>
                  <w:t>Rev. 440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392" type="#_x0000_t202" filled="false" stroked="false">
          <v:textbox inset="0,0,0,0">
            <w:txbxContent>
              <w:p>
                <w:pPr>
                  <w:spacing w:before="12"/>
                  <w:ind w:left="20" w:right="0" w:firstLine="0"/>
                  <w:jc w:val="left"/>
                  <w:rPr>
                    <w:b/>
                    <w:sz w:val="24"/>
                  </w:rPr>
                </w:pPr>
                <w:r>
                  <w:rPr>
                    <w:b/>
                    <w:sz w:val="24"/>
                  </w:rPr>
                  <w:t>Rev. 411</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368" type="#_x0000_t202" filled="false" stroked="false">
          <v:textbox inset="0,0,0,0">
            <w:txbxContent>
              <w:p>
                <w:pPr>
                  <w:spacing w:before="12"/>
                  <w:ind w:left="20" w:right="0" w:firstLine="0"/>
                  <w:jc w:val="left"/>
                  <w:rPr>
                    <w:b/>
                    <w:sz w:val="24"/>
                  </w:rPr>
                </w:pPr>
                <w:r>
                  <w:rPr>
                    <w:b/>
                    <w:sz w:val="24"/>
                  </w:rPr>
                  <w:t>Rev. 426</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14.736694pt;width:64.8500pt;height:15.45pt;mso-position-horizontal-relative:page;mso-position-vertical-relative:page;z-index:-470344" type="#_x0000_t202" filled="false" stroked="false">
          <v:textbox inset="0,0,0,0">
            <w:txbxContent>
              <w:p>
                <w:pPr>
                  <w:pStyle w:val="BodyText"/>
                  <w:spacing w:before="12"/>
                  <w:ind w:left="20"/>
                </w:pPr>
                <w:r>
                  <w:rPr/>
                  <w:t>(Continued)</w:t>
                </w:r>
              </w:p>
            </w:txbxContent>
          </v:textbox>
          <w10:wrap type="none"/>
        </v:shape>
      </w:pict>
    </w:r>
    <w:r>
      <w:rPr/>
      <w:pict>
        <v:shape style="position:absolute;margin-left:280.640015pt;margin-top:741.376709pt;width:50.75pt;height:15.45pt;mso-position-horizontal-relative:page;mso-position-vertical-relative:page;z-index:-470320" type="#_x0000_t202" filled="false" stroked="false">
          <v:textbox inset="0,0,0,0">
            <w:txbxContent>
              <w:p>
                <w:pPr>
                  <w:spacing w:before="12"/>
                  <w:ind w:left="20" w:right="0" w:firstLine="0"/>
                  <w:jc w:val="left"/>
                  <w:rPr>
                    <w:b/>
                    <w:sz w:val="24"/>
                  </w:rPr>
                </w:pPr>
                <w:r>
                  <w:rPr>
                    <w:b/>
                    <w:sz w:val="24"/>
                  </w:rPr>
                  <w:t>Rev. 426</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296" type="#_x0000_t202" filled="false" stroked="false">
          <v:textbox inset="0,0,0,0">
            <w:txbxContent>
              <w:p>
                <w:pPr>
                  <w:spacing w:before="12"/>
                  <w:ind w:left="20" w:right="0" w:firstLine="0"/>
                  <w:jc w:val="left"/>
                  <w:rPr>
                    <w:b/>
                    <w:sz w:val="24"/>
                  </w:rPr>
                </w:pPr>
                <w:r>
                  <w:rPr>
                    <w:b/>
                    <w:sz w:val="24"/>
                  </w:rPr>
                  <w:t>Rev. 426</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272" type="#_x0000_t202" filled="false" stroked="false">
          <v:textbox inset="0,0,0,0">
            <w:txbxContent>
              <w:p>
                <w:pPr>
                  <w:spacing w:before="12"/>
                  <w:ind w:left="20" w:right="0" w:firstLine="0"/>
                  <w:jc w:val="left"/>
                  <w:rPr>
                    <w:b/>
                    <w:sz w:val="24"/>
                  </w:rPr>
                </w:pPr>
                <w:r>
                  <w:rPr>
                    <w:b/>
                    <w:sz w:val="24"/>
                  </w:rPr>
                  <w:t>Rev. 411</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248" type="#_x0000_t202" filled="false" stroked="false">
          <v:textbox inset="0,0,0,0">
            <w:txbxContent>
              <w:p>
                <w:pPr>
                  <w:spacing w:before="12"/>
                  <w:ind w:left="20" w:right="0" w:firstLine="0"/>
                  <w:jc w:val="left"/>
                  <w:rPr>
                    <w:b/>
                    <w:sz w:val="24"/>
                  </w:rPr>
                </w:pPr>
                <w:r>
                  <w:rPr>
                    <w:b/>
                    <w:sz w:val="24"/>
                  </w:rPr>
                  <w:t>Rev. 426</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224" type="#_x0000_t202" filled="false" stroked="false">
          <v:textbox inset="0,0,0,0">
            <w:txbxContent>
              <w:p>
                <w:pPr>
                  <w:spacing w:before="12"/>
                  <w:ind w:left="20" w:right="0" w:firstLine="0"/>
                  <w:jc w:val="left"/>
                  <w:rPr>
                    <w:b/>
                    <w:sz w:val="24"/>
                  </w:rPr>
                </w:pPr>
                <w:r>
                  <w:rPr>
                    <w:b/>
                    <w:sz w:val="24"/>
                  </w:rPr>
                  <w:t>Rev. 424</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200" type="#_x0000_t202" filled="false" stroked="false">
          <v:textbox inset="0,0,0,0">
            <w:txbxContent>
              <w:p>
                <w:pPr>
                  <w:spacing w:before="12"/>
                  <w:ind w:left="20" w:right="0" w:firstLine="0"/>
                  <w:jc w:val="left"/>
                  <w:rPr>
                    <w:b/>
                    <w:sz w:val="24"/>
                  </w:rPr>
                </w:pPr>
                <w:r>
                  <w:rPr>
                    <w:b/>
                    <w:sz w:val="24"/>
                  </w:rPr>
                  <w:t>Rev. 439</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0.559998pt;margin-top:741.376709pt;width:70.9pt;height:15.45pt;mso-position-horizontal-relative:page;mso-position-vertical-relative:page;z-index:-470176" type="#_x0000_t202" filled="false" stroked="false">
          <v:textbox inset="0,0,0,0">
            <w:txbxContent>
              <w:p>
                <w:pPr>
                  <w:spacing w:before="12"/>
                  <w:ind w:left="20" w:right="0" w:firstLine="0"/>
                  <w:jc w:val="left"/>
                  <w:rPr>
                    <w:b/>
                    <w:sz w:val="24"/>
                  </w:rPr>
                </w:pPr>
                <w:r>
                  <w:rPr>
                    <w:b/>
                    <w:sz w:val="24"/>
                  </w:rPr>
                  <w:t>Rev. </w:t>
                </w:r>
                <w:r>
                  <w:rPr>
                    <w:b/>
                    <w:strike/>
                    <w:color w:val="2E97D3"/>
                    <w:sz w:val="24"/>
                  </w:rPr>
                  <w:t>364</w:t>
                </w:r>
                <w:r>
                  <w:rPr>
                    <w:b/>
                    <w:strike w:val="0"/>
                    <w:color w:val="2E97D3"/>
                    <w:sz w:val="24"/>
                    <w:u w:val="thick" w:color="2E97D3"/>
                  </w:rPr>
                  <w:t>440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1424" from="33.360001pt,738.599976pt" to="33.360001pt,752.399976pt" stroked="true" strokeweight=".72pt" strokecolor="#000000">
          <v:stroke dashstyle="solid"/>
          <w10:wrap type="none"/>
        </v:line>
      </w:pict>
    </w:r>
    <w:r>
      <w:rPr/>
      <w:pict>
        <v:shape style="position:absolute;margin-left:269.959991pt;margin-top:737.776733pt;width:71pt;height:15.45pt;mso-position-horizontal-relative:page;mso-position-vertical-relative:page;z-index:-471400" type="#_x0000_t202" filled="false" stroked="false">
          <v:textbox inset="0,0,0,0">
            <w:txbxContent>
              <w:p>
                <w:pPr>
                  <w:spacing w:before="12"/>
                  <w:ind w:left="20" w:right="0" w:firstLine="0"/>
                  <w:jc w:val="left"/>
                  <w:rPr>
                    <w:b/>
                    <w:sz w:val="24"/>
                  </w:rPr>
                </w:pPr>
                <w:r>
                  <w:rPr>
                    <w:b/>
                    <w:sz w:val="24"/>
                  </w:rPr>
                  <w:t>Rev. </w:t>
                </w:r>
                <w:r>
                  <w:rPr>
                    <w:b/>
                    <w:strike/>
                    <w:color w:val="2E97D3"/>
                    <w:sz w:val="24"/>
                  </w:rPr>
                  <w:t>428</w:t>
                </w:r>
                <w:r>
                  <w:rPr>
                    <w:b/>
                    <w:strike w:val="0"/>
                    <w:color w:val="2E97D3"/>
                    <w:sz w:val="24"/>
                    <w:u w:val="thick" w:color="2E97D3"/>
                  </w:rPr>
                  <w:t>440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0152" from="36.360001pt,742.200012pt" to="36.360001pt,756.000012pt" stroked="true" strokeweight=".72pt" strokecolor="#000000">
          <v:stroke dashstyle="solid"/>
          <w10:wrap type="none"/>
        </v:line>
      </w:pict>
    </w:r>
    <w:r>
      <w:rPr/>
      <w:pict>
        <v:shape style="position:absolute;margin-left:270.559998pt;margin-top:741.376709pt;width:70.9pt;height:15.45pt;mso-position-horizontal-relative:page;mso-position-vertical-relative:page;z-index:-470128" type="#_x0000_t202" filled="false" stroked="false">
          <v:textbox inset="0,0,0,0">
            <w:txbxContent>
              <w:p>
                <w:pPr>
                  <w:spacing w:before="12"/>
                  <w:ind w:left="20" w:right="0" w:firstLine="0"/>
                  <w:jc w:val="left"/>
                  <w:rPr>
                    <w:b/>
                    <w:sz w:val="24"/>
                  </w:rPr>
                </w:pPr>
                <w:r>
                  <w:rPr>
                    <w:b/>
                    <w:sz w:val="24"/>
                  </w:rPr>
                  <w:t>Rev. </w:t>
                </w:r>
                <w:r>
                  <w:rPr>
                    <w:b/>
                    <w:strike/>
                    <w:color w:val="2E97D3"/>
                    <w:sz w:val="24"/>
                  </w:rPr>
                  <w:t>364</w:t>
                </w:r>
                <w:r>
                  <w:rPr>
                    <w:b/>
                    <w:strike w:val="0"/>
                    <w:color w:val="2E97D3"/>
                    <w:sz w:val="24"/>
                    <w:u w:val="thick" w:color="2E97D3"/>
                  </w:rPr>
                  <w:t>440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0104" from="36.360001pt,742.200012pt" to="36.360001pt,756.000012pt" stroked="true" strokeweight=".72pt" strokecolor="#000000">
          <v:stroke dashstyle="solid"/>
          <w10:wrap type="none"/>
        </v:line>
      </w:pict>
    </w:r>
    <w:r>
      <w:rPr/>
      <w:pict>
        <v:shape style="position:absolute;margin-left:270.559998pt;margin-top:741.376709pt;width:70.9pt;height:15.45pt;mso-position-horizontal-relative:page;mso-position-vertical-relative:page;z-index:-470080" type="#_x0000_t202" filled="false" stroked="false">
          <v:textbox inset="0,0,0,0">
            <w:txbxContent>
              <w:p>
                <w:pPr>
                  <w:spacing w:before="12"/>
                  <w:ind w:left="20" w:right="0" w:firstLine="0"/>
                  <w:jc w:val="left"/>
                  <w:rPr>
                    <w:b/>
                    <w:sz w:val="24"/>
                  </w:rPr>
                </w:pPr>
                <w:r>
                  <w:rPr>
                    <w:b/>
                    <w:sz w:val="24"/>
                  </w:rPr>
                  <w:t>Rev. </w:t>
                </w:r>
                <w:r>
                  <w:rPr>
                    <w:b/>
                    <w:strike/>
                    <w:color w:val="2E97D3"/>
                    <w:sz w:val="24"/>
                  </w:rPr>
                  <w:t>439</w:t>
                </w:r>
                <w:r>
                  <w:rPr>
                    <w:b/>
                    <w:strike w:val="0"/>
                    <w:color w:val="2E97D3"/>
                    <w:sz w:val="24"/>
                    <w:u w:val="thick" w:color="2E97D3"/>
                  </w:rPr>
                  <w:t>440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0056" type="#_x0000_t202" filled="false" stroked="false">
          <v:textbox inset="0,0,0,0">
            <w:txbxContent>
              <w:p>
                <w:pPr>
                  <w:spacing w:before="12"/>
                  <w:ind w:left="20" w:right="0" w:firstLine="0"/>
                  <w:jc w:val="left"/>
                  <w:rPr>
                    <w:b/>
                    <w:sz w:val="24"/>
                  </w:rPr>
                </w:pPr>
                <w:r>
                  <w:rPr>
                    <w:b/>
                    <w:sz w:val="24"/>
                  </w:rPr>
                  <w:t>Rev. 440</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9960" from="36.360001pt,728.400024pt" to="36.360001pt,756.000024pt" stroked="true" strokeweight=".72pt" strokecolor="#000000">
          <v:stroke dashstyle="solid"/>
          <w10:wrap type="none"/>
        </v:line>
      </w:pict>
    </w:r>
    <w:r>
      <w:rPr/>
      <w:pict>
        <v:shape style="position:absolute;margin-left:255.320007pt;margin-top:727.576721pt;width:101.4pt;height:29.25pt;mso-position-horizontal-relative:page;mso-position-vertical-relative:page;z-index:-469936" type="#_x0000_t202" filled="false" stroked="false">
          <v:textbox inset="0,0,0,0">
            <w:txbxContent>
              <w:p>
                <w:pPr>
                  <w:spacing w:before="12"/>
                  <w:ind w:left="0" w:right="0" w:firstLine="0"/>
                  <w:jc w:val="center"/>
                  <w:rPr>
                    <w:b/>
                    <w:sz w:val="24"/>
                  </w:rPr>
                </w:pPr>
                <w:r>
                  <w:rPr>
                    <w:b/>
                    <w:sz w:val="24"/>
                  </w:rPr>
                  <w:t>Rev. 364</w:t>
                </w:r>
              </w:p>
              <w:p>
                <w:pPr>
                  <w:spacing w:before="0"/>
                  <w:ind w:left="0" w:right="0" w:firstLine="0"/>
                  <w:jc w:val="center"/>
                  <w:rPr>
                    <w:b/>
                    <w:i/>
                    <w:sz w:val="24"/>
                  </w:rPr>
                </w:pPr>
                <w:r>
                  <w:rPr>
                    <w:b/>
                    <w:i/>
                    <w:strike/>
                    <w:color w:val="2E97D3"/>
                    <w:sz w:val="24"/>
                  </w:rPr>
                  <w:t>(6809 Illustration)</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9912" from="36.360001pt,742.200012pt" to="36.360001pt,756.000012pt" stroked="true" strokeweight=".72pt" strokecolor="#000000">
          <v:stroke dashstyle="solid"/>
          <w10:wrap type="none"/>
        </v:line>
      </w:pict>
    </w:r>
    <w:r>
      <w:rPr/>
      <w:pict>
        <v:shape style="position:absolute;margin-left:231.559998pt;margin-top:727.576721pt;width:148.8pt;height:29.25pt;mso-position-horizontal-relative:page;mso-position-vertical-relative:page;z-index:-469888"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sz w:val="24"/>
                  </w:rPr>
                  <w:t>(6809 Illustration</w:t>
                </w:r>
                <w:r>
                  <w:rPr>
                    <w:b/>
                    <w:i/>
                    <w:strike/>
                    <w:color w:val="2E97D3"/>
                    <w:sz w:val="24"/>
                  </w:rPr>
                  <w:t>, Cont. 1</w:t>
                </w:r>
                <w:r>
                  <w:rPr>
                    <w:b/>
                    <w:i/>
                    <w:strike w:val="0"/>
                    <w:sz w:val="24"/>
                  </w:rPr>
                  <w:t>)</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9864" from="36.360001pt,742.200012pt" to="36.360001pt,756.000012pt" stroked="true" strokeweight=".72pt" strokecolor="#000000">
          <v:stroke dashstyle="solid"/>
          <w10:wrap type="none"/>
        </v:line>
      </w:pict>
    </w:r>
    <w:r>
      <w:rPr/>
      <w:pict>
        <v:shape style="position:absolute;margin-left:228.199997pt;margin-top:727.576721pt;width:155.550pt;height:29.25pt;mso-position-horizontal-relative:page;mso-position-vertical-relative:page;z-index:-469840"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sz w:val="24"/>
                  </w:rPr>
                  <w:t>(6809 Illustration, Cont. </w:t>
                </w:r>
                <w:r>
                  <w:rPr>
                    <w:b/>
                    <w:i/>
                    <w:strike/>
                    <w:color w:val="2E97D3"/>
                    <w:sz w:val="24"/>
                  </w:rPr>
                  <w:t>2</w:t>
                </w:r>
                <w:r>
                  <w:rPr>
                    <w:b/>
                    <w:i/>
                    <w:strike w:val="0"/>
                    <w:color w:val="2E97D3"/>
                    <w:sz w:val="24"/>
                    <w:u w:val="thick" w:color="2E97D3"/>
                  </w:rPr>
                  <w:t>1</w:t>
                </w:r>
                <w:r>
                  <w:rPr>
                    <w:b/>
                    <w:i/>
                    <w:strike w:val="0"/>
                    <w:sz w:val="24"/>
                  </w:rPr>
                  <w:t>)</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9816" from="36.360001pt,742.200012pt" to="36.360001pt,756.000012pt" stroked="true" strokeweight=".72pt" strokecolor="#000000">
          <v:stroke dashstyle="solid"/>
          <w10:wrap type="none"/>
        </v:line>
      </w:pict>
    </w:r>
    <w:r>
      <w:rPr/>
      <w:pict>
        <v:shape style="position:absolute;margin-left:228.199997pt;margin-top:727.576721pt;width:155.550pt;height:29.25pt;mso-position-horizontal-relative:page;mso-position-vertical-relative:page;z-index:-469792"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sz w:val="24"/>
                  </w:rPr>
                  <w:t>(6809 Illustration, Cont. </w:t>
                </w:r>
                <w:r>
                  <w:rPr>
                    <w:b/>
                    <w:i/>
                    <w:strike/>
                    <w:color w:val="2E97D3"/>
                    <w:sz w:val="24"/>
                  </w:rPr>
                  <w:t>3</w:t>
                </w:r>
                <w:r>
                  <w:rPr>
                    <w:b/>
                    <w:i/>
                    <w:strike w:val="0"/>
                    <w:color w:val="2E97D3"/>
                    <w:sz w:val="24"/>
                    <w:u w:val="thick" w:color="2E97D3"/>
                  </w:rPr>
                  <w:t>2</w:t>
                </w:r>
                <w:r>
                  <w:rPr>
                    <w:b/>
                    <w:i/>
                    <w:strike w:val="0"/>
                    <w:sz w:val="24"/>
                  </w:rPr>
                  <w:t>)</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9768" from="36.360001pt,742.200012pt" to="36.360001pt,756.000012pt" stroked="true" strokeweight=".72pt" strokecolor="#000000">
          <v:stroke dashstyle="solid"/>
          <w10:wrap type="none"/>
        </v:line>
      </w:pict>
    </w:r>
    <w:r>
      <w:rPr/>
      <w:pict>
        <v:shape style="position:absolute;margin-left:228.199997pt;margin-top:727.576721pt;width:155.550pt;height:29.25pt;mso-position-horizontal-relative:page;mso-position-vertical-relative:page;z-index:-469744"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sz w:val="24"/>
                  </w:rPr>
                  <w:t>(6809 Illustration, Cont. </w:t>
                </w:r>
                <w:r>
                  <w:rPr>
                    <w:b/>
                    <w:i/>
                    <w:strike/>
                    <w:color w:val="2E97D3"/>
                    <w:sz w:val="24"/>
                  </w:rPr>
                  <w:t>4</w:t>
                </w:r>
                <w:r>
                  <w:rPr>
                    <w:b/>
                    <w:i/>
                    <w:strike w:val="0"/>
                    <w:color w:val="2E97D3"/>
                    <w:sz w:val="24"/>
                    <w:u w:val="thick" w:color="2E97D3"/>
                  </w:rPr>
                  <w:t>3</w:t>
                </w:r>
                <w:r>
                  <w:rPr>
                    <w:b/>
                    <w:i/>
                    <w:strike w:val="0"/>
                    <w:sz w:val="24"/>
                  </w:rPr>
                  <w:t>)</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9720" from="36.360001pt,742.200012pt" to="36.360001pt,756.000012pt" stroked="true" strokeweight=".72pt" strokecolor="#000000">
          <v:stroke dashstyle="solid"/>
          <w10:wrap type="none"/>
        </v:line>
      </w:pict>
    </w:r>
    <w:r>
      <w:rPr/>
      <w:pict>
        <v:shape style="position:absolute;margin-left:228.199997pt;margin-top:727.576721pt;width:155.550pt;height:29.25pt;mso-position-horizontal-relative:page;mso-position-vertical-relative:page;z-index:-469696"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sz w:val="24"/>
                  </w:rPr>
                  <w:t>(6809 Illustration, Cont. </w:t>
                </w:r>
                <w:r>
                  <w:rPr>
                    <w:b/>
                    <w:i/>
                    <w:strike/>
                    <w:color w:val="2E97D3"/>
                    <w:sz w:val="24"/>
                  </w:rPr>
                  <w:t>5</w:t>
                </w:r>
                <w:r>
                  <w:rPr>
                    <w:b/>
                    <w:i/>
                    <w:strike w:val="0"/>
                    <w:color w:val="2E97D3"/>
                    <w:sz w:val="24"/>
                    <w:u w:val="thick" w:color="2E97D3"/>
                  </w:rPr>
                  <w:t>4</w:t>
                </w:r>
                <w:r>
                  <w:rPr>
                    <w:b/>
                    <w:i/>
                    <w:strike w:val="0"/>
                    <w:sz w:val="24"/>
                  </w:rPr>
                  <w:t>)</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9672" from="36.360001pt,742.200012pt" to="36.360001pt,756.000012pt" stroked="true" strokeweight=".72pt" strokecolor="#000000">
          <v:stroke dashstyle="solid"/>
          <w10:wrap type="none"/>
        </v:line>
      </w:pict>
    </w:r>
    <w:r>
      <w:rPr/>
      <w:pict>
        <v:shape style="position:absolute;margin-left:228.199997pt;margin-top:727.576721pt;width:155.550pt;height:29.25pt;mso-position-horizontal-relative:page;mso-position-vertical-relative:page;z-index:-469648"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sz w:val="24"/>
                  </w:rPr>
                  <w:t>(6809 Illustration, Cont. </w:t>
                </w:r>
                <w:r>
                  <w:rPr>
                    <w:b/>
                    <w:i/>
                    <w:strike/>
                    <w:color w:val="2E97D3"/>
                    <w:sz w:val="24"/>
                  </w:rPr>
                  <w:t>6</w:t>
                </w:r>
                <w:r>
                  <w:rPr>
                    <w:b/>
                    <w:i/>
                    <w:strike w:val="0"/>
                    <w:color w:val="2E97D3"/>
                    <w:sz w:val="24"/>
                    <w:u w:val="thick" w:color="2E97D3"/>
                  </w:rPr>
                  <w:t>5</w:t>
                </w:r>
                <w:r>
                  <w:rPr>
                    <w:b/>
                    <w:i/>
                    <w:strike w:val="0"/>
                    <w:sz w:val="24"/>
                  </w:rPr>
                  <w: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1328" from="33.360001pt,738.599976pt" to="33.360001pt,752.399976pt" stroked="true" strokeweight=".72pt" strokecolor="#000000">
          <v:stroke dashstyle="solid"/>
          <w10:wrap type="none"/>
        </v:line>
      </w:pict>
    </w:r>
    <w:r>
      <w:rPr/>
      <w:pict>
        <v:line style="position:absolute;mso-position-horizontal-relative:page;mso-position-vertical-relative:page;z-index:-471304" from="33.360001pt,660pt" to="33.360001pt,685.8pt" stroked="true" strokeweight=".72pt" strokecolor="#000000">
          <v:stroke dashstyle="solid"/>
          <w10:wrap type="none"/>
        </v:line>
      </w:pict>
    </w:r>
    <w:r>
      <w:rPr/>
      <w:pict>
        <v:shape style="position:absolute;margin-left:270.440002pt;margin-top:737.776733pt;width:71pt;height:15.45pt;mso-position-horizontal-relative:page;mso-position-vertical-relative:page;z-index:-471280" type="#_x0000_t202" filled="false" stroked="false">
          <v:textbox inset="0,0,0,0">
            <w:txbxContent>
              <w:p>
                <w:pPr>
                  <w:spacing w:before="12"/>
                  <w:ind w:left="20" w:right="0" w:firstLine="0"/>
                  <w:jc w:val="left"/>
                  <w:rPr>
                    <w:b/>
                    <w:sz w:val="24"/>
                  </w:rPr>
                </w:pPr>
                <w:r>
                  <w:rPr>
                    <w:b/>
                    <w:sz w:val="24"/>
                  </w:rPr>
                  <w:t>Rev. </w:t>
                </w:r>
                <w:r>
                  <w:rPr>
                    <w:b/>
                    <w:strike/>
                    <w:color w:val="2E97D3"/>
                    <w:sz w:val="24"/>
                  </w:rPr>
                  <w:t>428</w:t>
                </w:r>
                <w:r>
                  <w:rPr>
                    <w:b/>
                    <w:strike w:val="0"/>
                    <w:color w:val="2E97D3"/>
                    <w:sz w:val="24"/>
                    <w:u w:val="thick" w:color="2E97D3"/>
                  </w:rPr>
                  <w:t>440</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9624" from="36.360001pt,742.200012pt" to="36.360001pt,756.000012pt" stroked="true" strokeweight=".72pt" strokecolor="#000000">
          <v:stroke dashstyle="solid"/>
          <w10:wrap type="none"/>
        </v:line>
      </w:pict>
    </w:r>
    <w:r>
      <w:rPr/>
      <w:pict>
        <v:shape style="position:absolute;margin-left:228.199997pt;margin-top:727.576721pt;width:155.550pt;height:29.25pt;mso-position-horizontal-relative:page;mso-position-vertical-relative:page;z-index:-469600"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sz w:val="24"/>
                  </w:rPr>
                  <w:t>(6809 Illustration, Cont. </w:t>
                </w:r>
                <w:r>
                  <w:rPr>
                    <w:b/>
                    <w:i/>
                    <w:strike/>
                    <w:color w:val="2E97D3"/>
                    <w:sz w:val="24"/>
                  </w:rPr>
                  <w:t>7</w:t>
                </w:r>
                <w:r>
                  <w:rPr>
                    <w:b/>
                    <w:i/>
                    <w:strike w:val="0"/>
                    <w:color w:val="2E97D3"/>
                    <w:sz w:val="24"/>
                    <w:u w:val="thick" w:color="2E97D3"/>
                  </w:rPr>
                  <w:t>6</w:t>
                </w:r>
                <w:r>
                  <w:rPr>
                    <w:b/>
                    <w:i/>
                    <w:strike w:val="0"/>
                    <w:sz w:val="24"/>
                  </w:rPr>
                  <w:t>)</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559998pt;margin-top:727.576721pt;width:148.8pt;height:29.25pt;mso-position-horizontal-relative:page;mso-position-vertical-relative:page;z-index:-469576"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sz w:val="24"/>
                  </w:rPr>
                  <w:t>(6809 Illustration, Cont. 7)</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69552" type="#_x0000_t202" filled="false" stroked="false">
          <v:textbox inset="0,0,0,0">
            <w:txbxContent>
              <w:p>
                <w:pPr>
                  <w:spacing w:before="12"/>
                  <w:ind w:left="20" w:right="0" w:firstLine="0"/>
                  <w:jc w:val="left"/>
                  <w:rPr>
                    <w:b/>
                    <w:sz w:val="24"/>
                  </w:rPr>
                </w:pPr>
                <w:r>
                  <w:rPr>
                    <w:b/>
                    <w:sz w:val="24"/>
                  </w:rPr>
                  <w:t>Rev. 440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9480" from="36.360001pt,742.200012pt" to="36.360001pt,756.000012pt" stroked="true" strokeweight=".72pt" strokecolor="#000000">
          <v:stroke dashstyle="solid"/>
          <w10:wrap type="none"/>
        </v:line>
      </w:pict>
    </w:r>
    <w:r>
      <w:rPr/>
      <w:pict>
        <v:shape style="position:absolute;margin-left:231.559998pt;margin-top:727.576721pt;width:148.8pt;height:29.25pt;mso-position-horizontal-relative:page;mso-position-vertical-relative:page;z-index:-469456"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sz w:val="24"/>
                  </w:rPr>
                  <w:t>(6814 Illustration</w:t>
                </w:r>
                <w:r>
                  <w:rPr>
                    <w:b/>
                    <w:i/>
                    <w:strike/>
                    <w:color w:val="2E97D3"/>
                    <w:sz w:val="24"/>
                  </w:rPr>
                  <w:t>, Cont. 1</w:t>
                </w:r>
                <w:r>
                  <w:rPr>
                    <w:b/>
                    <w:i/>
                    <w:strike w:val="0"/>
                    <w:sz w:val="24"/>
                  </w:rPr>
                  <w:t>)</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559998pt;margin-top:727.576721pt;width:148.8pt;height:29.25pt;mso-position-horizontal-relative:page;mso-position-vertical-relative:page;z-index:-469432"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color w:val="2E97D3"/>
                    <w:sz w:val="24"/>
                    <w:u w:val="thick" w:color="2E97D3"/>
                  </w:rPr>
                  <w:t>(6814 Illustration, Cont. 1)</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69408" type="#_x0000_t202" filled="false" stroked="false">
          <v:textbox inset="0,0,0,0">
            <w:txbxContent>
              <w:p>
                <w:pPr>
                  <w:spacing w:before="12"/>
                  <w:ind w:left="20" w:right="0" w:firstLine="0"/>
                  <w:jc w:val="left"/>
                  <w:rPr>
                    <w:b/>
                    <w:sz w:val="24"/>
                  </w:rPr>
                </w:pPr>
                <w:r>
                  <w:rPr>
                    <w:b/>
                    <w:sz w:val="24"/>
                  </w:rPr>
                  <w:t>Rev. 364</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69384" type="#_x0000_t202" filled="false" stroked="false">
          <v:textbox inset="0,0,0,0">
            <w:txbxContent>
              <w:p>
                <w:pPr>
                  <w:spacing w:before="12"/>
                  <w:ind w:left="20" w:right="0" w:firstLine="0"/>
                  <w:jc w:val="left"/>
                  <w:rPr>
                    <w:b/>
                    <w:sz w:val="24"/>
                  </w:rPr>
                </w:pPr>
                <w:r>
                  <w:rPr>
                    <w:b/>
                    <w:sz w:val="24"/>
                  </w:rPr>
                  <w:t>Rev. 440</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9312" from="36.360001pt,742.200012pt" to="36.360001pt,756.000012pt" stroked="true" strokeweight=".72pt" strokecolor="#000000">
          <v:stroke dashstyle="solid"/>
          <w10:wrap type="none"/>
        </v:line>
      </w:pict>
    </w:r>
    <w:r>
      <w:rPr/>
      <w:pict>
        <v:shape style="position:absolute;margin-left:231.559998pt;margin-top:727.576721pt;width:148.8pt;height:29.25pt;mso-position-horizontal-relative:page;mso-position-vertical-relative:page;z-index:-469288"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sz w:val="24"/>
                  </w:rPr>
                  <w:t>(6818 Illustration</w:t>
                </w:r>
                <w:r>
                  <w:rPr>
                    <w:b/>
                    <w:i/>
                    <w:strike/>
                    <w:color w:val="2E97D3"/>
                    <w:sz w:val="24"/>
                  </w:rPr>
                  <w:t>, Cont. 1</w:t>
                </w:r>
                <w:r>
                  <w:rPr>
                    <w:b/>
                    <w:i/>
                    <w:strike w:val="0"/>
                    <w:sz w:val="24"/>
                  </w:rPr>
                  <w: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1256" from="33.360001pt,738.599976pt" to="33.360001pt,752.399976pt" stroked="true" strokeweight=".72pt" strokecolor="#000000">
          <v:stroke dashstyle="solid"/>
          <w10:wrap type="none"/>
        </v:line>
      </w:pict>
    </w:r>
    <w:r>
      <w:rPr/>
      <w:pict>
        <v:shape style="position:absolute;margin-left:270.440002pt;margin-top:741.376709pt;width:71pt;height:15.45pt;mso-position-horizontal-relative:page;mso-position-vertical-relative:page;z-index:-471232" type="#_x0000_t202" filled="false" stroked="false">
          <v:textbox inset="0,0,0,0">
            <w:txbxContent>
              <w:p>
                <w:pPr>
                  <w:spacing w:before="12"/>
                  <w:ind w:left="20" w:right="0" w:firstLine="0"/>
                  <w:jc w:val="left"/>
                  <w:rPr>
                    <w:b/>
                    <w:sz w:val="24"/>
                  </w:rPr>
                </w:pPr>
                <w:r>
                  <w:rPr>
                    <w:b/>
                    <w:sz w:val="24"/>
                  </w:rPr>
                  <w:t>Rev. </w:t>
                </w:r>
                <w:r>
                  <w:rPr>
                    <w:b/>
                    <w:strike/>
                    <w:color w:val="2E97D3"/>
                    <w:sz w:val="24"/>
                  </w:rPr>
                  <w:t>428</w:t>
                </w:r>
                <w:r>
                  <w:rPr>
                    <w:b/>
                    <w:strike w:val="0"/>
                    <w:color w:val="2E97D3"/>
                    <w:sz w:val="24"/>
                    <w:u w:val="thick" w:color="2E97D3"/>
                  </w:rPr>
                  <w:t>440</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9264" from="36.360001pt,742.200012pt" to="36.360001pt,756.000012pt" stroked="true" strokeweight=".72pt" strokecolor="#000000">
          <v:stroke dashstyle="solid"/>
          <w10:wrap type="none"/>
        </v:line>
      </w:pict>
    </w:r>
    <w:r>
      <w:rPr/>
      <w:pict>
        <v:shape style="position:absolute;margin-left:228.199997pt;margin-top:727.576721pt;width:155.550pt;height:29.25pt;mso-position-horizontal-relative:page;mso-position-vertical-relative:page;z-index:-469240"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sz w:val="24"/>
                  </w:rPr>
                  <w:t>(6818 Illustration, Cont. </w:t>
                </w:r>
                <w:r>
                  <w:rPr>
                    <w:b/>
                    <w:i/>
                    <w:strike/>
                    <w:color w:val="2E97D3"/>
                    <w:sz w:val="24"/>
                  </w:rPr>
                  <w:t>2</w:t>
                </w:r>
                <w:r>
                  <w:rPr>
                    <w:b/>
                    <w:i/>
                    <w:strike w:val="0"/>
                    <w:color w:val="2E97D3"/>
                    <w:sz w:val="24"/>
                    <w:u w:val="thick" w:color="2E97D3"/>
                  </w:rPr>
                  <w:t>1</w:t>
                </w:r>
                <w:r>
                  <w:rPr>
                    <w:b/>
                    <w:i/>
                    <w:strike w:val="0"/>
                    <w:sz w:val="24"/>
                  </w:rPr>
                  <w:t>)</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9216" from="36.360001pt,742.200012pt" to="36.360001pt,756.000012pt" stroked="true" strokeweight=".72pt" strokecolor="#000000">
          <v:stroke dashstyle="solid"/>
          <w10:wrap type="none"/>
        </v:line>
      </w:pict>
    </w:r>
    <w:r>
      <w:rPr/>
      <w:pict>
        <v:shape style="position:absolute;margin-left:228.199997pt;margin-top:727.576721pt;width:155.550pt;height:29.25pt;mso-position-horizontal-relative:page;mso-position-vertical-relative:page;z-index:-469192"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sz w:val="24"/>
                  </w:rPr>
                  <w:t>(6818 Illustration, Cont. </w:t>
                </w:r>
                <w:r>
                  <w:rPr>
                    <w:b/>
                    <w:i/>
                    <w:strike/>
                    <w:color w:val="2E97D3"/>
                    <w:sz w:val="24"/>
                  </w:rPr>
                  <w:t>3</w:t>
                </w:r>
                <w:r>
                  <w:rPr>
                    <w:b/>
                    <w:i/>
                    <w:strike w:val="0"/>
                    <w:color w:val="2E97D3"/>
                    <w:sz w:val="24"/>
                    <w:u w:val="thick" w:color="2E97D3"/>
                  </w:rPr>
                  <w:t>2</w:t>
                </w:r>
                <w:r>
                  <w:rPr>
                    <w:b/>
                    <w:i/>
                    <w:strike w:val="0"/>
                    <w:sz w:val="24"/>
                  </w:rPr>
                  <w:t>)</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9168" from="36.360001pt,742.200012pt" to="36.360001pt,756.000012pt" stroked="true" strokeweight=".72pt" strokecolor="#000000">
          <v:stroke dashstyle="solid"/>
          <w10:wrap type="none"/>
        </v:line>
      </w:pict>
    </w:r>
    <w:r>
      <w:rPr/>
      <w:pict>
        <v:shape style="position:absolute;margin-left:228.199997pt;margin-top:727.576721pt;width:155.550pt;height:29.25pt;mso-position-horizontal-relative:page;mso-position-vertical-relative:page;z-index:-469144"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sz w:val="24"/>
                  </w:rPr>
                  <w:t>(6818 Illustration, Cont. </w:t>
                </w:r>
                <w:r>
                  <w:rPr>
                    <w:b/>
                    <w:i/>
                    <w:strike/>
                    <w:color w:val="2E97D3"/>
                    <w:sz w:val="24"/>
                  </w:rPr>
                  <w:t>4</w:t>
                </w:r>
                <w:r>
                  <w:rPr>
                    <w:b/>
                    <w:i/>
                    <w:strike w:val="0"/>
                    <w:color w:val="2E97D3"/>
                    <w:sz w:val="24"/>
                    <w:u w:val="thick" w:color="2E97D3"/>
                  </w:rPr>
                  <w:t>3</w:t>
                </w:r>
                <w:r>
                  <w:rPr>
                    <w:b/>
                    <w:i/>
                    <w:strike w:val="0"/>
                    <w:sz w:val="24"/>
                  </w:rPr>
                  <w:t>)</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9120" from="36.360001pt,742.200012pt" to="36.360001pt,756.000012pt" stroked="true" strokeweight=".72pt" strokecolor="#000000">
          <v:stroke dashstyle="solid"/>
          <w10:wrap type="none"/>
        </v:line>
      </w:pict>
    </w:r>
    <w:r>
      <w:rPr/>
      <w:pict>
        <v:shape style="position:absolute;margin-left:228.199997pt;margin-top:727.576721pt;width:155.550pt;height:29.25pt;mso-position-horizontal-relative:page;mso-position-vertical-relative:page;z-index:-469096"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sz w:val="24"/>
                  </w:rPr>
                  <w:t>(6818 Illustration, Cont. </w:t>
                </w:r>
                <w:r>
                  <w:rPr>
                    <w:b/>
                    <w:i/>
                    <w:strike/>
                    <w:color w:val="2E97D3"/>
                    <w:sz w:val="24"/>
                  </w:rPr>
                  <w:t>5</w:t>
                </w:r>
                <w:r>
                  <w:rPr>
                    <w:b/>
                    <w:i/>
                    <w:strike w:val="0"/>
                    <w:color w:val="2E97D3"/>
                    <w:sz w:val="24"/>
                    <w:u w:val="thick" w:color="2E97D3"/>
                  </w:rPr>
                  <w:t>4</w:t>
                </w:r>
                <w:r>
                  <w:rPr>
                    <w:b/>
                    <w:i/>
                    <w:strike w:val="0"/>
                    <w:sz w:val="24"/>
                  </w:rPr>
                  <w:t>)</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559998pt;margin-top:727.576721pt;width:148.8pt;height:29.25pt;mso-position-horizontal-relative:page;mso-position-vertical-relative:page;z-index:-469072" type="#_x0000_t202" filled="false" stroked="false">
          <v:textbox inset="0,0,0,0">
            <w:txbxContent>
              <w:p>
                <w:pPr>
                  <w:spacing w:before="12"/>
                  <w:ind w:left="1" w:right="0" w:firstLine="0"/>
                  <w:jc w:val="center"/>
                  <w:rPr>
                    <w:b/>
                    <w:sz w:val="24"/>
                  </w:rPr>
                </w:pPr>
                <w:r>
                  <w:rPr>
                    <w:b/>
                    <w:sz w:val="24"/>
                  </w:rPr>
                  <w:t>Rev. 364</w:t>
                </w:r>
              </w:p>
              <w:p>
                <w:pPr>
                  <w:spacing w:before="0"/>
                  <w:ind w:left="1" w:right="1" w:firstLine="0"/>
                  <w:jc w:val="center"/>
                  <w:rPr>
                    <w:b/>
                    <w:i/>
                    <w:sz w:val="24"/>
                  </w:rPr>
                </w:pPr>
                <w:r>
                  <w:rPr>
                    <w:b/>
                    <w:i/>
                    <w:color w:val="2E97D3"/>
                    <w:sz w:val="24"/>
                    <w:u w:val="thick" w:color="2E97D3"/>
                  </w:rPr>
                  <w:t>(6818 Illustration, Cont. 5)</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69048" type="#_x0000_t202" filled="false" stroked="false">
          <v:textbox inset="0,0,0,0">
            <w:txbxContent>
              <w:p>
                <w:pPr>
                  <w:spacing w:before="12"/>
                  <w:ind w:left="20" w:right="0" w:firstLine="0"/>
                  <w:jc w:val="left"/>
                  <w:rPr>
                    <w:b/>
                    <w:sz w:val="24"/>
                  </w:rPr>
                </w:pPr>
                <w:r>
                  <w:rPr>
                    <w:b/>
                    <w:sz w:val="24"/>
                  </w:rPr>
                  <w:t>Rev. 364</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727.576721pt;width:111.5pt;height:29.25pt;mso-position-horizontal-relative:page;mso-position-vertical-relative:page;z-index:-469024" type="#_x0000_t202" filled="false" stroked="false">
          <v:textbox inset="0,0,0,0">
            <w:txbxContent>
              <w:p>
                <w:pPr>
                  <w:spacing w:before="12"/>
                  <w:ind w:left="1" w:right="1" w:firstLine="0"/>
                  <w:jc w:val="center"/>
                  <w:rPr>
                    <w:b/>
                    <w:sz w:val="24"/>
                  </w:rPr>
                </w:pPr>
                <w:r>
                  <w:rPr>
                    <w:b/>
                    <w:sz w:val="24"/>
                  </w:rPr>
                  <w:t>Rev. 364</w:t>
                </w:r>
              </w:p>
              <w:p>
                <w:pPr>
                  <w:spacing w:before="0"/>
                  <w:ind w:left="1" w:right="1" w:firstLine="0"/>
                  <w:jc w:val="center"/>
                  <w:rPr>
                    <w:b/>
                    <w:i/>
                    <w:sz w:val="24"/>
                  </w:rPr>
                </w:pPr>
                <w:r>
                  <w:rPr>
                    <w:b/>
                    <w:i/>
                    <w:sz w:val="24"/>
                  </w:rPr>
                  <w:t>(6820 Illustration </w:t>
                </w:r>
                <w:r>
                  <w:rPr/>
                  <w:fldChar w:fldCharType="begin"/>
                </w:r>
                <w:r>
                  <w:rPr>
                    <w:b/>
                    <w:i/>
                    <w:sz w:val="24"/>
                  </w:rPr>
                  <w:instrText> PAGE </w:instrText>
                </w:r>
                <w:r>
                  <w:rPr/>
                  <w:fldChar w:fldCharType="separate"/>
                </w:r>
                <w:r>
                  <w:rPr/>
                  <w:t>1</w:t>
                </w:r>
                <w:r>
                  <w:rPr/>
                  <w:fldChar w:fldCharType="end"/>
                </w:r>
                <w:r>
                  <w:rPr>
                    <w:b/>
                    <w:i/>
                    <w:sz w:val="24"/>
                  </w:rPr>
                  <w:t>)</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640015pt;margin-top:547.576721pt;width:158.8pt;height:29.25pt;mso-position-horizontal-relative:page;mso-position-vertical-relative:page;z-index:-468952" type="#_x0000_t202" filled="false" stroked="false">
          <v:textbox inset="0,0,0,0">
            <w:txbxContent>
              <w:p>
                <w:pPr>
                  <w:spacing w:before="12"/>
                  <w:ind w:left="1" w:right="1" w:firstLine="0"/>
                  <w:jc w:val="center"/>
                  <w:rPr>
                    <w:b/>
                    <w:sz w:val="24"/>
                  </w:rPr>
                </w:pPr>
                <w:r>
                  <w:rPr>
                    <w:b/>
                    <w:sz w:val="24"/>
                  </w:rPr>
                  <w:t>Rev. 364</w:t>
                </w:r>
              </w:p>
              <w:p>
                <w:pPr>
                  <w:spacing w:before="0"/>
                  <w:ind w:left="1" w:right="1" w:firstLine="0"/>
                  <w:jc w:val="center"/>
                  <w:rPr>
                    <w:b/>
                    <w:i/>
                    <w:sz w:val="24"/>
                  </w:rPr>
                </w:pPr>
                <w:r>
                  <w:rPr>
                    <w:b/>
                    <w:i/>
                    <w:sz w:val="24"/>
                  </w:rPr>
                  <w:t>(6820 Illustration 3, Cont. 1)</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8880" from="36.360001pt,728.400024pt" to="36.360001pt,756.000024pt" stroked="true" strokeweight=".72pt" strokecolor="#000000">
          <v:stroke dashstyle="solid"/>
          <w10:wrap type="none"/>
        </v:line>
      </w:pict>
    </w:r>
    <w:r>
      <w:rPr/>
      <w:pict>
        <v:shape style="position:absolute;margin-left:216.559998pt;margin-top:727.576721pt;width:178.9pt;height:29.25pt;mso-position-horizontal-relative:page;mso-position-vertical-relative:page;z-index:-468856" type="#_x0000_t202" filled="false" stroked="false">
          <v:textbox inset="0,0,0,0">
            <w:txbxContent>
              <w:p>
                <w:pPr>
                  <w:spacing w:before="12"/>
                  <w:ind w:left="1" w:right="1" w:firstLine="0"/>
                  <w:jc w:val="center"/>
                  <w:rPr>
                    <w:b/>
                    <w:sz w:val="24"/>
                  </w:rPr>
                </w:pPr>
                <w:r>
                  <w:rPr>
                    <w:b/>
                    <w:sz w:val="24"/>
                  </w:rPr>
                  <w:t>Rev. </w:t>
                </w:r>
                <w:r>
                  <w:rPr>
                    <w:b/>
                    <w:strike/>
                    <w:color w:val="2E97D3"/>
                    <w:sz w:val="24"/>
                  </w:rPr>
                  <w:t>364</w:t>
                </w:r>
              </w:p>
              <w:p>
                <w:pPr>
                  <w:spacing w:before="0"/>
                  <w:ind w:left="1" w:right="1" w:firstLine="0"/>
                  <w:jc w:val="center"/>
                  <w:rPr>
                    <w:b/>
                    <w:sz w:val="24"/>
                  </w:rPr>
                </w:pPr>
                <w:r>
                  <w:rPr>
                    <w:b/>
                    <w:i/>
                    <w:strike/>
                    <w:color w:val="2E97D3"/>
                    <w:sz w:val="24"/>
                  </w:rPr>
                  <w:t>(6820 Illustration 3, Cont. 2)</w:t>
                </w:r>
                <w:r>
                  <w:rPr>
                    <w:b/>
                    <w:strike w:val="0"/>
                    <w:color w:val="2E97D3"/>
                    <w:sz w:val="24"/>
                    <w:u w:val="thick" w:color="2E97D3"/>
                  </w:rPr>
                  <w:t>440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1184" type="#_x0000_t202" filled="false" stroked="false">
          <v:textbox inset="0,0,0,0">
            <w:txbxContent>
              <w:p>
                <w:pPr>
                  <w:spacing w:before="12"/>
                  <w:ind w:left="20" w:right="0" w:firstLine="0"/>
                  <w:jc w:val="left"/>
                  <w:rPr>
                    <w:b/>
                    <w:sz w:val="24"/>
                  </w:rPr>
                </w:pPr>
                <w:r>
                  <w:rPr>
                    <w:b/>
                    <w:sz w:val="24"/>
                  </w:rPr>
                  <w:t>Rev. 440</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376709pt;width:50.75pt;height:15.45pt;mso-position-horizontal-relative:page;mso-position-vertical-relative:page;z-index:-468832" type="#_x0000_t202" filled="false" stroked="false">
          <v:textbox inset="0,0,0,0">
            <w:txbxContent>
              <w:p>
                <w:pPr>
                  <w:spacing w:before="12"/>
                  <w:ind w:left="20" w:right="0" w:firstLine="0"/>
                  <w:jc w:val="left"/>
                  <w:rPr>
                    <w:b/>
                    <w:sz w:val="24"/>
                  </w:rPr>
                </w:pPr>
                <w:r>
                  <w:rPr>
                    <w:b/>
                    <w:sz w:val="24"/>
                  </w:rPr>
                  <w:t>Rev. 364</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376709pt;width:50.75pt;height:15.45pt;mso-position-horizontal-relative:page;mso-position-vertical-relative:page;z-index:-468808" type="#_x0000_t202" filled="false" stroked="false">
          <v:textbox inset="0,0,0,0">
            <w:txbxContent>
              <w:p>
                <w:pPr>
                  <w:spacing w:before="12"/>
                  <w:ind w:left="20" w:right="0" w:firstLine="0"/>
                  <w:jc w:val="left"/>
                  <w:rPr>
                    <w:b/>
                    <w:sz w:val="24"/>
                  </w:rPr>
                </w:pPr>
                <w:r>
                  <w:rPr>
                    <w:b/>
                    <w:sz w:val="24"/>
                  </w:rPr>
                  <w:t>Rev. 440</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727.576721pt;width:111.55pt;height:29.25pt;mso-position-horizontal-relative:page;mso-position-vertical-relative:page;z-index:-468760" type="#_x0000_t202" filled="false" stroked="false">
          <v:textbox inset="0,0,0,0">
            <w:txbxContent>
              <w:p>
                <w:pPr>
                  <w:spacing w:before="12"/>
                  <w:ind w:left="0" w:right="1" w:firstLine="0"/>
                  <w:jc w:val="center"/>
                  <w:rPr>
                    <w:b/>
                    <w:sz w:val="24"/>
                  </w:rPr>
                </w:pPr>
                <w:r>
                  <w:rPr>
                    <w:b/>
                    <w:sz w:val="24"/>
                  </w:rPr>
                  <w:t>Rev. 364</w:t>
                </w:r>
              </w:p>
              <w:p>
                <w:pPr>
                  <w:spacing w:before="0"/>
                  <w:ind w:left="1" w:right="1" w:firstLine="0"/>
                  <w:jc w:val="center"/>
                  <w:rPr>
                    <w:b/>
                    <w:i/>
                    <w:sz w:val="24"/>
                  </w:rPr>
                </w:pPr>
                <w:r>
                  <w:rPr>
                    <w:b/>
                    <w:i/>
                    <w:strike/>
                    <w:color w:val="2E97D3"/>
                    <w:sz w:val="24"/>
                  </w:rPr>
                  <w:t>(6828 Illustration 1)</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8736" from="29.4pt,728.400024pt" to="29.4pt,756.000024pt" stroked="true" strokeweight=".72pt" strokecolor="#000000">
          <v:stroke dashstyle="solid"/>
          <w10:wrap type="none"/>
        </v:line>
      </w:pict>
    </w:r>
    <w:r>
      <w:rPr/>
      <w:pict>
        <v:shape style="position:absolute;margin-left:243.440002pt;margin-top:727.576721pt;width:111.55pt;height:29.25pt;mso-position-horizontal-relative:page;mso-position-vertical-relative:page;z-index:-468712" type="#_x0000_t202" filled="false" stroked="false">
          <v:textbox inset="0,0,0,0">
            <w:txbxContent>
              <w:p>
                <w:pPr>
                  <w:spacing w:before="12"/>
                  <w:ind w:left="0" w:right="1" w:firstLine="0"/>
                  <w:jc w:val="center"/>
                  <w:rPr>
                    <w:b/>
                    <w:sz w:val="24"/>
                  </w:rPr>
                </w:pPr>
                <w:r>
                  <w:rPr>
                    <w:b/>
                    <w:sz w:val="24"/>
                  </w:rPr>
                  <w:t>Rev. 364</w:t>
                </w:r>
              </w:p>
              <w:p>
                <w:pPr>
                  <w:spacing w:before="0"/>
                  <w:ind w:left="1" w:right="1" w:firstLine="0"/>
                  <w:jc w:val="center"/>
                  <w:rPr>
                    <w:b/>
                    <w:i/>
                    <w:sz w:val="24"/>
                  </w:rPr>
                </w:pPr>
                <w:r>
                  <w:rPr>
                    <w:b/>
                    <w:i/>
                    <w:strike/>
                    <w:color w:val="2E97D3"/>
                    <w:sz w:val="24"/>
                  </w:rPr>
                  <w:t>(6828 Illustration 1)</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8688" from="29.4pt,742.200012pt" to="29.4pt,756.000012pt" stroked="true" strokeweight=".72pt" strokecolor="#000000">
          <v:stroke dashstyle="solid"/>
          <w10:wrap type="none"/>
        </v:line>
      </w:pict>
    </w:r>
    <w:r>
      <w:rPr/>
      <w:pict>
        <v:shape style="position:absolute;margin-left:219.800003pt;margin-top:727.576721pt;width:158.8pt;height:29.25pt;mso-position-horizontal-relative:page;mso-position-vertical-relative:page;z-index:-468664" type="#_x0000_t202" filled="false" stroked="false">
          <v:textbox inset="0,0,0,0">
            <w:txbxContent>
              <w:p>
                <w:pPr>
                  <w:spacing w:before="12"/>
                  <w:ind w:left="1" w:right="1" w:firstLine="0"/>
                  <w:jc w:val="center"/>
                  <w:rPr>
                    <w:b/>
                    <w:sz w:val="24"/>
                  </w:rPr>
                </w:pPr>
                <w:r>
                  <w:rPr>
                    <w:b/>
                    <w:sz w:val="24"/>
                  </w:rPr>
                  <w:t>Rev. 364</w:t>
                </w:r>
              </w:p>
              <w:p>
                <w:pPr>
                  <w:spacing w:before="0"/>
                  <w:ind w:left="1" w:right="1" w:firstLine="0"/>
                  <w:jc w:val="center"/>
                  <w:rPr>
                    <w:b/>
                    <w:i/>
                    <w:sz w:val="24"/>
                  </w:rPr>
                </w:pPr>
                <w:r>
                  <w:rPr>
                    <w:b/>
                    <w:i/>
                    <w:sz w:val="24"/>
                  </w:rPr>
                  <w:t>(6828 Illustration 1</w:t>
                </w:r>
                <w:r>
                  <w:rPr>
                    <w:b/>
                    <w:i/>
                    <w:strike/>
                    <w:color w:val="2E97D3"/>
                    <w:sz w:val="24"/>
                  </w:rPr>
                  <w:t>, Cont. 1</w:t>
                </w:r>
                <w:r>
                  <w:rPr>
                    <w:b/>
                    <w:i/>
                    <w:strike w:val="0"/>
                    <w:sz w:val="24"/>
                  </w:rPr>
                  <w:t>)</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8640" from="29.4pt,742.200012pt" to="29.4pt,756.000012pt" stroked="true" strokeweight=".72pt" strokecolor="#000000">
          <v:stroke dashstyle="solid"/>
          <w10:wrap type="none"/>
        </v:line>
      </w:pict>
    </w:r>
    <w:r>
      <w:rPr/>
      <w:pict>
        <v:shape style="position:absolute;margin-left:216.440002pt;margin-top:727.576721pt;width:165.4pt;height:29.25pt;mso-position-horizontal-relative:page;mso-position-vertical-relative:page;z-index:-468616" type="#_x0000_t202" filled="false" stroked="false">
          <v:textbox inset="0,0,0,0">
            <w:txbxContent>
              <w:p>
                <w:pPr>
                  <w:spacing w:before="12"/>
                  <w:ind w:left="1" w:right="0" w:firstLine="0"/>
                  <w:jc w:val="center"/>
                  <w:rPr>
                    <w:b/>
                    <w:sz w:val="24"/>
                  </w:rPr>
                </w:pPr>
                <w:r>
                  <w:rPr>
                    <w:b/>
                    <w:sz w:val="24"/>
                  </w:rPr>
                  <w:t>Rev. 364</w:t>
                </w:r>
              </w:p>
              <w:p>
                <w:pPr>
                  <w:spacing w:before="0"/>
                  <w:ind w:left="0" w:right="0" w:firstLine="0"/>
                  <w:jc w:val="center"/>
                  <w:rPr>
                    <w:b/>
                    <w:i/>
                    <w:sz w:val="24"/>
                  </w:rPr>
                </w:pPr>
                <w:r>
                  <w:rPr>
                    <w:b/>
                    <w:i/>
                    <w:sz w:val="24"/>
                  </w:rPr>
                  <w:t>(6828 Illustration </w:t>
                </w:r>
                <w:r>
                  <w:rPr>
                    <w:b/>
                    <w:i/>
                    <w:strike/>
                    <w:color w:val="2E97D3"/>
                    <w:sz w:val="24"/>
                  </w:rPr>
                  <w:t>2</w:t>
                </w:r>
                <w:r>
                  <w:rPr>
                    <w:b/>
                    <w:i/>
                    <w:strike w:val="0"/>
                    <w:color w:val="2E97D3"/>
                    <w:sz w:val="24"/>
                    <w:u w:val="thick" w:color="2E97D3"/>
                  </w:rPr>
                  <w:t>1, Cont. 1</w:t>
                </w:r>
                <w:r>
                  <w:rPr>
                    <w:b/>
                    <w:i/>
                    <w:strike w:val="0"/>
                    <w:sz w:val="24"/>
                  </w:rPr>
                  <w:t>)</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8592" from="29.4pt,742.200012pt" to="29.4pt,756.000012pt" stroked="true" strokeweight=".72pt" strokecolor="#000000">
          <v:stroke dashstyle="solid"/>
          <w10:wrap type="none"/>
        </v:line>
      </w:pict>
    </w:r>
    <w:r>
      <w:rPr/>
      <w:pict>
        <v:shape style="position:absolute;margin-left:219.800003pt;margin-top:727.576721pt;width:158.8pt;height:29.25pt;mso-position-horizontal-relative:page;mso-position-vertical-relative:page;z-index:-468568" type="#_x0000_t202" filled="false" stroked="false">
          <v:textbox inset="0,0,0,0">
            <w:txbxContent>
              <w:p>
                <w:pPr>
                  <w:spacing w:before="12"/>
                  <w:ind w:left="1" w:right="1" w:firstLine="0"/>
                  <w:jc w:val="center"/>
                  <w:rPr>
                    <w:b/>
                    <w:sz w:val="24"/>
                  </w:rPr>
                </w:pPr>
                <w:r>
                  <w:rPr>
                    <w:b/>
                    <w:sz w:val="24"/>
                  </w:rPr>
                  <w:t>Rev. 364</w:t>
                </w:r>
              </w:p>
              <w:p>
                <w:pPr>
                  <w:spacing w:before="0"/>
                  <w:ind w:left="1" w:right="1" w:firstLine="0"/>
                  <w:jc w:val="center"/>
                  <w:rPr>
                    <w:b/>
                    <w:i/>
                    <w:sz w:val="24"/>
                  </w:rPr>
                </w:pPr>
                <w:r>
                  <w:rPr>
                    <w:b/>
                    <w:i/>
                    <w:sz w:val="24"/>
                  </w:rPr>
                  <w:t>(6828 Illustration 2</w:t>
                </w:r>
                <w:r>
                  <w:rPr>
                    <w:b/>
                    <w:i/>
                    <w:strike/>
                    <w:color w:val="2E97D3"/>
                    <w:sz w:val="24"/>
                  </w:rPr>
                  <w:t>, Cont. 1</w:t>
                </w:r>
                <w:r>
                  <w:rPr>
                    <w:b/>
                    <w:i/>
                    <w:strike w:val="0"/>
                    <w:sz w:val="24"/>
                  </w:rPr>
                  <w:t>)</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8544" from="29.4pt,728.400024pt" to="29.4pt,756.000024pt" stroked="true" strokeweight=".72pt" strokecolor="#000000">
          <v:stroke dashstyle="solid"/>
          <w10:wrap type="none"/>
        </v:line>
      </w:pict>
    </w:r>
    <w:r>
      <w:rPr/>
      <w:pict>
        <v:shape style="position:absolute;margin-left:243.440002pt;margin-top:727.576721pt;width:111.55pt;height:29.25pt;mso-position-horizontal-relative:page;mso-position-vertical-relative:page;z-index:-468520" type="#_x0000_t202" filled="false" stroked="false">
          <v:textbox inset="0,0,0,0">
            <w:txbxContent>
              <w:p>
                <w:pPr>
                  <w:spacing w:before="12"/>
                  <w:ind w:left="0" w:right="1" w:firstLine="0"/>
                  <w:jc w:val="center"/>
                  <w:rPr>
                    <w:b/>
                    <w:sz w:val="24"/>
                  </w:rPr>
                </w:pPr>
                <w:r>
                  <w:rPr>
                    <w:b/>
                    <w:sz w:val="24"/>
                  </w:rPr>
                  <w:t>Rev. </w:t>
                </w:r>
                <w:r>
                  <w:rPr>
                    <w:b/>
                    <w:strike/>
                    <w:color w:val="2E97D3"/>
                    <w:sz w:val="24"/>
                  </w:rPr>
                  <w:t>364</w:t>
                </w:r>
                <w:r>
                  <w:rPr>
                    <w:b/>
                    <w:strike w:val="0"/>
                    <w:color w:val="2E97D3"/>
                    <w:sz w:val="24"/>
                    <w:u w:val="thick" w:color="2E97D3"/>
                  </w:rPr>
                  <w:t>440</w:t>
                </w:r>
              </w:p>
              <w:p>
                <w:pPr>
                  <w:spacing w:before="0"/>
                  <w:ind w:left="1" w:right="1" w:firstLine="0"/>
                  <w:jc w:val="center"/>
                  <w:rPr>
                    <w:b/>
                    <w:sz w:val="24"/>
                  </w:rPr>
                </w:pPr>
                <w:r>
                  <w:rPr>
                    <w:b/>
                    <w:color w:val="2E97D3"/>
                    <w:sz w:val="24"/>
                    <w:u w:val="thick" w:color="2E97D3"/>
                  </w:rPr>
                  <w:t>(6828 Illustration 2)</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376709pt;width:50.75pt;height:15.45pt;mso-position-horizontal-relative:page;mso-position-vertical-relative:page;z-index:-468496" type="#_x0000_t202" filled="false" stroked="false">
          <v:textbox inset="0,0,0,0">
            <w:txbxContent>
              <w:p>
                <w:pPr>
                  <w:spacing w:before="12"/>
                  <w:ind w:left="20" w:right="0" w:firstLine="0"/>
                  <w:jc w:val="left"/>
                  <w:rPr>
                    <w:b/>
                    <w:sz w:val="24"/>
                  </w:rPr>
                </w:pPr>
                <w:r>
                  <w:rPr>
                    <w:b/>
                    <w:sz w:val="24"/>
                  </w:rPr>
                  <w:t>Rev. 364</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71160" type="#_x0000_t202" filled="false" stroked="false">
          <v:textbox inset="0,0,0,0">
            <w:txbxContent>
              <w:p>
                <w:pPr>
                  <w:spacing w:before="12"/>
                  <w:ind w:left="20" w:right="0" w:firstLine="0"/>
                  <w:jc w:val="left"/>
                  <w:rPr>
                    <w:b/>
                    <w:sz w:val="24"/>
                  </w:rPr>
                </w:pPr>
                <w:r>
                  <w:rPr>
                    <w:b/>
                    <w:sz w:val="24"/>
                  </w:rPr>
                  <w:t>Rev. 411</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376709pt;width:50.75pt;height:15.45pt;mso-position-horizontal-relative:page;mso-position-vertical-relative:page;z-index:-468472" type="#_x0000_t202" filled="false" stroked="false">
          <v:textbox inset="0,0,0,0">
            <w:txbxContent>
              <w:p>
                <w:pPr>
                  <w:spacing w:before="12"/>
                  <w:ind w:left="20" w:right="0" w:firstLine="0"/>
                  <w:jc w:val="left"/>
                  <w:rPr>
                    <w:b/>
                    <w:sz w:val="24"/>
                  </w:rPr>
                </w:pPr>
                <w:r>
                  <w:rPr>
                    <w:b/>
                    <w:sz w:val="24"/>
                  </w:rPr>
                  <w:t>Rev. 439</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8448" from="29.4pt,728.400024pt" to="29.4pt,756.000024pt" stroked="true" strokeweight=".72pt" strokecolor="#000000">
          <v:stroke dashstyle="solid"/>
          <w10:wrap type="none"/>
        </v:line>
      </w:pict>
    </w:r>
    <w:r>
      <w:rPr/>
      <w:pict>
        <v:shape style="position:absolute;margin-left:219.800003pt;margin-top:727.576721pt;width:158.8pt;height:29.25pt;mso-position-horizontal-relative:page;mso-position-vertical-relative:page;z-index:-468424" type="#_x0000_t202" filled="false" stroked="false">
          <v:textbox inset="0,0,0,0">
            <w:txbxContent>
              <w:p>
                <w:pPr>
                  <w:spacing w:before="12"/>
                  <w:ind w:left="1" w:right="1" w:firstLine="0"/>
                  <w:jc w:val="center"/>
                  <w:rPr>
                    <w:b/>
                    <w:sz w:val="24"/>
                  </w:rPr>
                </w:pPr>
                <w:r>
                  <w:rPr>
                    <w:b/>
                    <w:sz w:val="24"/>
                  </w:rPr>
                  <w:t>Rev. 364</w:t>
                </w:r>
              </w:p>
              <w:p>
                <w:pPr>
                  <w:spacing w:before="0"/>
                  <w:ind w:left="1" w:right="1" w:firstLine="0"/>
                  <w:jc w:val="center"/>
                  <w:rPr>
                    <w:b/>
                    <w:i/>
                    <w:sz w:val="24"/>
                  </w:rPr>
                </w:pPr>
                <w:r>
                  <w:rPr>
                    <w:b/>
                    <w:i/>
                    <w:strike/>
                    <w:color w:val="2E97D3"/>
                    <w:sz w:val="24"/>
                  </w:rPr>
                  <w:t>(6845 Illustration 1, Cont. 1)</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080002pt;margin-top:727.576721pt;width:118.2pt;height:29.25pt;mso-position-horizontal-relative:page;mso-position-vertical-relative:page;z-index:-468400" type="#_x0000_t202" filled="false" stroked="false">
          <v:textbox inset="0,0,0,0">
            <w:txbxContent>
              <w:p>
                <w:pPr>
                  <w:spacing w:before="12"/>
                  <w:ind w:left="1" w:right="1" w:firstLine="0"/>
                  <w:jc w:val="center"/>
                  <w:rPr>
                    <w:b/>
                    <w:sz w:val="24"/>
                  </w:rPr>
                </w:pPr>
                <w:r>
                  <w:rPr>
                    <w:b/>
                    <w:sz w:val="24"/>
                  </w:rPr>
                  <w:t>Rev. 364</w:t>
                </w:r>
              </w:p>
              <w:p>
                <w:pPr>
                  <w:spacing w:before="0"/>
                  <w:ind w:left="1" w:right="1" w:firstLine="0"/>
                  <w:jc w:val="center"/>
                  <w:rPr>
                    <w:b/>
                    <w:i/>
                    <w:sz w:val="24"/>
                  </w:rPr>
                </w:pPr>
                <w:r>
                  <w:rPr>
                    <w:b/>
                    <w:i/>
                    <w:sz w:val="24"/>
                  </w:rPr>
                  <w:t>(6845 Illustration </w:t>
                </w:r>
                <w:r>
                  <w:rPr>
                    <w:b/>
                    <w:i/>
                    <w:strike/>
                    <w:color w:val="2E97D3"/>
                    <w:sz w:val="24"/>
                  </w:rPr>
                  <w:t>2</w:t>
                </w:r>
                <w:r>
                  <w:rPr>
                    <w:b/>
                    <w:i/>
                    <w:strike w:val="0"/>
                    <w:color w:val="2E97D3"/>
                    <w:sz w:val="24"/>
                    <w:u w:val="thick" w:color="2E97D3"/>
                  </w:rPr>
                  <w:t>1</w:t>
                </w:r>
                <w:r>
                  <w:rPr>
                    <w:b/>
                    <w:i/>
                    <w:strike w:val="0"/>
                    <w:sz w:val="24"/>
                  </w:rPr>
                  <w:t>)</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9.800003pt;margin-top:727.576721pt;width:158.8pt;height:29.25pt;mso-position-horizontal-relative:page;mso-position-vertical-relative:page;z-index:-468376" type="#_x0000_t202" filled="false" stroked="false">
          <v:textbox inset="0,0,0,0">
            <w:txbxContent>
              <w:p>
                <w:pPr>
                  <w:spacing w:before="12"/>
                  <w:ind w:left="1" w:right="1" w:firstLine="0"/>
                  <w:jc w:val="center"/>
                  <w:rPr>
                    <w:b/>
                    <w:sz w:val="24"/>
                  </w:rPr>
                </w:pPr>
                <w:r>
                  <w:rPr>
                    <w:b/>
                    <w:sz w:val="24"/>
                  </w:rPr>
                  <w:t>Rev. 364</w:t>
                </w:r>
              </w:p>
              <w:p>
                <w:pPr>
                  <w:spacing w:before="0"/>
                  <w:ind w:left="1" w:right="1" w:firstLine="0"/>
                  <w:jc w:val="center"/>
                  <w:rPr>
                    <w:b/>
                    <w:i/>
                    <w:sz w:val="24"/>
                  </w:rPr>
                </w:pPr>
                <w:r>
                  <w:rPr>
                    <w:b/>
                    <w:i/>
                    <w:color w:val="2E97D3"/>
                    <w:sz w:val="24"/>
                    <w:u w:val="thick" w:color="2E97D3"/>
                  </w:rPr>
                  <w:t>(6845 Illustration 1, Cont. 1)</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0.119995pt;margin-top:727.576721pt;width:138.15pt;height:29.25pt;mso-position-horizontal-relative:page;mso-position-vertical-relative:page;z-index:-468352" type="#_x0000_t202" filled="false" stroked="false">
          <v:textbox inset="0,0,0,0">
            <w:txbxContent>
              <w:p>
                <w:pPr>
                  <w:spacing w:before="12"/>
                  <w:ind w:left="0" w:right="0" w:firstLine="0"/>
                  <w:jc w:val="center"/>
                  <w:rPr>
                    <w:b/>
                    <w:sz w:val="24"/>
                  </w:rPr>
                </w:pPr>
                <w:r>
                  <w:rPr>
                    <w:b/>
                    <w:sz w:val="24"/>
                  </w:rPr>
                  <w:t>Rev. 364</w:t>
                </w:r>
              </w:p>
              <w:p>
                <w:pPr>
                  <w:spacing w:before="0"/>
                  <w:ind w:left="0" w:right="0" w:firstLine="0"/>
                  <w:jc w:val="center"/>
                  <w:rPr>
                    <w:b/>
                    <w:i/>
                    <w:sz w:val="24"/>
                  </w:rPr>
                </w:pPr>
                <w:r>
                  <w:rPr>
                    <w:b/>
                    <w:i/>
                    <w:sz w:val="24"/>
                  </w:rPr>
                  <w:t>(</w:t>
                </w:r>
                <w:r>
                  <w:rPr>
                    <w:b/>
                    <w:i/>
                    <w:strike/>
                    <w:color w:val="2E97D3"/>
                    <w:sz w:val="24"/>
                  </w:rPr>
                  <w:t>6853</w:t>
                </w:r>
                <w:r>
                  <w:rPr>
                    <w:b/>
                    <w:i/>
                    <w:strike w:val="0"/>
                    <w:color w:val="2E97D3"/>
                    <w:sz w:val="24"/>
                    <w:u w:val="thick" w:color="2E97D3"/>
                  </w:rPr>
                  <w:t>6845 </w:t>
                </w:r>
                <w:r>
                  <w:rPr>
                    <w:b/>
                    <w:i/>
                    <w:strike w:val="0"/>
                    <w:sz w:val="24"/>
                  </w:rPr>
                  <w:t>Illustration </w:t>
                </w:r>
                <w:r>
                  <w:rPr>
                    <w:b/>
                    <w:i/>
                    <w:strike w:val="0"/>
                    <w:color w:val="2E97D3"/>
                    <w:sz w:val="24"/>
                    <w:u w:val="thick" w:color="2E97D3"/>
                  </w:rPr>
                  <w:t>2</w:t>
                </w:r>
                <w:r>
                  <w:rPr>
                    <w:b/>
                    <w:i/>
                    <w:strike w:val="0"/>
                    <w:sz w:val="24"/>
                  </w:rPr>
                  <w:t>)</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376709pt;width:50.75pt;height:15.45pt;mso-position-horizontal-relative:page;mso-position-vertical-relative:page;z-index:-468328" type="#_x0000_t202" filled="false" stroked="false">
          <v:textbox inset="0,0,0,0">
            <w:txbxContent>
              <w:p>
                <w:pPr>
                  <w:spacing w:before="12"/>
                  <w:ind w:left="20" w:right="0" w:firstLine="0"/>
                  <w:jc w:val="left"/>
                  <w:rPr>
                    <w:b/>
                    <w:sz w:val="24"/>
                  </w:rPr>
                </w:pPr>
                <w:r>
                  <w:rPr>
                    <w:b/>
                    <w:sz w:val="24"/>
                  </w:rPr>
                  <w:t>Rev. 440</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376709pt;width:50.75pt;height:15.45pt;mso-position-horizontal-relative:page;mso-position-vertical-relative:page;z-index:-468304" type="#_x0000_t202" filled="false" stroked="false">
          <v:textbox inset="0,0,0,0">
            <w:txbxContent>
              <w:p>
                <w:pPr>
                  <w:spacing w:before="12"/>
                  <w:ind w:left="20" w:right="0" w:firstLine="0"/>
                  <w:jc w:val="left"/>
                  <w:rPr>
                    <w:b/>
                    <w:sz w:val="24"/>
                  </w:rPr>
                </w:pPr>
                <w:r>
                  <w:rPr>
                    <w:b/>
                    <w:sz w:val="24"/>
                  </w:rPr>
                  <w:t>Rev. 364</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8280" from="29.4pt,742.200012pt" to="29.4pt,756.000012pt" stroked="true" strokeweight=".72pt" strokecolor="#000000">
          <v:stroke dashstyle="solid"/>
          <w10:wrap type="none"/>
        </v:line>
      </w:pict>
    </w:r>
    <w:r>
      <w:rPr/>
      <w:pict>
        <v:shape style="position:absolute;margin-left:235.160004pt;margin-top:727.576721pt;width:128.0500pt;height:29.25pt;mso-position-horizontal-relative:page;mso-position-vertical-relative:page;z-index:-468256" type="#_x0000_t202" filled="false" stroked="false">
          <v:textbox inset="0,0,0,0">
            <w:txbxContent>
              <w:p>
                <w:pPr>
                  <w:spacing w:before="12"/>
                  <w:ind w:left="0" w:right="0" w:firstLine="0"/>
                  <w:jc w:val="center"/>
                  <w:rPr>
                    <w:b/>
                    <w:sz w:val="24"/>
                  </w:rPr>
                </w:pPr>
                <w:r>
                  <w:rPr>
                    <w:b/>
                    <w:sz w:val="24"/>
                  </w:rPr>
                  <w:t>Rev. 364</w:t>
                </w:r>
              </w:p>
              <w:p>
                <w:pPr>
                  <w:spacing w:before="0"/>
                  <w:ind w:left="0" w:right="0" w:firstLine="0"/>
                  <w:jc w:val="center"/>
                  <w:rPr>
                    <w:b/>
                    <w:i/>
                    <w:sz w:val="24"/>
                  </w:rPr>
                </w:pPr>
                <w:r>
                  <w:rPr>
                    <w:b/>
                    <w:i/>
                    <w:sz w:val="24"/>
                  </w:rPr>
                  <w:t>(</w:t>
                </w:r>
                <w:r>
                  <w:rPr>
                    <w:b/>
                    <w:i/>
                    <w:strike/>
                    <w:color w:val="2E97D3"/>
                    <w:sz w:val="24"/>
                  </w:rPr>
                  <w:t>6864</w:t>
                </w:r>
                <w:r>
                  <w:rPr>
                    <w:b/>
                    <w:i/>
                    <w:strike w:val="0"/>
                    <w:color w:val="2E97D3"/>
                    <w:sz w:val="24"/>
                    <w:u w:val="thick" w:color="2E97D3"/>
                  </w:rPr>
                  <w:t>6853 </w:t>
                </w:r>
                <w:r>
                  <w:rPr>
                    <w:b/>
                    <w:i/>
                    <w:strike w:val="0"/>
                    <w:sz w:val="24"/>
                  </w:rPr>
                  <w:t>Illustration)</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376709pt;width:50.75pt;height:15.45pt;mso-position-horizontal-relative:page;mso-position-vertical-relative:page;z-index:-468232" type="#_x0000_t202" filled="false" stroked="false">
          <v:textbox inset="0,0,0,0">
            <w:txbxContent>
              <w:p>
                <w:pPr>
                  <w:spacing w:before="12"/>
                  <w:ind w:left="20" w:right="0" w:firstLine="0"/>
                  <w:jc w:val="left"/>
                  <w:rPr>
                    <w:b/>
                    <w:sz w:val="24"/>
                  </w:rPr>
                </w:pPr>
                <w:r>
                  <w:rPr>
                    <w:b/>
                    <w:sz w:val="24"/>
                  </w:rPr>
                  <w:t>Rev. 364</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736694pt;width:50.75pt;height:15.45pt;mso-position-horizontal-relative:page;mso-position-vertical-relative:page;z-index:-468208" type="#_x0000_t202" filled="false" stroked="false">
          <v:textbox inset="0,0,0,0">
            <w:txbxContent>
              <w:p>
                <w:pPr>
                  <w:spacing w:before="12"/>
                  <w:ind w:left="20" w:right="0" w:firstLine="0"/>
                  <w:jc w:val="left"/>
                  <w:rPr>
                    <w:b/>
                    <w:sz w:val="24"/>
                  </w:rPr>
                </w:pPr>
                <w:r>
                  <w:rPr>
                    <w:b/>
                    <w:sz w:val="24"/>
                  </w:rPr>
                  <w:t>Rev. 439</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8040" from="26.76pt,741.47998pt" to="26.76pt,759.59998pt" stroked="true" strokeweight=".72pt" strokecolor="#000000">
          <v:stroke dashstyle="solid"/>
          <w10:wrap type="none"/>
        </v:line>
      </w:pict>
    </w:r>
    <w:r>
      <w:rPr/>
      <w:pict>
        <v:shape style="position:absolute;margin-left:52.040001pt;margin-top:738.115479pt;width:31.3pt;height:10.95pt;mso-position-horizontal-relative:page;mso-position-vertical-relative:page;z-index:-468016" type="#_x0000_t202" filled="false" stroked="false">
          <v:textbox inset="0,0,0,0">
            <w:txbxContent>
              <w:p>
                <w:pPr>
                  <w:spacing w:before="14"/>
                  <w:ind w:left="20" w:right="0" w:firstLine="0"/>
                  <w:jc w:val="left"/>
                  <w:rPr>
                    <w:rFonts w:ascii="Times New Roman"/>
                    <w:b/>
                    <w:sz w:val="16"/>
                  </w:rPr>
                </w:pPr>
                <w:r>
                  <w:rPr>
                    <w:rFonts w:ascii="Times New Roman"/>
                    <w:b/>
                    <w:strike/>
                    <w:color w:val="2E97D3"/>
                    <w:sz w:val="16"/>
                  </w:rPr>
                  <w:t>Rev. 364</w:t>
                </w:r>
              </w:p>
            </w:txbxContent>
          </v:textbox>
          <w10:wrap type="none"/>
        </v:shape>
      </w:pict>
    </w:r>
    <w:r>
      <w:rPr/>
      <w:pict>
        <v:shape style="position:absolute;margin-left:273.799988pt;margin-top:741.736694pt;width:50.75pt;height:15.45pt;mso-position-horizontal-relative:page;mso-position-vertical-relative:page;z-index:-467992" type="#_x0000_t202" filled="false" stroked="false">
          <v:textbox inset="0,0,0,0">
            <w:txbxContent>
              <w:p>
                <w:pPr>
                  <w:spacing w:before="12"/>
                  <w:ind w:left="20" w:right="0" w:firstLine="0"/>
                  <w:jc w:val="left"/>
                  <w:rPr>
                    <w:b/>
                    <w:sz w:val="24"/>
                  </w:rPr>
                </w:pPr>
                <w:r>
                  <w:rPr>
                    <w:b/>
                    <w:color w:val="2E97D3"/>
                    <w:sz w:val="24"/>
                    <w:u w:val="thick" w:color="2E97D3"/>
                  </w:rPr>
                  <w:t>Rev. 439</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376709pt;width:50.75pt;height:15.45pt;mso-position-horizontal-relative:page;mso-position-vertical-relative:page;z-index:-467896" type="#_x0000_t202" filled="false" stroked="false">
          <v:textbox inset="0,0,0,0">
            <w:txbxContent>
              <w:p>
                <w:pPr>
                  <w:spacing w:before="12"/>
                  <w:ind w:left="20" w:right="0" w:firstLine="0"/>
                  <w:jc w:val="left"/>
                  <w:rPr>
                    <w:b/>
                    <w:sz w:val="24"/>
                  </w:rPr>
                </w:pPr>
                <w:r>
                  <w:rPr>
                    <w:b/>
                    <w:sz w:val="24"/>
                  </w:rPr>
                  <w:t>Rev. 439</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376709pt;width:50.75pt;height:15.45pt;mso-position-horizontal-relative:page;mso-position-vertical-relative:page;z-index:-467824" type="#_x0000_t202" filled="false" stroked="false">
          <v:textbox inset="0,0,0,0">
            <w:txbxContent>
              <w:p>
                <w:pPr>
                  <w:spacing w:before="12"/>
                  <w:ind w:left="20" w:right="0" w:firstLine="0"/>
                  <w:jc w:val="left"/>
                  <w:rPr>
                    <w:b/>
                    <w:sz w:val="24"/>
                  </w:rPr>
                </w:pPr>
                <w:r>
                  <w:rPr>
                    <w:b/>
                    <w:sz w:val="24"/>
                  </w:rPr>
                  <w:t>Rev. 439</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376709pt;width:50.75pt;height:15.45pt;mso-position-horizontal-relative:page;mso-position-vertical-relative:page;z-index:-467800" type="#_x0000_t202" filled="false" stroked="false">
          <v:textbox inset="0,0,0,0">
            <w:txbxContent>
              <w:p>
                <w:pPr>
                  <w:spacing w:before="12"/>
                  <w:ind w:left="20" w:right="0" w:firstLine="0"/>
                  <w:jc w:val="left"/>
                  <w:rPr>
                    <w:b/>
                    <w:sz w:val="24"/>
                  </w:rPr>
                </w:pPr>
                <w:r>
                  <w:rPr>
                    <w:b/>
                    <w:sz w:val="24"/>
                  </w:rPr>
                  <w:t>Rev. 364</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376709pt;width:50.75pt;height:15.45pt;mso-position-horizontal-relative:page;mso-position-vertical-relative:page;z-index:-467776" type="#_x0000_t202" filled="false" stroked="false">
          <v:textbox inset="0,0,0,0">
            <w:txbxContent>
              <w:p>
                <w:pPr>
                  <w:spacing w:before="12"/>
                  <w:ind w:left="20" w:right="0" w:firstLine="0"/>
                  <w:jc w:val="left"/>
                  <w:rPr>
                    <w:b/>
                    <w:sz w:val="24"/>
                  </w:rPr>
                </w:pPr>
                <w:r>
                  <w:rPr>
                    <w:b/>
                    <w:sz w:val="24"/>
                  </w:rPr>
                  <w:t>Rev. 439</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799988pt;margin-top:741.376709pt;width:50.75pt;height:15.45pt;mso-position-horizontal-relative:page;mso-position-vertical-relative:page;z-index:-467704" type="#_x0000_t202" filled="false" stroked="false">
          <v:textbox inset="0,0,0,0">
            <w:txbxContent>
              <w:p>
                <w:pPr>
                  <w:spacing w:before="12"/>
                  <w:ind w:left="20" w:right="0" w:firstLine="0"/>
                  <w:jc w:val="left"/>
                  <w:rPr>
                    <w:b/>
                    <w:sz w:val="24"/>
                  </w:rPr>
                </w:pPr>
                <w:r>
                  <w:rPr>
                    <w:b/>
                    <w:sz w:val="24"/>
                  </w:rPr>
                  <w:t>Rev. 364</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6.959991pt;margin-top:741.376709pt;width:50.75pt;height:15.45pt;mso-position-horizontal-relative:page;mso-position-vertical-relative:page;z-index:-467680" type="#_x0000_t202" filled="false" stroked="false">
          <v:textbox inset="0,0,0,0">
            <w:txbxContent>
              <w:p>
                <w:pPr>
                  <w:spacing w:before="12"/>
                  <w:ind w:left="20" w:right="0" w:firstLine="0"/>
                  <w:jc w:val="left"/>
                  <w:rPr>
                    <w:b/>
                    <w:sz w:val="24"/>
                  </w:rPr>
                </w:pPr>
                <w:r>
                  <w:rPr>
                    <w:b/>
                    <w:sz w:val="24"/>
                  </w:rPr>
                  <w:t>Rev. 439</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6.959991pt;margin-top:741.376709pt;width:50.75pt;height:15.45pt;mso-position-horizontal-relative:page;mso-position-vertical-relative:page;z-index:-467632" type="#_x0000_t202" filled="false" stroked="false">
          <v:textbox inset="0,0,0,0">
            <w:txbxContent>
              <w:p>
                <w:pPr>
                  <w:spacing w:before="12"/>
                  <w:ind w:left="20" w:right="0" w:firstLine="0"/>
                  <w:jc w:val="left"/>
                  <w:rPr>
                    <w:b/>
                    <w:sz w:val="24"/>
                  </w:rPr>
                </w:pPr>
                <w:r>
                  <w:rPr>
                    <w:b/>
                    <w:sz w:val="24"/>
                  </w:rPr>
                  <w:t>Rev. 364</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1640" from="36.360001pt,31.559999pt" to="36.360001pt,45.239999pt" stroked="true" strokeweight=".72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197.960007pt;margin-top:30.736719pt;width:216.8pt;height:15.45pt;mso-position-horizontal-relative:page;mso-position-vertical-relative:page;z-index:-471616" type="#_x0000_t202" filled="false" stroked="false">
          <v:textbox inset="0,0,0,0">
            <w:txbxContent>
              <w:p>
                <w:pPr>
                  <w:spacing w:before="12"/>
                  <w:ind w:left="20" w:right="0" w:firstLine="0"/>
                  <w:jc w:val="left"/>
                  <w:rPr>
                    <w:b/>
                    <w:sz w:val="24"/>
                  </w:rPr>
                </w:pPr>
                <w:r>
                  <w:rPr>
                    <w:b/>
                    <w:color w:val="F37E43"/>
                    <w:sz w:val="24"/>
                    <w:u w:val="thick" w:color="F37E43"/>
                  </w:rPr>
                  <w:t>SAM—TRANSPORTATION SERVICES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176720pt;width:111.3pt;height:15.45pt;mso-position-horizontal-relative:page;mso-position-vertical-relative:page;z-index:-471088"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176720pt;width:111.3pt;height:15.45pt;mso-position-horizontal-relative:page;mso-position-vertical-relative:page;z-index:-471064"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1040" from="36.360001pt,72pt" to="36.360001pt,99.6pt" stroked="true" strokeweight=".72pt" strokecolor="#000000">
          <v:stroke dashstyle="solid"/>
          <w10:wrap type="none"/>
        </v:line>
      </w:pict>
    </w:r>
    <w:r>
      <w:rPr/>
      <w:pict>
        <v:shape style="position:absolute;margin-left:250.279999pt;margin-top:35.176720pt;width:111.3pt;height:15.45pt;mso-position-horizontal-relative:page;mso-position-vertical-relative:page;z-index:-471016"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176720pt;width:111.3pt;height:15.45pt;mso-position-horizontal-relative:page;mso-position-vertical-relative:page;z-index:-470968"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176720pt;width:111.3pt;height:15.45pt;mso-position-horizontal-relative:page;mso-position-vertical-relative:page;z-index:-470872"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416718pt;width:111.3pt;height:15.45pt;mso-position-horizontal-relative:page;mso-position-vertical-relative:page;z-index:-470464"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71pt;margin-top:63.01672pt;width:64.8500pt;height:15.45pt;mso-position-horizontal-relative:page;mso-position-vertical-relative:page;z-index:-470440" type="#_x0000_t202" filled="false" stroked="false">
          <v:textbox inset="0,0,0,0">
            <w:txbxContent>
              <w:p>
                <w:pPr>
                  <w:pStyle w:val="BodyText"/>
                  <w:spacing w:before="12"/>
                  <w:ind w:left="20"/>
                </w:pPr>
                <w:r>
                  <w:rPr>
                    <w:color w:val="2C6234"/>
                    <w:u w:val="thick" w:color="2C6234"/>
                  </w:rPr>
                  <w:t>(Continued)</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176720pt;width:111.3pt;height:15.45pt;mso-position-horizontal-relative:page;mso-position-vertical-relative:page;z-index:-470416"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0032" from="36.360001pt,72pt" to="36.360001pt,111.72pt" stroked="true" strokeweight=".72pt" strokecolor="#000000">
          <v:stroke dashstyle="solid"/>
          <w10:wrap type="none"/>
        </v:line>
      </w:pict>
    </w:r>
    <w:r>
      <w:rPr/>
      <w:pict>
        <v:shape style="position:absolute;margin-left:250.279999pt;margin-top:35.176720pt;width:111.3pt;height:15.45pt;mso-position-horizontal-relative:page;mso-position-vertical-relative:page;z-index:-470008"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176720pt;width:111.3pt;height:15.45pt;mso-position-horizontal-relative:page;mso-position-vertical-relative:page;z-index:-469984"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176720pt;width:111.3pt;height:15.45pt;mso-position-horizontal-relative:page;mso-position-vertical-relative:page;z-index:-469528"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1544" from="36.360001pt,31.559999pt" to="36.360001pt,45.239999pt" stroked="true" strokeweight=".72pt" strokecolor="#000000">
          <v:stroke dashstyle="solid"/>
          <w10:wrap type="none"/>
        </v:line>
      </w:pict>
    </w:r>
    <w:r>
      <w:rPr/>
      <w:pict>
        <v:line style="position:absolute;mso-position-horizontal-relative:page;mso-position-vertical-relative:page;z-index:-471520" from="36.360001pt,57.480999pt" to="36.360001pt,125.399999pt" stroked="true" strokeweight=".72pt" strokecolor="#000000">
          <v:stroke dashstyle="solid"/>
          <w10:wrap type="none"/>
        </v:line>
      </w:pict>
    </w:r>
    <w:r>
      <w:rPr/>
      <w:pict>
        <v:shape style="position:absolute;margin-left:197.960007pt;margin-top:30.736719pt;width:216.8pt;height:15.45pt;mso-position-horizontal-relative:page;mso-position-vertical-relative:page;z-index:-471496" type="#_x0000_t202" filled="false" stroked="false">
          <v:textbox inset="0,0,0,0">
            <w:txbxContent>
              <w:p>
                <w:pPr>
                  <w:spacing w:before="12"/>
                  <w:ind w:left="20" w:right="0" w:firstLine="0"/>
                  <w:jc w:val="left"/>
                  <w:rPr>
                    <w:b/>
                    <w:sz w:val="24"/>
                  </w:rPr>
                </w:pPr>
                <w:r>
                  <w:rPr>
                    <w:b/>
                    <w:color w:val="F37E43"/>
                    <w:sz w:val="24"/>
                    <w:u w:val="thick" w:color="F37E43"/>
                  </w:rPr>
                  <w:t>SAM—TRANSPORTATION SERVICES</w:t>
                </w:r>
              </w:p>
            </w:txbxContent>
          </v:textbox>
          <w10:wrap type="none"/>
        </v:shape>
      </w:pict>
    </w:r>
    <w:r>
      <w:rPr/>
      <w:pict>
        <v:shape style="position:absolute;margin-left:71.839996pt;margin-top:56.656719pt;width:396pt;height:15.45pt;mso-position-horizontal-relative:page;mso-position-vertical-relative:page;z-index:-471472" type="#_x0000_t202" filled="false" stroked="false">
          <v:textbox inset="0,0,0,0">
            <w:txbxContent>
              <w:p>
                <w:pPr>
                  <w:pStyle w:val="BodyText"/>
                  <w:spacing w:before="12"/>
                  <w:ind w:left="20"/>
                </w:pPr>
                <w:r>
                  <w:rPr>
                    <w:color w:val="F37E43"/>
                    <w:u w:val="single" w:color="F37E43"/>
                  </w:rPr>
                  <w:t>maintenance</w:t>
                </w:r>
                <w:r>
                  <w:rPr>
                    <w:color w:val="F37E43"/>
                    <w:spacing w:val="-13"/>
                    <w:u w:val="single" w:color="F37E43"/>
                  </w:rPr>
                  <w:t> </w:t>
                </w:r>
                <w:r>
                  <w:rPr>
                    <w:color w:val="F37E43"/>
                    <w:u w:val="single" w:color="F37E43"/>
                  </w:rPr>
                  <w:t>costs,</w:t>
                </w:r>
                <w:r>
                  <w:rPr>
                    <w:color w:val="F37E43"/>
                    <w:spacing w:val="-14"/>
                    <w:u w:val="single" w:color="F37E43"/>
                  </w:rPr>
                  <w:t> </w:t>
                </w:r>
                <w:r>
                  <w:rPr>
                    <w:color w:val="F37E43"/>
                    <w:u w:val="single" w:color="F37E43"/>
                  </w:rPr>
                  <w:t>higher</w:t>
                </w:r>
                <w:r>
                  <w:rPr>
                    <w:color w:val="F37E43"/>
                    <w:spacing w:val="-13"/>
                    <w:u w:val="single" w:color="F37E43"/>
                  </w:rPr>
                  <w:t> </w:t>
                </w:r>
                <w:r>
                  <w:rPr>
                    <w:color w:val="F37E43"/>
                    <w:u w:val="single" w:color="F37E43"/>
                  </w:rPr>
                  <w:t>resale</w:t>
                </w:r>
                <w:r>
                  <w:rPr>
                    <w:color w:val="F37E43"/>
                    <w:spacing w:val="-13"/>
                    <w:u w:val="single" w:color="F37E43"/>
                  </w:rPr>
                  <w:t> </w:t>
                </w:r>
                <w:r>
                  <w:rPr>
                    <w:color w:val="F37E43"/>
                    <w:u w:val="single" w:color="F37E43"/>
                  </w:rPr>
                  <w:t>values,</w:t>
                </w:r>
                <w:r>
                  <w:rPr>
                    <w:color w:val="F37E43"/>
                    <w:spacing w:val="-15"/>
                    <w:u w:val="single" w:color="F37E43"/>
                  </w:rPr>
                  <w:t> </w:t>
                </w:r>
                <w:r>
                  <w:rPr>
                    <w:color w:val="F37E43"/>
                    <w:u w:val="single" w:color="F37E43"/>
                  </w:rPr>
                  <w:t>and</w:t>
                </w:r>
                <w:r>
                  <w:rPr>
                    <w:color w:val="F37E43"/>
                    <w:spacing w:val="-15"/>
                    <w:u w:val="single" w:color="F37E43"/>
                  </w:rPr>
                  <w:t> </w:t>
                </w:r>
                <w:r>
                  <w:rPr>
                    <w:color w:val="F37E43"/>
                    <w:u w:val="single" w:color="F37E43"/>
                  </w:rPr>
                  <w:t>decreased</w:t>
                </w:r>
                <w:r>
                  <w:rPr>
                    <w:color w:val="F37E43"/>
                    <w:spacing w:val="-13"/>
                    <w:u w:val="single" w:color="F37E43"/>
                  </w:rPr>
                  <w:t> </w:t>
                </w:r>
                <w:r>
                  <w:rPr>
                    <w:color w:val="F37E43"/>
                    <w:u w:val="single" w:color="F37E43"/>
                  </w:rPr>
                  <w:t>fuel</w:t>
                </w:r>
                <w:r>
                  <w:rPr>
                    <w:color w:val="F37E43"/>
                    <w:spacing w:val="-15"/>
                    <w:u w:val="single" w:color="F37E43"/>
                  </w:rPr>
                  <w:t> </w:t>
                </w:r>
                <w:r>
                  <w:rPr>
                    <w:color w:val="F37E43"/>
                    <w:u w:val="single" w:color="F37E43"/>
                  </w:rPr>
                  <w:t>consumption.</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176720pt;width:111.3pt;height:15.45pt;mso-position-horizontal-relative:page;mso-position-vertical-relative:page;z-index:-469504"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176720pt;width:111.3pt;height:15.45pt;mso-position-horizontal-relative:page;mso-position-vertical-relative:page;z-index:-469360"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176720pt;width:111.3pt;height:15.45pt;mso-position-horizontal-relative:page;mso-position-vertical-relative:page;z-index:-469336"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1.279999pt;margin-top:35.176720pt;width:111.3pt;height:15.45pt;mso-position-horizontal-relative:page;mso-position-vertical-relative:page;z-index:-469000"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185.960007pt;margin-top:62.776718pt;width:401.95pt;height:15.45pt;mso-position-horizontal-relative:page;mso-position-vertical-relative:page;z-index:-468976" type="#_x0000_t202" filled="false" stroked="false">
          <v:textbox inset="0,0,0,0">
            <w:txbxContent>
              <w:p>
                <w:pPr>
                  <w:spacing w:before="12"/>
                  <w:ind w:left="20" w:right="0" w:firstLine="0"/>
                  <w:jc w:val="left"/>
                  <w:rPr>
                    <w:b/>
                    <w:sz w:val="24"/>
                  </w:rPr>
                </w:pPr>
                <w:r>
                  <w:rPr>
                    <w:b/>
                    <w:strike/>
                    <w:color w:val="2E97D3"/>
                    <w:sz w:val="24"/>
                  </w:rPr>
                  <w:t>PLANNED CAPITAL OUTLAY PROJECTS FOR THE NEXT FIVE YEARS</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1.279999pt;margin-top:35.176720pt;width:111.3pt;height:15.45pt;mso-position-horizontal-relative:page;mso-position-vertical-relative:page;z-index:-468928"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176720pt;width:111.3pt;height:15.45pt;mso-position-horizontal-relative:page;mso-position-vertical-relative:page;z-index:-468904"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35.176720pt;width:111.3pt;height:15.45pt;mso-position-horizontal-relative:page;mso-position-vertical-relative:page;z-index:-468784"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35.296719pt;width:111.3pt;height:15.45pt;mso-position-horizontal-relative:page;mso-position-vertical-relative:page;z-index:-468184"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35.296719pt;width:111.3pt;height:15.45pt;mso-position-horizontal-relative:page;mso-position-vertical-relative:page;z-index:-468160"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52.040001pt;margin-top:58.936718pt;width:396pt;height:29.1pt;mso-position-horizontal-relative:page;mso-position-vertical-relative:page;z-index:-468136" type="#_x0000_t202" filled="false" stroked="false">
          <v:textbox inset="0,0,0,0">
            <w:txbxContent>
              <w:p>
                <w:pPr>
                  <w:pStyle w:val="BodyText"/>
                  <w:spacing w:line="275" w:lineRule="exact" w:before="12"/>
                  <w:ind w:left="20"/>
                </w:pPr>
                <w:r>
                  <w:rPr>
                    <w:color w:val="2E97D3"/>
                    <w:w w:val="100"/>
                    <w:u w:val="single" w:color="2E97D3"/>
                  </w:rPr>
                  <w:t> </w:t>
                </w:r>
                <w:r>
                  <w:rPr>
                    <w:color w:val="2E97D3"/>
                    <w:u w:val="single" w:color="2E97D3"/>
                  </w:rPr>
                  <w:t> (Continued)</w:t>
                </w:r>
              </w:p>
              <w:p>
                <w:pPr>
                  <w:spacing w:line="275" w:lineRule="exact" w:before="0"/>
                  <w:ind w:left="125" w:right="0" w:firstLine="0"/>
                  <w:jc w:val="left"/>
                  <w:rPr>
                    <w:b/>
                    <w:sz w:val="24"/>
                  </w:rPr>
                </w:pPr>
                <w:r>
                  <w:rPr>
                    <w:b/>
                    <w:color w:val="2C6234"/>
                    <w:sz w:val="24"/>
                    <w:u w:val="thick" w:color="2C6234"/>
                  </w:rPr>
                  <w:t>AUGMENTATIONS, ADDITIONAL COSTS (WITHIN APPROPRIATION)</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35.296719pt;width:111.3pt;height:15.45pt;mso-position-horizontal-relative:page;mso-position-vertical-relative:page;z-index:-468112"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52.040001pt;margin-top:48.136719pt;width:64.8500pt;height:15.45pt;mso-position-horizontal-relative:page;mso-position-vertical-relative:page;z-index:-468088" type="#_x0000_t202" filled="false" stroked="false">
          <v:textbox inset="0,0,0,0">
            <w:txbxContent>
              <w:p>
                <w:pPr>
                  <w:pStyle w:val="BodyText"/>
                  <w:spacing w:before="12"/>
                  <w:ind w:left="20"/>
                </w:pPr>
                <w:r>
                  <w:rPr>
                    <w:strike/>
                    <w:color w:val="2E97D3"/>
                  </w:rPr>
                  <w:t>(Continued)</w:t>
                </w:r>
              </w:p>
            </w:txbxContent>
          </v:textbox>
          <w10:wrap type="none"/>
        </v:shape>
      </w:pict>
    </w:r>
    <w:r>
      <w:rPr/>
      <w:pict>
        <v:shape style="position:absolute;margin-left:57.32pt;margin-top:61.936718pt;width:390.75pt;height:15.45pt;mso-position-horizontal-relative:page;mso-position-vertical-relative:page;z-index:-468064" type="#_x0000_t202" filled="false" stroked="false">
          <v:textbox inset="0,0,0,0">
            <w:txbxContent>
              <w:p>
                <w:pPr>
                  <w:spacing w:before="12"/>
                  <w:ind w:left="20" w:right="0" w:firstLine="0"/>
                  <w:jc w:val="left"/>
                  <w:rPr>
                    <w:b/>
                    <w:sz w:val="24"/>
                  </w:rPr>
                </w:pPr>
                <w:r>
                  <w:rPr>
                    <w:b/>
                    <w:strike/>
                    <w:color w:val="2C6234"/>
                    <w:sz w:val="24"/>
                  </w:rPr>
                  <w:t>AUGMENTATIONS, ADDITIONAL COSTS (WITHIN APPROPRIATION)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7968" from="26.76pt,48.959999pt" to="26.76pt,62.759999pt" stroked="true" strokeweight=".72pt" strokecolor="#000000">
          <v:stroke dashstyle="solid"/>
          <w10:wrap type="none"/>
        </v:line>
      </w:pict>
    </w:r>
    <w:r>
      <w:rPr/>
      <w:pict>
        <v:shape style="position:absolute;margin-left:243.440002pt;margin-top:35.296719pt;width:111.3pt;height:15.45pt;mso-position-horizontal-relative:page;mso-position-vertical-relative:page;z-index:-467944"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35.296719pt;width:111.3pt;height:15.45pt;mso-position-horizontal-relative:page;mso-position-vertical-relative:page;z-index:-467920"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35.296719pt;width:111.3pt;height:15.45pt;mso-position-horizontal-relative:page;mso-position-vertical-relative:page;z-index:-467872"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35.296719pt;width:111.3pt;height:15.45pt;mso-position-horizontal-relative:page;mso-position-vertical-relative:page;z-index:-467848"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7752" from="29.4pt,72pt" to="29.4pt,97.92pt" stroked="true" strokeweight=".72pt" strokecolor="#000000">
          <v:stroke dashstyle="solid"/>
          <w10:wrap type="none"/>
        </v:line>
      </w:pict>
    </w:r>
    <w:r>
      <w:rPr/>
      <w:pict>
        <v:shape style="position:absolute;margin-left:243.440002pt;margin-top:35.296719pt;width:111.3pt;height:15.45pt;mso-position-horizontal-relative:page;mso-position-vertical-relative:page;z-index:-467728"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35.296719pt;width:111.3pt;height:15.45pt;mso-position-horizontal-relative:page;mso-position-vertical-relative:page;z-index:-467656"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7536" from="27.360001pt,32.759998pt" to="27.360001pt,49.919998pt" stroked="true" strokeweight=".72pt" strokecolor="#000000">
          <v:stroke dashstyle="solid"/>
          <w10:wrap type="none"/>
        </v:line>
      </w:pict>
    </w:r>
    <w:r>
      <w:rPr/>
      <w:pict>
        <v:shape style="position:absolute;margin-left:53pt;margin-top:32.896717pt;width:406.75pt;height:15.45pt;mso-position-horizontal-relative:page;mso-position-vertical-relative:page;z-index:-467512" type="#_x0000_t202" filled="false" stroked="false">
          <v:textbox inset="0,0,0,0">
            <w:txbxContent>
              <w:p>
                <w:pPr>
                  <w:tabs>
                    <w:tab w:pos="5928" w:val="left" w:leader="none"/>
                  </w:tabs>
                  <w:spacing w:before="12"/>
                  <w:ind w:left="20" w:right="0" w:firstLine="0"/>
                  <w:jc w:val="left"/>
                  <w:rPr>
                    <w:b/>
                    <w:sz w:val="24"/>
                  </w:rPr>
                </w:pPr>
                <w:r>
                  <w:rPr>
                    <w:b/>
                    <w:strike/>
                    <w:color w:val="2E97D3"/>
                    <w:w w:val="100"/>
                    <w:sz w:val="24"/>
                  </w:rPr>
                  <w:t> </w:t>
                </w:r>
                <w:r>
                  <w:rPr>
                    <w:b/>
                    <w:strike/>
                    <w:color w:val="2E97D3"/>
                    <w:sz w:val="24"/>
                  </w:rPr>
                  <w:tab/>
                </w:r>
                <w:r>
                  <w:rPr>
                    <w:b/>
                    <w:strike/>
                    <w:color w:val="2E97D3"/>
                    <w:spacing w:val="-3"/>
                    <w:sz w:val="24"/>
                    <w:u w:val="thick" w:color="2E97D3"/>
                  </w:rPr>
                  <w:t>SAM </w:t>
                </w:r>
                <w:r>
                  <w:rPr>
                    <w:b/>
                    <w:strike/>
                    <w:color w:val="2E97D3"/>
                    <w:sz w:val="24"/>
                    <w:u w:val="thick" w:color="2E97D3"/>
                  </w:rPr>
                  <w:t>-</w:t>
                </w:r>
                <w:r>
                  <w:rPr>
                    <w:b/>
                    <w:strike/>
                    <w:color w:val="2E97D3"/>
                    <w:spacing w:val="4"/>
                    <w:sz w:val="24"/>
                    <w:u w:val="thick" w:color="2E97D3"/>
                  </w:rPr>
                  <w:t> </w:t>
                </w:r>
                <w:r>
                  <w:rPr>
                    <w:b/>
                    <w:strike/>
                    <w:color w:val="2E97D3"/>
                    <w:sz w:val="24"/>
                    <w:u w:val="thick" w:color="2E97D3"/>
                  </w:rPr>
                  <w:t>BUDG</w:t>
                </w:r>
                <w:r>
                  <w:rPr>
                    <w:b/>
                    <w:strike w:val="0"/>
                    <w:color w:val="2E97D3"/>
                    <w:sz w:val="24"/>
                    <w:u w:val="thick" w:color="2E97D3"/>
                  </w:rPr>
                  <w:t>ETING</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7416" from="26.76pt,58.560001pt" to="26.76pt,72.240001pt" stroked="true" strokeweight=".72pt" strokecolor="#000000">
          <v:stroke dashstyle="solid"/>
          <w10:wrap type="none"/>
        </v:line>
      </w:pict>
    </w:r>
    <w:r>
      <w:rPr/>
      <w:pict>
        <v:shape style="position:absolute;margin-left:243.440002pt;margin-top:35.296719pt;width:111.3pt;height:15.45pt;mso-position-horizontal-relative:page;mso-position-vertical-relative:page;z-index:-467392"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35.296719pt;width:111.3pt;height:15.45pt;mso-position-horizontal-relative:page;mso-position-vertical-relative:page;z-index:-467344"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52.040001pt;margin-top:48.256718pt;width:64.8500pt;height:15.45pt;mso-position-horizontal-relative:page;mso-position-vertical-relative:page;z-index:-467320" type="#_x0000_t202" filled="false" stroked="false">
          <v:textbox inset="0,0,0,0">
            <w:txbxContent>
              <w:p>
                <w:pPr>
                  <w:pStyle w:val="BodyText"/>
                  <w:spacing w:before="12"/>
                  <w:ind w:left="20"/>
                </w:pPr>
                <w:r>
                  <w:rPr/>
                  <w:t>(Continued)</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35.296719pt;width:111.3pt;height:15.45pt;mso-position-horizontal-relative:page;mso-position-vertical-relative:page;z-index:-467296"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52.040001pt;margin-top:48.256718pt;width:64.8500pt;height:15.45pt;mso-position-horizontal-relative:page;mso-position-vertical-relative:page;z-index:-467272" type="#_x0000_t202" filled="false" stroked="false">
          <v:textbox inset="0,0,0,0">
            <w:txbxContent>
              <w:p>
                <w:pPr>
                  <w:pStyle w:val="BodyText"/>
                  <w:spacing w:before="12"/>
                  <w:ind w:left="20"/>
                </w:pPr>
                <w:r>
                  <w:rPr>
                    <w:strike/>
                    <w:color w:val="2C6234"/>
                  </w:rPr>
                  <w:t>(Continued)</w:t>
                </w:r>
              </w:p>
            </w:txbxContent>
          </v:textbox>
          <w10:wrap type="none"/>
        </v:shape>
      </w:pict>
    </w:r>
    <w:r>
      <w:rPr/>
      <w:pict>
        <v:shape style="position:absolute;margin-left:52.040001pt;margin-top:61.936718pt;width:275.25pt;height:15.45pt;mso-position-horizontal-relative:page;mso-position-vertical-relative:page;z-index:-467248" type="#_x0000_t202" filled="false" stroked="false">
          <v:textbox inset="0,0,0,0">
            <w:txbxContent>
              <w:p>
                <w:pPr>
                  <w:spacing w:before="12"/>
                  <w:ind w:left="20" w:right="0" w:firstLine="0"/>
                  <w:jc w:val="left"/>
                  <w:rPr>
                    <w:b/>
                    <w:sz w:val="24"/>
                  </w:rPr>
                </w:pPr>
                <w:r>
                  <w:rPr>
                    <w:b/>
                    <w:strike/>
                    <w:color w:val="2C6234"/>
                    <w:sz w:val="24"/>
                  </w:rPr>
                  <w:t>GLOSSARY AND INDEX FOR CAPITAL OUTLAY</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35.296719pt;width:111.3pt;height:15.45pt;mso-position-horizontal-relative:page;mso-position-vertical-relative:page;z-index:-467224"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52.040001pt;margin-top:48.256718pt;width:64.8500pt;height:15.45pt;mso-position-horizontal-relative:page;mso-position-vertical-relative:page;z-index:-467200" type="#_x0000_t202" filled="false" stroked="false">
          <v:textbox inset="0,0,0,0">
            <w:txbxContent>
              <w:p>
                <w:pPr>
                  <w:pStyle w:val="BodyText"/>
                  <w:spacing w:before="12"/>
                  <w:ind w:left="20"/>
                </w:pPr>
                <w:r>
                  <w:rPr>
                    <w:strike/>
                    <w:color w:val="2C6234"/>
                  </w:rPr>
                  <w:t>(Continued)</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35.296719pt;width:111.3pt;height:15.45pt;mso-position-horizontal-relative:page;mso-position-vertical-relative:page;z-index:-467176"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52.040001pt;margin-top:48.136719pt;width:64.8500pt;height:15.45pt;mso-position-horizontal-relative:page;mso-position-vertical-relative:page;z-index:-467152" type="#_x0000_t202" filled="false" stroked="false">
          <v:textbox inset="0,0,0,0">
            <w:txbxContent>
              <w:p>
                <w:pPr>
                  <w:pStyle w:val="BodyText"/>
                  <w:spacing w:before="12"/>
                  <w:ind w:left="20"/>
                </w:pPr>
                <w:r>
                  <w:rPr>
                    <w:strike/>
                    <w:color w:val="2C6234"/>
                  </w:rPr>
                  <w:t>(Continued)</w:t>
                </w:r>
              </w:p>
            </w:txbxContent>
          </v:textbox>
          <w10:wrap type="none"/>
        </v:shape>
      </w:pict>
    </w:r>
    <w:r>
      <w:rPr/>
      <w:pict>
        <v:shape style="position:absolute;margin-left:52.040001pt;margin-top:61.936718pt;width:275.25pt;height:15.45pt;mso-position-horizontal-relative:page;mso-position-vertical-relative:page;z-index:-467128" type="#_x0000_t202" filled="false" stroked="false">
          <v:textbox inset="0,0,0,0">
            <w:txbxContent>
              <w:p>
                <w:pPr>
                  <w:spacing w:before="12"/>
                  <w:ind w:left="20" w:right="0" w:firstLine="0"/>
                  <w:jc w:val="left"/>
                  <w:rPr>
                    <w:b/>
                    <w:sz w:val="24"/>
                  </w:rPr>
                </w:pPr>
                <w:r>
                  <w:rPr>
                    <w:b/>
                    <w:strike/>
                    <w:color w:val="2C6234"/>
                    <w:sz w:val="24"/>
                  </w:rPr>
                  <w:t>GLOSSARY AND INDEX FOR CAPITAL OUTLAY</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40001pt;margin-top:35.296719pt;width:485pt;height:28.25pt;mso-position-horizontal-relative:page;mso-position-vertical-relative:page;z-index:-467104" type="#_x0000_t202" filled="false" stroked="false">
          <v:textbox inset="0,0,0,0">
            <w:txbxContent>
              <w:p>
                <w:pPr>
                  <w:spacing w:line="266" w:lineRule="exact" w:before="12"/>
                  <w:ind w:left="181" w:right="0" w:firstLine="0"/>
                  <w:jc w:val="center"/>
                  <w:rPr>
                    <w:b/>
                    <w:sz w:val="24"/>
                  </w:rPr>
                </w:pPr>
                <w:r>
                  <w:rPr>
                    <w:b/>
                    <w:sz w:val="24"/>
                  </w:rPr>
                  <w:t>SAM - BUDGETING</w:t>
                </w:r>
              </w:p>
              <w:p>
                <w:pPr>
                  <w:pStyle w:val="BodyText"/>
                  <w:spacing w:line="266" w:lineRule="exact"/>
                  <w:jc w:val="center"/>
                </w:pPr>
                <w:r>
                  <w:rPr/>
                  <w:t>could be listed—on either the National Register of Historic Places maintained by the United</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35.296719pt;width:111.3pt;height:15.45pt;mso-position-horizontal-relative:page;mso-position-vertical-relative:page;z-index:-467080"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35.296719pt;width:111.3pt;height:15.45pt;mso-position-horizontal-relative:page;mso-position-vertical-relative:page;z-index:-467056"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52.040001pt;margin-top:48.256718pt;width:64.8500pt;height:15.45pt;mso-position-horizontal-relative:page;mso-position-vertical-relative:page;z-index:-467032" type="#_x0000_t202" filled="false" stroked="false">
          <v:textbox inset="0,0,0,0">
            <w:txbxContent>
              <w:p>
                <w:pPr>
                  <w:pStyle w:val="BodyText"/>
                  <w:spacing w:before="12"/>
                  <w:ind w:left="20"/>
                </w:pPr>
                <w:r>
                  <w:rPr>
                    <w:strike/>
                    <w:color w:val="2C6234"/>
                  </w:rPr>
                  <w:t>(Continued)</w:t>
                </w:r>
              </w:p>
            </w:txbxContent>
          </v:textbox>
          <w10:wrap type="none"/>
        </v:shape>
      </w:pict>
    </w:r>
    <w:r>
      <w:rPr/>
      <w:pict>
        <v:shape style="position:absolute;margin-left:52.040001pt;margin-top:61.936718pt;width:275.25pt;height:15.45pt;mso-position-horizontal-relative:page;mso-position-vertical-relative:page;z-index:-467008" type="#_x0000_t202" filled="false" stroked="false">
          <v:textbox inset="0,0,0,0">
            <w:txbxContent>
              <w:p>
                <w:pPr>
                  <w:spacing w:before="12"/>
                  <w:ind w:left="20" w:right="0" w:firstLine="0"/>
                  <w:jc w:val="left"/>
                  <w:rPr>
                    <w:b/>
                    <w:sz w:val="24"/>
                  </w:rPr>
                </w:pPr>
                <w:r>
                  <w:rPr>
                    <w:b/>
                    <w:strike/>
                    <w:color w:val="2C6234"/>
                    <w:sz w:val="24"/>
                  </w:rPr>
                  <w:t>GLOSSARY AND INDEX FOR CAPITAL OUTLAY</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440002pt;margin-top:35.296719pt;width:111.3pt;height:15.45pt;mso-position-horizontal-relative:page;mso-position-vertical-relative:page;z-index:-466960"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52.040001pt;margin-top:48.256718pt;width:64.8500pt;height:15.45pt;mso-position-horizontal-relative:page;mso-position-vertical-relative:page;z-index:-466936" type="#_x0000_t202" filled="false" stroked="false">
          <v:textbox inset="0,0,0,0">
            <w:txbxContent>
              <w:p>
                <w:pPr>
                  <w:pStyle w:val="BodyText"/>
                  <w:spacing w:before="12"/>
                  <w:ind w:left="20"/>
                </w:pPr>
                <w:r>
                  <w:rPr>
                    <w:strike/>
                    <w:color w:val="2C6234"/>
                  </w:rPr>
                  <w:t>(Continued)</w:t>
                </w:r>
              </w:p>
            </w:txbxContent>
          </v:textbox>
          <w10:wrap type="none"/>
        </v:shape>
      </w:pict>
    </w:r>
    <w:r>
      <w:rPr/>
      <w:pict>
        <v:shape style="position:absolute;margin-left:52.040001pt;margin-top:61.936718pt;width:275.25pt;height:15.45pt;mso-position-horizontal-relative:page;mso-position-vertical-relative:page;z-index:-466912" type="#_x0000_t202" filled="false" stroked="false">
          <v:textbox inset="0,0,0,0">
            <w:txbxContent>
              <w:p>
                <w:pPr>
                  <w:spacing w:before="12"/>
                  <w:ind w:left="20" w:right="0" w:firstLine="0"/>
                  <w:jc w:val="left"/>
                  <w:rPr>
                    <w:b/>
                    <w:sz w:val="24"/>
                  </w:rPr>
                </w:pPr>
                <w:r>
                  <w:rPr>
                    <w:b/>
                    <w:strike/>
                    <w:color w:val="2C6234"/>
                    <w:sz w:val="24"/>
                  </w:rPr>
                  <w:t>GLOSSARY AND INDEX FOR CAPITAL OUTLAY</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639999pt;margin-top:40.096718pt;width:111.3pt;height:15.45pt;mso-position-horizontal-relative:page;mso-position-vertical-relative:page;z-index:-466888"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57.32pt;margin-top:62.17672pt;width:275.25pt;height:29.25pt;mso-position-horizontal-relative:page;mso-position-vertical-relative:page;z-index:-466864" type="#_x0000_t202" filled="false" stroked="false">
          <v:textbox inset="0,0,0,0">
            <w:txbxContent>
              <w:p>
                <w:pPr>
                  <w:pStyle w:val="BodyText"/>
                  <w:spacing w:before="12"/>
                  <w:ind w:left="20"/>
                </w:pPr>
                <w:r>
                  <w:rPr>
                    <w:color w:val="2C6234"/>
                    <w:u w:val="thick" w:color="2C6234"/>
                  </w:rPr>
                  <w:t>(Continued)</w:t>
                </w:r>
              </w:p>
              <w:p>
                <w:pPr>
                  <w:spacing w:before="0"/>
                  <w:ind w:left="20" w:right="0" w:firstLine="0"/>
                  <w:jc w:val="left"/>
                  <w:rPr>
                    <w:b/>
                    <w:sz w:val="24"/>
                  </w:rPr>
                </w:pPr>
                <w:r>
                  <w:rPr>
                    <w:b/>
                    <w:color w:val="2C6234"/>
                    <w:sz w:val="24"/>
                    <w:u w:val="thick" w:color="2C6234"/>
                  </w:rPr>
                  <w:t>GLOSSARY AND INDEX FOR CAPITAL OUTLAY</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639999pt;margin-top:40.096718pt;width:111.3pt;height:15.45pt;mso-position-horizontal-relative:page;mso-position-vertical-relative:page;z-index:-466840"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639999pt;margin-top:40.096718pt;width:111.3pt;height:15.45pt;mso-position-horizontal-relative:page;mso-position-vertical-relative:page;z-index:-466792"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57.32pt;margin-top:71.17672pt;width:151.35pt;height:29.25pt;mso-position-horizontal-relative:page;mso-position-vertical-relative:page;z-index:-466768" type="#_x0000_t202" filled="false" stroked="false">
          <v:textbox inset="0,0,0,0">
            <w:txbxContent>
              <w:p>
                <w:pPr>
                  <w:spacing w:before="12"/>
                  <w:ind w:left="20" w:right="0" w:firstLine="0"/>
                  <w:jc w:val="left"/>
                  <w:rPr>
                    <w:b/>
                    <w:sz w:val="24"/>
                  </w:rPr>
                </w:pPr>
                <w:r>
                  <w:rPr>
                    <w:b/>
                    <w:sz w:val="24"/>
                  </w:rPr>
                  <w:t>LEGISLATIVE CALENDAR</w:t>
                </w:r>
              </w:p>
              <w:p>
                <w:pPr>
                  <w:pStyle w:val="BodyText"/>
                  <w:ind w:left="20"/>
                </w:pPr>
                <w:r>
                  <w:rPr/>
                  <w:t>(New 2/1998)</w:t>
                </w:r>
              </w:p>
            </w:txbxContent>
          </v:textbox>
          <w10:wrap type="none"/>
        </v:shape>
      </w:pict>
    </w:r>
    <w:r>
      <w:rPr/>
      <w:pict>
        <v:shape style="position:absolute;margin-left:512.23999pt;margin-top:71.17672pt;width:28.75pt;height:15.45pt;mso-position-horizontal-relative:page;mso-position-vertical-relative:page;z-index:-466744" type="#_x0000_t202" filled="false" stroked="false">
          <v:textbox inset="0,0,0,0">
            <w:txbxContent>
              <w:p>
                <w:pPr>
                  <w:spacing w:before="12"/>
                  <w:ind w:left="20" w:right="0" w:firstLine="0"/>
                  <w:jc w:val="left"/>
                  <w:rPr>
                    <w:b/>
                    <w:sz w:val="24"/>
                  </w:rPr>
                </w:pPr>
                <w:r>
                  <w:rPr>
                    <w:b/>
                    <w:sz w:val="24"/>
                  </w:rPr>
                  <w:t>6905</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639999pt;margin-top:40.096718pt;width:111.3pt;height:15.45pt;mso-position-horizontal-relative:page;mso-position-vertical-relative:page;z-index:-466720"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57.32pt;margin-top:71.17672pt;width:82.6pt;height:29.25pt;mso-position-horizontal-relative:page;mso-position-vertical-relative:page;z-index:-466696" type="#_x0000_t202" filled="false" stroked="false">
          <v:textbox inset="0,0,0,0">
            <w:txbxContent>
              <w:p>
                <w:pPr>
                  <w:spacing w:before="12"/>
                  <w:ind w:left="20" w:right="0" w:firstLine="0"/>
                  <w:jc w:val="left"/>
                  <w:rPr>
                    <w:b/>
                    <w:sz w:val="24"/>
                  </w:rPr>
                </w:pPr>
                <w:r>
                  <w:rPr>
                    <w:b/>
                    <w:sz w:val="24"/>
                  </w:rPr>
                  <w:t>LEGISLATION</w:t>
                </w:r>
              </w:p>
              <w:p>
                <w:pPr>
                  <w:pStyle w:val="BodyText"/>
                  <w:ind w:left="20"/>
                </w:pPr>
                <w:r>
                  <w:rPr/>
                  <w:t>(New 2/1998)</w:t>
                </w:r>
              </w:p>
            </w:txbxContent>
          </v:textbox>
          <w10:wrap type="none"/>
        </v:shape>
      </w:pict>
    </w:r>
    <w:r>
      <w:rPr/>
      <w:pict>
        <v:shape style="position:absolute;margin-left:512.23999pt;margin-top:71.17672pt;width:28.75pt;height:15.45pt;mso-position-horizontal-relative:page;mso-position-vertical-relative:page;z-index:-466672" type="#_x0000_t202" filled="false" stroked="false">
          <v:textbox inset="0,0,0,0">
            <w:txbxContent>
              <w:p>
                <w:pPr>
                  <w:spacing w:before="12"/>
                  <w:ind w:left="20" w:right="0" w:firstLine="0"/>
                  <w:jc w:val="left"/>
                  <w:rPr>
                    <w:b/>
                    <w:sz w:val="24"/>
                  </w:rPr>
                </w:pPr>
                <w:r>
                  <w:rPr>
                    <w:b/>
                    <w:sz w:val="24"/>
                  </w:rPr>
                  <w:t>6910</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639999pt;margin-top:40.096718pt;width:111.3pt;height:15.45pt;mso-position-horizontal-relative:page;mso-position-vertical-relative:page;z-index:-466648"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639999pt;margin-top:40.096718pt;width:111.3pt;height:15.45pt;mso-position-horizontal-relative:page;mso-position-vertical-relative:page;z-index:-466624"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639999pt;margin-top:40.096718pt;width:111.3pt;height:15.45pt;mso-position-horizontal-relative:page;mso-position-vertical-relative:page;z-index:-466600"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57.32pt;margin-top:71.17672pt;width:170.15pt;height:43.05pt;mso-position-horizontal-relative:page;mso-position-vertical-relative:page;z-index:-466576" type="#_x0000_t202" filled="false" stroked="false">
          <v:textbox inset="0,0,0,0">
            <w:txbxContent>
              <w:p>
                <w:pPr>
                  <w:pStyle w:val="BodyText"/>
                  <w:spacing w:before="12"/>
                  <w:ind w:left="20"/>
                </w:pPr>
                <w:r>
                  <w:rPr/>
                  <w:t>(Continued)</w:t>
                </w:r>
              </w:p>
              <w:p>
                <w:pPr>
                  <w:spacing w:before="0"/>
                  <w:ind w:left="20" w:right="0" w:firstLine="0"/>
                  <w:jc w:val="left"/>
                  <w:rPr>
                    <w:b/>
                    <w:sz w:val="24"/>
                  </w:rPr>
                </w:pPr>
                <w:r>
                  <w:rPr>
                    <w:b/>
                    <w:sz w:val="24"/>
                  </w:rPr>
                  <w:t>THE LEGISLATIVE PROCESS</w:t>
                </w:r>
              </w:p>
              <w:p>
                <w:pPr>
                  <w:pStyle w:val="BodyText"/>
                  <w:ind w:left="20"/>
                </w:pPr>
                <w:r>
                  <w:rPr/>
                  <w:t>(New 2/1998)</w:t>
                </w:r>
              </w:p>
            </w:txbxContent>
          </v:textbox>
          <w10:wrap type="none"/>
        </v:shape>
      </w:pict>
    </w:r>
    <w:r>
      <w:rPr/>
      <w:pict>
        <v:shape style="position:absolute;margin-left:462.200012pt;margin-top:84.976715pt;width:78.9pt;height:15.45pt;mso-position-horizontal-relative:page;mso-position-vertical-relative:page;z-index:-466552" type="#_x0000_t202" filled="false" stroked="false">
          <v:textbox inset="0,0,0,0">
            <w:txbxContent>
              <w:p>
                <w:pPr>
                  <w:spacing w:before="12"/>
                  <w:ind w:left="20" w:right="0" w:firstLine="0"/>
                  <w:jc w:val="left"/>
                  <w:rPr>
                    <w:sz w:val="24"/>
                  </w:rPr>
                </w:pPr>
                <w:r>
                  <w:rPr>
                    <w:b/>
                    <w:sz w:val="24"/>
                  </w:rPr>
                  <w:t>6945 </w:t>
                </w:r>
                <w:r>
                  <w:rPr>
                    <w:sz w:val="24"/>
                  </w:rPr>
                  <w:t>(Cont. </w:t>
                </w:r>
                <w:r>
                  <w:rPr/>
                  <w:fldChar w:fldCharType="begin"/>
                </w:r>
                <w:r>
                  <w:rPr>
                    <w:sz w:val="24"/>
                  </w:rPr>
                  <w:instrText> PAGE </w:instrText>
                </w:r>
                <w:r>
                  <w:rPr/>
                  <w:fldChar w:fldCharType="separate"/>
                </w:r>
                <w:r>
                  <w:rPr/>
                  <w:t>1</w:t>
                </w:r>
                <w:r>
                  <w:rPr/>
                  <w:fldChar w:fldCharType="end"/>
                </w:r>
                <w:r>
                  <w:rPr>
                    <w:sz w:val="24"/>
                  </w:rPr>
                  <w:t>)</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639999pt;margin-top:40.096718pt;width:111.3pt;height:15.45pt;mso-position-horizontal-relative:page;mso-position-vertical-relative:page;z-index:-466528"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320007pt;margin-top:35.056717pt;width:143.1pt;height:15.45pt;mso-position-horizontal-relative:page;mso-position-vertical-relative:page;z-index:-466504" type="#_x0000_t202" filled="false" stroked="false">
          <v:textbox inset="0,0,0,0">
            <w:txbxContent>
              <w:p>
                <w:pPr>
                  <w:spacing w:before="12"/>
                  <w:ind w:left="20" w:right="0" w:firstLine="0"/>
                  <w:jc w:val="left"/>
                  <w:rPr>
                    <w:b/>
                    <w:sz w:val="24"/>
                  </w:rPr>
                </w:pPr>
                <w:r>
                  <w:rPr>
                    <w:b/>
                    <w:sz w:val="24"/>
                  </w:rPr>
                  <w:t>SAM - DISBURSEMENTS</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6432" from="33.360001pt,112.919998pt" to="33.360001pt,126.239998pt" stroked="true" strokeweight=".72pt" strokecolor="#000000">
          <v:stroke dashstyle="solid"/>
          <w10:wrap type="none"/>
        </v:line>
      </w:pict>
    </w:r>
    <w:r>
      <w:rPr/>
      <w:pict>
        <v:shape style="position:absolute;margin-left:234.320007pt;margin-top:35.056717pt;width:143.1pt;height:15.45pt;mso-position-horizontal-relative:page;mso-position-vertical-relative:page;z-index:-466408" type="#_x0000_t202" filled="false" stroked="false">
          <v:textbox inset="0,0,0,0">
            <w:txbxContent>
              <w:p>
                <w:pPr>
                  <w:spacing w:before="12"/>
                  <w:ind w:left="20" w:right="0" w:firstLine="0"/>
                  <w:jc w:val="left"/>
                  <w:rPr>
                    <w:b/>
                    <w:sz w:val="24"/>
                  </w:rPr>
                </w:pPr>
                <w:r>
                  <w:rPr>
                    <w:b/>
                    <w:sz w:val="24"/>
                  </w:rPr>
                  <w:t>SAM - DISBURSEMENTS</w:t>
                </w:r>
              </w:p>
            </w:txbxContent>
          </v:textbox>
          <w10:wrap type="none"/>
        </v:shape>
      </w:pict>
    </w:r>
    <w:r>
      <w:rPr/>
      <w:pict>
        <v:shape style="position:absolute;margin-left:71pt;margin-top:70.696716pt;width:377.05pt;height:29.25pt;mso-position-horizontal-relative:page;mso-position-vertical-relative:page;z-index:-466384" type="#_x0000_t202" filled="false" stroked="false">
          <v:textbox inset="0,0,0,0">
            <w:txbxContent>
              <w:p>
                <w:pPr>
                  <w:pStyle w:val="BodyText"/>
                  <w:spacing w:before="12"/>
                  <w:ind w:left="20"/>
                </w:pPr>
                <w:r>
                  <w:rPr/>
                  <w:t>(Continued)</w:t>
                </w:r>
              </w:p>
              <w:p>
                <w:pPr>
                  <w:spacing w:before="0"/>
                  <w:ind w:left="20" w:right="0" w:firstLine="0"/>
                  <w:jc w:val="left"/>
                  <w:rPr>
                    <w:b/>
                    <w:sz w:val="24"/>
                  </w:rPr>
                </w:pPr>
                <w:r>
                  <w:rPr>
                    <w:b/>
                    <w:sz w:val="24"/>
                  </w:rPr>
                  <w:t>REPORTABLE</w:t>
                </w:r>
                <w:r>
                  <w:rPr>
                    <w:b/>
                    <w:spacing w:val="-14"/>
                    <w:sz w:val="24"/>
                  </w:rPr>
                  <w:t> </w:t>
                </w:r>
                <w:r>
                  <w:rPr>
                    <w:b/>
                    <w:sz w:val="24"/>
                  </w:rPr>
                  <w:t>PAYMENT</w:t>
                </w:r>
                <w:r>
                  <w:rPr>
                    <w:b/>
                    <w:spacing w:val="-17"/>
                    <w:sz w:val="24"/>
                  </w:rPr>
                  <w:t> </w:t>
                </w:r>
                <w:r>
                  <w:rPr>
                    <w:b/>
                    <w:sz w:val="24"/>
                  </w:rPr>
                  <w:t>IDENTIFICATION</w:t>
                </w:r>
                <w:r>
                  <w:rPr>
                    <w:b/>
                    <w:spacing w:val="-13"/>
                    <w:sz w:val="24"/>
                  </w:rPr>
                  <w:t> </w:t>
                </w:r>
                <w:r>
                  <w:rPr>
                    <w:b/>
                    <w:spacing w:val="-3"/>
                    <w:sz w:val="24"/>
                  </w:rPr>
                  <w:t>AND</w:t>
                </w:r>
                <w:r>
                  <w:rPr>
                    <w:b/>
                    <w:spacing w:val="-17"/>
                    <w:sz w:val="24"/>
                  </w:rPr>
                  <w:t> </w:t>
                </w:r>
                <w:r>
                  <w:rPr>
                    <w:b/>
                    <w:sz w:val="24"/>
                  </w:rPr>
                  <w:t>CLASSIFICATION</w:t>
                </w:r>
              </w:p>
            </w:txbxContent>
          </v:textbox>
          <w10:wrap type="none"/>
        </v:shape>
      </w:pict>
    </w:r>
    <w:r>
      <w:rPr/>
      <w:pict>
        <v:shape style="position:absolute;margin-left:71pt;margin-top:98.296722pt;width:107.95pt;height:28.9pt;mso-position-horizontal-relative:page;mso-position-vertical-relative:page;z-index:-466360" type="#_x0000_t202" filled="false" stroked="false">
          <v:textbox inset="0,0,0,0">
            <w:txbxContent>
              <w:p>
                <w:pPr>
                  <w:spacing w:before="12"/>
                  <w:ind w:left="20" w:right="0" w:firstLine="0"/>
                  <w:jc w:val="left"/>
                  <w:rPr>
                    <w:b/>
                    <w:sz w:val="24"/>
                  </w:rPr>
                </w:pPr>
                <w:r>
                  <w:rPr>
                    <w:b/>
                    <w:sz w:val="24"/>
                  </w:rPr>
                  <w:t>REQUIREMENTS</w:t>
                </w:r>
              </w:p>
              <w:p>
                <w:pPr>
                  <w:spacing w:before="4"/>
                  <w:ind w:left="20" w:right="0" w:firstLine="0"/>
                  <w:jc w:val="left"/>
                  <w:rPr>
                    <w:sz w:val="23"/>
                  </w:rPr>
                </w:pPr>
                <w:r>
                  <w:rPr>
                    <w:sz w:val="23"/>
                  </w:rPr>
                  <w:t>(Revised </w:t>
                </w:r>
                <w:r>
                  <w:rPr>
                    <w:strike/>
                    <w:color w:val="B5082E"/>
                    <w:sz w:val="23"/>
                  </w:rPr>
                  <w:t>04</w:t>
                </w:r>
                <w:r>
                  <w:rPr>
                    <w:strike w:val="0"/>
                    <w:color w:val="B5082E"/>
                    <w:sz w:val="23"/>
                    <w:u w:val="single" w:color="B5082E"/>
                  </w:rPr>
                  <w:t>12</w:t>
                </w:r>
                <w:r>
                  <w:rPr>
                    <w:strike w:val="0"/>
                    <w:sz w:val="23"/>
                  </w:rPr>
                  <w:t>/2017)</w:t>
                </w:r>
              </w:p>
            </w:txbxContent>
          </v:textbox>
          <w10:wrap type="none"/>
        </v:shape>
      </w:pict>
    </w:r>
    <w:r>
      <w:rPr/>
      <w:pict>
        <v:shape style="position:absolute;margin-left:439.040009pt;margin-top:98.296722pt;width:101.45pt;height:15.45pt;mso-position-horizontal-relative:page;mso-position-vertical-relative:page;z-index:-466336" type="#_x0000_t202" filled="false" stroked="false">
          <v:textbox inset="0,0,0,0">
            <w:txbxContent>
              <w:p>
                <w:pPr>
                  <w:spacing w:before="12"/>
                  <w:ind w:left="20" w:right="0" w:firstLine="0"/>
                  <w:jc w:val="left"/>
                  <w:rPr>
                    <w:sz w:val="24"/>
                  </w:rPr>
                </w:pPr>
                <w:r>
                  <w:rPr>
                    <w:b/>
                    <w:sz w:val="24"/>
                  </w:rPr>
                  <w:t>8422.190 </w:t>
                </w:r>
                <w:r>
                  <w:rPr>
                    <w:sz w:val="24"/>
                  </w:rPr>
                  <w:t>(Cont. </w:t>
                </w:r>
                <w:r>
                  <w:rPr/>
                  <w:fldChar w:fldCharType="begin"/>
                </w:r>
                <w:r>
                  <w:rPr>
                    <w:sz w:val="24"/>
                  </w:rPr>
                  <w:instrText> PAGE </w:instrText>
                </w:r>
                <w:r>
                  <w:rPr/>
                  <w:fldChar w:fldCharType="separate"/>
                </w:r>
                <w:r>
                  <w:rPr/>
                  <w:t>1</w:t>
                </w:r>
                <w:r>
                  <w:rPr/>
                  <w:fldChar w:fldCharType="end"/>
                </w:r>
                <w:r>
                  <w:rPr>
                    <w:sz w:val="24"/>
                  </w:rPr>
                  <w:t>)</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320007pt;margin-top:35.056717pt;width:143.1pt;height:15.45pt;mso-position-horizontal-relative:page;mso-position-vertical-relative:page;z-index:-466312" type="#_x0000_t202" filled="false" stroked="false">
          <v:textbox inset="0,0,0,0">
            <w:txbxContent>
              <w:p>
                <w:pPr>
                  <w:spacing w:before="12"/>
                  <w:ind w:left="20" w:right="0" w:firstLine="0"/>
                  <w:jc w:val="left"/>
                  <w:rPr>
                    <w:b/>
                    <w:sz w:val="24"/>
                  </w:rPr>
                </w:pPr>
                <w:r>
                  <w:rPr>
                    <w:b/>
                    <w:sz w:val="24"/>
                  </w:rPr>
                  <w:t>SAM - DISBURSEMENTS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48.136719pt;width:64.8500pt;height:15.45pt;mso-position-horizontal-relative:page;mso-position-vertical-relative:page;z-index:-471376" type="#_x0000_t202" filled="false" stroked="false">
          <v:textbox inset="0,0,0,0">
            <w:txbxContent>
              <w:p>
                <w:pPr>
                  <w:pStyle w:val="BodyText"/>
                  <w:spacing w:before="12"/>
                  <w:ind w:left="20"/>
                </w:pPr>
                <w:r>
                  <w:rPr/>
                  <w:t>(Continued)</w:t>
                </w:r>
              </w:p>
            </w:txbxContent>
          </v:textbox>
          <w10:wrap type="none"/>
        </v:shape>
      </w:pict>
    </w:r>
    <w:r>
      <w:rPr/>
      <w:pict>
        <v:shape style="position:absolute;margin-left:366.920013pt;margin-top:67.936722pt;width:180.2pt;height:16.650pt;mso-position-horizontal-relative:page;mso-position-vertical-relative:page;z-index:-471352" type="#_x0000_t202" filled="false" stroked="false">
          <v:textbox inset="0,0,0,0">
            <w:txbxContent>
              <w:p>
                <w:pPr>
                  <w:spacing w:before="12"/>
                  <w:ind w:left="20" w:right="0" w:firstLine="0"/>
                  <w:jc w:val="left"/>
                  <w:rPr>
                    <w:sz w:val="24"/>
                  </w:rPr>
                </w:pPr>
                <w:r>
                  <w:rPr>
                    <w:b/>
                    <w:sz w:val="24"/>
                  </w:rPr>
                  <w:t>CHAPTER 6000 INDEX </w:t>
                </w:r>
                <w:r>
                  <w:rPr>
                    <w:sz w:val="24"/>
                  </w:rPr>
                  <w:t>(Cont. </w:t>
                </w:r>
                <w:r>
                  <w:rPr/>
                  <w:fldChar w:fldCharType="begin"/>
                </w:r>
                <w:r>
                  <w:rPr>
                    <w:sz w:val="24"/>
                  </w:rPr>
                  <w:instrText> PAGE </w:instrText>
                </w:r>
                <w:r>
                  <w:rPr/>
                  <w:fldChar w:fldCharType="separate"/>
                </w:r>
                <w:r>
                  <w:rPr/>
                  <w:t>1</w:t>
                </w:r>
                <w:r>
                  <w:rPr/>
                  <w:fldChar w:fldCharType="end"/>
                </w:r>
                <w:r>
                  <w:rPr>
                    <w:sz w:val="24"/>
                  </w:rPr>
                  <w:t>)</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176720pt;width:111.3pt;height:15.45pt;mso-position-horizontal-relative:page;mso-position-vertical-relative:page;z-index:-471208"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176720pt;width:111.3pt;height:15.45pt;mso-position-horizontal-relative:page;mso-position-vertical-relative:page;z-index:-471136"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176720pt;width:111.3pt;height:15.45pt;mso-position-horizontal-relative:page;mso-position-vertical-relative:page;z-index:-471112"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2">
    <w:multiLevelType w:val="hybridMultilevel"/>
    <w:lvl w:ilvl="0">
      <w:start w:val="1"/>
      <w:numFmt w:val="decimal"/>
      <w:lvlText w:val="(%1)"/>
      <w:lvlJc w:val="left"/>
      <w:pPr>
        <w:ind w:left="2320" w:hanging="361"/>
        <w:jc w:val="left"/>
      </w:pPr>
      <w:rPr>
        <w:rFonts w:hint="default" w:ascii="Arial" w:hAnsi="Arial" w:eastAsia="Arial" w:cs="Arial"/>
        <w:spacing w:val="-1"/>
        <w:w w:val="100"/>
        <w:sz w:val="23"/>
        <w:szCs w:val="23"/>
      </w:rPr>
    </w:lvl>
    <w:lvl w:ilvl="1">
      <w:start w:val="0"/>
      <w:numFmt w:val="bullet"/>
      <w:lvlText w:val="•"/>
      <w:lvlJc w:val="left"/>
      <w:pPr>
        <w:ind w:left="3122" w:hanging="361"/>
      </w:pPr>
      <w:rPr>
        <w:rFonts w:hint="default"/>
      </w:rPr>
    </w:lvl>
    <w:lvl w:ilvl="2">
      <w:start w:val="0"/>
      <w:numFmt w:val="bullet"/>
      <w:lvlText w:val="•"/>
      <w:lvlJc w:val="left"/>
      <w:pPr>
        <w:ind w:left="3924" w:hanging="361"/>
      </w:pPr>
      <w:rPr>
        <w:rFonts w:hint="default"/>
      </w:rPr>
    </w:lvl>
    <w:lvl w:ilvl="3">
      <w:start w:val="0"/>
      <w:numFmt w:val="bullet"/>
      <w:lvlText w:val="•"/>
      <w:lvlJc w:val="left"/>
      <w:pPr>
        <w:ind w:left="4726" w:hanging="361"/>
      </w:pPr>
      <w:rPr>
        <w:rFonts w:hint="default"/>
      </w:rPr>
    </w:lvl>
    <w:lvl w:ilvl="4">
      <w:start w:val="0"/>
      <w:numFmt w:val="bullet"/>
      <w:lvlText w:val="•"/>
      <w:lvlJc w:val="left"/>
      <w:pPr>
        <w:ind w:left="5528" w:hanging="361"/>
      </w:pPr>
      <w:rPr>
        <w:rFonts w:hint="default"/>
      </w:rPr>
    </w:lvl>
    <w:lvl w:ilvl="5">
      <w:start w:val="0"/>
      <w:numFmt w:val="bullet"/>
      <w:lvlText w:val="•"/>
      <w:lvlJc w:val="left"/>
      <w:pPr>
        <w:ind w:left="6330" w:hanging="361"/>
      </w:pPr>
      <w:rPr>
        <w:rFonts w:hint="default"/>
      </w:rPr>
    </w:lvl>
    <w:lvl w:ilvl="6">
      <w:start w:val="0"/>
      <w:numFmt w:val="bullet"/>
      <w:lvlText w:val="•"/>
      <w:lvlJc w:val="left"/>
      <w:pPr>
        <w:ind w:left="7132" w:hanging="361"/>
      </w:pPr>
      <w:rPr>
        <w:rFonts w:hint="default"/>
      </w:rPr>
    </w:lvl>
    <w:lvl w:ilvl="7">
      <w:start w:val="0"/>
      <w:numFmt w:val="bullet"/>
      <w:lvlText w:val="•"/>
      <w:lvlJc w:val="left"/>
      <w:pPr>
        <w:ind w:left="7934" w:hanging="361"/>
      </w:pPr>
      <w:rPr>
        <w:rFonts w:hint="default"/>
      </w:rPr>
    </w:lvl>
    <w:lvl w:ilvl="8">
      <w:start w:val="0"/>
      <w:numFmt w:val="bullet"/>
      <w:lvlText w:val="•"/>
      <w:lvlJc w:val="left"/>
      <w:pPr>
        <w:ind w:left="8736" w:hanging="361"/>
      </w:pPr>
      <w:rPr>
        <w:rFonts w:hint="default"/>
      </w:rPr>
    </w:lvl>
  </w:abstractNum>
  <w:abstractNum w:abstractNumId="141">
    <w:multiLevelType w:val="hybridMultilevel"/>
    <w:lvl w:ilvl="0">
      <w:start w:val="0"/>
      <w:numFmt w:val="bullet"/>
      <w:lvlText w:val=""/>
      <w:lvlJc w:val="left"/>
      <w:pPr>
        <w:ind w:left="1599" w:hanging="360"/>
      </w:pPr>
      <w:rPr>
        <w:rFonts w:hint="default"/>
        <w:w w:val="100"/>
      </w:rPr>
    </w:lvl>
    <w:lvl w:ilvl="1">
      <w:start w:val="0"/>
      <w:numFmt w:val="bullet"/>
      <w:lvlText w:val="•"/>
      <w:lvlJc w:val="left"/>
      <w:pPr>
        <w:ind w:left="2474" w:hanging="360"/>
      </w:pPr>
      <w:rPr>
        <w:rFonts w:hint="default"/>
      </w:rPr>
    </w:lvl>
    <w:lvl w:ilvl="2">
      <w:start w:val="0"/>
      <w:numFmt w:val="bullet"/>
      <w:lvlText w:val="•"/>
      <w:lvlJc w:val="left"/>
      <w:pPr>
        <w:ind w:left="3348" w:hanging="360"/>
      </w:pPr>
      <w:rPr>
        <w:rFonts w:hint="default"/>
      </w:rPr>
    </w:lvl>
    <w:lvl w:ilvl="3">
      <w:start w:val="0"/>
      <w:numFmt w:val="bullet"/>
      <w:lvlText w:val="•"/>
      <w:lvlJc w:val="left"/>
      <w:pPr>
        <w:ind w:left="4222" w:hanging="360"/>
      </w:pPr>
      <w:rPr>
        <w:rFonts w:hint="default"/>
      </w:rPr>
    </w:lvl>
    <w:lvl w:ilvl="4">
      <w:start w:val="0"/>
      <w:numFmt w:val="bullet"/>
      <w:lvlText w:val="•"/>
      <w:lvlJc w:val="left"/>
      <w:pPr>
        <w:ind w:left="5096" w:hanging="360"/>
      </w:pPr>
      <w:rPr>
        <w:rFonts w:hint="default"/>
      </w:rPr>
    </w:lvl>
    <w:lvl w:ilvl="5">
      <w:start w:val="0"/>
      <w:numFmt w:val="bullet"/>
      <w:lvlText w:val="•"/>
      <w:lvlJc w:val="left"/>
      <w:pPr>
        <w:ind w:left="5970" w:hanging="360"/>
      </w:pPr>
      <w:rPr>
        <w:rFonts w:hint="default"/>
      </w:rPr>
    </w:lvl>
    <w:lvl w:ilvl="6">
      <w:start w:val="0"/>
      <w:numFmt w:val="bullet"/>
      <w:lvlText w:val="•"/>
      <w:lvlJc w:val="left"/>
      <w:pPr>
        <w:ind w:left="6844" w:hanging="360"/>
      </w:pPr>
      <w:rPr>
        <w:rFonts w:hint="default"/>
      </w:rPr>
    </w:lvl>
    <w:lvl w:ilvl="7">
      <w:start w:val="0"/>
      <w:numFmt w:val="bullet"/>
      <w:lvlText w:val="•"/>
      <w:lvlJc w:val="left"/>
      <w:pPr>
        <w:ind w:left="7718" w:hanging="360"/>
      </w:pPr>
      <w:rPr>
        <w:rFonts w:hint="default"/>
      </w:rPr>
    </w:lvl>
    <w:lvl w:ilvl="8">
      <w:start w:val="0"/>
      <w:numFmt w:val="bullet"/>
      <w:lvlText w:val="•"/>
      <w:lvlJc w:val="left"/>
      <w:pPr>
        <w:ind w:left="8592" w:hanging="360"/>
      </w:pPr>
      <w:rPr>
        <w:rFonts w:hint="default"/>
      </w:rPr>
    </w:lvl>
  </w:abstractNum>
  <w:abstractNum w:abstractNumId="140">
    <w:multiLevelType w:val="hybridMultilevel"/>
    <w:lvl w:ilvl="0">
      <w:start w:val="1"/>
      <w:numFmt w:val="decimal"/>
      <w:lvlText w:val="%1"/>
      <w:lvlJc w:val="left"/>
      <w:pPr>
        <w:ind w:left="646" w:hanging="221"/>
        <w:jc w:val="left"/>
      </w:pPr>
      <w:rPr>
        <w:rFonts w:hint="default" w:ascii="Arial" w:hAnsi="Arial" w:eastAsia="Arial" w:cs="Arial"/>
        <w:i/>
        <w:w w:val="99"/>
        <w:position w:val="6"/>
        <w:sz w:val="20"/>
        <w:szCs w:val="20"/>
      </w:rPr>
    </w:lvl>
    <w:lvl w:ilvl="1">
      <w:start w:val="0"/>
      <w:numFmt w:val="bullet"/>
      <w:lvlText w:val="•"/>
      <w:lvlJc w:val="left"/>
      <w:pPr>
        <w:ind w:left="1562" w:hanging="221"/>
      </w:pPr>
      <w:rPr>
        <w:rFonts w:hint="default"/>
      </w:rPr>
    </w:lvl>
    <w:lvl w:ilvl="2">
      <w:start w:val="0"/>
      <w:numFmt w:val="bullet"/>
      <w:lvlText w:val="•"/>
      <w:lvlJc w:val="left"/>
      <w:pPr>
        <w:ind w:left="2484" w:hanging="221"/>
      </w:pPr>
      <w:rPr>
        <w:rFonts w:hint="default"/>
      </w:rPr>
    </w:lvl>
    <w:lvl w:ilvl="3">
      <w:start w:val="0"/>
      <w:numFmt w:val="bullet"/>
      <w:lvlText w:val="•"/>
      <w:lvlJc w:val="left"/>
      <w:pPr>
        <w:ind w:left="3406" w:hanging="221"/>
      </w:pPr>
      <w:rPr>
        <w:rFonts w:hint="default"/>
      </w:rPr>
    </w:lvl>
    <w:lvl w:ilvl="4">
      <w:start w:val="0"/>
      <w:numFmt w:val="bullet"/>
      <w:lvlText w:val="•"/>
      <w:lvlJc w:val="left"/>
      <w:pPr>
        <w:ind w:left="4328" w:hanging="221"/>
      </w:pPr>
      <w:rPr>
        <w:rFonts w:hint="default"/>
      </w:rPr>
    </w:lvl>
    <w:lvl w:ilvl="5">
      <w:start w:val="0"/>
      <w:numFmt w:val="bullet"/>
      <w:lvlText w:val="•"/>
      <w:lvlJc w:val="left"/>
      <w:pPr>
        <w:ind w:left="5250" w:hanging="221"/>
      </w:pPr>
      <w:rPr>
        <w:rFonts w:hint="default"/>
      </w:rPr>
    </w:lvl>
    <w:lvl w:ilvl="6">
      <w:start w:val="0"/>
      <w:numFmt w:val="bullet"/>
      <w:lvlText w:val="•"/>
      <w:lvlJc w:val="left"/>
      <w:pPr>
        <w:ind w:left="6172" w:hanging="221"/>
      </w:pPr>
      <w:rPr>
        <w:rFonts w:hint="default"/>
      </w:rPr>
    </w:lvl>
    <w:lvl w:ilvl="7">
      <w:start w:val="0"/>
      <w:numFmt w:val="bullet"/>
      <w:lvlText w:val="•"/>
      <w:lvlJc w:val="left"/>
      <w:pPr>
        <w:ind w:left="7094" w:hanging="221"/>
      </w:pPr>
      <w:rPr>
        <w:rFonts w:hint="default"/>
      </w:rPr>
    </w:lvl>
    <w:lvl w:ilvl="8">
      <w:start w:val="0"/>
      <w:numFmt w:val="bullet"/>
      <w:lvlText w:val="•"/>
      <w:lvlJc w:val="left"/>
      <w:pPr>
        <w:ind w:left="8016" w:hanging="221"/>
      </w:pPr>
      <w:rPr>
        <w:rFonts w:hint="default"/>
      </w:rPr>
    </w:lvl>
  </w:abstractNum>
  <w:abstractNum w:abstractNumId="139">
    <w:multiLevelType w:val="hybridMultilevel"/>
    <w:lvl w:ilvl="0">
      <w:start w:val="1"/>
      <w:numFmt w:val="upperRoman"/>
      <w:lvlText w:val="%1."/>
      <w:lvlJc w:val="left"/>
      <w:pPr>
        <w:ind w:left="466" w:hanging="360"/>
        <w:jc w:val="left"/>
      </w:pPr>
      <w:rPr>
        <w:rFonts w:hint="default" w:ascii="Arial" w:hAnsi="Arial" w:eastAsia="Arial" w:cs="Arial"/>
        <w:w w:val="100"/>
        <w:sz w:val="24"/>
        <w:szCs w:val="24"/>
      </w:rPr>
    </w:lvl>
    <w:lvl w:ilvl="1">
      <w:start w:val="1"/>
      <w:numFmt w:val="upperLetter"/>
      <w:lvlText w:val="%2."/>
      <w:lvlJc w:val="left"/>
      <w:pPr>
        <w:ind w:left="826" w:hanging="360"/>
        <w:jc w:val="left"/>
      </w:pPr>
      <w:rPr>
        <w:rFonts w:hint="default" w:ascii="Arial" w:hAnsi="Arial" w:eastAsia="Arial" w:cs="Arial"/>
        <w:w w:val="100"/>
        <w:sz w:val="24"/>
        <w:szCs w:val="24"/>
      </w:rPr>
    </w:lvl>
    <w:lvl w:ilvl="2">
      <w:start w:val="1"/>
      <w:numFmt w:val="decimal"/>
      <w:lvlText w:val="%3."/>
      <w:lvlJc w:val="left"/>
      <w:pPr>
        <w:ind w:left="1186" w:hanging="360"/>
        <w:jc w:val="left"/>
      </w:pPr>
      <w:rPr>
        <w:rFonts w:hint="default" w:ascii="Arial" w:hAnsi="Arial" w:eastAsia="Arial" w:cs="Arial"/>
        <w:spacing w:val="-3"/>
        <w:w w:val="99"/>
        <w:sz w:val="24"/>
        <w:szCs w:val="24"/>
      </w:rPr>
    </w:lvl>
    <w:lvl w:ilvl="3">
      <w:start w:val="1"/>
      <w:numFmt w:val="lowerLetter"/>
      <w:lvlText w:val="%4."/>
      <w:lvlJc w:val="left"/>
      <w:pPr>
        <w:ind w:left="2319" w:hanging="361"/>
        <w:jc w:val="left"/>
      </w:pPr>
      <w:rPr>
        <w:rFonts w:hint="default"/>
        <w:spacing w:val="-1"/>
        <w:w w:val="100"/>
      </w:rPr>
    </w:lvl>
    <w:lvl w:ilvl="4">
      <w:start w:val="1"/>
      <w:numFmt w:val="lowerLetter"/>
      <w:lvlText w:val="%5."/>
      <w:lvlJc w:val="left"/>
      <w:pPr>
        <w:ind w:left="2679" w:hanging="361"/>
        <w:jc w:val="left"/>
      </w:pPr>
      <w:rPr>
        <w:rFonts w:hint="default" w:ascii="Arial" w:hAnsi="Arial" w:eastAsia="Arial" w:cs="Arial"/>
        <w:spacing w:val="-1"/>
        <w:w w:val="100"/>
        <w:sz w:val="23"/>
        <w:szCs w:val="23"/>
      </w:rPr>
    </w:lvl>
    <w:lvl w:ilvl="5">
      <w:start w:val="0"/>
      <w:numFmt w:val="bullet"/>
      <w:lvlText w:val="•"/>
      <w:lvlJc w:val="left"/>
      <w:pPr>
        <w:ind w:left="1540" w:hanging="361"/>
      </w:pPr>
      <w:rPr>
        <w:rFonts w:hint="default"/>
      </w:rPr>
    </w:lvl>
    <w:lvl w:ilvl="6">
      <w:start w:val="0"/>
      <w:numFmt w:val="bullet"/>
      <w:lvlText w:val="•"/>
      <w:lvlJc w:val="left"/>
      <w:pPr>
        <w:ind w:left="1960" w:hanging="361"/>
      </w:pPr>
      <w:rPr>
        <w:rFonts w:hint="default"/>
      </w:rPr>
    </w:lvl>
    <w:lvl w:ilvl="7">
      <w:start w:val="0"/>
      <w:numFmt w:val="bullet"/>
      <w:lvlText w:val="•"/>
      <w:lvlJc w:val="left"/>
      <w:pPr>
        <w:ind w:left="2320" w:hanging="361"/>
      </w:pPr>
      <w:rPr>
        <w:rFonts w:hint="default"/>
      </w:rPr>
    </w:lvl>
    <w:lvl w:ilvl="8">
      <w:start w:val="0"/>
      <w:numFmt w:val="bullet"/>
      <w:lvlText w:val="•"/>
      <w:lvlJc w:val="left"/>
      <w:pPr>
        <w:ind w:left="2680" w:hanging="361"/>
      </w:pPr>
      <w:rPr>
        <w:rFonts w:hint="default"/>
      </w:rPr>
    </w:lvl>
  </w:abstractNum>
  <w:abstractNum w:abstractNumId="138">
    <w:multiLevelType w:val="hybridMultilevel"/>
    <w:lvl w:ilvl="0">
      <w:start w:val="3"/>
      <w:numFmt w:val="decimal"/>
      <w:lvlText w:val="%1"/>
      <w:lvlJc w:val="left"/>
      <w:pPr>
        <w:ind w:left="826" w:hanging="1080"/>
        <w:jc w:val="left"/>
      </w:pPr>
      <w:rPr>
        <w:rFonts w:hint="default"/>
      </w:rPr>
    </w:lvl>
    <w:lvl w:ilvl="1">
      <w:start w:val="3"/>
      <w:numFmt w:val="lowerLetter"/>
      <w:lvlText w:val="%1.%2."/>
      <w:lvlJc w:val="left"/>
      <w:pPr>
        <w:ind w:left="826" w:hanging="1080"/>
        <w:jc w:val="left"/>
      </w:pPr>
      <w:rPr>
        <w:rFonts w:hint="default"/>
        <w:strike/>
        <w:w w:val="100"/>
      </w:rPr>
    </w:lvl>
    <w:lvl w:ilvl="2">
      <w:start w:val="1"/>
      <w:numFmt w:val="decimal"/>
      <w:lvlText w:val="%3."/>
      <w:lvlJc w:val="left"/>
      <w:pPr>
        <w:ind w:left="1106" w:hanging="360"/>
        <w:jc w:val="right"/>
      </w:pPr>
      <w:rPr>
        <w:rFonts w:hint="default"/>
        <w:spacing w:val="-4"/>
        <w:w w:val="99"/>
      </w:rPr>
    </w:lvl>
    <w:lvl w:ilvl="3">
      <w:start w:val="0"/>
      <w:numFmt w:val="bullet"/>
      <w:lvlText w:val="•"/>
      <w:lvlJc w:val="left"/>
      <w:pPr>
        <w:ind w:left="3033" w:hanging="360"/>
      </w:pPr>
      <w:rPr>
        <w:rFonts w:hint="default"/>
      </w:rPr>
    </w:lvl>
    <w:lvl w:ilvl="4">
      <w:start w:val="0"/>
      <w:numFmt w:val="bullet"/>
      <w:lvlText w:val="•"/>
      <w:lvlJc w:val="left"/>
      <w:pPr>
        <w:ind w:left="4000" w:hanging="360"/>
      </w:pPr>
      <w:rPr>
        <w:rFonts w:hint="default"/>
      </w:rPr>
    </w:lvl>
    <w:lvl w:ilvl="5">
      <w:start w:val="0"/>
      <w:numFmt w:val="bullet"/>
      <w:lvlText w:val="•"/>
      <w:lvlJc w:val="left"/>
      <w:pPr>
        <w:ind w:left="4966" w:hanging="360"/>
      </w:pPr>
      <w:rPr>
        <w:rFonts w:hint="default"/>
      </w:rPr>
    </w:lvl>
    <w:lvl w:ilvl="6">
      <w:start w:val="0"/>
      <w:numFmt w:val="bullet"/>
      <w:lvlText w:val="•"/>
      <w:lvlJc w:val="left"/>
      <w:pPr>
        <w:ind w:left="5933" w:hanging="360"/>
      </w:pPr>
      <w:rPr>
        <w:rFonts w:hint="default"/>
      </w:rPr>
    </w:lvl>
    <w:lvl w:ilvl="7">
      <w:start w:val="0"/>
      <w:numFmt w:val="bullet"/>
      <w:lvlText w:val="•"/>
      <w:lvlJc w:val="left"/>
      <w:pPr>
        <w:ind w:left="6900" w:hanging="360"/>
      </w:pPr>
      <w:rPr>
        <w:rFonts w:hint="default"/>
      </w:rPr>
    </w:lvl>
    <w:lvl w:ilvl="8">
      <w:start w:val="0"/>
      <w:numFmt w:val="bullet"/>
      <w:lvlText w:val="•"/>
      <w:lvlJc w:val="left"/>
      <w:pPr>
        <w:ind w:left="7866" w:hanging="360"/>
      </w:pPr>
      <w:rPr>
        <w:rFonts w:hint="default"/>
      </w:rPr>
    </w:lvl>
  </w:abstractNum>
  <w:abstractNum w:abstractNumId="137">
    <w:multiLevelType w:val="hybridMultilevel"/>
    <w:lvl w:ilvl="0">
      <w:start w:val="1"/>
      <w:numFmt w:val="decimal"/>
      <w:lvlText w:val="%1."/>
      <w:lvlJc w:val="left"/>
      <w:pPr>
        <w:ind w:left="466" w:hanging="360"/>
        <w:jc w:val="left"/>
      </w:pPr>
      <w:rPr>
        <w:rFonts w:hint="default" w:ascii="Arial" w:hAnsi="Arial" w:eastAsia="Arial" w:cs="Arial"/>
        <w:spacing w:val="-6"/>
        <w:w w:val="99"/>
        <w:sz w:val="24"/>
        <w:szCs w:val="24"/>
      </w:rPr>
    </w:lvl>
    <w:lvl w:ilvl="1">
      <w:start w:val="0"/>
      <w:numFmt w:val="bullet"/>
      <w:lvlText w:val="•"/>
      <w:lvlJc w:val="left"/>
      <w:pPr>
        <w:ind w:left="1400" w:hanging="360"/>
      </w:pPr>
      <w:rPr>
        <w:rFonts w:hint="default"/>
      </w:rPr>
    </w:lvl>
    <w:lvl w:ilvl="2">
      <w:start w:val="0"/>
      <w:numFmt w:val="bullet"/>
      <w:lvlText w:val="•"/>
      <w:lvlJc w:val="left"/>
      <w:pPr>
        <w:ind w:left="2340" w:hanging="360"/>
      </w:pPr>
      <w:rPr>
        <w:rFonts w:hint="default"/>
      </w:rPr>
    </w:lvl>
    <w:lvl w:ilvl="3">
      <w:start w:val="0"/>
      <w:numFmt w:val="bullet"/>
      <w:lvlText w:val="•"/>
      <w:lvlJc w:val="left"/>
      <w:pPr>
        <w:ind w:left="3280" w:hanging="360"/>
      </w:pPr>
      <w:rPr>
        <w:rFonts w:hint="default"/>
      </w:rPr>
    </w:lvl>
    <w:lvl w:ilvl="4">
      <w:start w:val="0"/>
      <w:numFmt w:val="bullet"/>
      <w:lvlText w:val="•"/>
      <w:lvlJc w:val="left"/>
      <w:pPr>
        <w:ind w:left="4220" w:hanging="360"/>
      </w:pPr>
      <w:rPr>
        <w:rFonts w:hint="default"/>
      </w:rPr>
    </w:lvl>
    <w:lvl w:ilvl="5">
      <w:start w:val="0"/>
      <w:numFmt w:val="bullet"/>
      <w:lvlText w:val="•"/>
      <w:lvlJc w:val="left"/>
      <w:pPr>
        <w:ind w:left="5160" w:hanging="360"/>
      </w:pPr>
      <w:rPr>
        <w:rFonts w:hint="default"/>
      </w:rPr>
    </w:lvl>
    <w:lvl w:ilvl="6">
      <w:start w:val="0"/>
      <w:numFmt w:val="bullet"/>
      <w:lvlText w:val="•"/>
      <w:lvlJc w:val="left"/>
      <w:pPr>
        <w:ind w:left="6100" w:hanging="360"/>
      </w:pPr>
      <w:rPr>
        <w:rFonts w:hint="default"/>
      </w:rPr>
    </w:lvl>
    <w:lvl w:ilvl="7">
      <w:start w:val="0"/>
      <w:numFmt w:val="bullet"/>
      <w:lvlText w:val="•"/>
      <w:lvlJc w:val="left"/>
      <w:pPr>
        <w:ind w:left="7040" w:hanging="360"/>
      </w:pPr>
      <w:rPr>
        <w:rFonts w:hint="default"/>
      </w:rPr>
    </w:lvl>
    <w:lvl w:ilvl="8">
      <w:start w:val="0"/>
      <w:numFmt w:val="bullet"/>
      <w:lvlText w:val="•"/>
      <w:lvlJc w:val="left"/>
      <w:pPr>
        <w:ind w:left="7980" w:hanging="360"/>
      </w:pPr>
      <w:rPr>
        <w:rFonts w:hint="default"/>
      </w:rPr>
    </w:lvl>
  </w:abstractNum>
  <w:abstractNum w:abstractNumId="136">
    <w:multiLevelType w:val="hybridMultilevel"/>
    <w:lvl w:ilvl="0">
      <w:start w:val="1"/>
      <w:numFmt w:val="decimal"/>
      <w:lvlText w:val="%1."/>
      <w:lvlJc w:val="left"/>
      <w:pPr>
        <w:ind w:left="1046" w:hanging="360"/>
        <w:jc w:val="left"/>
      </w:pPr>
      <w:rPr>
        <w:rFonts w:hint="default"/>
        <w:spacing w:val="-3"/>
        <w:w w:val="99"/>
      </w:rPr>
    </w:lvl>
    <w:lvl w:ilvl="1">
      <w:start w:val="0"/>
      <w:numFmt w:val="bullet"/>
      <w:lvlText w:val="•"/>
      <w:lvlJc w:val="left"/>
      <w:pPr>
        <w:ind w:left="1978" w:hanging="360"/>
      </w:pPr>
      <w:rPr>
        <w:rFonts w:hint="default"/>
      </w:rPr>
    </w:lvl>
    <w:lvl w:ilvl="2">
      <w:start w:val="0"/>
      <w:numFmt w:val="bullet"/>
      <w:lvlText w:val="•"/>
      <w:lvlJc w:val="left"/>
      <w:pPr>
        <w:ind w:left="2916" w:hanging="360"/>
      </w:pPr>
      <w:rPr>
        <w:rFonts w:hint="default"/>
      </w:rPr>
    </w:lvl>
    <w:lvl w:ilvl="3">
      <w:start w:val="0"/>
      <w:numFmt w:val="bullet"/>
      <w:lvlText w:val="•"/>
      <w:lvlJc w:val="left"/>
      <w:pPr>
        <w:ind w:left="3854" w:hanging="360"/>
      </w:pPr>
      <w:rPr>
        <w:rFonts w:hint="default"/>
      </w:rPr>
    </w:lvl>
    <w:lvl w:ilvl="4">
      <w:start w:val="0"/>
      <w:numFmt w:val="bullet"/>
      <w:lvlText w:val="•"/>
      <w:lvlJc w:val="left"/>
      <w:pPr>
        <w:ind w:left="4792" w:hanging="360"/>
      </w:pPr>
      <w:rPr>
        <w:rFonts w:hint="default"/>
      </w:rPr>
    </w:lvl>
    <w:lvl w:ilvl="5">
      <w:start w:val="0"/>
      <w:numFmt w:val="bullet"/>
      <w:lvlText w:val="•"/>
      <w:lvlJc w:val="left"/>
      <w:pPr>
        <w:ind w:left="5730" w:hanging="360"/>
      </w:pPr>
      <w:rPr>
        <w:rFonts w:hint="default"/>
      </w:rPr>
    </w:lvl>
    <w:lvl w:ilvl="6">
      <w:start w:val="0"/>
      <w:numFmt w:val="bullet"/>
      <w:lvlText w:val="•"/>
      <w:lvlJc w:val="left"/>
      <w:pPr>
        <w:ind w:left="6668" w:hanging="360"/>
      </w:pPr>
      <w:rPr>
        <w:rFonts w:hint="default"/>
      </w:rPr>
    </w:lvl>
    <w:lvl w:ilvl="7">
      <w:start w:val="0"/>
      <w:numFmt w:val="bullet"/>
      <w:lvlText w:val="•"/>
      <w:lvlJc w:val="left"/>
      <w:pPr>
        <w:ind w:left="7606" w:hanging="360"/>
      </w:pPr>
      <w:rPr>
        <w:rFonts w:hint="default"/>
      </w:rPr>
    </w:lvl>
    <w:lvl w:ilvl="8">
      <w:start w:val="0"/>
      <w:numFmt w:val="bullet"/>
      <w:lvlText w:val="•"/>
      <w:lvlJc w:val="left"/>
      <w:pPr>
        <w:ind w:left="8544" w:hanging="360"/>
      </w:pPr>
      <w:rPr>
        <w:rFonts w:hint="default"/>
      </w:rPr>
    </w:lvl>
  </w:abstractNum>
  <w:abstractNum w:abstractNumId="135">
    <w:multiLevelType w:val="hybridMultilevel"/>
    <w:lvl w:ilvl="0">
      <w:start w:val="3"/>
      <w:numFmt w:val="decimal"/>
      <w:lvlText w:val="%1"/>
      <w:lvlJc w:val="left"/>
      <w:pPr>
        <w:ind w:left="1406" w:hanging="720"/>
        <w:jc w:val="left"/>
      </w:pPr>
      <w:rPr>
        <w:rFonts w:hint="default"/>
      </w:rPr>
    </w:lvl>
    <w:lvl w:ilvl="1">
      <w:start w:val="6"/>
      <w:numFmt w:val="decimal"/>
      <w:lvlText w:val="%1.%2."/>
      <w:lvlJc w:val="left"/>
      <w:pPr>
        <w:ind w:left="1406" w:hanging="720"/>
        <w:jc w:val="left"/>
      </w:pPr>
      <w:rPr>
        <w:rFonts w:hint="default"/>
        <w:strike/>
        <w:w w:val="99"/>
      </w:rPr>
    </w:lvl>
    <w:lvl w:ilvl="2">
      <w:start w:val="1"/>
      <w:numFmt w:val="lowerLetter"/>
      <w:lvlText w:val="%3."/>
      <w:lvlJc w:val="left"/>
      <w:pPr>
        <w:ind w:left="1406" w:hanging="360"/>
        <w:jc w:val="left"/>
      </w:pPr>
      <w:rPr>
        <w:rFonts w:hint="default"/>
        <w:spacing w:val="-3"/>
        <w:w w:val="99"/>
      </w:rPr>
    </w:lvl>
    <w:lvl w:ilvl="3">
      <w:start w:val="0"/>
      <w:numFmt w:val="bullet"/>
      <w:lvlText w:val="•"/>
      <w:lvlJc w:val="left"/>
      <w:pPr>
        <w:ind w:left="4112" w:hanging="360"/>
      </w:pPr>
      <w:rPr>
        <w:rFonts w:hint="default"/>
      </w:rPr>
    </w:lvl>
    <w:lvl w:ilvl="4">
      <w:start w:val="0"/>
      <w:numFmt w:val="bullet"/>
      <w:lvlText w:val="•"/>
      <w:lvlJc w:val="left"/>
      <w:pPr>
        <w:ind w:left="5016" w:hanging="360"/>
      </w:pPr>
      <w:rPr>
        <w:rFonts w:hint="default"/>
      </w:rPr>
    </w:lvl>
    <w:lvl w:ilvl="5">
      <w:start w:val="0"/>
      <w:numFmt w:val="bullet"/>
      <w:lvlText w:val="•"/>
      <w:lvlJc w:val="left"/>
      <w:pPr>
        <w:ind w:left="5920" w:hanging="360"/>
      </w:pPr>
      <w:rPr>
        <w:rFonts w:hint="default"/>
      </w:rPr>
    </w:lvl>
    <w:lvl w:ilvl="6">
      <w:start w:val="0"/>
      <w:numFmt w:val="bullet"/>
      <w:lvlText w:val="•"/>
      <w:lvlJc w:val="left"/>
      <w:pPr>
        <w:ind w:left="6824" w:hanging="360"/>
      </w:pPr>
      <w:rPr>
        <w:rFonts w:hint="default"/>
      </w:rPr>
    </w:lvl>
    <w:lvl w:ilvl="7">
      <w:start w:val="0"/>
      <w:numFmt w:val="bullet"/>
      <w:lvlText w:val="•"/>
      <w:lvlJc w:val="left"/>
      <w:pPr>
        <w:ind w:left="7728" w:hanging="360"/>
      </w:pPr>
      <w:rPr>
        <w:rFonts w:hint="default"/>
      </w:rPr>
    </w:lvl>
    <w:lvl w:ilvl="8">
      <w:start w:val="0"/>
      <w:numFmt w:val="bullet"/>
      <w:lvlText w:val="•"/>
      <w:lvlJc w:val="left"/>
      <w:pPr>
        <w:ind w:left="8632" w:hanging="360"/>
      </w:pPr>
      <w:rPr>
        <w:rFonts w:hint="default"/>
      </w:rPr>
    </w:lvl>
  </w:abstractNum>
  <w:abstractNum w:abstractNumId="134">
    <w:multiLevelType w:val="hybridMultilevel"/>
    <w:lvl w:ilvl="0">
      <w:start w:val="4"/>
      <w:numFmt w:val="decimal"/>
      <w:lvlText w:val="%1."/>
      <w:lvlJc w:val="left"/>
      <w:pPr>
        <w:ind w:left="1046" w:hanging="360"/>
        <w:jc w:val="left"/>
      </w:pPr>
      <w:rPr>
        <w:rFonts w:hint="default"/>
        <w:strike/>
        <w:w w:val="99"/>
      </w:rPr>
    </w:lvl>
    <w:lvl w:ilvl="1">
      <w:start w:val="1"/>
      <w:numFmt w:val="lowerLetter"/>
      <w:lvlText w:val="%2."/>
      <w:lvlJc w:val="left"/>
      <w:pPr>
        <w:ind w:left="1406" w:hanging="360"/>
        <w:jc w:val="left"/>
      </w:pPr>
      <w:rPr>
        <w:rFonts w:hint="default"/>
        <w:strike/>
        <w:w w:val="99"/>
      </w:rPr>
    </w:lvl>
    <w:lvl w:ilvl="2">
      <w:start w:val="0"/>
      <w:numFmt w:val="bullet"/>
      <w:lvlText w:val="•"/>
      <w:lvlJc w:val="left"/>
      <w:pPr>
        <w:ind w:left="2404" w:hanging="360"/>
      </w:pPr>
      <w:rPr>
        <w:rFonts w:hint="default"/>
      </w:rPr>
    </w:lvl>
    <w:lvl w:ilvl="3">
      <w:start w:val="0"/>
      <w:numFmt w:val="bullet"/>
      <w:lvlText w:val="•"/>
      <w:lvlJc w:val="left"/>
      <w:pPr>
        <w:ind w:left="3408" w:hanging="360"/>
      </w:pPr>
      <w:rPr>
        <w:rFonts w:hint="default"/>
      </w:rPr>
    </w:lvl>
    <w:lvl w:ilvl="4">
      <w:start w:val="0"/>
      <w:numFmt w:val="bullet"/>
      <w:lvlText w:val="•"/>
      <w:lvlJc w:val="left"/>
      <w:pPr>
        <w:ind w:left="4413" w:hanging="360"/>
      </w:pPr>
      <w:rPr>
        <w:rFonts w:hint="default"/>
      </w:rPr>
    </w:lvl>
    <w:lvl w:ilvl="5">
      <w:start w:val="0"/>
      <w:numFmt w:val="bullet"/>
      <w:lvlText w:val="•"/>
      <w:lvlJc w:val="left"/>
      <w:pPr>
        <w:ind w:left="5417" w:hanging="360"/>
      </w:pPr>
      <w:rPr>
        <w:rFonts w:hint="default"/>
      </w:rPr>
    </w:lvl>
    <w:lvl w:ilvl="6">
      <w:start w:val="0"/>
      <w:numFmt w:val="bullet"/>
      <w:lvlText w:val="•"/>
      <w:lvlJc w:val="left"/>
      <w:pPr>
        <w:ind w:left="6422" w:hanging="360"/>
      </w:pPr>
      <w:rPr>
        <w:rFonts w:hint="default"/>
      </w:rPr>
    </w:lvl>
    <w:lvl w:ilvl="7">
      <w:start w:val="0"/>
      <w:numFmt w:val="bullet"/>
      <w:lvlText w:val="•"/>
      <w:lvlJc w:val="left"/>
      <w:pPr>
        <w:ind w:left="7426" w:hanging="360"/>
      </w:pPr>
      <w:rPr>
        <w:rFonts w:hint="default"/>
      </w:rPr>
    </w:lvl>
    <w:lvl w:ilvl="8">
      <w:start w:val="0"/>
      <w:numFmt w:val="bullet"/>
      <w:lvlText w:val="•"/>
      <w:lvlJc w:val="left"/>
      <w:pPr>
        <w:ind w:left="8431" w:hanging="360"/>
      </w:pPr>
      <w:rPr>
        <w:rFonts w:hint="default"/>
      </w:rPr>
    </w:lvl>
  </w:abstractNum>
  <w:abstractNum w:abstractNumId="133">
    <w:multiLevelType w:val="hybridMultilevel"/>
    <w:lvl w:ilvl="0">
      <w:start w:val="1"/>
      <w:numFmt w:val="lowerLetter"/>
      <w:lvlText w:val="%1."/>
      <w:lvlJc w:val="left"/>
      <w:pPr>
        <w:ind w:left="1406" w:hanging="360"/>
        <w:jc w:val="left"/>
      </w:pPr>
      <w:rPr>
        <w:rFonts w:hint="default" w:ascii="Arial" w:hAnsi="Arial" w:eastAsia="Arial" w:cs="Arial"/>
        <w:spacing w:val="-3"/>
        <w:w w:val="99"/>
        <w:sz w:val="24"/>
        <w:szCs w:val="24"/>
      </w:rPr>
    </w:lvl>
    <w:lvl w:ilvl="1">
      <w:start w:val="0"/>
      <w:numFmt w:val="bullet"/>
      <w:lvlText w:val="•"/>
      <w:lvlJc w:val="left"/>
      <w:pPr>
        <w:ind w:left="2304" w:hanging="360"/>
      </w:pPr>
      <w:rPr>
        <w:rFonts w:hint="default"/>
      </w:rPr>
    </w:lvl>
    <w:lvl w:ilvl="2">
      <w:start w:val="0"/>
      <w:numFmt w:val="bullet"/>
      <w:lvlText w:val="•"/>
      <w:lvlJc w:val="left"/>
      <w:pPr>
        <w:ind w:left="3208" w:hanging="360"/>
      </w:pPr>
      <w:rPr>
        <w:rFonts w:hint="default"/>
      </w:rPr>
    </w:lvl>
    <w:lvl w:ilvl="3">
      <w:start w:val="0"/>
      <w:numFmt w:val="bullet"/>
      <w:lvlText w:val="•"/>
      <w:lvlJc w:val="left"/>
      <w:pPr>
        <w:ind w:left="4112" w:hanging="360"/>
      </w:pPr>
      <w:rPr>
        <w:rFonts w:hint="default"/>
      </w:rPr>
    </w:lvl>
    <w:lvl w:ilvl="4">
      <w:start w:val="0"/>
      <w:numFmt w:val="bullet"/>
      <w:lvlText w:val="•"/>
      <w:lvlJc w:val="left"/>
      <w:pPr>
        <w:ind w:left="5016" w:hanging="360"/>
      </w:pPr>
      <w:rPr>
        <w:rFonts w:hint="default"/>
      </w:rPr>
    </w:lvl>
    <w:lvl w:ilvl="5">
      <w:start w:val="0"/>
      <w:numFmt w:val="bullet"/>
      <w:lvlText w:val="•"/>
      <w:lvlJc w:val="left"/>
      <w:pPr>
        <w:ind w:left="5920" w:hanging="360"/>
      </w:pPr>
      <w:rPr>
        <w:rFonts w:hint="default"/>
      </w:rPr>
    </w:lvl>
    <w:lvl w:ilvl="6">
      <w:start w:val="0"/>
      <w:numFmt w:val="bullet"/>
      <w:lvlText w:val="•"/>
      <w:lvlJc w:val="left"/>
      <w:pPr>
        <w:ind w:left="6824" w:hanging="360"/>
      </w:pPr>
      <w:rPr>
        <w:rFonts w:hint="default"/>
      </w:rPr>
    </w:lvl>
    <w:lvl w:ilvl="7">
      <w:start w:val="0"/>
      <w:numFmt w:val="bullet"/>
      <w:lvlText w:val="•"/>
      <w:lvlJc w:val="left"/>
      <w:pPr>
        <w:ind w:left="7728" w:hanging="360"/>
      </w:pPr>
      <w:rPr>
        <w:rFonts w:hint="default"/>
      </w:rPr>
    </w:lvl>
    <w:lvl w:ilvl="8">
      <w:start w:val="0"/>
      <w:numFmt w:val="bullet"/>
      <w:lvlText w:val="•"/>
      <w:lvlJc w:val="left"/>
      <w:pPr>
        <w:ind w:left="8632" w:hanging="360"/>
      </w:pPr>
      <w:rPr>
        <w:rFonts w:hint="default"/>
      </w:rPr>
    </w:lvl>
  </w:abstractNum>
  <w:abstractNum w:abstractNumId="132">
    <w:multiLevelType w:val="hybridMultilevel"/>
    <w:lvl w:ilvl="0">
      <w:start w:val="1"/>
      <w:numFmt w:val="decimal"/>
      <w:lvlText w:val="%1"/>
      <w:lvlJc w:val="left"/>
      <w:pPr>
        <w:ind w:left="1046" w:hanging="720"/>
        <w:jc w:val="left"/>
      </w:pPr>
      <w:rPr>
        <w:rFonts w:hint="default"/>
      </w:rPr>
    </w:lvl>
    <w:lvl w:ilvl="1">
      <w:start w:val="2"/>
      <w:numFmt w:val="decimal"/>
      <w:lvlText w:val="%1.%2."/>
      <w:lvlJc w:val="left"/>
      <w:pPr>
        <w:ind w:left="1046" w:hanging="720"/>
        <w:jc w:val="left"/>
      </w:pPr>
      <w:rPr>
        <w:rFonts w:hint="default"/>
        <w:strike/>
        <w:w w:val="99"/>
      </w:rPr>
    </w:lvl>
    <w:lvl w:ilvl="2">
      <w:start w:val="1"/>
      <w:numFmt w:val="lowerLetter"/>
      <w:lvlText w:val="%3."/>
      <w:lvlJc w:val="left"/>
      <w:pPr>
        <w:ind w:left="1406" w:hanging="360"/>
        <w:jc w:val="left"/>
      </w:pPr>
      <w:rPr>
        <w:rFonts w:hint="default" w:ascii="Arial" w:hAnsi="Arial" w:eastAsia="Arial" w:cs="Arial"/>
        <w:spacing w:val="-4"/>
        <w:w w:val="99"/>
        <w:sz w:val="24"/>
        <w:szCs w:val="24"/>
      </w:rPr>
    </w:lvl>
    <w:lvl w:ilvl="3">
      <w:start w:val="0"/>
      <w:numFmt w:val="bullet"/>
      <w:lvlText w:val="•"/>
      <w:lvlJc w:val="left"/>
      <w:pPr>
        <w:ind w:left="3408" w:hanging="360"/>
      </w:pPr>
      <w:rPr>
        <w:rFonts w:hint="default"/>
      </w:rPr>
    </w:lvl>
    <w:lvl w:ilvl="4">
      <w:start w:val="0"/>
      <w:numFmt w:val="bullet"/>
      <w:lvlText w:val="•"/>
      <w:lvlJc w:val="left"/>
      <w:pPr>
        <w:ind w:left="4413" w:hanging="360"/>
      </w:pPr>
      <w:rPr>
        <w:rFonts w:hint="default"/>
      </w:rPr>
    </w:lvl>
    <w:lvl w:ilvl="5">
      <w:start w:val="0"/>
      <w:numFmt w:val="bullet"/>
      <w:lvlText w:val="•"/>
      <w:lvlJc w:val="left"/>
      <w:pPr>
        <w:ind w:left="5417" w:hanging="360"/>
      </w:pPr>
      <w:rPr>
        <w:rFonts w:hint="default"/>
      </w:rPr>
    </w:lvl>
    <w:lvl w:ilvl="6">
      <w:start w:val="0"/>
      <w:numFmt w:val="bullet"/>
      <w:lvlText w:val="•"/>
      <w:lvlJc w:val="left"/>
      <w:pPr>
        <w:ind w:left="6422" w:hanging="360"/>
      </w:pPr>
      <w:rPr>
        <w:rFonts w:hint="default"/>
      </w:rPr>
    </w:lvl>
    <w:lvl w:ilvl="7">
      <w:start w:val="0"/>
      <w:numFmt w:val="bullet"/>
      <w:lvlText w:val="•"/>
      <w:lvlJc w:val="left"/>
      <w:pPr>
        <w:ind w:left="7426" w:hanging="360"/>
      </w:pPr>
      <w:rPr>
        <w:rFonts w:hint="default"/>
      </w:rPr>
    </w:lvl>
    <w:lvl w:ilvl="8">
      <w:start w:val="0"/>
      <w:numFmt w:val="bullet"/>
      <w:lvlText w:val="•"/>
      <w:lvlJc w:val="left"/>
      <w:pPr>
        <w:ind w:left="8431" w:hanging="360"/>
      </w:pPr>
      <w:rPr>
        <w:rFonts w:hint="default"/>
      </w:rPr>
    </w:lvl>
  </w:abstractNum>
  <w:abstractNum w:abstractNumId="131">
    <w:multiLevelType w:val="hybridMultilevel"/>
    <w:lvl w:ilvl="0">
      <w:start w:val="1"/>
      <w:numFmt w:val="decimal"/>
      <w:lvlText w:val="%1."/>
      <w:lvlJc w:val="left"/>
      <w:pPr>
        <w:ind w:left="1046" w:hanging="360"/>
        <w:jc w:val="left"/>
      </w:pPr>
      <w:rPr>
        <w:rFonts w:hint="default" w:ascii="Arial" w:hAnsi="Arial" w:eastAsia="Arial" w:cs="Arial"/>
        <w:color w:val="2E97D3"/>
        <w:spacing w:val="-7"/>
        <w:w w:val="99"/>
        <w:sz w:val="24"/>
        <w:szCs w:val="24"/>
      </w:rPr>
    </w:lvl>
    <w:lvl w:ilvl="1">
      <w:start w:val="0"/>
      <w:numFmt w:val="bullet"/>
      <w:lvlText w:val="•"/>
      <w:lvlJc w:val="left"/>
      <w:pPr>
        <w:ind w:left="1980" w:hanging="360"/>
      </w:pPr>
      <w:rPr>
        <w:rFonts w:hint="default"/>
      </w:rPr>
    </w:lvl>
    <w:lvl w:ilvl="2">
      <w:start w:val="0"/>
      <w:numFmt w:val="bullet"/>
      <w:lvlText w:val="•"/>
      <w:lvlJc w:val="left"/>
      <w:pPr>
        <w:ind w:left="2920" w:hanging="360"/>
      </w:pPr>
      <w:rPr>
        <w:rFonts w:hint="default"/>
      </w:rPr>
    </w:lvl>
    <w:lvl w:ilvl="3">
      <w:start w:val="0"/>
      <w:numFmt w:val="bullet"/>
      <w:lvlText w:val="•"/>
      <w:lvlJc w:val="left"/>
      <w:pPr>
        <w:ind w:left="3860" w:hanging="360"/>
      </w:pPr>
      <w:rPr>
        <w:rFonts w:hint="default"/>
      </w:rPr>
    </w:lvl>
    <w:lvl w:ilvl="4">
      <w:start w:val="0"/>
      <w:numFmt w:val="bullet"/>
      <w:lvlText w:val="•"/>
      <w:lvlJc w:val="left"/>
      <w:pPr>
        <w:ind w:left="4800" w:hanging="360"/>
      </w:pPr>
      <w:rPr>
        <w:rFonts w:hint="default"/>
      </w:rPr>
    </w:lvl>
    <w:lvl w:ilvl="5">
      <w:start w:val="0"/>
      <w:numFmt w:val="bullet"/>
      <w:lvlText w:val="•"/>
      <w:lvlJc w:val="left"/>
      <w:pPr>
        <w:ind w:left="5740" w:hanging="360"/>
      </w:pPr>
      <w:rPr>
        <w:rFonts w:hint="default"/>
      </w:rPr>
    </w:lvl>
    <w:lvl w:ilvl="6">
      <w:start w:val="0"/>
      <w:numFmt w:val="bullet"/>
      <w:lvlText w:val="•"/>
      <w:lvlJc w:val="left"/>
      <w:pPr>
        <w:ind w:left="6680" w:hanging="360"/>
      </w:pPr>
      <w:rPr>
        <w:rFonts w:hint="default"/>
      </w:rPr>
    </w:lvl>
    <w:lvl w:ilvl="7">
      <w:start w:val="0"/>
      <w:numFmt w:val="bullet"/>
      <w:lvlText w:val="•"/>
      <w:lvlJc w:val="left"/>
      <w:pPr>
        <w:ind w:left="7620" w:hanging="360"/>
      </w:pPr>
      <w:rPr>
        <w:rFonts w:hint="default"/>
      </w:rPr>
    </w:lvl>
    <w:lvl w:ilvl="8">
      <w:start w:val="0"/>
      <w:numFmt w:val="bullet"/>
      <w:lvlText w:val="•"/>
      <w:lvlJc w:val="left"/>
      <w:pPr>
        <w:ind w:left="8560" w:hanging="360"/>
      </w:pPr>
      <w:rPr>
        <w:rFonts w:hint="default"/>
      </w:rPr>
    </w:lvl>
  </w:abstractNum>
  <w:abstractNum w:abstractNumId="130">
    <w:multiLevelType w:val="hybridMultilevel"/>
    <w:lvl w:ilvl="0">
      <w:start w:val="11"/>
      <w:numFmt w:val="decimal"/>
      <w:lvlText w:val="%1."/>
      <w:lvlJc w:val="left"/>
      <w:pPr>
        <w:ind w:left="1046" w:hanging="360"/>
        <w:jc w:val="left"/>
      </w:pPr>
      <w:rPr>
        <w:rFonts w:hint="default"/>
        <w:strike/>
        <w:w w:val="99"/>
      </w:rPr>
    </w:lvl>
    <w:lvl w:ilvl="1">
      <w:start w:val="0"/>
      <w:numFmt w:val="bullet"/>
      <w:lvlText w:val="•"/>
      <w:lvlJc w:val="left"/>
      <w:pPr>
        <w:ind w:left="1980" w:hanging="360"/>
      </w:pPr>
      <w:rPr>
        <w:rFonts w:hint="default"/>
      </w:rPr>
    </w:lvl>
    <w:lvl w:ilvl="2">
      <w:start w:val="0"/>
      <w:numFmt w:val="bullet"/>
      <w:lvlText w:val="•"/>
      <w:lvlJc w:val="left"/>
      <w:pPr>
        <w:ind w:left="2920" w:hanging="360"/>
      </w:pPr>
      <w:rPr>
        <w:rFonts w:hint="default"/>
      </w:rPr>
    </w:lvl>
    <w:lvl w:ilvl="3">
      <w:start w:val="0"/>
      <w:numFmt w:val="bullet"/>
      <w:lvlText w:val="•"/>
      <w:lvlJc w:val="left"/>
      <w:pPr>
        <w:ind w:left="3860" w:hanging="360"/>
      </w:pPr>
      <w:rPr>
        <w:rFonts w:hint="default"/>
      </w:rPr>
    </w:lvl>
    <w:lvl w:ilvl="4">
      <w:start w:val="0"/>
      <w:numFmt w:val="bullet"/>
      <w:lvlText w:val="•"/>
      <w:lvlJc w:val="left"/>
      <w:pPr>
        <w:ind w:left="4800" w:hanging="360"/>
      </w:pPr>
      <w:rPr>
        <w:rFonts w:hint="default"/>
      </w:rPr>
    </w:lvl>
    <w:lvl w:ilvl="5">
      <w:start w:val="0"/>
      <w:numFmt w:val="bullet"/>
      <w:lvlText w:val="•"/>
      <w:lvlJc w:val="left"/>
      <w:pPr>
        <w:ind w:left="5740" w:hanging="360"/>
      </w:pPr>
      <w:rPr>
        <w:rFonts w:hint="default"/>
      </w:rPr>
    </w:lvl>
    <w:lvl w:ilvl="6">
      <w:start w:val="0"/>
      <w:numFmt w:val="bullet"/>
      <w:lvlText w:val="•"/>
      <w:lvlJc w:val="left"/>
      <w:pPr>
        <w:ind w:left="6680" w:hanging="360"/>
      </w:pPr>
      <w:rPr>
        <w:rFonts w:hint="default"/>
      </w:rPr>
    </w:lvl>
    <w:lvl w:ilvl="7">
      <w:start w:val="0"/>
      <w:numFmt w:val="bullet"/>
      <w:lvlText w:val="•"/>
      <w:lvlJc w:val="left"/>
      <w:pPr>
        <w:ind w:left="7620" w:hanging="360"/>
      </w:pPr>
      <w:rPr>
        <w:rFonts w:hint="default"/>
      </w:rPr>
    </w:lvl>
    <w:lvl w:ilvl="8">
      <w:start w:val="0"/>
      <w:numFmt w:val="bullet"/>
      <w:lvlText w:val="•"/>
      <w:lvlJc w:val="left"/>
      <w:pPr>
        <w:ind w:left="8560" w:hanging="360"/>
      </w:pPr>
      <w:rPr>
        <w:rFonts w:hint="default"/>
      </w:rPr>
    </w:lvl>
  </w:abstractNum>
  <w:abstractNum w:abstractNumId="129">
    <w:multiLevelType w:val="hybridMultilevel"/>
    <w:lvl w:ilvl="0">
      <w:start w:val="8"/>
      <w:numFmt w:val="decimal"/>
      <w:lvlText w:val="%1."/>
      <w:lvlJc w:val="left"/>
      <w:pPr>
        <w:ind w:left="1046" w:hanging="360"/>
        <w:jc w:val="left"/>
      </w:pPr>
      <w:rPr>
        <w:rFonts w:hint="default"/>
        <w:strike/>
        <w:w w:val="99"/>
      </w:rPr>
    </w:lvl>
    <w:lvl w:ilvl="1">
      <w:start w:val="0"/>
      <w:numFmt w:val="bullet"/>
      <w:lvlText w:val="•"/>
      <w:lvlJc w:val="left"/>
      <w:pPr>
        <w:ind w:left="1980" w:hanging="360"/>
      </w:pPr>
      <w:rPr>
        <w:rFonts w:hint="default"/>
      </w:rPr>
    </w:lvl>
    <w:lvl w:ilvl="2">
      <w:start w:val="0"/>
      <w:numFmt w:val="bullet"/>
      <w:lvlText w:val="•"/>
      <w:lvlJc w:val="left"/>
      <w:pPr>
        <w:ind w:left="2920" w:hanging="360"/>
      </w:pPr>
      <w:rPr>
        <w:rFonts w:hint="default"/>
      </w:rPr>
    </w:lvl>
    <w:lvl w:ilvl="3">
      <w:start w:val="0"/>
      <w:numFmt w:val="bullet"/>
      <w:lvlText w:val="•"/>
      <w:lvlJc w:val="left"/>
      <w:pPr>
        <w:ind w:left="3860" w:hanging="360"/>
      </w:pPr>
      <w:rPr>
        <w:rFonts w:hint="default"/>
      </w:rPr>
    </w:lvl>
    <w:lvl w:ilvl="4">
      <w:start w:val="0"/>
      <w:numFmt w:val="bullet"/>
      <w:lvlText w:val="•"/>
      <w:lvlJc w:val="left"/>
      <w:pPr>
        <w:ind w:left="4800" w:hanging="360"/>
      </w:pPr>
      <w:rPr>
        <w:rFonts w:hint="default"/>
      </w:rPr>
    </w:lvl>
    <w:lvl w:ilvl="5">
      <w:start w:val="0"/>
      <w:numFmt w:val="bullet"/>
      <w:lvlText w:val="•"/>
      <w:lvlJc w:val="left"/>
      <w:pPr>
        <w:ind w:left="5740" w:hanging="360"/>
      </w:pPr>
      <w:rPr>
        <w:rFonts w:hint="default"/>
      </w:rPr>
    </w:lvl>
    <w:lvl w:ilvl="6">
      <w:start w:val="0"/>
      <w:numFmt w:val="bullet"/>
      <w:lvlText w:val="•"/>
      <w:lvlJc w:val="left"/>
      <w:pPr>
        <w:ind w:left="6680" w:hanging="360"/>
      </w:pPr>
      <w:rPr>
        <w:rFonts w:hint="default"/>
      </w:rPr>
    </w:lvl>
    <w:lvl w:ilvl="7">
      <w:start w:val="0"/>
      <w:numFmt w:val="bullet"/>
      <w:lvlText w:val="•"/>
      <w:lvlJc w:val="left"/>
      <w:pPr>
        <w:ind w:left="7620" w:hanging="360"/>
      </w:pPr>
      <w:rPr>
        <w:rFonts w:hint="default"/>
      </w:rPr>
    </w:lvl>
    <w:lvl w:ilvl="8">
      <w:start w:val="0"/>
      <w:numFmt w:val="bullet"/>
      <w:lvlText w:val="•"/>
      <w:lvlJc w:val="left"/>
      <w:pPr>
        <w:ind w:left="8560" w:hanging="360"/>
      </w:pPr>
      <w:rPr>
        <w:rFonts w:hint="default"/>
      </w:rPr>
    </w:lvl>
  </w:abstractNum>
  <w:abstractNum w:abstractNumId="128">
    <w:multiLevelType w:val="hybridMultilevel"/>
    <w:lvl w:ilvl="0">
      <w:start w:val="6"/>
      <w:numFmt w:val="lowerLetter"/>
      <w:lvlText w:val="%1."/>
      <w:lvlJc w:val="left"/>
      <w:pPr>
        <w:ind w:left="1406" w:hanging="360"/>
        <w:jc w:val="left"/>
      </w:pPr>
      <w:rPr>
        <w:rFonts w:hint="default"/>
        <w:spacing w:val="0"/>
        <w:w w:val="100"/>
        <w:u w:val="single" w:color="2E97D3"/>
      </w:rPr>
    </w:lvl>
    <w:lvl w:ilvl="1">
      <w:start w:val="0"/>
      <w:numFmt w:val="bullet"/>
      <w:lvlText w:val="•"/>
      <w:lvlJc w:val="left"/>
      <w:pPr>
        <w:ind w:left="2302" w:hanging="360"/>
      </w:pPr>
      <w:rPr>
        <w:rFonts w:hint="default"/>
      </w:rPr>
    </w:lvl>
    <w:lvl w:ilvl="2">
      <w:start w:val="0"/>
      <w:numFmt w:val="bullet"/>
      <w:lvlText w:val="•"/>
      <w:lvlJc w:val="left"/>
      <w:pPr>
        <w:ind w:left="3204" w:hanging="360"/>
      </w:pPr>
      <w:rPr>
        <w:rFonts w:hint="default"/>
      </w:rPr>
    </w:lvl>
    <w:lvl w:ilvl="3">
      <w:start w:val="0"/>
      <w:numFmt w:val="bullet"/>
      <w:lvlText w:val="•"/>
      <w:lvlJc w:val="left"/>
      <w:pPr>
        <w:ind w:left="4106" w:hanging="360"/>
      </w:pPr>
      <w:rPr>
        <w:rFonts w:hint="default"/>
      </w:rPr>
    </w:lvl>
    <w:lvl w:ilvl="4">
      <w:start w:val="0"/>
      <w:numFmt w:val="bullet"/>
      <w:lvlText w:val="•"/>
      <w:lvlJc w:val="left"/>
      <w:pPr>
        <w:ind w:left="5008" w:hanging="360"/>
      </w:pPr>
      <w:rPr>
        <w:rFonts w:hint="default"/>
      </w:rPr>
    </w:lvl>
    <w:lvl w:ilvl="5">
      <w:start w:val="0"/>
      <w:numFmt w:val="bullet"/>
      <w:lvlText w:val="•"/>
      <w:lvlJc w:val="left"/>
      <w:pPr>
        <w:ind w:left="5910" w:hanging="360"/>
      </w:pPr>
      <w:rPr>
        <w:rFonts w:hint="default"/>
      </w:rPr>
    </w:lvl>
    <w:lvl w:ilvl="6">
      <w:start w:val="0"/>
      <w:numFmt w:val="bullet"/>
      <w:lvlText w:val="•"/>
      <w:lvlJc w:val="left"/>
      <w:pPr>
        <w:ind w:left="6812" w:hanging="360"/>
      </w:pPr>
      <w:rPr>
        <w:rFonts w:hint="default"/>
      </w:rPr>
    </w:lvl>
    <w:lvl w:ilvl="7">
      <w:start w:val="0"/>
      <w:numFmt w:val="bullet"/>
      <w:lvlText w:val="•"/>
      <w:lvlJc w:val="left"/>
      <w:pPr>
        <w:ind w:left="7714" w:hanging="360"/>
      </w:pPr>
      <w:rPr>
        <w:rFonts w:hint="default"/>
      </w:rPr>
    </w:lvl>
    <w:lvl w:ilvl="8">
      <w:start w:val="0"/>
      <w:numFmt w:val="bullet"/>
      <w:lvlText w:val="•"/>
      <w:lvlJc w:val="left"/>
      <w:pPr>
        <w:ind w:left="8616" w:hanging="360"/>
      </w:pPr>
      <w:rPr>
        <w:rFonts w:hint="default"/>
      </w:rPr>
    </w:lvl>
  </w:abstractNum>
  <w:abstractNum w:abstractNumId="127">
    <w:multiLevelType w:val="hybridMultilevel"/>
    <w:lvl w:ilvl="0">
      <w:start w:val="1"/>
      <w:numFmt w:val="decimal"/>
      <w:lvlText w:val="%1."/>
      <w:lvlJc w:val="left"/>
      <w:pPr>
        <w:ind w:left="1046" w:hanging="360"/>
        <w:jc w:val="left"/>
      </w:pPr>
      <w:rPr>
        <w:rFonts w:hint="default"/>
        <w:spacing w:val="-4"/>
        <w:w w:val="99"/>
      </w:rPr>
    </w:lvl>
    <w:lvl w:ilvl="1">
      <w:start w:val="0"/>
      <w:numFmt w:val="bullet"/>
      <w:lvlText w:val="•"/>
      <w:lvlJc w:val="left"/>
      <w:pPr>
        <w:ind w:left="1978" w:hanging="360"/>
      </w:pPr>
      <w:rPr>
        <w:rFonts w:hint="default"/>
      </w:rPr>
    </w:lvl>
    <w:lvl w:ilvl="2">
      <w:start w:val="0"/>
      <w:numFmt w:val="bullet"/>
      <w:lvlText w:val="•"/>
      <w:lvlJc w:val="left"/>
      <w:pPr>
        <w:ind w:left="2916" w:hanging="360"/>
      </w:pPr>
      <w:rPr>
        <w:rFonts w:hint="default"/>
      </w:rPr>
    </w:lvl>
    <w:lvl w:ilvl="3">
      <w:start w:val="0"/>
      <w:numFmt w:val="bullet"/>
      <w:lvlText w:val="•"/>
      <w:lvlJc w:val="left"/>
      <w:pPr>
        <w:ind w:left="3854" w:hanging="360"/>
      </w:pPr>
      <w:rPr>
        <w:rFonts w:hint="default"/>
      </w:rPr>
    </w:lvl>
    <w:lvl w:ilvl="4">
      <w:start w:val="0"/>
      <w:numFmt w:val="bullet"/>
      <w:lvlText w:val="•"/>
      <w:lvlJc w:val="left"/>
      <w:pPr>
        <w:ind w:left="4792" w:hanging="360"/>
      </w:pPr>
      <w:rPr>
        <w:rFonts w:hint="default"/>
      </w:rPr>
    </w:lvl>
    <w:lvl w:ilvl="5">
      <w:start w:val="0"/>
      <w:numFmt w:val="bullet"/>
      <w:lvlText w:val="•"/>
      <w:lvlJc w:val="left"/>
      <w:pPr>
        <w:ind w:left="5730" w:hanging="360"/>
      </w:pPr>
      <w:rPr>
        <w:rFonts w:hint="default"/>
      </w:rPr>
    </w:lvl>
    <w:lvl w:ilvl="6">
      <w:start w:val="0"/>
      <w:numFmt w:val="bullet"/>
      <w:lvlText w:val="•"/>
      <w:lvlJc w:val="left"/>
      <w:pPr>
        <w:ind w:left="6668" w:hanging="360"/>
      </w:pPr>
      <w:rPr>
        <w:rFonts w:hint="default"/>
      </w:rPr>
    </w:lvl>
    <w:lvl w:ilvl="7">
      <w:start w:val="0"/>
      <w:numFmt w:val="bullet"/>
      <w:lvlText w:val="•"/>
      <w:lvlJc w:val="left"/>
      <w:pPr>
        <w:ind w:left="7606" w:hanging="360"/>
      </w:pPr>
      <w:rPr>
        <w:rFonts w:hint="default"/>
      </w:rPr>
    </w:lvl>
    <w:lvl w:ilvl="8">
      <w:start w:val="0"/>
      <w:numFmt w:val="bullet"/>
      <w:lvlText w:val="•"/>
      <w:lvlJc w:val="left"/>
      <w:pPr>
        <w:ind w:left="8544" w:hanging="360"/>
      </w:pPr>
      <w:rPr>
        <w:rFonts w:hint="default"/>
      </w:rPr>
    </w:lvl>
  </w:abstractNum>
  <w:abstractNum w:abstractNumId="126">
    <w:multiLevelType w:val="hybridMultilevel"/>
    <w:lvl w:ilvl="0">
      <w:start w:val="3"/>
      <w:numFmt w:val="decimal"/>
      <w:lvlText w:val="%1"/>
      <w:lvlJc w:val="left"/>
      <w:pPr>
        <w:ind w:left="7077" w:hanging="6392"/>
        <w:jc w:val="left"/>
      </w:pPr>
      <w:rPr>
        <w:rFonts w:hint="default"/>
      </w:rPr>
    </w:lvl>
    <w:lvl w:ilvl="1">
      <w:start w:val="2"/>
      <w:numFmt w:val="decimal"/>
      <w:lvlText w:val="%1.%2."/>
      <w:lvlJc w:val="left"/>
      <w:pPr>
        <w:ind w:left="7077" w:hanging="6392"/>
        <w:jc w:val="left"/>
      </w:pPr>
      <w:rPr>
        <w:rFonts w:hint="default"/>
        <w:strike/>
        <w:spacing w:val="-1"/>
        <w:w w:val="99"/>
      </w:rPr>
    </w:lvl>
    <w:lvl w:ilvl="2">
      <w:start w:val="1"/>
      <w:numFmt w:val="lowerLetter"/>
      <w:lvlText w:val="%3."/>
      <w:lvlJc w:val="left"/>
      <w:pPr>
        <w:ind w:left="1406" w:hanging="360"/>
        <w:jc w:val="left"/>
      </w:pPr>
      <w:rPr>
        <w:rFonts w:hint="default" w:ascii="Arial" w:hAnsi="Arial" w:eastAsia="Arial" w:cs="Arial"/>
        <w:spacing w:val="-6"/>
        <w:w w:val="99"/>
        <w:sz w:val="24"/>
        <w:szCs w:val="24"/>
      </w:rPr>
    </w:lvl>
    <w:lvl w:ilvl="3">
      <w:start w:val="0"/>
      <w:numFmt w:val="bullet"/>
      <w:lvlText w:val="•"/>
      <w:lvlJc w:val="left"/>
      <w:pPr>
        <w:ind w:left="7822" w:hanging="360"/>
      </w:pPr>
      <w:rPr>
        <w:rFonts w:hint="default"/>
      </w:rPr>
    </w:lvl>
    <w:lvl w:ilvl="4">
      <w:start w:val="0"/>
      <w:numFmt w:val="bullet"/>
      <w:lvlText w:val="•"/>
      <w:lvlJc w:val="left"/>
      <w:pPr>
        <w:ind w:left="8193" w:hanging="360"/>
      </w:pPr>
      <w:rPr>
        <w:rFonts w:hint="default"/>
      </w:rPr>
    </w:lvl>
    <w:lvl w:ilvl="5">
      <w:start w:val="0"/>
      <w:numFmt w:val="bullet"/>
      <w:lvlText w:val="•"/>
      <w:lvlJc w:val="left"/>
      <w:pPr>
        <w:ind w:left="8564" w:hanging="360"/>
      </w:pPr>
      <w:rPr>
        <w:rFonts w:hint="default"/>
      </w:rPr>
    </w:lvl>
    <w:lvl w:ilvl="6">
      <w:start w:val="0"/>
      <w:numFmt w:val="bullet"/>
      <w:lvlText w:val="•"/>
      <w:lvlJc w:val="left"/>
      <w:pPr>
        <w:ind w:left="8935" w:hanging="360"/>
      </w:pPr>
      <w:rPr>
        <w:rFonts w:hint="default"/>
      </w:rPr>
    </w:lvl>
    <w:lvl w:ilvl="7">
      <w:start w:val="0"/>
      <w:numFmt w:val="bullet"/>
      <w:lvlText w:val="•"/>
      <w:lvlJc w:val="left"/>
      <w:pPr>
        <w:ind w:left="9306" w:hanging="360"/>
      </w:pPr>
      <w:rPr>
        <w:rFonts w:hint="default"/>
      </w:rPr>
    </w:lvl>
    <w:lvl w:ilvl="8">
      <w:start w:val="0"/>
      <w:numFmt w:val="bullet"/>
      <w:lvlText w:val="•"/>
      <w:lvlJc w:val="left"/>
      <w:pPr>
        <w:ind w:left="9677" w:hanging="360"/>
      </w:pPr>
      <w:rPr>
        <w:rFonts w:hint="default"/>
      </w:rPr>
    </w:lvl>
  </w:abstractNum>
  <w:abstractNum w:abstractNumId="125">
    <w:multiLevelType w:val="hybridMultilevel"/>
    <w:lvl w:ilvl="0">
      <w:start w:val="1"/>
      <w:numFmt w:val="lowerLetter"/>
      <w:lvlText w:val="%1."/>
      <w:lvlJc w:val="left"/>
      <w:pPr>
        <w:ind w:left="826" w:hanging="360"/>
        <w:jc w:val="left"/>
      </w:pPr>
      <w:rPr>
        <w:rFonts w:hint="default" w:ascii="Arial" w:hAnsi="Arial" w:eastAsia="Arial" w:cs="Arial"/>
        <w:spacing w:val="-4"/>
        <w:w w:val="99"/>
        <w:sz w:val="24"/>
        <w:szCs w:val="24"/>
      </w:rPr>
    </w:lvl>
    <w:lvl w:ilvl="1">
      <w:start w:val="0"/>
      <w:numFmt w:val="bullet"/>
      <w:lvlText w:val="•"/>
      <w:lvlJc w:val="left"/>
      <w:pPr>
        <w:ind w:left="1722" w:hanging="360"/>
      </w:pPr>
      <w:rPr>
        <w:rFonts w:hint="default"/>
      </w:rPr>
    </w:lvl>
    <w:lvl w:ilvl="2">
      <w:start w:val="0"/>
      <w:numFmt w:val="bullet"/>
      <w:lvlText w:val="•"/>
      <w:lvlJc w:val="left"/>
      <w:pPr>
        <w:ind w:left="2624" w:hanging="360"/>
      </w:pPr>
      <w:rPr>
        <w:rFonts w:hint="default"/>
      </w:rPr>
    </w:lvl>
    <w:lvl w:ilvl="3">
      <w:start w:val="0"/>
      <w:numFmt w:val="bullet"/>
      <w:lvlText w:val="•"/>
      <w:lvlJc w:val="left"/>
      <w:pPr>
        <w:ind w:left="3526" w:hanging="360"/>
      </w:pPr>
      <w:rPr>
        <w:rFonts w:hint="default"/>
      </w:rPr>
    </w:lvl>
    <w:lvl w:ilvl="4">
      <w:start w:val="0"/>
      <w:numFmt w:val="bullet"/>
      <w:lvlText w:val="•"/>
      <w:lvlJc w:val="left"/>
      <w:pPr>
        <w:ind w:left="4428" w:hanging="360"/>
      </w:pPr>
      <w:rPr>
        <w:rFonts w:hint="default"/>
      </w:rPr>
    </w:lvl>
    <w:lvl w:ilvl="5">
      <w:start w:val="0"/>
      <w:numFmt w:val="bullet"/>
      <w:lvlText w:val="•"/>
      <w:lvlJc w:val="left"/>
      <w:pPr>
        <w:ind w:left="5330" w:hanging="360"/>
      </w:pPr>
      <w:rPr>
        <w:rFonts w:hint="default"/>
      </w:rPr>
    </w:lvl>
    <w:lvl w:ilvl="6">
      <w:start w:val="0"/>
      <w:numFmt w:val="bullet"/>
      <w:lvlText w:val="•"/>
      <w:lvlJc w:val="left"/>
      <w:pPr>
        <w:ind w:left="6232" w:hanging="360"/>
      </w:pPr>
      <w:rPr>
        <w:rFonts w:hint="default"/>
      </w:rPr>
    </w:lvl>
    <w:lvl w:ilvl="7">
      <w:start w:val="0"/>
      <w:numFmt w:val="bullet"/>
      <w:lvlText w:val="•"/>
      <w:lvlJc w:val="left"/>
      <w:pPr>
        <w:ind w:left="7134" w:hanging="360"/>
      </w:pPr>
      <w:rPr>
        <w:rFonts w:hint="default"/>
      </w:rPr>
    </w:lvl>
    <w:lvl w:ilvl="8">
      <w:start w:val="0"/>
      <w:numFmt w:val="bullet"/>
      <w:lvlText w:val="•"/>
      <w:lvlJc w:val="left"/>
      <w:pPr>
        <w:ind w:left="8036" w:hanging="360"/>
      </w:pPr>
      <w:rPr>
        <w:rFonts w:hint="default"/>
      </w:rPr>
    </w:lvl>
  </w:abstractNum>
  <w:abstractNum w:abstractNumId="124">
    <w:multiLevelType w:val="hybridMultilevel"/>
    <w:lvl w:ilvl="0">
      <w:start w:val="1"/>
      <w:numFmt w:val="decimal"/>
      <w:lvlText w:val="%1."/>
      <w:lvlJc w:val="left"/>
      <w:pPr>
        <w:ind w:left="466" w:hanging="360"/>
        <w:jc w:val="left"/>
      </w:pPr>
      <w:rPr>
        <w:rFonts w:hint="default" w:ascii="Arial" w:hAnsi="Arial" w:eastAsia="Arial" w:cs="Arial"/>
        <w:spacing w:val="-4"/>
        <w:w w:val="99"/>
        <w:sz w:val="24"/>
        <w:szCs w:val="24"/>
      </w:rPr>
    </w:lvl>
    <w:lvl w:ilvl="1">
      <w:start w:val="0"/>
      <w:numFmt w:val="bullet"/>
      <w:lvlText w:val="•"/>
      <w:lvlJc w:val="left"/>
      <w:pPr>
        <w:ind w:left="1398" w:hanging="360"/>
      </w:pPr>
      <w:rPr>
        <w:rFonts w:hint="default"/>
      </w:rPr>
    </w:lvl>
    <w:lvl w:ilvl="2">
      <w:start w:val="0"/>
      <w:numFmt w:val="bullet"/>
      <w:lvlText w:val="•"/>
      <w:lvlJc w:val="left"/>
      <w:pPr>
        <w:ind w:left="2336" w:hanging="360"/>
      </w:pPr>
      <w:rPr>
        <w:rFonts w:hint="default"/>
      </w:rPr>
    </w:lvl>
    <w:lvl w:ilvl="3">
      <w:start w:val="0"/>
      <w:numFmt w:val="bullet"/>
      <w:lvlText w:val="•"/>
      <w:lvlJc w:val="left"/>
      <w:pPr>
        <w:ind w:left="3274" w:hanging="360"/>
      </w:pPr>
      <w:rPr>
        <w:rFonts w:hint="default"/>
      </w:rPr>
    </w:lvl>
    <w:lvl w:ilvl="4">
      <w:start w:val="0"/>
      <w:numFmt w:val="bullet"/>
      <w:lvlText w:val="•"/>
      <w:lvlJc w:val="left"/>
      <w:pPr>
        <w:ind w:left="4212" w:hanging="360"/>
      </w:pPr>
      <w:rPr>
        <w:rFonts w:hint="default"/>
      </w:rPr>
    </w:lvl>
    <w:lvl w:ilvl="5">
      <w:start w:val="0"/>
      <w:numFmt w:val="bullet"/>
      <w:lvlText w:val="•"/>
      <w:lvlJc w:val="left"/>
      <w:pPr>
        <w:ind w:left="5150" w:hanging="360"/>
      </w:pPr>
      <w:rPr>
        <w:rFonts w:hint="default"/>
      </w:rPr>
    </w:lvl>
    <w:lvl w:ilvl="6">
      <w:start w:val="0"/>
      <w:numFmt w:val="bullet"/>
      <w:lvlText w:val="•"/>
      <w:lvlJc w:val="left"/>
      <w:pPr>
        <w:ind w:left="6088" w:hanging="360"/>
      </w:pPr>
      <w:rPr>
        <w:rFonts w:hint="default"/>
      </w:rPr>
    </w:lvl>
    <w:lvl w:ilvl="7">
      <w:start w:val="0"/>
      <w:numFmt w:val="bullet"/>
      <w:lvlText w:val="•"/>
      <w:lvlJc w:val="left"/>
      <w:pPr>
        <w:ind w:left="7026" w:hanging="360"/>
      </w:pPr>
      <w:rPr>
        <w:rFonts w:hint="default"/>
      </w:rPr>
    </w:lvl>
    <w:lvl w:ilvl="8">
      <w:start w:val="0"/>
      <w:numFmt w:val="bullet"/>
      <w:lvlText w:val="•"/>
      <w:lvlJc w:val="left"/>
      <w:pPr>
        <w:ind w:left="7964" w:hanging="360"/>
      </w:pPr>
      <w:rPr>
        <w:rFonts w:hint="default"/>
      </w:rPr>
    </w:lvl>
  </w:abstractNum>
  <w:abstractNum w:abstractNumId="123">
    <w:multiLevelType w:val="hybridMultilevel"/>
    <w:lvl w:ilvl="0">
      <w:start w:val="1"/>
      <w:numFmt w:val="decimal"/>
      <w:lvlText w:val="%1."/>
      <w:lvlJc w:val="left"/>
      <w:pPr>
        <w:ind w:left="1046" w:hanging="360"/>
        <w:jc w:val="left"/>
      </w:pPr>
      <w:rPr>
        <w:rFonts w:hint="default" w:ascii="Arial" w:hAnsi="Arial" w:eastAsia="Arial" w:cs="Arial"/>
        <w:spacing w:val="-23"/>
        <w:w w:val="99"/>
        <w:sz w:val="24"/>
        <w:szCs w:val="24"/>
      </w:rPr>
    </w:lvl>
    <w:lvl w:ilvl="1">
      <w:start w:val="0"/>
      <w:numFmt w:val="bullet"/>
      <w:lvlText w:val="•"/>
      <w:lvlJc w:val="left"/>
      <w:pPr>
        <w:ind w:left="1978" w:hanging="360"/>
      </w:pPr>
      <w:rPr>
        <w:rFonts w:hint="default"/>
      </w:rPr>
    </w:lvl>
    <w:lvl w:ilvl="2">
      <w:start w:val="0"/>
      <w:numFmt w:val="bullet"/>
      <w:lvlText w:val="•"/>
      <w:lvlJc w:val="left"/>
      <w:pPr>
        <w:ind w:left="2916" w:hanging="360"/>
      </w:pPr>
      <w:rPr>
        <w:rFonts w:hint="default"/>
      </w:rPr>
    </w:lvl>
    <w:lvl w:ilvl="3">
      <w:start w:val="0"/>
      <w:numFmt w:val="bullet"/>
      <w:lvlText w:val="•"/>
      <w:lvlJc w:val="left"/>
      <w:pPr>
        <w:ind w:left="3854" w:hanging="360"/>
      </w:pPr>
      <w:rPr>
        <w:rFonts w:hint="default"/>
      </w:rPr>
    </w:lvl>
    <w:lvl w:ilvl="4">
      <w:start w:val="0"/>
      <w:numFmt w:val="bullet"/>
      <w:lvlText w:val="•"/>
      <w:lvlJc w:val="left"/>
      <w:pPr>
        <w:ind w:left="4792" w:hanging="360"/>
      </w:pPr>
      <w:rPr>
        <w:rFonts w:hint="default"/>
      </w:rPr>
    </w:lvl>
    <w:lvl w:ilvl="5">
      <w:start w:val="0"/>
      <w:numFmt w:val="bullet"/>
      <w:lvlText w:val="•"/>
      <w:lvlJc w:val="left"/>
      <w:pPr>
        <w:ind w:left="5730" w:hanging="360"/>
      </w:pPr>
      <w:rPr>
        <w:rFonts w:hint="default"/>
      </w:rPr>
    </w:lvl>
    <w:lvl w:ilvl="6">
      <w:start w:val="0"/>
      <w:numFmt w:val="bullet"/>
      <w:lvlText w:val="•"/>
      <w:lvlJc w:val="left"/>
      <w:pPr>
        <w:ind w:left="6668" w:hanging="360"/>
      </w:pPr>
      <w:rPr>
        <w:rFonts w:hint="default"/>
      </w:rPr>
    </w:lvl>
    <w:lvl w:ilvl="7">
      <w:start w:val="0"/>
      <w:numFmt w:val="bullet"/>
      <w:lvlText w:val="•"/>
      <w:lvlJc w:val="left"/>
      <w:pPr>
        <w:ind w:left="7606" w:hanging="360"/>
      </w:pPr>
      <w:rPr>
        <w:rFonts w:hint="default"/>
      </w:rPr>
    </w:lvl>
    <w:lvl w:ilvl="8">
      <w:start w:val="0"/>
      <w:numFmt w:val="bullet"/>
      <w:lvlText w:val="•"/>
      <w:lvlJc w:val="left"/>
      <w:pPr>
        <w:ind w:left="8544" w:hanging="360"/>
      </w:pPr>
      <w:rPr>
        <w:rFonts w:hint="default"/>
      </w:rPr>
    </w:lvl>
  </w:abstractNum>
  <w:abstractNum w:abstractNumId="122">
    <w:multiLevelType w:val="hybridMultilevel"/>
    <w:lvl w:ilvl="0">
      <w:start w:val="1"/>
      <w:numFmt w:val="decimal"/>
      <w:lvlText w:val="%1."/>
      <w:lvlJc w:val="left"/>
      <w:pPr>
        <w:ind w:left="1106" w:hanging="360"/>
        <w:jc w:val="left"/>
      </w:pPr>
      <w:rPr>
        <w:rFonts w:hint="default"/>
        <w:spacing w:val="-8"/>
        <w:w w:val="98"/>
      </w:rPr>
    </w:lvl>
    <w:lvl w:ilvl="1">
      <w:start w:val="0"/>
      <w:numFmt w:val="bullet"/>
      <w:lvlText w:val="•"/>
      <w:lvlJc w:val="left"/>
      <w:pPr>
        <w:ind w:left="2038" w:hanging="360"/>
      </w:pPr>
      <w:rPr>
        <w:rFonts w:hint="default"/>
      </w:rPr>
    </w:lvl>
    <w:lvl w:ilvl="2">
      <w:start w:val="0"/>
      <w:numFmt w:val="bullet"/>
      <w:lvlText w:val="•"/>
      <w:lvlJc w:val="left"/>
      <w:pPr>
        <w:ind w:left="2976" w:hanging="360"/>
      </w:pPr>
      <w:rPr>
        <w:rFonts w:hint="default"/>
      </w:rPr>
    </w:lvl>
    <w:lvl w:ilvl="3">
      <w:start w:val="0"/>
      <w:numFmt w:val="bullet"/>
      <w:lvlText w:val="•"/>
      <w:lvlJc w:val="left"/>
      <w:pPr>
        <w:ind w:left="3914" w:hanging="360"/>
      </w:pPr>
      <w:rPr>
        <w:rFonts w:hint="default"/>
      </w:rPr>
    </w:lvl>
    <w:lvl w:ilvl="4">
      <w:start w:val="0"/>
      <w:numFmt w:val="bullet"/>
      <w:lvlText w:val="•"/>
      <w:lvlJc w:val="left"/>
      <w:pPr>
        <w:ind w:left="4852" w:hanging="360"/>
      </w:pPr>
      <w:rPr>
        <w:rFonts w:hint="default"/>
      </w:rPr>
    </w:lvl>
    <w:lvl w:ilvl="5">
      <w:start w:val="0"/>
      <w:numFmt w:val="bullet"/>
      <w:lvlText w:val="•"/>
      <w:lvlJc w:val="left"/>
      <w:pPr>
        <w:ind w:left="5790" w:hanging="360"/>
      </w:pPr>
      <w:rPr>
        <w:rFonts w:hint="default"/>
      </w:rPr>
    </w:lvl>
    <w:lvl w:ilvl="6">
      <w:start w:val="0"/>
      <w:numFmt w:val="bullet"/>
      <w:lvlText w:val="•"/>
      <w:lvlJc w:val="left"/>
      <w:pPr>
        <w:ind w:left="6728" w:hanging="360"/>
      </w:pPr>
      <w:rPr>
        <w:rFonts w:hint="default"/>
      </w:rPr>
    </w:lvl>
    <w:lvl w:ilvl="7">
      <w:start w:val="0"/>
      <w:numFmt w:val="bullet"/>
      <w:lvlText w:val="•"/>
      <w:lvlJc w:val="left"/>
      <w:pPr>
        <w:ind w:left="7666" w:hanging="360"/>
      </w:pPr>
      <w:rPr>
        <w:rFonts w:hint="default"/>
      </w:rPr>
    </w:lvl>
    <w:lvl w:ilvl="8">
      <w:start w:val="0"/>
      <w:numFmt w:val="bullet"/>
      <w:lvlText w:val="•"/>
      <w:lvlJc w:val="left"/>
      <w:pPr>
        <w:ind w:left="8604" w:hanging="360"/>
      </w:pPr>
      <w:rPr>
        <w:rFonts w:hint="default"/>
      </w:rPr>
    </w:lvl>
  </w:abstractNum>
  <w:abstractNum w:abstractNumId="121">
    <w:multiLevelType w:val="hybridMultilevel"/>
    <w:lvl w:ilvl="0">
      <w:start w:val="1"/>
      <w:numFmt w:val="decimal"/>
      <w:lvlText w:val="%1."/>
      <w:lvlJc w:val="left"/>
      <w:pPr>
        <w:ind w:left="1106" w:hanging="360"/>
        <w:jc w:val="left"/>
      </w:pPr>
      <w:rPr>
        <w:rFonts w:hint="default" w:ascii="Arial" w:hAnsi="Arial" w:eastAsia="Arial" w:cs="Arial"/>
        <w:spacing w:val="-5"/>
        <w:w w:val="98"/>
        <w:sz w:val="24"/>
        <w:szCs w:val="24"/>
      </w:rPr>
    </w:lvl>
    <w:lvl w:ilvl="1">
      <w:start w:val="0"/>
      <w:numFmt w:val="bullet"/>
      <w:lvlText w:val="•"/>
      <w:lvlJc w:val="left"/>
      <w:pPr>
        <w:ind w:left="2038" w:hanging="360"/>
      </w:pPr>
      <w:rPr>
        <w:rFonts w:hint="default"/>
      </w:rPr>
    </w:lvl>
    <w:lvl w:ilvl="2">
      <w:start w:val="0"/>
      <w:numFmt w:val="bullet"/>
      <w:lvlText w:val="•"/>
      <w:lvlJc w:val="left"/>
      <w:pPr>
        <w:ind w:left="2976" w:hanging="360"/>
      </w:pPr>
      <w:rPr>
        <w:rFonts w:hint="default"/>
      </w:rPr>
    </w:lvl>
    <w:lvl w:ilvl="3">
      <w:start w:val="0"/>
      <w:numFmt w:val="bullet"/>
      <w:lvlText w:val="•"/>
      <w:lvlJc w:val="left"/>
      <w:pPr>
        <w:ind w:left="3914" w:hanging="360"/>
      </w:pPr>
      <w:rPr>
        <w:rFonts w:hint="default"/>
      </w:rPr>
    </w:lvl>
    <w:lvl w:ilvl="4">
      <w:start w:val="0"/>
      <w:numFmt w:val="bullet"/>
      <w:lvlText w:val="•"/>
      <w:lvlJc w:val="left"/>
      <w:pPr>
        <w:ind w:left="4852" w:hanging="360"/>
      </w:pPr>
      <w:rPr>
        <w:rFonts w:hint="default"/>
      </w:rPr>
    </w:lvl>
    <w:lvl w:ilvl="5">
      <w:start w:val="0"/>
      <w:numFmt w:val="bullet"/>
      <w:lvlText w:val="•"/>
      <w:lvlJc w:val="left"/>
      <w:pPr>
        <w:ind w:left="5790" w:hanging="360"/>
      </w:pPr>
      <w:rPr>
        <w:rFonts w:hint="default"/>
      </w:rPr>
    </w:lvl>
    <w:lvl w:ilvl="6">
      <w:start w:val="0"/>
      <w:numFmt w:val="bullet"/>
      <w:lvlText w:val="•"/>
      <w:lvlJc w:val="left"/>
      <w:pPr>
        <w:ind w:left="6728" w:hanging="360"/>
      </w:pPr>
      <w:rPr>
        <w:rFonts w:hint="default"/>
      </w:rPr>
    </w:lvl>
    <w:lvl w:ilvl="7">
      <w:start w:val="0"/>
      <w:numFmt w:val="bullet"/>
      <w:lvlText w:val="•"/>
      <w:lvlJc w:val="left"/>
      <w:pPr>
        <w:ind w:left="7666" w:hanging="360"/>
      </w:pPr>
      <w:rPr>
        <w:rFonts w:hint="default"/>
      </w:rPr>
    </w:lvl>
    <w:lvl w:ilvl="8">
      <w:start w:val="0"/>
      <w:numFmt w:val="bullet"/>
      <w:lvlText w:val="•"/>
      <w:lvlJc w:val="left"/>
      <w:pPr>
        <w:ind w:left="8604" w:hanging="360"/>
      </w:pPr>
      <w:rPr>
        <w:rFonts w:hint="default"/>
      </w:rPr>
    </w:lvl>
  </w:abstractNum>
  <w:abstractNum w:abstractNumId="120">
    <w:multiLevelType w:val="hybridMultilevel"/>
    <w:lvl w:ilvl="0">
      <w:start w:val="1"/>
      <w:numFmt w:val="decimal"/>
      <w:lvlText w:val="%1."/>
      <w:lvlJc w:val="left"/>
      <w:pPr>
        <w:ind w:left="1000" w:hanging="360"/>
        <w:jc w:val="left"/>
      </w:pPr>
      <w:rPr>
        <w:rFonts w:hint="default" w:ascii="Arial" w:hAnsi="Arial" w:eastAsia="Arial" w:cs="Arial"/>
        <w:spacing w:val="-27"/>
        <w:w w:val="99"/>
        <w:sz w:val="24"/>
        <w:szCs w:val="24"/>
      </w:rPr>
    </w:lvl>
    <w:lvl w:ilvl="1">
      <w:start w:val="1"/>
      <w:numFmt w:val="decimal"/>
      <w:lvlText w:val="%2."/>
      <w:lvlJc w:val="left"/>
      <w:pPr>
        <w:ind w:left="1106" w:hanging="360"/>
        <w:jc w:val="left"/>
      </w:pPr>
      <w:rPr>
        <w:rFonts w:hint="default" w:ascii="Arial" w:hAnsi="Arial" w:eastAsia="Arial" w:cs="Arial"/>
        <w:spacing w:val="-5"/>
        <w:w w:val="98"/>
        <w:sz w:val="24"/>
        <w:szCs w:val="24"/>
      </w:rPr>
    </w:lvl>
    <w:lvl w:ilvl="2">
      <w:start w:val="1"/>
      <w:numFmt w:val="lowerLetter"/>
      <w:lvlText w:val="%3."/>
      <w:lvlJc w:val="left"/>
      <w:pPr>
        <w:ind w:left="1466" w:hanging="360"/>
        <w:jc w:val="left"/>
      </w:pPr>
      <w:rPr>
        <w:rFonts w:hint="default" w:ascii="Arial" w:hAnsi="Arial" w:eastAsia="Arial" w:cs="Arial"/>
        <w:spacing w:val="-8"/>
        <w:w w:val="98"/>
        <w:sz w:val="24"/>
        <w:szCs w:val="24"/>
      </w:rPr>
    </w:lvl>
    <w:lvl w:ilvl="3">
      <w:start w:val="1"/>
      <w:numFmt w:val="decimal"/>
      <w:lvlText w:val="(%4)"/>
      <w:lvlJc w:val="left"/>
      <w:pPr>
        <w:ind w:left="2330" w:hanging="432"/>
        <w:jc w:val="right"/>
      </w:pPr>
      <w:rPr>
        <w:rFonts w:hint="default"/>
        <w:w w:val="98"/>
        <w:u w:val="single" w:color="2E97D3"/>
      </w:rPr>
    </w:lvl>
    <w:lvl w:ilvl="4">
      <w:start w:val="0"/>
      <w:numFmt w:val="bullet"/>
      <w:lvlText w:val="•"/>
      <w:lvlJc w:val="left"/>
      <w:pPr>
        <w:ind w:left="3494" w:hanging="432"/>
      </w:pPr>
      <w:rPr>
        <w:rFonts w:hint="default"/>
      </w:rPr>
    </w:lvl>
    <w:lvl w:ilvl="5">
      <w:start w:val="0"/>
      <w:numFmt w:val="bullet"/>
      <w:lvlText w:val="•"/>
      <w:lvlJc w:val="left"/>
      <w:pPr>
        <w:ind w:left="4648" w:hanging="432"/>
      </w:pPr>
      <w:rPr>
        <w:rFonts w:hint="default"/>
      </w:rPr>
    </w:lvl>
    <w:lvl w:ilvl="6">
      <w:start w:val="0"/>
      <w:numFmt w:val="bullet"/>
      <w:lvlText w:val="•"/>
      <w:lvlJc w:val="left"/>
      <w:pPr>
        <w:ind w:left="5802" w:hanging="432"/>
      </w:pPr>
      <w:rPr>
        <w:rFonts w:hint="default"/>
      </w:rPr>
    </w:lvl>
    <w:lvl w:ilvl="7">
      <w:start w:val="0"/>
      <w:numFmt w:val="bullet"/>
      <w:lvlText w:val="•"/>
      <w:lvlJc w:val="left"/>
      <w:pPr>
        <w:ind w:left="6957" w:hanging="432"/>
      </w:pPr>
      <w:rPr>
        <w:rFonts w:hint="default"/>
      </w:rPr>
    </w:lvl>
    <w:lvl w:ilvl="8">
      <w:start w:val="0"/>
      <w:numFmt w:val="bullet"/>
      <w:lvlText w:val="•"/>
      <w:lvlJc w:val="left"/>
      <w:pPr>
        <w:ind w:left="8111" w:hanging="432"/>
      </w:pPr>
      <w:rPr>
        <w:rFonts w:hint="default"/>
      </w:rPr>
    </w:lvl>
  </w:abstractNum>
  <w:abstractNum w:abstractNumId="119">
    <w:multiLevelType w:val="hybridMultilevel"/>
    <w:lvl w:ilvl="0">
      <w:start w:val="1"/>
      <w:numFmt w:val="decimal"/>
      <w:lvlText w:val="%1."/>
      <w:lvlJc w:val="left"/>
      <w:pPr>
        <w:ind w:left="1000" w:hanging="360"/>
        <w:jc w:val="left"/>
      </w:pPr>
      <w:rPr>
        <w:rFonts w:hint="default" w:ascii="Arial" w:hAnsi="Arial" w:eastAsia="Arial" w:cs="Arial"/>
        <w:spacing w:val="-17"/>
        <w:w w:val="99"/>
        <w:sz w:val="24"/>
        <w:szCs w:val="24"/>
      </w:rPr>
    </w:lvl>
    <w:lvl w:ilvl="1">
      <w:start w:val="0"/>
      <w:numFmt w:val="bullet"/>
      <w:lvlText w:val="•"/>
      <w:lvlJc w:val="left"/>
      <w:pPr>
        <w:ind w:left="1942" w:hanging="360"/>
      </w:pPr>
      <w:rPr>
        <w:rFonts w:hint="default"/>
      </w:rPr>
    </w:lvl>
    <w:lvl w:ilvl="2">
      <w:start w:val="0"/>
      <w:numFmt w:val="bullet"/>
      <w:lvlText w:val="•"/>
      <w:lvlJc w:val="left"/>
      <w:pPr>
        <w:ind w:left="2884" w:hanging="360"/>
      </w:pPr>
      <w:rPr>
        <w:rFonts w:hint="default"/>
      </w:rPr>
    </w:lvl>
    <w:lvl w:ilvl="3">
      <w:start w:val="0"/>
      <w:numFmt w:val="bullet"/>
      <w:lvlText w:val="•"/>
      <w:lvlJc w:val="left"/>
      <w:pPr>
        <w:ind w:left="3826" w:hanging="360"/>
      </w:pPr>
      <w:rPr>
        <w:rFonts w:hint="default"/>
      </w:rPr>
    </w:lvl>
    <w:lvl w:ilvl="4">
      <w:start w:val="0"/>
      <w:numFmt w:val="bullet"/>
      <w:lvlText w:val="•"/>
      <w:lvlJc w:val="left"/>
      <w:pPr>
        <w:ind w:left="4768" w:hanging="360"/>
      </w:pPr>
      <w:rPr>
        <w:rFonts w:hint="default"/>
      </w:rPr>
    </w:lvl>
    <w:lvl w:ilvl="5">
      <w:start w:val="0"/>
      <w:numFmt w:val="bullet"/>
      <w:lvlText w:val="•"/>
      <w:lvlJc w:val="left"/>
      <w:pPr>
        <w:ind w:left="5710" w:hanging="360"/>
      </w:pPr>
      <w:rPr>
        <w:rFonts w:hint="default"/>
      </w:rPr>
    </w:lvl>
    <w:lvl w:ilvl="6">
      <w:start w:val="0"/>
      <w:numFmt w:val="bullet"/>
      <w:lvlText w:val="•"/>
      <w:lvlJc w:val="left"/>
      <w:pPr>
        <w:ind w:left="6652" w:hanging="360"/>
      </w:pPr>
      <w:rPr>
        <w:rFonts w:hint="default"/>
      </w:rPr>
    </w:lvl>
    <w:lvl w:ilvl="7">
      <w:start w:val="0"/>
      <w:numFmt w:val="bullet"/>
      <w:lvlText w:val="•"/>
      <w:lvlJc w:val="left"/>
      <w:pPr>
        <w:ind w:left="7594" w:hanging="360"/>
      </w:pPr>
      <w:rPr>
        <w:rFonts w:hint="default"/>
      </w:rPr>
    </w:lvl>
    <w:lvl w:ilvl="8">
      <w:start w:val="0"/>
      <w:numFmt w:val="bullet"/>
      <w:lvlText w:val="•"/>
      <w:lvlJc w:val="left"/>
      <w:pPr>
        <w:ind w:left="8536" w:hanging="360"/>
      </w:pPr>
      <w:rPr>
        <w:rFonts w:hint="default"/>
      </w:rPr>
    </w:lvl>
  </w:abstractNum>
  <w:abstractNum w:abstractNumId="118">
    <w:multiLevelType w:val="hybridMultilevel"/>
    <w:lvl w:ilvl="0">
      <w:start w:val="1"/>
      <w:numFmt w:val="decimal"/>
      <w:lvlText w:val="%1."/>
      <w:lvlJc w:val="left"/>
      <w:pPr>
        <w:ind w:left="1144" w:hanging="615"/>
        <w:jc w:val="left"/>
      </w:pPr>
      <w:rPr>
        <w:rFonts w:hint="default"/>
        <w:strike/>
        <w:w w:val="100"/>
      </w:rPr>
    </w:lvl>
    <w:lvl w:ilvl="1">
      <w:start w:val="1"/>
      <w:numFmt w:val="decimal"/>
      <w:lvlText w:val="(%2)"/>
      <w:lvlJc w:val="left"/>
      <w:pPr>
        <w:ind w:left="1432" w:hanging="334"/>
        <w:jc w:val="left"/>
      </w:pPr>
      <w:rPr>
        <w:rFonts w:hint="default"/>
        <w:strike/>
        <w:spacing w:val="-1"/>
        <w:w w:val="100"/>
      </w:rPr>
    </w:lvl>
    <w:lvl w:ilvl="2">
      <w:start w:val="0"/>
      <w:numFmt w:val="bullet"/>
      <w:lvlText w:val="•"/>
      <w:lvlJc w:val="left"/>
      <w:pPr>
        <w:ind w:left="2451" w:hanging="334"/>
      </w:pPr>
      <w:rPr>
        <w:rFonts w:hint="default"/>
      </w:rPr>
    </w:lvl>
    <w:lvl w:ilvl="3">
      <w:start w:val="0"/>
      <w:numFmt w:val="bullet"/>
      <w:lvlText w:val="•"/>
      <w:lvlJc w:val="left"/>
      <w:pPr>
        <w:ind w:left="3462" w:hanging="334"/>
      </w:pPr>
      <w:rPr>
        <w:rFonts w:hint="default"/>
      </w:rPr>
    </w:lvl>
    <w:lvl w:ilvl="4">
      <w:start w:val="0"/>
      <w:numFmt w:val="bullet"/>
      <w:lvlText w:val="•"/>
      <w:lvlJc w:val="left"/>
      <w:pPr>
        <w:ind w:left="4473" w:hanging="334"/>
      </w:pPr>
      <w:rPr>
        <w:rFonts w:hint="default"/>
      </w:rPr>
    </w:lvl>
    <w:lvl w:ilvl="5">
      <w:start w:val="0"/>
      <w:numFmt w:val="bullet"/>
      <w:lvlText w:val="•"/>
      <w:lvlJc w:val="left"/>
      <w:pPr>
        <w:ind w:left="5484" w:hanging="334"/>
      </w:pPr>
      <w:rPr>
        <w:rFonts w:hint="default"/>
      </w:rPr>
    </w:lvl>
    <w:lvl w:ilvl="6">
      <w:start w:val="0"/>
      <w:numFmt w:val="bullet"/>
      <w:lvlText w:val="•"/>
      <w:lvlJc w:val="left"/>
      <w:pPr>
        <w:ind w:left="6495" w:hanging="334"/>
      </w:pPr>
      <w:rPr>
        <w:rFonts w:hint="default"/>
      </w:rPr>
    </w:lvl>
    <w:lvl w:ilvl="7">
      <w:start w:val="0"/>
      <w:numFmt w:val="bullet"/>
      <w:lvlText w:val="•"/>
      <w:lvlJc w:val="left"/>
      <w:pPr>
        <w:ind w:left="7506" w:hanging="334"/>
      </w:pPr>
      <w:rPr>
        <w:rFonts w:hint="default"/>
      </w:rPr>
    </w:lvl>
    <w:lvl w:ilvl="8">
      <w:start w:val="0"/>
      <w:numFmt w:val="bullet"/>
      <w:lvlText w:val="•"/>
      <w:lvlJc w:val="left"/>
      <w:pPr>
        <w:ind w:left="8517" w:hanging="334"/>
      </w:pPr>
      <w:rPr>
        <w:rFonts w:hint="default"/>
      </w:rPr>
    </w:lvl>
  </w:abstractNum>
  <w:abstractNum w:abstractNumId="117">
    <w:multiLevelType w:val="hybridMultilevel"/>
    <w:lvl w:ilvl="0">
      <w:start w:val="1"/>
      <w:numFmt w:val="decimal"/>
      <w:lvlText w:val="%1."/>
      <w:lvlJc w:val="left"/>
      <w:pPr>
        <w:ind w:left="1000" w:hanging="360"/>
        <w:jc w:val="left"/>
      </w:pPr>
      <w:rPr>
        <w:rFonts w:hint="default"/>
        <w:spacing w:val="-25"/>
        <w:w w:val="99"/>
      </w:rPr>
    </w:lvl>
    <w:lvl w:ilvl="1">
      <w:start w:val="1"/>
      <w:numFmt w:val="lowerLetter"/>
      <w:lvlText w:val="%2."/>
      <w:lvlJc w:val="left"/>
      <w:pPr>
        <w:ind w:left="1360" w:hanging="360"/>
        <w:jc w:val="left"/>
      </w:pPr>
      <w:rPr>
        <w:rFonts w:hint="default"/>
        <w:strike/>
        <w:spacing w:val="-3"/>
        <w:w w:val="99"/>
      </w:rPr>
    </w:lvl>
    <w:lvl w:ilvl="2">
      <w:start w:val="0"/>
      <w:numFmt w:val="bullet"/>
      <w:lvlText w:val="•"/>
      <w:lvlJc w:val="left"/>
      <w:pPr>
        <w:ind w:left="2386" w:hanging="360"/>
      </w:pPr>
      <w:rPr>
        <w:rFonts w:hint="default"/>
      </w:rPr>
    </w:lvl>
    <w:lvl w:ilvl="3">
      <w:start w:val="0"/>
      <w:numFmt w:val="bullet"/>
      <w:lvlText w:val="•"/>
      <w:lvlJc w:val="left"/>
      <w:pPr>
        <w:ind w:left="3413" w:hanging="360"/>
      </w:pPr>
      <w:rPr>
        <w:rFonts w:hint="default"/>
      </w:rPr>
    </w:lvl>
    <w:lvl w:ilvl="4">
      <w:start w:val="0"/>
      <w:numFmt w:val="bullet"/>
      <w:lvlText w:val="•"/>
      <w:lvlJc w:val="left"/>
      <w:pPr>
        <w:ind w:left="4440" w:hanging="360"/>
      </w:pPr>
      <w:rPr>
        <w:rFonts w:hint="default"/>
      </w:rPr>
    </w:lvl>
    <w:lvl w:ilvl="5">
      <w:start w:val="0"/>
      <w:numFmt w:val="bullet"/>
      <w:lvlText w:val="•"/>
      <w:lvlJc w:val="left"/>
      <w:pPr>
        <w:ind w:left="5466" w:hanging="360"/>
      </w:pPr>
      <w:rPr>
        <w:rFonts w:hint="default"/>
      </w:rPr>
    </w:lvl>
    <w:lvl w:ilvl="6">
      <w:start w:val="0"/>
      <w:numFmt w:val="bullet"/>
      <w:lvlText w:val="•"/>
      <w:lvlJc w:val="left"/>
      <w:pPr>
        <w:ind w:left="6493" w:hanging="360"/>
      </w:pPr>
      <w:rPr>
        <w:rFonts w:hint="default"/>
      </w:rPr>
    </w:lvl>
    <w:lvl w:ilvl="7">
      <w:start w:val="0"/>
      <w:numFmt w:val="bullet"/>
      <w:lvlText w:val="•"/>
      <w:lvlJc w:val="left"/>
      <w:pPr>
        <w:ind w:left="7520" w:hanging="360"/>
      </w:pPr>
      <w:rPr>
        <w:rFonts w:hint="default"/>
      </w:rPr>
    </w:lvl>
    <w:lvl w:ilvl="8">
      <w:start w:val="0"/>
      <w:numFmt w:val="bullet"/>
      <w:lvlText w:val="•"/>
      <w:lvlJc w:val="left"/>
      <w:pPr>
        <w:ind w:left="8546" w:hanging="360"/>
      </w:pPr>
      <w:rPr>
        <w:rFonts w:hint="default"/>
      </w:rPr>
    </w:lvl>
  </w:abstractNum>
  <w:abstractNum w:abstractNumId="116">
    <w:multiLevelType w:val="hybridMultilevel"/>
    <w:lvl w:ilvl="0">
      <w:start w:val="1"/>
      <w:numFmt w:val="decimal"/>
      <w:lvlText w:val="%1."/>
      <w:lvlJc w:val="left"/>
      <w:pPr>
        <w:ind w:left="1000" w:hanging="360"/>
        <w:jc w:val="left"/>
      </w:pPr>
      <w:rPr>
        <w:rFonts w:hint="default" w:ascii="Arial" w:hAnsi="Arial" w:eastAsia="Arial" w:cs="Arial"/>
        <w:spacing w:val="-28"/>
        <w:w w:val="99"/>
        <w:sz w:val="24"/>
        <w:szCs w:val="24"/>
      </w:rPr>
    </w:lvl>
    <w:lvl w:ilvl="1">
      <w:start w:val="0"/>
      <w:numFmt w:val="bullet"/>
      <w:lvlText w:val="•"/>
      <w:lvlJc w:val="left"/>
      <w:pPr>
        <w:ind w:left="1952" w:hanging="360"/>
      </w:pPr>
      <w:rPr>
        <w:rFonts w:hint="default"/>
      </w:rPr>
    </w:lvl>
    <w:lvl w:ilvl="2">
      <w:start w:val="0"/>
      <w:numFmt w:val="bullet"/>
      <w:lvlText w:val="•"/>
      <w:lvlJc w:val="left"/>
      <w:pPr>
        <w:ind w:left="2904" w:hanging="360"/>
      </w:pPr>
      <w:rPr>
        <w:rFonts w:hint="default"/>
      </w:rPr>
    </w:lvl>
    <w:lvl w:ilvl="3">
      <w:start w:val="0"/>
      <w:numFmt w:val="bullet"/>
      <w:lvlText w:val="•"/>
      <w:lvlJc w:val="left"/>
      <w:pPr>
        <w:ind w:left="3856" w:hanging="360"/>
      </w:pPr>
      <w:rPr>
        <w:rFonts w:hint="default"/>
      </w:rPr>
    </w:lvl>
    <w:lvl w:ilvl="4">
      <w:start w:val="0"/>
      <w:numFmt w:val="bullet"/>
      <w:lvlText w:val="•"/>
      <w:lvlJc w:val="left"/>
      <w:pPr>
        <w:ind w:left="4808" w:hanging="360"/>
      </w:pPr>
      <w:rPr>
        <w:rFonts w:hint="default"/>
      </w:rPr>
    </w:lvl>
    <w:lvl w:ilvl="5">
      <w:start w:val="0"/>
      <w:numFmt w:val="bullet"/>
      <w:lvlText w:val="•"/>
      <w:lvlJc w:val="left"/>
      <w:pPr>
        <w:ind w:left="5760" w:hanging="360"/>
      </w:pPr>
      <w:rPr>
        <w:rFonts w:hint="default"/>
      </w:rPr>
    </w:lvl>
    <w:lvl w:ilvl="6">
      <w:start w:val="0"/>
      <w:numFmt w:val="bullet"/>
      <w:lvlText w:val="•"/>
      <w:lvlJc w:val="left"/>
      <w:pPr>
        <w:ind w:left="6712" w:hanging="360"/>
      </w:pPr>
      <w:rPr>
        <w:rFonts w:hint="default"/>
      </w:rPr>
    </w:lvl>
    <w:lvl w:ilvl="7">
      <w:start w:val="0"/>
      <w:numFmt w:val="bullet"/>
      <w:lvlText w:val="•"/>
      <w:lvlJc w:val="left"/>
      <w:pPr>
        <w:ind w:left="7664" w:hanging="360"/>
      </w:pPr>
      <w:rPr>
        <w:rFonts w:hint="default"/>
      </w:rPr>
    </w:lvl>
    <w:lvl w:ilvl="8">
      <w:start w:val="0"/>
      <w:numFmt w:val="bullet"/>
      <w:lvlText w:val="•"/>
      <w:lvlJc w:val="left"/>
      <w:pPr>
        <w:ind w:left="8616" w:hanging="360"/>
      </w:pPr>
      <w:rPr>
        <w:rFonts w:hint="default"/>
      </w:rPr>
    </w:lvl>
  </w:abstractNum>
  <w:abstractNum w:abstractNumId="115">
    <w:multiLevelType w:val="hybridMultilevel"/>
    <w:lvl w:ilvl="0">
      <w:start w:val="1"/>
      <w:numFmt w:val="lowerLetter"/>
      <w:lvlText w:val="%1."/>
      <w:lvlJc w:val="left"/>
      <w:pPr>
        <w:ind w:left="1360" w:hanging="360"/>
        <w:jc w:val="left"/>
      </w:pPr>
      <w:rPr>
        <w:rFonts w:hint="default" w:ascii="Arial" w:hAnsi="Arial" w:eastAsia="Arial" w:cs="Arial"/>
        <w:spacing w:val="-5"/>
        <w:w w:val="99"/>
        <w:sz w:val="24"/>
        <w:szCs w:val="24"/>
      </w:rPr>
    </w:lvl>
    <w:lvl w:ilvl="1">
      <w:start w:val="0"/>
      <w:numFmt w:val="bullet"/>
      <w:lvlText w:val="•"/>
      <w:lvlJc w:val="left"/>
      <w:pPr>
        <w:ind w:left="2276" w:hanging="360"/>
      </w:pPr>
      <w:rPr>
        <w:rFonts w:hint="default"/>
      </w:rPr>
    </w:lvl>
    <w:lvl w:ilvl="2">
      <w:start w:val="0"/>
      <w:numFmt w:val="bullet"/>
      <w:lvlText w:val="•"/>
      <w:lvlJc w:val="left"/>
      <w:pPr>
        <w:ind w:left="3192" w:hanging="360"/>
      </w:pPr>
      <w:rPr>
        <w:rFonts w:hint="default"/>
      </w:rPr>
    </w:lvl>
    <w:lvl w:ilvl="3">
      <w:start w:val="0"/>
      <w:numFmt w:val="bullet"/>
      <w:lvlText w:val="•"/>
      <w:lvlJc w:val="left"/>
      <w:pPr>
        <w:ind w:left="4108" w:hanging="360"/>
      </w:pPr>
      <w:rPr>
        <w:rFonts w:hint="default"/>
      </w:rPr>
    </w:lvl>
    <w:lvl w:ilvl="4">
      <w:start w:val="0"/>
      <w:numFmt w:val="bullet"/>
      <w:lvlText w:val="•"/>
      <w:lvlJc w:val="left"/>
      <w:pPr>
        <w:ind w:left="5024" w:hanging="360"/>
      </w:pPr>
      <w:rPr>
        <w:rFonts w:hint="default"/>
      </w:rPr>
    </w:lvl>
    <w:lvl w:ilvl="5">
      <w:start w:val="0"/>
      <w:numFmt w:val="bullet"/>
      <w:lvlText w:val="•"/>
      <w:lvlJc w:val="left"/>
      <w:pPr>
        <w:ind w:left="5940" w:hanging="360"/>
      </w:pPr>
      <w:rPr>
        <w:rFonts w:hint="default"/>
      </w:rPr>
    </w:lvl>
    <w:lvl w:ilvl="6">
      <w:start w:val="0"/>
      <w:numFmt w:val="bullet"/>
      <w:lvlText w:val="•"/>
      <w:lvlJc w:val="left"/>
      <w:pPr>
        <w:ind w:left="6856" w:hanging="360"/>
      </w:pPr>
      <w:rPr>
        <w:rFonts w:hint="default"/>
      </w:rPr>
    </w:lvl>
    <w:lvl w:ilvl="7">
      <w:start w:val="0"/>
      <w:numFmt w:val="bullet"/>
      <w:lvlText w:val="•"/>
      <w:lvlJc w:val="left"/>
      <w:pPr>
        <w:ind w:left="7772" w:hanging="360"/>
      </w:pPr>
      <w:rPr>
        <w:rFonts w:hint="default"/>
      </w:rPr>
    </w:lvl>
    <w:lvl w:ilvl="8">
      <w:start w:val="0"/>
      <w:numFmt w:val="bullet"/>
      <w:lvlText w:val="•"/>
      <w:lvlJc w:val="left"/>
      <w:pPr>
        <w:ind w:left="8688" w:hanging="360"/>
      </w:pPr>
      <w:rPr>
        <w:rFonts w:hint="default"/>
      </w:rPr>
    </w:lvl>
  </w:abstractNum>
  <w:abstractNum w:abstractNumId="114">
    <w:multiLevelType w:val="hybridMultilevel"/>
    <w:lvl w:ilvl="0">
      <w:start w:val="1"/>
      <w:numFmt w:val="decimal"/>
      <w:lvlText w:val="%1."/>
      <w:lvlJc w:val="left"/>
      <w:pPr>
        <w:ind w:left="1046" w:hanging="360"/>
        <w:jc w:val="left"/>
      </w:pPr>
      <w:rPr>
        <w:rFonts w:hint="default" w:ascii="Arial" w:hAnsi="Arial" w:eastAsia="Arial" w:cs="Arial"/>
        <w:spacing w:val="-5"/>
        <w:w w:val="99"/>
        <w:sz w:val="24"/>
        <w:szCs w:val="24"/>
      </w:rPr>
    </w:lvl>
    <w:lvl w:ilvl="1">
      <w:start w:val="0"/>
      <w:numFmt w:val="bullet"/>
      <w:lvlText w:val="•"/>
      <w:lvlJc w:val="left"/>
      <w:pPr>
        <w:ind w:left="1980" w:hanging="360"/>
      </w:pPr>
      <w:rPr>
        <w:rFonts w:hint="default"/>
      </w:rPr>
    </w:lvl>
    <w:lvl w:ilvl="2">
      <w:start w:val="0"/>
      <w:numFmt w:val="bullet"/>
      <w:lvlText w:val="•"/>
      <w:lvlJc w:val="left"/>
      <w:pPr>
        <w:ind w:left="2920" w:hanging="360"/>
      </w:pPr>
      <w:rPr>
        <w:rFonts w:hint="default"/>
      </w:rPr>
    </w:lvl>
    <w:lvl w:ilvl="3">
      <w:start w:val="0"/>
      <w:numFmt w:val="bullet"/>
      <w:lvlText w:val="•"/>
      <w:lvlJc w:val="left"/>
      <w:pPr>
        <w:ind w:left="3860" w:hanging="360"/>
      </w:pPr>
      <w:rPr>
        <w:rFonts w:hint="default"/>
      </w:rPr>
    </w:lvl>
    <w:lvl w:ilvl="4">
      <w:start w:val="0"/>
      <w:numFmt w:val="bullet"/>
      <w:lvlText w:val="•"/>
      <w:lvlJc w:val="left"/>
      <w:pPr>
        <w:ind w:left="4800" w:hanging="360"/>
      </w:pPr>
      <w:rPr>
        <w:rFonts w:hint="default"/>
      </w:rPr>
    </w:lvl>
    <w:lvl w:ilvl="5">
      <w:start w:val="0"/>
      <w:numFmt w:val="bullet"/>
      <w:lvlText w:val="•"/>
      <w:lvlJc w:val="left"/>
      <w:pPr>
        <w:ind w:left="5740" w:hanging="360"/>
      </w:pPr>
      <w:rPr>
        <w:rFonts w:hint="default"/>
      </w:rPr>
    </w:lvl>
    <w:lvl w:ilvl="6">
      <w:start w:val="0"/>
      <w:numFmt w:val="bullet"/>
      <w:lvlText w:val="•"/>
      <w:lvlJc w:val="left"/>
      <w:pPr>
        <w:ind w:left="6680" w:hanging="360"/>
      </w:pPr>
      <w:rPr>
        <w:rFonts w:hint="default"/>
      </w:rPr>
    </w:lvl>
    <w:lvl w:ilvl="7">
      <w:start w:val="0"/>
      <w:numFmt w:val="bullet"/>
      <w:lvlText w:val="•"/>
      <w:lvlJc w:val="left"/>
      <w:pPr>
        <w:ind w:left="7620" w:hanging="360"/>
      </w:pPr>
      <w:rPr>
        <w:rFonts w:hint="default"/>
      </w:rPr>
    </w:lvl>
    <w:lvl w:ilvl="8">
      <w:start w:val="0"/>
      <w:numFmt w:val="bullet"/>
      <w:lvlText w:val="•"/>
      <w:lvlJc w:val="left"/>
      <w:pPr>
        <w:ind w:left="8560" w:hanging="360"/>
      </w:pPr>
      <w:rPr>
        <w:rFonts w:hint="default"/>
      </w:rPr>
    </w:lvl>
  </w:abstractNum>
  <w:abstractNum w:abstractNumId="113">
    <w:multiLevelType w:val="hybridMultilevel"/>
    <w:lvl w:ilvl="0">
      <w:start w:val="1"/>
      <w:numFmt w:val="decimal"/>
      <w:lvlText w:val="%1."/>
      <w:lvlJc w:val="left"/>
      <w:pPr>
        <w:ind w:left="1046" w:hanging="360"/>
        <w:jc w:val="right"/>
      </w:pPr>
      <w:rPr>
        <w:rFonts w:hint="default"/>
        <w:spacing w:val="-7"/>
        <w:w w:val="99"/>
      </w:rPr>
    </w:lvl>
    <w:lvl w:ilvl="1">
      <w:start w:val="0"/>
      <w:numFmt w:val="bullet"/>
      <w:lvlText w:val="•"/>
      <w:lvlJc w:val="left"/>
      <w:pPr>
        <w:ind w:left="1978" w:hanging="360"/>
      </w:pPr>
      <w:rPr>
        <w:rFonts w:hint="default"/>
      </w:rPr>
    </w:lvl>
    <w:lvl w:ilvl="2">
      <w:start w:val="0"/>
      <w:numFmt w:val="bullet"/>
      <w:lvlText w:val="•"/>
      <w:lvlJc w:val="left"/>
      <w:pPr>
        <w:ind w:left="2916" w:hanging="360"/>
      </w:pPr>
      <w:rPr>
        <w:rFonts w:hint="default"/>
      </w:rPr>
    </w:lvl>
    <w:lvl w:ilvl="3">
      <w:start w:val="0"/>
      <w:numFmt w:val="bullet"/>
      <w:lvlText w:val="•"/>
      <w:lvlJc w:val="left"/>
      <w:pPr>
        <w:ind w:left="3854" w:hanging="360"/>
      </w:pPr>
      <w:rPr>
        <w:rFonts w:hint="default"/>
      </w:rPr>
    </w:lvl>
    <w:lvl w:ilvl="4">
      <w:start w:val="0"/>
      <w:numFmt w:val="bullet"/>
      <w:lvlText w:val="•"/>
      <w:lvlJc w:val="left"/>
      <w:pPr>
        <w:ind w:left="4792" w:hanging="360"/>
      </w:pPr>
      <w:rPr>
        <w:rFonts w:hint="default"/>
      </w:rPr>
    </w:lvl>
    <w:lvl w:ilvl="5">
      <w:start w:val="0"/>
      <w:numFmt w:val="bullet"/>
      <w:lvlText w:val="•"/>
      <w:lvlJc w:val="left"/>
      <w:pPr>
        <w:ind w:left="5730" w:hanging="360"/>
      </w:pPr>
      <w:rPr>
        <w:rFonts w:hint="default"/>
      </w:rPr>
    </w:lvl>
    <w:lvl w:ilvl="6">
      <w:start w:val="0"/>
      <w:numFmt w:val="bullet"/>
      <w:lvlText w:val="•"/>
      <w:lvlJc w:val="left"/>
      <w:pPr>
        <w:ind w:left="6668" w:hanging="360"/>
      </w:pPr>
      <w:rPr>
        <w:rFonts w:hint="default"/>
      </w:rPr>
    </w:lvl>
    <w:lvl w:ilvl="7">
      <w:start w:val="0"/>
      <w:numFmt w:val="bullet"/>
      <w:lvlText w:val="•"/>
      <w:lvlJc w:val="left"/>
      <w:pPr>
        <w:ind w:left="7606" w:hanging="360"/>
      </w:pPr>
      <w:rPr>
        <w:rFonts w:hint="default"/>
      </w:rPr>
    </w:lvl>
    <w:lvl w:ilvl="8">
      <w:start w:val="0"/>
      <w:numFmt w:val="bullet"/>
      <w:lvlText w:val="•"/>
      <w:lvlJc w:val="left"/>
      <w:pPr>
        <w:ind w:left="8544" w:hanging="360"/>
      </w:pPr>
      <w:rPr>
        <w:rFonts w:hint="default"/>
      </w:rPr>
    </w:lvl>
  </w:abstractNum>
  <w:abstractNum w:abstractNumId="112">
    <w:multiLevelType w:val="hybridMultilevel"/>
    <w:lvl w:ilvl="0">
      <w:start w:val="1"/>
      <w:numFmt w:val="decimal"/>
      <w:lvlText w:val="%1."/>
      <w:lvlJc w:val="left"/>
      <w:pPr>
        <w:ind w:left="1046" w:hanging="360"/>
        <w:jc w:val="left"/>
      </w:pPr>
      <w:rPr>
        <w:rFonts w:hint="default" w:ascii="Arial" w:hAnsi="Arial" w:eastAsia="Arial" w:cs="Arial"/>
        <w:spacing w:val="-4"/>
        <w:w w:val="99"/>
        <w:sz w:val="24"/>
        <w:szCs w:val="24"/>
      </w:rPr>
    </w:lvl>
    <w:lvl w:ilvl="1">
      <w:start w:val="0"/>
      <w:numFmt w:val="bullet"/>
      <w:lvlText w:val="•"/>
      <w:lvlJc w:val="left"/>
      <w:pPr>
        <w:ind w:left="1978" w:hanging="360"/>
      </w:pPr>
      <w:rPr>
        <w:rFonts w:hint="default"/>
      </w:rPr>
    </w:lvl>
    <w:lvl w:ilvl="2">
      <w:start w:val="0"/>
      <w:numFmt w:val="bullet"/>
      <w:lvlText w:val="•"/>
      <w:lvlJc w:val="left"/>
      <w:pPr>
        <w:ind w:left="2916" w:hanging="360"/>
      </w:pPr>
      <w:rPr>
        <w:rFonts w:hint="default"/>
      </w:rPr>
    </w:lvl>
    <w:lvl w:ilvl="3">
      <w:start w:val="0"/>
      <w:numFmt w:val="bullet"/>
      <w:lvlText w:val="•"/>
      <w:lvlJc w:val="left"/>
      <w:pPr>
        <w:ind w:left="3854" w:hanging="360"/>
      </w:pPr>
      <w:rPr>
        <w:rFonts w:hint="default"/>
      </w:rPr>
    </w:lvl>
    <w:lvl w:ilvl="4">
      <w:start w:val="0"/>
      <w:numFmt w:val="bullet"/>
      <w:lvlText w:val="•"/>
      <w:lvlJc w:val="left"/>
      <w:pPr>
        <w:ind w:left="4792" w:hanging="360"/>
      </w:pPr>
      <w:rPr>
        <w:rFonts w:hint="default"/>
      </w:rPr>
    </w:lvl>
    <w:lvl w:ilvl="5">
      <w:start w:val="0"/>
      <w:numFmt w:val="bullet"/>
      <w:lvlText w:val="•"/>
      <w:lvlJc w:val="left"/>
      <w:pPr>
        <w:ind w:left="5730" w:hanging="360"/>
      </w:pPr>
      <w:rPr>
        <w:rFonts w:hint="default"/>
      </w:rPr>
    </w:lvl>
    <w:lvl w:ilvl="6">
      <w:start w:val="0"/>
      <w:numFmt w:val="bullet"/>
      <w:lvlText w:val="•"/>
      <w:lvlJc w:val="left"/>
      <w:pPr>
        <w:ind w:left="6668" w:hanging="360"/>
      </w:pPr>
      <w:rPr>
        <w:rFonts w:hint="default"/>
      </w:rPr>
    </w:lvl>
    <w:lvl w:ilvl="7">
      <w:start w:val="0"/>
      <w:numFmt w:val="bullet"/>
      <w:lvlText w:val="•"/>
      <w:lvlJc w:val="left"/>
      <w:pPr>
        <w:ind w:left="7606" w:hanging="360"/>
      </w:pPr>
      <w:rPr>
        <w:rFonts w:hint="default"/>
      </w:rPr>
    </w:lvl>
    <w:lvl w:ilvl="8">
      <w:start w:val="0"/>
      <w:numFmt w:val="bullet"/>
      <w:lvlText w:val="•"/>
      <w:lvlJc w:val="left"/>
      <w:pPr>
        <w:ind w:left="8544" w:hanging="360"/>
      </w:pPr>
      <w:rPr>
        <w:rFonts w:hint="default"/>
      </w:rPr>
    </w:lvl>
  </w:abstractNum>
  <w:abstractNum w:abstractNumId="111">
    <w:multiLevelType w:val="hybridMultilevel"/>
    <w:lvl w:ilvl="0">
      <w:start w:val="1"/>
      <w:numFmt w:val="decimal"/>
      <w:lvlText w:val="%1."/>
      <w:lvlJc w:val="left"/>
      <w:pPr>
        <w:ind w:left="1046" w:hanging="360"/>
        <w:jc w:val="left"/>
      </w:pPr>
      <w:rPr>
        <w:rFonts w:hint="default" w:ascii="Arial" w:hAnsi="Arial" w:eastAsia="Arial" w:cs="Arial"/>
        <w:spacing w:val="-3"/>
        <w:w w:val="99"/>
        <w:sz w:val="24"/>
        <w:szCs w:val="24"/>
      </w:rPr>
    </w:lvl>
    <w:lvl w:ilvl="1">
      <w:start w:val="0"/>
      <w:numFmt w:val="bullet"/>
      <w:lvlText w:val="•"/>
      <w:lvlJc w:val="left"/>
      <w:pPr>
        <w:ind w:left="1978" w:hanging="360"/>
      </w:pPr>
      <w:rPr>
        <w:rFonts w:hint="default"/>
      </w:rPr>
    </w:lvl>
    <w:lvl w:ilvl="2">
      <w:start w:val="0"/>
      <w:numFmt w:val="bullet"/>
      <w:lvlText w:val="•"/>
      <w:lvlJc w:val="left"/>
      <w:pPr>
        <w:ind w:left="2916" w:hanging="360"/>
      </w:pPr>
      <w:rPr>
        <w:rFonts w:hint="default"/>
      </w:rPr>
    </w:lvl>
    <w:lvl w:ilvl="3">
      <w:start w:val="0"/>
      <w:numFmt w:val="bullet"/>
      <w:lvlText w:val="•"/>
      <w:lvlJc w:val="left"/>
      <w:pPr>
        <w:ind w:left="3854" w:hanging="360"/>
      </w:pPr>
      <w:rPr>
        <w:rFonts w:hint="default"/>
      </w:rPr>
    </w:lvl>
    <w:lvl w:ilvl="4">
      <w:start w:val="0"/>
      <w:numFmt w:val="bullet"/>
      <w:lvlText w:val="•"/>
      <w:lvlJc w:val="left"/>
      <w:pPr>
        <w:ind w:left="4792" w:hanging="360"/>
      </w:pPr>
      <w:rPr>
        <w:rFonts w:hint="default"/>
      </w:rPr>
    </w:lvl>
    <w:lvl w:ilvl="5">
      <w:start w:val="0"/>
      <w:numFmt w:val="bullet"/>
      <w:lvlText w:val="•"/>
      <w:lvlJc w:val="left"/>
      <w:pPr>
        <w:ind w:left="5730" w:hanging="360"/>
      </w:pPr>
      <w:rPr>
        <w:rFonts w:hint="default"/>
      </w:rPr>
    </w:lvl>
    <w:lvl w:ilvl="6">
      <w:start w:val="0"/>
      <w:numFmt w:val="bullet"/>
      <w:lvlText w:val="•"/>
      <w:lvlJc w:val="left"/>
      <w:pPr>
        <w:ind w:left="6668" w:hanging="360"/>
      </w:pPr>
      <w:rPr>
        <w:rFonts w:hint="default"/>
      </w:rPr>
    </w:lvl>
    <w:lvl w:ilvl="7">
      <w:start w:val="0"/>
      <w:numFmt w:val="bullet"/>
      <w:lvlText w:val="•"/>
      <w:lvlJc w:val="left"/>
      <w:pPr>
        <w:ind w:left="7606" w:hanging="360"/>
      </w:pPr>
      <w:rPr>
        <w:rFonts w:hint="default"/>
      </w:rPr>
    </w:lvl>
    <w:lvl w:ilvl="8">
      <w:start w:val="0"/>
      <w:numFmt w:val="bullet"/>
      <w:lvlText w:val="•"/>
      <w:lvlJc w:val="left"/>
      <w:pPr>
        <w:ind w:left="8544" w:hanging="360"/>
      </w:pPr>
      <w:rPr>
        <w:rFonts w:hint="default"/>
      </w:rPr>
    </w:lvl>
  </w:abstractNum>
  <w:abstractNum w:abstractNumId="110">
    <w:multiLevelType w:val="hybridMultilevel"/>
    <w:lvl w:ilvl="0">
      <w:start w:val="1"/>
      <w:numFmt w:val="decimal"/>
      <w:lvlText w:val="%1."/>
      <w:lvlJc w:val="left"/>
      <w:pPr>
        <w:ind w:left="466" w:hanging="360"/>
        <w:jc w:val="left"/>
      </w:pPr>
      <w:rPr>
        <w:rFonts w:hint="default"/>
        <w:spacing w:val="-4"/>
        <w:w w:val="99"/>
      </w:rPr>
    </w:lvl>
    <w:lvl w:ilvl="1">
      <w:start w:val="0"/>
      <w:numFmt w:val="bullet"/>
      <w:lvlText w:val="•"/>
      <w:lvlJc w:val="left"/>
      <w:pPr>
        <w:ind w:left="1398" w:hanging="360"/>
      </w:pPr>
      <w:rPr>
        <w:rFonts w:hint="default"/>
      </w:rPr>
    </w:lvl>
    <w:lvl w:ilvl="2">
      <w:start w:val="0"/>
      <w:numFmt w:val="bullet"/>
      <w:lvlText w:val="•"/>
      <w:lvlJc w:val="left"/>
      <w:pPr>
        <w:ind w:left="2336" w:hanging="360"/>
      </w:pPr>
      <w:rPr>
        <w:rFonts w:hint="default"/>
      </w:rPr>
    </w:lvl>
    <w:lvl w:ilvl="3">
      <w:start w:val="0"/>
      <w:numFmt w:val="bullet"/>
      <w:lvlText w:val="•"/>
      <w:lvlJc w:val="left"/>
      <w:pPr>
        <w:ind w:left="3274" w:hanging="360"/>
      </w:pPr>
      <w:rPr>
        <w:rFonts w:hint="default"/>
      </w:rPr>
    </w:lvl>
    <w:lvl w:ilvl="4">
      <w:start w:val="0"/>
      <w:numFmt w:val="bullet"/>
      <w:lvlText w:val="•"/>
      <w:lvlJc w:val="left"/>
      <w:pPr>
        <w:ind w:left="4212" w:hanging="360"/>
      </w:pPr>
      <w:rPr>
        <w:rFonts w:hint="default"/>
      </w:rPr>
    </w:lvl>
    <w:lvl w:ilvl="5">
      <w:start w:val="0"/>
      <w:numFmt w:val="bullet"/>
      <w:lvlText w:val="•"/>
      <w:lvlJc w:val="left"/>
      <w:pPr>
        <w:ind w:left="5150" w:hanging="360"/>
      </w:pPr>
      <w:rPr>
        <w:rFonts w:hint="default"/>
      </w:rPr>
    </w:lvl>
    <w:lvl w:ilvl="6">
      <w:start w:val="0"/>
      <w:numFmt w:val="bullet"/>
      <w:lvlText w:val="•"/>
      <w:lvlJc w:val="left"/>
      <w:pPr>
        <w:ind w:left="6088" w:hanging="360"/>
      </w:pPr>
      <w:rPr>
        <w:rFonts w:hint="default"/>
      </w:rPr>
    </w:lvl>
    <w:lvl w:ilvl="7">
      <w:start w:val="0"/>
      <w:numFmt w:val="bullet"/>
      <w:lvlText w:val="•"/>
      <w:lvlJc w:val="left"/>
      <w:pPr>
        <w:ind w:left="7026" w:hanging="360"/>
      </w:pPr>
      <w:rPr>
        <w:rFonts w:hint="default"/>
      </w:rPr>
    </w:lvl>
    <w:lvl w:ilvl="8">
      <w:start w:val="0"/>
      <w:numFmt w:val="bullet"/>
      <w:lvlText w:val="•"/>
      <w:lvlJc w:val="left"/>
      <w:pPr>
        <w:ind w:left="7964" w:hanging="360"/>
      </w:pPr>
      <w:rPr>
        <w:rFonts w:hint="default"/>
      </w:rPr>
    </w:lvl>
  </w:abstractNum>
  <w:abstractNum w:abstractNumId="109">
    <w:multiLevelType w:val="hybridMultilevel"/>
    <w:lvl w:ilvl="0">
      <w:start w:val="1"/>
      <w:numFmt w:val="decimal"/>
      <w:lvlText w:val="%1."/>
      <w:lvlJc w:val="left"/>
      <w:pPr>
        <w:ind w:left="466" w:hanging="360"/>
        <w:jc w:val="left"/>
      </w:pPr>
      <w:rPr>
        <w:rFonts w:hint="default" w:ascii="Arial" w:hAnsi="Arial" w:eastAsia="Arial" w:cs="Arial"/>
        <w:spacing w:val="-3"/>
        <w:w w:val="99"/>
        <w:sz w:val="24"/>
        <w:szCs w:val="24"/>
      </w:rPr>
    </w:lvl>
    <w:lvl w:ilvl="1">
      <w:start w:val="0"/>
      <w:numFmt w:val="bullet"/>
      <w:lvlText w:val="•"/>
      <w:lvlJc w:val="left"/>
      <w:pPr>
        <w:ind w:left="920" w:hanging="360"/>
      </w:pPr>
      <w:rPr>
        <w:rFonts w:hint="default"/>
      </w:rPr>
    </w:lvl>
    <w:lvl w:ilvl="2">
      <w:start w:val="0"/>
      <w:numFmt w:val="bullet"/>
      <w:lvlText w:val="•"/>
      <w:lvlJc w:val="left"/>
      <w:pPr>
        <w:ind w:left="1868" w:hanging="360"/>
      </w:pPr>
      <w:rPr>
        <w:rFonts w:hint="default"/>
      </w:rPr>
    </w:lvl>
    <w:lvl w:ilvl="3">
      <w:start w:val="0"/>
      <w:numFmt w:val="bullet"/>
      <w:lvlText w:val="•"/>
      <w:lvlJc w:val="left"/>
      <w:pPr>
        <w:ind w:left="2817" w:hanging="360"/>
      </w:pPr>
      <w:rPr>
        <w:rFonts w:hint="default"/>
      </w:rPr>
    </w:lvl>
    <w:lvl w:ilvl="4">
      <w:start w:val="0"/>
      <w:numFmt w:val="bullet"/>
      <w:lvlText w:val="•"/>
      <w:lvlJc w:val="left"/>
      <w:pPr>
        <w:ind w:left="3766" w:hanging="360"/>
      </w:pPr>
      <w:rPr>
        <w:rFonts w:hint="default"/>
      </w:rPr>
    </w:lvl>
    <w:lvl w:ilvl="5">
      <w:start w:val="0"/>
      <w:numFmt w:val="bullet"/>
      <w:lvlText w:val="•"/>
      <w:lvlJc w:val="left"/>
      <w:pPr>
        <w:ind w:left="4715" w:hanging="360"/>
      </w:pPr>
      <w:rPr>
        <w:rFonts w:hint="default"/>
      </w:rPr>
    </w:lvl>
    <w:lvl w:ilvl="6">
      <w:start w:val="0"/>
      <w:numFmt w:val="bullet"/>
      <w:lvlText w:val="•"/>
      <w:lvlJc w:val="left"/>
      <w:pPr>
        <w:ind w:left="5664" w:hanging="360"/>
      </w:pPr>
      <w:rPr>
        <w:rFonts w:hint="default"/>
      </w:rPr>
    </w:lvl>
    <w:lvl w:ilvl="7">
      <w:start w:val="0"/>
      <w:numFmt w:val="bullet"/>
      <w:lvlText w:val="•"/>
      <w:lvlJc w:val="left"/>
      <w:pPr>
        <w:ind w:left="6613" w:hanging="360"/>
      </w:pPr>
      <w:rPr>
        <w:rFonts w:hint="default"/>
      </w:rPr>
    </w:lvl>
    <w:lvl w:ilvl="8">
      <w:start w:val="0"/>
      <w:numFmt w:val="bullet"/>
      <w:lvlText w:val="•"/>
      <w:lvlJc w:val="left"/>
      <w:pPr>
        <w:ind w:left="7562" w:hanging="360"/>
      </w:pPr>
      <w:rPr>
        <w:rFonts w:hint="default"/>
      </w:rPr>
    </w:lvl>
  </w:abstractNum>
  <w:abstractNum w:abstractNumId="108">
    <w:multiLevelType w:val="hybridMultilevel"/>
    <w:lvl w:ilvl="0">
      <w:start w:val="1"/>
      <w:numFmt w:val="decimal"/>
      <w:lvlText w:val="%1."/>
      <w:lvlJc w:val="left"/>
      <w:pPr>
        <w:ind w:left="466" w:hanging="360"/>
        <w:jc w:val="left"/>
      </w:pPr>
      <w:rPr>
        <w:rFonts w:hint="default" w:ascii="Arial" w:hAnsi="Arial" w:eastAsia="Arial" w:cs="Arial"/>
        <w:spacing w:val="-4"/>
        <w:w w:val="99"/>
        <w:sz w:val="24"/>
        <w:szCs w:val="24"/>
      </w:rPr>
    </w:lvl>
    <w:lvl w:ilvl="1">
      <w:start w:val="1"/>
      <w:numFmt w:val="lowerLetter"/>
      <w:lvlText w:val="%2."/>
      <w:lvlJc w:val="left"/>
      <w:pPr>
        <w:ind w:left="826" w:hanging="360"/>
        <w:jc w:val="left"/>
      </w:pPr>
      <w:rPr>
        <w:rFonts w:hint="default" w:ascii="Arial" w:hAnsi="Arial" w:eastAsia="Arial" w:cs="Arial"/>
        <w:spacing w:val="-3"/>
        <w:w w:val="99"/>
        <w:sz w:val="24"/>
        <w:szCs w:val="24"/>
      </w:rPr>
    </w:lvl>
    <w:lvl w:ilvl="2">
      <w:start w:val="1"/>
      <w:numFmt w:val="decimal"/>
      <w:lvlText w:val="%3."/>
      <w:lvlJc w:val="left"/>
      <w:pPr>
        <w:ind w:left="1046" w:hanging="360"/>
        <w:jc w:val="left"/>
      </w:pPr>
      <w:rPr>
        <w:rFonts w:hint="default" w:ascii="Arial" w:hAnsi="Arial" w:eastAsia="Arial" w:cs="Arial"/>
        <w:spacing w:val="-3"/>
        <w:w w:val="99"/>
        <w:sz w:val="24"/>
        <w:szCs w:val="24"/>
      </w:rPr>
    </w:lvl>
    <w:lvl w:ilvl="3">
      <w:start w:val="1"/>
      <w:numFmt w:val="lowerLetter"/>
      <w:lvlText w:val="%4."/>
      <w:lvlJc w:val="left"/>
      <w:pPr>
        <w:ind w:left="1406" w:hanging="360"/>
        <w:jc w:val="left"/>
      </w:pPr>
      <w:rPr>
        <w:rFonts w:hint="default" w:ascii="Arial" w:hAnsi="Arial" w:eastAsia="Arial" w:cs="Arial"/>
        <w:spacing w:val="-2"/>
        <w:w w:val="99"/>
        <w:sz w:val="24"/>
        <w:szCs w:val="24"/>
      </w:rPr>
    </w:lvl>
    <w:lvl w:ilvl="4">
      <w:start w:val="0"/>
      <w:numFmt w:val="bullet"/>
      <w:lvlText w:val="•"/>
      <w:lvlJc w:val="left"/>
      <w:pPr>
        <w:ind w:left="2605" w:hanging="360"/>
      </w:pPr>
      <w:rPr>
        <w:rFonts w:hint="default"/>
      </w:rPr>
    </w:lvl>
    <w:lvl w:ilvl="5">
      <w:start w:val="0"/>
      <w:numFmt w:val="bullet"/>
      <w:lvlText w:val="•"/>
      <w:lvlJc w:val="left"/>
      <w:pPr>
        <w:ind w:left="3811" w:hanging="360"/>
      </w:pPr>
      <w:rPr>
        <w:rFonts w:hint="default"/>
      </w:rPr>
    </w:lvl>
    <w:lvl w:ilvl="6">
      <w:start w:val="0"/>
      <w:numFmt w:val="bullet"/>
      <w:lvlText w:val="•"/>
      <w:lvlJc w:val="left"/>
      <w:pPr>
        <w:ind w:left="5017" w:hanging="360"/>
      </w:pPr>
      <w:rPr>
        <w:rFonts w:hint="default"/>
      </w:rPr>
    </w:lvl>
    <w:lvl w:ilvl="7">
      <w:start w:val="0"/>
      <w:numFmt w:val="bullet"/>
      <w:lvlText w:val="•"/>
      <w:lvlJc w:val="left"/>
      <w:pPr>
        <w:ind w:left="6222" w:hanging="360"/>
      </w:pPr>
      <w:rPr>
        <w:rFonts w:hint="default"/>
      </w:rPr>
    </w:lvl>
    <w:lvl w:ilvl="8">
      <w:start w:val="0"/>
      <w:numFmt w:val="bullet"/>
      <w:lvlText w:val="•"/>
      <w:lvlJc w:val="left"/>
      <w:pPr>
        <w:ind w:left="7428" w:hanging="360"/>
      </w:pPr>
      <w:rPr>
        <w:rFonts w:hint="default"/>
      </w:rPr>
    </w:lvl>
  </w:abstractNum>
  <w:abstractNum w:abstractNumId="107">
    <w:multiLevelType w:val="hybridMultilevel"/>
    <w:lvl w:ilvl="0">
      <w:start w:val="2"/>
      <w:numFmt w:val="lowerLetter"/>
      <w:lvlText w:val="%1."/>
      <w:lvlJc w:val="left"/>
      <w:pPr>
        <w:ind w:left="826" w:hanging="360"/>
        <w:jc w:val="left"/>
      </w:pPr>
      <w:rPr>
        <w:rFonts w:hint="default" w:ascii="Arial" w:hAnsi="Arial" w:eastAsia="Arial" w:cs="Arial"/>
        <w:spacing w:val="-4"/>
        <w:w w:val="99"/>
        <w:sz w:val="24"/>
        <w:szCs w:val="24"/>
      </w:rPr>
    </w:lvl>
    <w:lvl w:ilvl="1">
      <w:start w:val="0"/>
      <w:numFmt w:val="bullet"/>
      <w:lvlText w:val="•"/>
      <w:lvlJc w:val="left"/>
      <w:pPr>
        <w:ind w:left="1724" w:hanging="360"/>
      </w:pPr>
      <w:rPr>
        <w:rFonts w:hint="default"/>
      </w:rPr>
    </w:lvl>
    <w:lvl w:ilvl="2">
      <w:start w:val="0"/>
      <w:numFmt w:val="bullet"/>
      <w:lvlText w:val="•"/>
      <w:lvlJc w:val="left"/>
      <w:pPr>
        <w:ind w:left="2628" w:hanging="360"/>
      </w:pPr>
      <w:rPr>
        <w:rFonts w:hint="default"/>
      </w:rPr>
    </w:lvl>
    <w:lvl w:ilvl="3">
      <w:start w:val="0"/>
      <w:numFmt w:val="bullet"/>
      <w:lvlText w:val="•"/>
      <w:lvlJc w:val="left"/>
      <w:pPr>
        <w:ind w:left="3532" w:hanging="360"/>
      </w:pPr>
      <w:rPr>
        <w:rFonts w:hint="default"/>
      </w:rPr>
    </w:lvl>
    <w:lvl w:ilvl="4">
      <w:start w:val="0"/>
      <w:numFmt w:val="bullet"/>
      <w:lvlText w:val="•"/>
      <w:lvlJc w:val="left"/>
      <w:pPr>
        <w:ind w:left="4436" w:hanging="360"/>
      </w:pPr>
      <w:rPr>
        <w:rFonts w:hint="default"/>
      </w:rPr>
    </w:lvl>
    <w:lvl w:ilvl="5">
      <w:start w:val="0"/>
      <w:numFmt w:val="bullet"/>
      <w:lvlText w:val="•"/>
      <w:lvlJc w:val="left"/>
      <w:pPr>
        <w:ind w:left="5340" w:hanging="360"/>
      </w:pPr>
      <w:rPr>
        <w:rFonts w:hint="default"/>
      </w:rPr>
    </w:lvl>
    <w:lvl w:ilvl="6">
      <w:start w:val="0"/>
      <w:numFmt w:val="bullet"/>
      <w:lvlText w:val="•"/>
      <w:lvlJc w:val="left"/>
      <w:pPr>
        <w:ind w:left="6244" w:hanging="360"/>
      </w:pPr>
      <w:rPr>
        <w:rFonts w:hint="default"/>
      </w:rPr>
    </w:lvl>
    <w:lvl w:ilvl="7">
      <w:start w:val="0"/>
      <w:numFmt w:val="bullet"/>
      <w:lvlText w:val="•"/>
      <w:lvlJc w:val="left"/>
      <w:pPr>
        <w:ind w:left="7148" w:hanging="360"/>
      </w:pPr>
      <w:rPr>
        <w:rFonts w:hint="default"/>
      </w:rPr>
    </w:lvl>
    <w:lvl w:ilvl="8">
      <w:start w:val="0"/>
      <w:numFmt w:val="bullet"/>
      <w:lvlText w:val="•"/>
      <w:lvlJc w:val="left"/>
      <w:pPr>
        <w:ind w:left="8052" w:hanging="360"/>
      </w:pPr>
      <w:rPr>
        <w:rFonts w:hint="default"/>
      </w:rPr>
    </w:lvl>
  </w:abstractNum>
  <w:abstractNum w:abstractNumId="106">
    <w:multiLevelType w:val="hybridMultilevel"/>
    <w:lvl w:ilvl="0">
      <w:start w:val="1"/>
      <w:numFmt w:val="decimal"/>
      <w:lvlText w:val="%1."/>
      <w:lvlJc w:val="left"/>
      <w:pPr>
        <w:ind w:left="466" w:hanging="360"/>
        <w:jc w:val="left"/>
      </w:pPr>
      <w:rPr>
        <w:rFonts w:hint="default" w:ascii="Arial" w:hAnsi="Arial" w:eastAsia="Arial" w:cs="Arial"/>
        <w:spacing w:val="-4"/>
        <w:w w:val="99"/>
        <w:sz w:val="24"/>
        <w:szCs w:val="24"/>
      </w:rPr>
    </w:lvl>
    <w:lvl w:ilvl="1">
      <w:start w:val="1"/>
      <w:numFmt w:val="lowerLetter"/>
      <w:lvlText w:val="%2."/>
      <w:lvlJc w:val="left"/>
      <w:pPr>
        <w:ind w:left="826" w:hanging="360"/>
        <w:jc w:val="left"/>
      </w:pPr>
      <w:rPr>
        <w:rFonts w:hint="default" w:ascii="Arial" w:hAnsi="Arial" w:eastAsia="Arial" w:cs="Arial"/>
        <w:spacing w:val="-3"/>
        <w:w w:val="99"/>
        <w:sz w:val="24"/>
        <w:szCs w:val="24"/>
      </w:rPr>
    </w:lvl>
    <w:lvl w:ilvl="2">
      <w:start w:val="0"/>
      <w:numFmt w:val="bullet"/>
      <w:lvlText w:val="•"/>
      <w:lvlJc w:val="left"/>
      <w:pPr>
        <w:ind w:left="1824" w:hanging="360"/>
      </w:pPr>
      <w:rPr>
        <w:rFonts w:hint="default"/>
      </w:rPr>
    </w:lvl>
    <w:lvl w:ilvl="3">
      <w:start w:val="0"/>
      <w:numFmt w:val="bullet"/>
      <w:lvlText w:val="•"/>
      <w:lvlJc w:val="left"/>
      <w:pPr>
        <w:ind w:left="2828" w:hanging="360"/>
      </w:pPr>
      <w:rPr>
        <w:rFonts w:hint="default"/>
      </w:rPr>
    </w:lvl>
    <w:lvl w:ilvl="4">
      <w:start w:val="0"/>
      <w:numFmt w:val="bullet"/>
      <w:lvlText w:val="•"/>
      <w:lvlJc w:val="left"/>
      <w:pPr>
        <w:ind w:left="3833" w:hanging="360"/>
      </w:pPr>
      <w:rPr>
        <w:rFonts w:hint="default"/>
      </w:rPr>
    </w:lvl>
    <w:lvl w:ilvl="5">
      <w:start w:val="0"/>
      <w:numFmt w:val="bullet"/>
      <w:lvlText w:val="•"/>
      <w:lvlJc w:val="left"/>
      <w:pPr>
        <w:ind w:left="4837" w:hanging="360"/>
      </w:pPr>
      <w:rPr>
        <w:rFonts w:hint="default"/>
      </w:rPr>
    </w:lvl>
    <w:lvl w:ilvl="6">
      <w:start w:val="0"/>
      <w:numFmt w:val="bullet"/>
      <w:lvlText w:val="•"/>
      <w:lvlJc w:val="left"/>
      <w:pPr>
        <w:ind w:left="5842" w:hanging="360"/>
      </w:pPr>
      <w:rPr>
        <w:rFonts w:hint="default"/>
      </w:rPr>
    </w:lvl>
    <w:lvl w:ilvl="7">
      <w:start w:val="0"/>
      <w:numFmt w:val="bullet"/>
      <w:lvlText w:val="•"/>
      <w:lvlJc w:val="left"/>
      <w:pPr>
        <w:ind w:left="6846" w:hanging="360"/>
      </w:pPr>
      <w:rPr>
        <w:rFonts w:hint="default"/>
      </w:rPr>
    </w:lvl>
    <w:lvl w:ilvl="8">
      <w:start w:val="0"/>
      <w:numFmt w:val="bullet"/>
      <w:lvlText w:val="•"/>
      <w:lvlJc w:val="left"/>
      <w:pPr>
        <w:ind w:left="7851" w:hanging="360"/>
      </w:pPr>
      <w:rPr>
        <w:rFonts w:hint="default"/>
      </w:rPr>
    </w:lvl>
  </w:abstractNum>
  <w:abstractNum w:abstractNumId="105">
    <w:multiLevelType w:val="hybridMultilevel"/>
    <w:lvl w:ilvl="0">
      <w:start w:val="1"/>
      <w:numFmt w:val="decimal"/>
      <w:lvlText w:val="%1."/>
      <w:lvlJc w:val="left"/>
      <w:pPr>
        <w:ind w:left="466" w:hanging="360"/>
        <w:jc w:val="left"/>
      </w:pPr>
      <w:rPr>
        <w:rFonts w:hint="default" w:ascii="Arial" w:hAnsi="Arial" w:eastAsia="Arial" w:cs="Arial"/>
        <w:spacing w:val="-3"/>
        <w:w w:val="99"/>
        <w:sz w:val="24"/>
        <w:szCs w:val="24"/>
      </w:rPr>
    </w:lvl>
    <w:lvl w:ilvl="1">
      <w:start w:val="0"/>
      <w:numFmt w:val="bullet"/>
      <w:lvlText w:val="•"/>
      <w:lvlJc w:val="left"/>
      <w:pPr>
        <w:ind w:left="1400" w:hanging="360"/>
      </w:pPr>
      <w:rPr>
        <w:rFonts w:hint="default"/>
      </w:rPr>
    </w:lvl>
    <w:lvl w:ilvl="2">
      <w:start w:val="0"/>
      <w:numFmt w:val="bullet"/>
      <w:lvlText w:val="•"/>
      <w:lvlJc w:val="left"/>
      <w:pPr>
        <w:ind w:left="2340" w:hanging="360"/>
      </w:pPr>
      <w:rPr>
        <w:rFonts w:hint="default"/>
      </w:rPr>
    </w:lvl>
    <w:lvl w:ilvl="3">
      <w:start w:val="0"/>
      <w:numFmt w:val="bullet"/>
      <w:lvlText w:val="•"/>
      <w:lvlJc w:val="left"/>
      <w:pPr>
        <w:ind w:left="3280" w:hanging="360"/>
      </w:pPr>
      <w:rPr>
        <w:rFonts w:hint="default"/>
      </w:rPr>
    </w:lvl>
    <w:lvl w:ilvl="4">
      <w:start w:val="0"/>
      <w:numFmt w:val="bullet"/>
      <w:lvlText w:val="•"/>
      <w:lvlJc w:val="left"/>
      <w:pPr>
        <w:ind w:left="4220" w:hanging="360"/>
      </w:pPr>
      <w:rPr>
        <w:rFonts w:hint="default"/>
      </w:rPr>
    </w:lvl>
    <w:lvl w:ilvl="5">
      <w:start w:val="0"/>
      <w:numFmt w:val="bullet"/>
      <w:lvlText w:val="•"/>
      <w:lvlJc w:val="left"/>
      <w:pPr>
        <w:ind w:left="5160" w:hanging="360"/>
      </w:pPr>
      <w:rPr>
        <w:rFonts w:hint="default"/>
      </w:rPr>
    </w:lvl>
    <w:lvl w:ilvl="6">
      <w:start w:val="0"/>
      <w:numFmt w:val="bullet"/>
      <w:lvlText w:val="•"/>
      <w:lvlJc w:val="left"/>
      <w:pPr>
        <w:ind w:left="6100" w:hanging="360"/>
      </w:pPr>
      <w:rPr>
        <w:rFonts w:hint="default"/>
      </w:rPr>
    </w:lvl>
    <w:lvl w:ilvl="7">
      <w:start w:val="0"/>
      <w:numFmt w:val="bullet"/>
      <w:lvlText w:val="•"/>
      <w:lvlJc w:val="left"/>
      <w:pPr>
        <w:ind w:left="7040" w:hanging="360"/>
      </w:pPr>
      <w:rPr>
        <w:rFonts w:hint="default"/>
      </w:rPr>
    </w:lvl>
    <w:lvl w:ilvl="8">
      <w:start w:val="0"/>
      <w:numFmt w:val="bullet"/>
      <w:lvlText w:val="•"/>
      <w:lvlJc w:val="left"/>
      <w:pPr>
        <w:ind w:left="7980" w:hanging="360"/>
      </w:pPr>
      <w:rPr>
        <w:rFonts w:hint="default"/>
      </w:rPr>
    </w:lvl>
  </w:abstractNum>
  <w:abstractNum w:abstractNumId="104">
    <w:multiLevelType w:val="hybridMultilevel"/>
    <w:lvl w:ilvl="0">
      <w:start w:val="1"/>
      <w:numFmt w:val="decimal"/>
      <w:lvlText w:val="%1."/>
      <w:lvlJc w:val="left"/>
      <w:pPr>
        <w:ind w:left="466" w:hanging="360"/>
        <w:jc w:val="left"/>
      </w:pPr>
      <w:rPr>
        <w:rFonts w:hint="default" w:ascii="Arial" w:hAnsi="Arial" w:eastAsia="Arial" w:cs="Arial"/>
        <w:spacing w:val="-4"/>
        <w:w w:val="99"/>
        <w:sz w:val="24"/>
        <w:szCs w:val="24"/>
      </w:rPr>
    </w:lvl>
    <w:lvl w:ilvl="1">
      <w:start w:val="0"/>
      <w:numFmt w:val="bullet"/>
      <w:lvlText w:val="•"/>
      <w:lvlJc w:val="left"/>
      <w:pPr>
        <w:ind w:left="1398" w:hanging="360"/>
      </w:pPr>
      <w:rPr>
        <w:rFonts w:hint="default"/>
      </w:rPr>
    </w:lvl>
    <w:lvl w:ilvl="2">
      <w:start w:val="0"/>
      <w:numFmt w:val="bullet"/>
      <w:lvlText w:val="•"/>
      <w:lvlJc w:val="left"/>
      <w:pPr>
        <w:ind w:left="2336" w:hanging="360"/>
      </w:pPr>
      <w:rPr>
        <w:rFonts w:hint="default"/>
      </w:rPr>
    </w:lvl>
    <w:lvl w:ilvl="3">
      <w:start w:val="0"/>
      <w:numFmt w:val="bullet"/>
      <w:lvlText w:val="•"/>
      <w:lvlJc w:val="left"/>
      <w:pPr>
        <w:ind w:left="3274" w:hanging="360"/>
      </w:pPr>
      <w:rPr>
        <w:rFonts w:hint="default"/>
      </w:rPr>
    </w:lvl>
    <w:lvl w:ilvl="4">
      <w:start w:val="0"/>
      <w:numFmt w:val="bullet"/>
      <w:lvlText w:val="•"/>
      <w:lvlJc w:val="left"/>
      <w:pPr>
        <w:ind w:left="4212" w:hanging="360"/>
      </w:pPr>
      <w:rPr>
        <w:rFonts w:hint="default"/>
      </w:rPr>
    </w:lvl>
    <w:lvl w:ilvl="5">
      <w:start w:val="0"/>
      <w:numFmt w:val="bullet"/>
      <w:lvlText w:val="•"/>
      <w:lvlJc w:val="left"/>
      <w:pPr>
        <w:ind w:left="5150" w:hanging="360"/>
      </w:pPr>
      <w:rPr>
        <w:rFonts w:hint="default"/>
      </w:rPr>
    </w:lvl>
    <w:lvl w:ilvl="6">
      <w:start w:val="0"/>
      <w:numFmt w:val="bullet"/>
      <w:lvlText w:val="•"/>
      <w:lvlJc w:val="left"/>
      <w:pPr>
        <w:ind w:left="6088" w:hanging="360"/>
      </w:pPr>
      <w:rPr>
        <w:rFonts w:hint="default"/>
      </w:rPr>
    </w:lvl>
    <w:lvl w:ilvl="7">
      <w:start w:val="0"/>
      <w:numFmt w:val="bullet"/>
      <w:lvlText w:val="•"/>
      <w:lvlJc w:val="left"/>
      <w:pPr>
        <w:ind w:left="7026" w:hanging="360"/>
      </w:pPr>
      <w:rPr>
        <w:rFonts w:hint="default"/>
      </w:rPr>
    </w:lvl>
    <w:lvl w:ilvl="8">
      <w:start w:val="0"/>
      <w:numFmt w:val="bullet"/>
      <w:lvlText w:val="•"/>
      <w:lvlJc w:val="left"/>
      <w:pPr>
        <w:ind w:left="7964" w:hanging="360"/>
      </w:pPr>
      <w:rPr>
        <w:rFonts w:hint="default"/>
      </w:rPr>
    </w:lvl>
  </w:abstractNum>
  <w:abstractNum w:abstractNumId="103">
    <w:multiLevelType w:val="hybridMultilevel"/>
    <w:lvl w:ilvl="0">
      <w:start w:val="1"/>
      <w:numFmt w:val="decimal"/>
      <w:lvlText w:val="%1."/>
      <w:lvlJc w:val="left"/>
      <w:pPr>
        <w:ind w:left="466" w:hanging="360"/>
        <w:jc w:val="left"/>
      </w:pPr>
      <w:rPr>
        <w:rFonts w:hint="default" w:ascii="Arial" w:hAnsi="Arial" w:eastAsia="Arial" w:cs="Arial"/>
        <w:spacing w:val="-3"/>
        <w:w w:val="99"/>
        <w:sz w:val="24"/>
        <w:szCs w:val="24"/>
      </w:rPr>
    </w:lvl>
    <w:lvl w:ilvl="1">
      <w:start w:val="0"/>
      <w:numFmt w:val="bullet"/>
      <w:lvlText w:val="•"/>
      <w:lvlJc w:val="left"/>
      <w:pPr>
        <w:ind w:left="1398" w:hanging="360"/>
      </w:pPr>
      <w:rPr>
        <w:rFonts w:hint="default"/>
      </w:rPr>
    </w:lvl>
    <w:lvl w:ilvl="2">
      <w:start w:val="0"/>
      <w:numFmt w:val="bullet"/>
      <w:lvlText w:val="•"/>
      <w:lvlJc w:val="left"/>
      <w:pPr>
        <w:ind w:left="2336" w:hanging="360"/>
      </w:pPr>
      <w:rPr>
        <w:rFonts w:hint="default"/>
      </w:rPr>
    </w:lvl>
    <w:lvl w:ilvl="3">
      <w:start w:val="0"/>
      <w:numFmt w:val="bullet"/>
      <w:lvlText w:val="•"/>
      <w:lvlJc w:val="left"/>
      <w:pPr>
        <w:ind w:left="3274" w:hanging="360"/>
      </w:pPr>
      <w:rPr>
        <w:rFonts w:hint="default"/>
      </w:rPr>
    </w:lvl>
    <w:lvl w:ilvl="4">
      <w:start w:val="0"/>
      <w:numFmt w:val="bullet"/>
      <w:lvlText w:val="•"/>
      <w:lvlJc w:val="left"/>
      <w:pPr>
        <w:ind w:left="4212" w:hanging="360"/>
      </w:pPr>
      <w:rPr>
        <w:rFonts w:hint="default"/>
      </w:rPr>
    </w:lvl>
    <w:lvl w:ilvl="5">
      <w:start w:val="0"/>
      <w:numFmt w:val="bullet"/>
      <w:lvlText w:val="•"/>
      <w:lvlJc w:val="left"/>
      <w:pPr>
        <w:ind w:left="5150" w:hanging="360"/>
      </w:pPr>
      <w:rPr>
        <w:rFonts w:hint="default"/>
      </w:rPr>
    </w:lvl>
    <w:lvl w:ilvl="6">
      <w:start w:val="0"/>
      <w:numFmt w:val="bullet"/>
      <w:lvlText w:val="•"/>
      <w:lvlJc w:val="left"/>
      <w:pPr>
        <w:ind w:left="6088" w:hanging="360"/>
      </w:pPr>
      <w:rPr>
        <w:rFonts w:hint="default"/>
      </w:rPr>
    </w:lvl>
    <w:lvl w:ilvl="7">
      <w:start w:val="0"/>
      <w:numFmt w:val="bullet"/>
      <w:lvlText w:val="•"/>
      <w:lvlJc w:val="left"/>
      <w:pPr>
        <w:ind w:left="7026" w:hanging="360"/>
      </w:pPr>
      <w:rPr>
        <w:rFonts w:hint="default"/>
      </w:rPr>
    </w:lvl>
    <w:lvl w:ilvl="8">
      <w:start w:val="0"/>
      <w:numFmt w:val="bullet"/>
      <w:lvlText w:val="•"/>
      <w:lvlJc w:val="left"/>
      <w:pPr>
        <w:ind w:left="7964" w:hanging="360"/>
      </w:pPr>
      <w:rPr>
        <w:rFonts w:hint="default"/>
      </w:rPr>
    </w:lvl>
  </w:abstractNum>
  <w:abstractNum w:abstractNumId="102">
    <w:multiLevelType w:val="hybridMultilevel"/>
    <w:lvl w:ilvl="0">
      <w:start w:val="1"/>
      <w:numFmt w:val="decimal"/>
      <w:lvlText w:val="%1."/>
      <w:lvlJc w:val="left"/>
      <w:pPr>
        <w:ind w:left="466" w:hanging="360"/>
        <w:jc w:val="left"/>
      </w:pPr>
      <w:rPr>
        <w:rFonts w:hint="default" w:ascii="Arial" w:hAnsi="Arial" w:eastAsia="Arial" w:cs="Arial"/>
        <w:spacing w:val="-7"/>
        <w:w w:val="99"/>
        <w:sz w:val="24"/>
        <w:szCs w:val="24"/>
      </w:rPr>
    </w:lvl>
    <w:lvl w:ilvl="1">
      <w:start w:val="1"/>
      <w:numFmt w:val="lowerLetter"/>
      <w:lvlText w:val="%2."/>
      <w:lvlJc w:val="left"/>
      <w:pPr>
        <w:ind w:left="826" w:hanging="360"/>
        <w:jc w:val="left"/>
      </w:pPr>
      <w:rPr>
        <w:rFonts w:hint="default" w:ascii="Arial" w:hAnsi="Arial" w:eastAsia="Arial" w:cs="Arial"/>
        <w:spacing w:val="-3"/>
        <w:w w:val="99"/>
        <w:sz w:val="24"/>
        <w:szCs w:val="24"/>
      </w:rPr>
    </w:lvl>
    <w:lvl w:ilvl="2">
      <w:start w:val="0"/>
      <w:numFmt w:val="bullet"/>
      <w:lvlText w:val="•"/>
      <w:lvlJc w:val="left"/>
      <w:pPr>
        <w:ind w:left="1824" w:hanging="360"/>
      </w:pPr>
      <w:rPr>
        <w:rFonts w:hint="default"/>
      </w:rPr>
    </w:lvl>
    <w:lvl w:ilvl="3">
      <w:start w:val="0"/>
      <w:numFmt w:val="bullet"/>
      <w:lvlText w:val="•"/>
      <w:lvlJc w:val="left"/>
      <w:pPr>
        <w:ind w:left="2828" w:hanging="360"/>
      </w:pPr>
      <w:rPr>
        <w:rFonts w:hint="default"/>
      </w:rPr>
    </w:lvl>
    <w:lvl w:ilvl="4">
      <w:start w:val="0"/>
      <w:numFmt w:val="bullet"/>
      <w:lvlText w:val="•"/>
      <w:lvlJc w:val="left"/>
      <w:pPr>
        <w:ind w:left="3833" w:hanging="360"/>
      </w:pPr>
      <w:rPr>
        <w:rFonts w:hint="default"/>
      </w:rPr>
    </w:lvl>
    <w:lvl w:ilvl="5">
      <w:start w:val="0"/>
      <w:numFmt w:val="bullet"/>
      <w:lvlText w:val="•"/>
      <w:lvlJc w:val="left"/>
      <w:pPr>
        <w:ind w:left="4837" w:hanging="360"/>
      </w:pPr>
      <w:rPr>
        <w:rFonts w:hint="default"/>
      </w:rPr>
    </w:lvl>
    <w:lvl w:ilvl="6">
      <w:start w:val="0"/>
      <w:numFmt w:val="bullet"/>
      <w:lvlText w:val="•"/>
      <w:lvlJc w:val="left"/>
      <w:pPr>
        <w:ind w:left="5842" w:hanging="360"/>
      </w:pPr>
      <w:rPr>
        <w:rFonts w:hint="default"/>
      </w:rPr>
    </w:lvl>
    <w:lvl w:ilvl="7">
      <w:start w:val="0"/>
      <w:numFmt w:val="bullet"/>
      <w:lvlText w:val="•"/>
      <w:lvlJc w:val="left"/>
      <w:pPr>
        <w:ind w:left="6846" w:hanging="360"/>
      </w:pPr>
      <w:rPr>
        <w:rFonts w:hint="default"/>
      </w:rPr>
    </w:lvl>
    <w:lvl w:ilvl="8">
      <w:start w:val="0"/>
      <w:numFmt w:val="bullet"/>
      <w:lvlText w:val="•"/>
      <w:lvlJc w:val="left"/>
      <w:pPr>
        <w:ind w:left="7851" w:hanging="360"/>
      </w:pPr>
      <w:rPr>
        <w:rFonts w:hint="default"/>
      </w:rPr>
    </w:lvl>
  </w:abstractNum>
  <w:abstractNum w:abstractNumId="101">
    <w:multiLevelType w:val="hybridMultilevel"/>
    <w:lvl w:ilvl="0">
      <w:start w:val="1"/>
      <w:numFmt w:val="decimal"/>
      <w:lvlText w:val="%1."/>
      <w:lvlJc w:val="left"/>
      <w:pPr>
        <w:ind w:left="466" w:hanging="360"/>
        <w:jc w:val="left"/>
      </w:pPr>
      <w:rPr>
        <w:rFonts w:hint="default" w:ascii="Arial" w:hAnsi="Arial" w:eastAsia="Arial" w:cs="Arial"/>
        <w:spacing w:val="-8"/>
        <w:w w:val="99"/>
        <w:sz w:val="24"/>
        <w:szCs w:val="24"/>
      </w:rPr>
    </w:lvl>
    <w:lvl w:ilvl="1">
      <w:start w:val="1"/>
      <w:numFmt w:val="decimal"/>
      <w:lvlText w:val="%2."/>
      <w:lvlJc w:val="left"/>
      <w:pPr>
        <w:ind w:left="466" w:hanging="360"/>
        <w:jc w:val="right"/>
      </w:pPr>
      <w:rPr>
        <w:rFonts w:hint="default" w:ascii="Arial" w:hAnsi="Arial" w:eastAsia="Arial" w:cs="Arial"/>
        <w:spacing w:val="-4"/>
        <w:w w:val="99"/>
        <w:sz w:val="24"/>
        <w:szCs w:val="24"/>
      </w:rPr>
    </w:lvl>
    <w:lvl w:ilvl="2">
      <w:start w:val="0"/>
      <w:numFmt w:val="bullet"/>
      <w:lvlText w:val="•"/>
      <w:lvlJc w:val="left"/>
      <w:pPr>
        <w:ind w:left="2340" w:hanging="360"/>
      </w:pPr>
      <w:rPr>
        <w:rFonts w:hint="default"/>
      </w:rPr>
    </w:lvl>
    <w:lvl w:ilvl="3">
      <w:start w:val="0"/>
      <w:numFmt w:val="bullet"/>
      <w:lvlText w:val="•"/>
      <w:lvlJc w:val="left"/>
      <w:pPr>
        <w:ind w:left="3280" w:hanging="360"/>
      </w:pPr>
      <w:rPr>
        <w:rFonts w:hint="default"/>
      </w:rPr>
    </w:lvl>
    <w:lvl w:ilvl="4">
      <w:start w:val="0"/>
      <w:numFmt w:val="bullet"/>
      <w:lvlText w:val="•"/>
      <w:lvlJc w:val="left"/>
      <w:pPr>
        <w:ind w:left="4220" w:hanging="360"/>
      </w:pPr>
      <w:rPr>
        <w:rFonts w:hint="default"/>
      </w:rPr>
    </w:lvl>
    <w:lvl w:ilvl="5">
      <w:start w:val="0"/>
      <w:numFmt w:val="bullet"/>
      <w:lvlText w:val="•"/>
      <w:lvlJc w:val="left"/>
      <w:pPr>
        <w:ind w:left="5160" w:hanging="360"/>
      </w:pPr>
      <w:rPr>
        <w:rFonts w:hint="default"/>
      </w:rPr>
    </w:lvl>
    <w:lvl w:ilvl="6">
      <w:start w:val="0"/>
      <w:numFmt w:val="bullet"/>
      <w:lvlText w:val="•"/>
      <w:lvlJc w:val="left"/>
      <w:pPr>
        <w:ind w:left="6100" w:hanging="360"/>
      </w:pPr>
      <w:rPr>
        <w:rFonts w:hint="default"/>
      </w:rPr>
    </w:lvl>
    <w:lvl w:ilvl="7">
      <w:start w:val="0"/>
      <w:numFmt w:val="bullet"/>
      <w:lvlText w:val="•"/>
      <w:lvlJc w:val="left"/>
      <w:pPr>
        <w:ind w:left="7040" w:hanging="360"/>
      </w:pPr>
      <w:rPr>
        <w:rFonts w:hint="default"/>
      </w:rPr>
    </w:lvl>
    <w:lvl w:ilvl="8">
      <w:start w:val="0"/>
      <w:numFmt w:val="bullet"/>
      <w:lvlText w:val="•"/>
      <w:lvlJc w:val="left"/>
      <w:pPr>
        <w:ind w:left="7980" w:hanging="360"/>
      </w:pPr>
      <w:rPr>
        <w:rFonts w:hint="default"/>
      </w:rPr>
    </w:lvl>
  </w:abstractNum>
  <w:abstractNum w:abstractNumId="100">
    <w:multiLevelType w:val="hybridMultilevel"/>
    <w:lvl w:ilvl="0">
      <w:start w:val="1"/>
      <w:numFmt w:val="decimal"/>
      <w:lvlText w:val="%1."/>
      <w:lvlJc w:val="left"/>
      <w:pPr>
        <w:ind w:left="466" w:hanging="360"/>
        <w:jc w:val="left"/>
      </w:pPr>
      <w:rPr>
        <w:rFonts w:hint="default" w:ascii="Arial" w:hAnsi="Arial" w:eastAsia="Arial" w:cs="Arial"/>
        <w:spacing w:val="-3"/>
        <w:w w:val="99"/>
        <w:sz w:val="24"/>
        <w:szCs w:val="24"/>
      </w:rPr>
    </w:lvl>
    <w:lvl w:ilvl="1">
      <w:start w:val="0"/>
      <w:numFmt w:val="bullet"/>
      <w:lvlText w:val="•"/>
      <w:lvlJc w:val="left"/>
      <w:pPr>
        <w:ind w:left="1400" w:hanging="360"/>
      </w:pPr>
      <w:rPr>
        <w:rFonts w:hint="default"/>
      </w:rPr>
    </w:lvl>
    <w:lvl w:ilvl="2">
      <w:start w:val="0"/>
      <w:numFmt w:val="bullet"/>
      <w:lvlText w:val="•"/>
      <w:lvlJc w:val="left"/>
      <w:pPr>
        <w:ind w:left="2340" w:hanging="360"/>
      </w:pPr>
      <w:rPr>
        <w:rFonts w:hint="default"/>
      </w:rPr>
    </w:lvl>
    <w:lvl w:ilvl="3">
      <w:start w:val="0"/>
      <w:numFmt w:val="bullet"/>
      <w:lvlText w:val="•"/>
      <w:lvlJc w:val="left"/>
      <w:pPr>
        <w:ind w:left="3280" w:hanging="360"/>
      </w:pPr>
      <w:rPr>
        <w:rFonts w:hint="default"/>
      </w:rPr>
    </w:lvl>
    <w:lvl w:ilvl="4">
      <w:start w:val="0"/>
      <w:numFmt w:val="bullet"/>
      <w:lvlText w:val="•"/>
      <w:lvlJc w:val="left"/>
      <w:pPr>
        <w:ind w:left="4220" w:hanging="360"/>
      </w:pPr>
      <w:rPr>
        <w:rFonts w:hint="default"/>
      </w:rPr>
    </w:lvl>
    <w:lvl w:ilvl="5">
      <w:start w:val="0"/>
      <w:numFmt w:val="bullet"/>
      <w:lvlText w:val="•"/>
      <w:lvlJc w:val="left"/>
      <w:pPr>
        <w:ind w:left="5160" w:hanging="360"/>
      </w:pPr>
      <w:rPr>
        <w:rFonts w:hint="default"/>
      </w:rPr>
    </w:lvl>
    <w:lvl w:ilvl="6">
      <w:start w:val="0"/>
      <w:numFmt w:val="bullet"/>
      <w:lvlText w:val="•"/>
      <w:lvlJc w:val="left"/>
      <w:pPr>
        <w:ind w:left="6100" w:hanging="360"/>
      </w:pPr>
      <w:rPr>
        <w:rFonts w:hint="default"/>
      </w:rPr>
    </w:lvl>
    <w:lvl w:ilvl="7">
      <w:start w:val="0"/>
      <w:numFmt w:val="bullet"/>
      <w:lvlText w:val="•"/>
      <w:lvlJc w:val="left"/>
      <w:pPr>
        <w:ind w:left="7040" w:hanging="360"/>
      </w:pPr>
      <w:rPr>
        <w:rFonts w:hint="default"/>
      </w:rPr>
    </w:lvl>
    <w:lvl w:ilvl="8">
      <w:start w:val="0"/>
      <w:numFmt w:val="bullet"/>
      <w:lvlText w:val="•"/>
      <w:lvlJc w:val="left"/>
      <w:pPr>
        <w:ind w:left="7980" w:hanging="360"/>
      </w:pPr>
      <w:rPr>
        <w:rFonts w:hint="default"/>
      </w:rPr>
    </w:lvl>
  </w:abstractNum>
  <w:abstractNum w:abstractNumId="99">
    <w:multiLevelType w:val="hybridMultilevel"/>
    <w:lvl w:ilvl="0">
      <w:start w:val="3"/>
      <w:numFmt w:val="decimal"/>
      <w:lvlText w:val="%1"/>
      <w:lvlJc w:val="left"/>
      <w:pPr>
        <w:ind w:left="466" w:hanging="1440"/>
        <w:jc w:val="left"/>
      </w:pPr>
      <w:rPr>
        <w:rFonts w:hint="default"/>
      </w:rPr>
    </w:lvl>
    <w:lvl w:ilvl="1">
      <w:start w:val="5"/>
      <w:numFmt w:val="decimal"/>
      <w:lvlText w:val="%1.%2."/>
      <w:lvlJc w:val="left"/>
      <w:pPr>
        <w:ind w:left="466" w:hanging="1440"/>
        <w:jc w:val="left"/>
      </w:pPr>
      <w:rPr>
        <w:rFonts w:hint="default"/>
        <w:strike/>
        <w:w w:val="99"/>
      </w:rPr>
    </w:lvl>
    <w:lvl w:ilvl="2">
      <w:start w:val="1"/>
      <w:numFmt w:val="lowerLetter"/>
      <w:lvlText w:val="%3."/>
      <w:lvlJc w:val="left"/>
      <w:pPr>
        <w:ind w:left="826" w:hanging="360"/>
        <w:jc w:val="left"/>
      </w:pPr>
      <w:rPr>
        <w:rFonts w:hint="default" w:ascii="Arial" w:hAnsi="Arial" w:eastAsia="Arial" w:cs="Arial"/>
        <w:spacing w:val="-3"/>
        <w:w w:val="99"/>
        <w:sz w:val="24"/>
        <w:szCs w:val="24"/>
      </w:rPr>
    </w:lvl>
    <w:lvl w:ilvl="3">
      <w:start w:val="0"/>
      <w:numFmt w:val="bullet"/>
      <w:lvlText w:val="•"/>
      <w:lvlJc w:val="left"/>
      <w:pPr>
        <w:ind w:left="2828" w:hanging="360"/>
      </w:pPr>
      <w:rPr>
        <w:rFonts w:hint="default"/>
      </w:rPr>
    </w:lvl>
    <w:lvl w:ilvl="4">
      <w:start w:val="0"/>
      <w:numFmt w:val="bullet"/>
      <w:lvlText w:val="•"/>
      <w:lvlJc w:val="left"/>
      <w:pPr>
        <w:ind w:left="3833" w:hanging="360"/>
      </w:pPr>
      <w:rPr>
        <w:rFonts w:hint="default"/>
      </w:rPr>
    </w:lvl>
    <w:lvl w:ilvl="5">
      <w:start w:val="0"/>
      <w:numFmt w:val="bullet"/>
      <w:lvlText w:val="•"/>
      <w:lvlJc w:val="left"/>
      <w:pPr>
        <w:ind w:left="4837" w:hanging="360"/>
      </w:pPr>
      <w:rPr>
        <w:rFonts w:hint="default"/>
      </w:rPr>
    </w:lvl>
    <w:lvl w:ilvl="6">
      <w:start w:val="0"/>
      <w:numFmt w:val="bullet"/>
      <w:lvlText w:val="•"/>
      <w:lvlJc w:val="left"/>
      <w:pPr>
        <w:ind w:left="5842" w:hanging="360"/>
      </w:pPr>
      <w:rPr>
        <w:rFonts w:hint="default"/>
      </w:rPr>
    </w:lvl>
    <w:lvl w:ilvl="7">
      <w:start w:val="0"/>
      <w:numFmt w:val="bullet"/>
      <w:lvlText w:val="•"/>
      <w:lvlJc w:val="left"/>
      <w:pPr>
        <w:ind w:left="6846" w:hanging="360"/>
      </w:pPr>
      <w:rPr>
        <w:rFonts w:hint="default"/>
      </w:rPr>
    </w:lvl>
    <w:lvl w:ilvl="8">
      <w:start w:val="0"/>
      <w:numFmt w:val="bullet"/>
      <w:lvlText w:val="•"/>
      <w:lvlJc w:val="left"/>
      <w:pPr>
        <w:ind w:left="7851" w:hanging="360"/>
      </w:pPr>
      <w:rPr>
        <w:rFonts w:hint="default"/>
      </w:rPr>
    </w:lvl>
  </w:abstractNum>
  <w:abstractNum w:abstractNumId="98">
    <w:multiLevelType w:val="hybridMultilevel"/>
    <w:lvl w:ilvl="0">
      <w:start w:val="2"/>
      <w:numFmt w:val="decimal"/>
      <w:lvlText w:val="%1"/>
      <w:lvlJc w:val="left"/>
      <w:pPr>
        <w:ind w:left="826" w:hanging="720"/>
        <w:jc w:val="left"/>
      </w:pPr>
      <w:rPr>
        <w:rFonts w:hint="default"/>
      </w:rPr>
    </w:lvl>
    <w:lvl w:ilvl="1">
      <w:start w:val="4"/>
      <w:numFmt w:val="decimal"/>
      <w:lvlText w:val="%1.%2."/>
      <w:lvlJc w:val="left"/>
      <w:pPr>
        <w:ind w:left="826" w:hanging="720"/>
        <w:jc w:val="left"/>
      </w:pPr>
      <w:rPr>
        <w:rFonts w:hint="default"/>
        <w:strike/>
        <w:w w:val="99"/>
      </w:rPr>
    </w:lvl>
    <w:lvl w:ilvl="2">
      <w:start w:val="1"/>
      <w:numFmt w:val="lowerLetter"/>
      <w:lvlText w:val="%3."/>
      <w:lvlJc w:val="left"/>
      <w:pPr>
        <w:ind w:left="826" w:hanging="360"/>
        <w:jc w:val="left"/>
      </w:pPr>
      <w:rPr>
        <w:rFonts w:hint="default" w:ascii="Arial" w:hAnsi="Arial" w:eastAsia="Arial" w:cs="Arial"/>
        <w:spacing w:val="-4"/>
        <w:w w:val="99"/>
        <w:sz w:val="24"/>
        <w:szCs w:val="24"/>
      </w:rPr>
    </w:lvl>
    <w:lvl w:ilvl="3">
      <w:start w:val="0"/>
      <w:numFmt w:val="bullet"/>
      <w:lvlText w:val="•"/>
      <w:lvlJc w:val="left"/>
      <w:pPr>
        <w:ind w:left="3532" w:hanging="360"/>
      </w:pPr>
      <w:rPr>
        <w:rFonts w:hint="default"/>
      </w:rPr>
    </w:lvl>
    <w:lvl w:ilvl="4">
      <w:start w:val="0"/>
      <w:numFmt w:val="bullet"/>
      <w:lvlText w:val="•"/>
      <w:lvlJc w:val="left"/>
      <w:pPr>
        <w:ind w:left="4436" w:hanging="360"/>
      </w:pPr>
      <w:rPr>
        <w:rFonts w:hint="default"/>
      </w:rPr>
    </w:lvl>
    <w:lvl w:ilvl="5">
      <w:start w:val="0"/>
      <w:numFmt w:val="bullet"/>
      <w:lvlText w:val="•"/>
      <w:lvlJc w:val="left"/>
      <w:pPr>
        <w:ind w:left="5340" w:hanging="360"/>
      </w:pPr>
      <w:rPr>
        <w:rFonts w:hint="default"/>
      </w:rPr>
    </w:lvl>
    <w:lvl w:ilvl="6">
      <w:start w:val="0"/>
      <w:numFmt w:val="bullet"/>
      <w:lvlText w:val="•"/>
      <w:lvlJc w:val="left"/>
      <w:pPr>
        <w:ind w:left="6244" w:hanging="360"/>
      </w:pPr>
      <w:rPr>
        <w:rFonts w:hint="default"/>
      </w:rPr>
    </w:lvl>
    <w:lvl w:ilvl="7">
      <w:start w:val="0"/>
      <w:numFmt w:val="bullet"/>
      <w:lvlText w:val="•"/>
      <w:lvlJc w:val="left"/>
      <w:pPr>
        <w:ind w:left="7148" w:hanging="360"/>
      </w:pPr>
      <w:rPr>
        <w:rFonts w:hint="default"/>
      </w:rPr>
    </w:lvl>
    <w:lvl w:ilvl="8">
      <w:start w:val="0"/>
      <w:numFmt w:val="bullet"/>
      <w:lvlText w:val="•"/>
      <w:lvlJc w:val="left"/>
      <w:pPr>
        <w:ind w:left="8052" w:hanging="360"/>
      </w:pPr>
      <w:rPr>
        <w:rFonts w:hint="default"/>
      </w:rPr>
    </w:lvl>
  </w:abstractNum>
  <w:abstractNum w:abstractNumId="97">
    <w:multiLevelType w:val="hybridMultilevel"/>
    <w:lvl w:ilvl="0">
      <w:start w:val="1"/>
      <w:numFmt w:val="decimal"/>
      <w:lvlText w:val="%1"/>
      <w:lvlJc w:val="left"/>
      <w:pPr>
        <w:ind w:left="826" w:hanging="720"/>
        <w:jc w:val="left"/>
      </w:pPr>
      <w:rPr>
        <w:rFonts w:hint="default"/>
      </w:rPr>
    </w:lvl>
    <w:lvl w:ilvl="1">
      <w:start w:val="3"/>
      <w:numFmt w:val="decimal"/>
      <w:lvlText w:val="%1.%2."/>
      <w:lvlJc w:val="left"/>
      <w:pPr>
        <w:ind w:left="826" w:hanging="720"/>
        <w:jc w:val="left"/>
      </w:pPr>
      <w:rPr>
        <w:rFonts w:hint="default"/>
        <w:strike/>
        <w:w w:val="99"/>
      </w:rPr>
    </w:lvl>
    <w:lvl w:ilvl="2">
      <w:start w:val="1"/>
      <w:numFmt w:val="lowerLetter"/>
      <w:lvlText w:val="%3."/>
      <w:lvlJc w:val="left"/>
      <w:pPr>
        <w:ind w:left="826" w:hanging="360"/>
        <w:jc w:val="left"/>
      </w:pPr>
      <w:rPr>
        <w:rFonts w:hint="default" w:ascii="Arial" w:hAnsi="Arial" w:eastAsia="Arial" w:cs="Arial"/>
        <w:spacing w:val="-3"/>
        <w:w w:val="99"/>
        <w:sz w:val="24"/>
        <w:szCs w:val="24"/>
      </w:rPr>
    </w:lvl>
    <w:lvl w:ilvl="3">
      <w:start w:val="0"/>
      <w:numFmt w:val="bullet"/>
      <w:lvlText w:val="•"/>
      <w:lvlJc w:val="left"/>
      <w:pPr>
        <w:ind w:left="3532" w:hanging="360"/>
      </w:pPr>
      <w:rPr>
        <w:rFonts w:hint="default"/>
      </w:rPr>
    </w:lvl>
    <w:lvl w:ilvl="4">
      <w:start w:val="0"/>
      <w:numFmt w:val="bullet"/>
      <w:lvlText w:val="•"/>
      <w:lvlJc w:val="left"/>
      <w:pPr>
        <w:ind w:left="4436" w:hanging="360"/>
      </w:pPr>
      <w:rPr>
        <w:rFonts w:hint="default"/>
      </w:rPr>
    </w:lvl>
    <w:lvl w:ilvl="5">
      <w:start w:val="0"/>
      <w:numFmt w:val="bullet"/>
      <w:lvlText w:val="•"/>
      <w:lvlJc w:val="left"/>
      <w:pPr>
        <w:ind w:left="5340" w:hanging="360"/>
      </w:pPr>
      <w:rPr>
        <w:rFonts w:hint="default"/>
      </w:rPr>
    </w:lvl>
    <w:lvl w:ilvl="6">
      <w:start w:val="0"/>
      <w:numFmt w:val="bullet"/>
      <w:lvlText w:val="•"/>
      <w:lvlJc w:val="left"/>
      <w:pPr>
        <w:ind w:left="6244" w:hanging="360"/>
      </w:pPr>
      <w:rPr>
        <w:rFonts w:hint="default"/>
      </w:rPr>
    </w:lvl>
    <w:lvl w:ilvl="7">
      <w:start w:val="0"/>
      <w:numFmt w:val="bullet"/>
      <w:lvlText w:val="•"/>
      <w:lvlJc w:val="left"/>
      <w:pPr>
        <w:ind w:left="7148" w:hanging="360"/>
      </w:pPr>
      <w:rPr>
        <w:rFonts w:hint="default"/>
      </w:rPr>
    </w:lvl>
    <w:lvl w:ilvl="8">
      <w:start w:val="0"/>
      <w:numFmt w:val="bullet"/>
      <w:lvlText w:val="•"/>
      <w:lvlJc w:val="left"/>
      <w:pPr>
        <w:ind w:left="8052" w:hanging="360"/>
      </w:pPr>
      <w:rPr>
        <w:rFonts w:hint="default"/>
      </w:rPr>
    </w:lvl>
  </w:abstractNum>
  <w:abstractNum w:abstractNumId="96">
    <w:multiLevelType w:val="hybridMultilevel"/>
    <w:lvl w:ilvl="0">
      <w:start w:val="1"/>
      <w:numFmt w:val="decimal"/>
      <w:lvlText w:val="%1."/>
      <w:lvlJc w:val="left"/>
      <w:pPr>
        <w:ind w:left="466" w:hanging="360"/>
        <w:jc w:val="left"/>
      </w:pPr>
      <w:rPr>
        <w:rFonts w:hint="default" w:ascii="Arial" w:hAnsi="Arial" w:eastAsia="Arial" w:cs="Arial"/>
        <w:spacing w:val="-3"/>
        <w:w w:val="99"/>
        <w:sz w:val="24"/>
        <w:szCs w:val="24"/>
      </w:rPr>
    </w:lvl>
    <w:lvl w:ilvl="1">
      <w:start w:val="1"/>
      <w:numFmt w:val="lowerLetter"/>
      <w:lvlText w:val="%2."/>
      <w:lvlJc w:val="left"/>
      <w:pPr>
        <w:ind w:left="826" w:hanging="360"/>
        <w:jc w:val="left"/>
      </w:pPr>
      <w:rPr>
        <w:rFonts w:hint="default" w:ascii="Arial" w:hAnsi="Arial" w:eastAsia="Arial" w:cs="Arial"/>
        <w:spacing w:val="-3"/>
        <w:w w:val="99"/>
        <w:sz w:val="24"/>
        <w:szCs w:val="24"/>
      </w:rPr>
    </w:lvl>
    <w:lvl w:ilvl="2">
      <w:start w:val="0"/>
      <w:numFmt w:val="bullet"/>
      <w:lvlText w:val="•"/>
      <w:lvlJc w:val="left"/>
      <w:pPr>
        <w:ind w:left="1824" w:hanging="360"/>
      </w:pPr>
      <w:rPr>
        <w:rFonts w:hint="default"/>
      </w:rPr>
    </w:lvl>
    <w:lvl w:ilvl="3">
      <w:start w:val="0"/>
      <w:numFmt w:val="bullet"/>
      <w:lvlText w:val="•"/>
      <w:lvlJc w:val="left"/>
      <w:pPr>
        <w:ind w:left="2828" w:hanging="360"/>
      </w:pPr>
      <w:rPr>
        <w:rFonts w:hint="default"/>
      </w:rPr>
    </w:lvl>
    <w:lvl w:ilvl="4">
      <w:start w:val="0"/>
      <w:numFmt w:val="bullet"/>
      <w:lvlText w:val="•"/>
      <w:lvlJc w:val="left"/>
      <w:pPr>
        <w:ind w:left="3833" w:hanging="360"/>
      </w:pPr>
      <w:rPr>
        <w:rFonts w:hint="default"/>
      </w:rPr>
    </w:lvl>
    <w:lvl w:ilvl="5">
      <w:start w:val="0"/>
      <w:numFmt w:val="bullet"/>
      <w:lvlText w:val="•"/>
      <w:lvlJc w:val="left"/>
      <w:pPr>
        <w:ind w:left="4837" w:hanging="360"/>
      </w:pPr>
      <w:rPr>
        <w:rFonts w:hint="default"/>
      </w:rPr>
    </w:lvl>
    <w:lvl w:ilvl="6">
      <w:start w:val="0"/>
      <w:numFmt w:val="bullet"/>
      <w:lvlText w:val="•"/>
      <w:lvlJc w:val="left"/>
      <w:pPr>
        <w:ind w:left="5842" w:hanging="360"/>
      </w:pPr>
      <w:rPr>
        <w:rFonts w:hint="default"/>
      </w:rPr>
    </w:lvl>
    <w:lvl w:ilvl="7">
      <w:start w:val="0"/>
      <w:numFmt w:val="bullet"/>
      <w:lvlText w:val="•"/>
      <w:lvlJc w:val="left"/>
      <w:pPr>
        <w:ind w:left="6846" w:hanging="360"/>
      </w:pPr>
      <w:rPr>
        <w:rFonts w:hint="default"/>
      </w:rPr>
    </w:lvl>
    <w:lvl w:ilvl="8">
      <w:start w:val="0"/>
      <w:numFmt w:val="bullet"/>
      <w:lvlText w:val="•"/>
      <w:lvlJc w:val="left"/>
      <w:pPr>
        <w:ind w:left="7851" w:hanging="360"/>
      </w:pPr>
      <w:rPr>
        <w:rFonts w:hint="default"/>
      </w:rPr>
    </w:lvl>
  </w:abstractNum>
  <w:abstractNum w:abstractNumId="95">
    <w:multiLevelType w:val="hybridMultilevel"/>
    <w:lvl w:ilvl="0">
      <w:start w:val="1"/>
      <w:numFmt w:val="decimal"/>
      <w:lvlText w:val="%1."/>
      <w:lvlJc w:val="left"/>
      <w:pPr>
        <w:ind w:left="466" w:hanging="360"/>
        <w:jc w:val="left"/>
      </w:pPr>
      <w:rPr>
        <w:rFonts w:hint="default" w:ascii="Arial" w:hAnsi="Arial" w:eastAsia="Arial" w:cs="Arial"/>
        <w:spacing w:val="-4"/>
        <w:w w:val="99"/>
        <w:sz w:val="24"/>
        <w:szCs w:val="24"/>
      </w:rPr>
    </w:lvl>
    <w:lvl w:ilvl="1">
      <w:start w:val="0"/>
      <w:numFmt w:val="bullet"/>
      <w:lvlText w:val="•"/>
      <w:lvlJc w:val="left"/>
      <w:pPr>
        <w:ind w:left="1400" w:hanging="360"/>
      </w:pPr>
      <w:rPr>
        <w:rFonts w:hint="default"/>
      </w:rPr>
    </w:lvl>
    <w:lvl w:ilvl="2">
      <w:start w:val="0"/>
      <w:numFmt w:val="bullet"/>
      <w:lvlText w:val="•"/>
      <w:lvlJc w:val="left"/>
      <w:pPr>
        <w:ind w:left="2340" w:hanging="360"/>
      </w:pPr>
      <w:rPr>
        <w:rFonts w:hint="default"/>
      </w:rPr>
    </w:lvl>
    <w:lvl w:ilvl="3">
      <w:start w:val="0"/>
      <w:numFmt w:val="bullet"/>
      <w:lvlText w:val="•"/>
      <w:lvlJc w:val="left"/>
      <w:pPr>
        <w:ind w:left="3280" w:hanging="360"/>
      </w:pPr>
      <w:rPr>
        <w:rFonts w:hint="default"/>
      </w:rPr>
    </w:lvl>
    <w:lvl w:ilvl="4">
      <w:start w:val="0"/>
      <w:numFmt w:val="bullet"/>
      <w:lvlText w:val="•"/>
      <w:lvlJc w:val="left"/>
      <w:pPr>
        <w:ind w:left="4220" w:hanging="360"/>
      </w:pPr>
      <w:rPr>
        <w:rFonts w:hint="default"/>
      </w:rPr>
    </w:lvl>
    <w:lvl w:ilvl="5">
      <w:start w:val="0"/>
      <w:numFmt w:val="bullet"/>
      <w:lvlText w:val="•"/>
      <w:lvlJc w:val="left"/>
      <w:pPr>
        <w:ind w:left="5160" w:hanging="360"/>
      </w:pPr>
      <w:rPr>
        <w:rFonts w:hint="default"/>
      </w:rPr>
    </w:lvl>
    <w:lvl w:ilvl="6">
      <w:start w:val="0"/>
      <w:numFmt w:val="bullet"/>
      <w:lvlText w:val="•"/>
      <w:lvlJc w:val="left"/>
      <w:pPr>
        <w:ind w:left="6100" w:hanging="360"/>
      </w:pPr>
      <w:rPr>
        <w:rFonts w:hint="default"/>
      </w:rPr>
    </w:lvl>
    <w:lvl w:ilvl="7">
      <w:start w:val="0"/>
      <w:numFmt w:val="bullet"/>
      <w:lvlText w:val="•"/>
      <w:lvlJc w:val="left"/>
      <w:pPr>
        <w:ind w:left="7040" w:hanging="360"/>
      </w:pPr>
      <w:rPr>
        <w:rFonts w:hint="default"/>
      </w:rPr>
    </w:lvl>
    <w:lvl w:ilvl="8">
      <w:start w:val="0"/>
      <w:numFmt w:val="bullet"/>
      <w:lvlText w:val="•"/>
      <w:lvlJc w:val="left"/>
      <w:pPr>
        <w:ind w:left="7980" w:hanging="360"/>
      </w:pPr>
      <w:rPr>
        <w:rFonts w:hint="default"/>
      </w:rPr>
    </w:lvl>
  </w:abstractNum>
  <w:abstractNum w:abstractNumId="94">
    <w:multiLevelType w:val="hybridMultilevel"/>
    <w:lvl w:ilvl="0">
      <w:start w:val="1"/>
      <w:numFmt w:val="decimal"/>
      <w:lvlText w:val="%1."/>
      <w:lvlJc w:val="left"/>
      <w:pPr>
        <w:ind w:left="466" w:hanging="360"/>
        <w:jc w:val="left"/>
      </w:pPr>
      <w:rPr>
        <w:rFonts w:hint="default" w:ascii="Arial" w:hAnsi="Arial" w:eastAsia="Arial" w:cs="Arial"/>
        <w:spacing w:val="-3"/>
        <w:w w:val="99"/>
        <w:sz w:val="24"/>
        <w:szCs w:val="24"/>
      </w:rPr>
    </w:lvl>
    <w:lvl w:ilvl="1">
      <w:start w:val="0"/>
      <w:numFmt w:val="bullet"/>
      <w:lvlText w:val="•"/>
      <w:lvlJc w:val="left"/>
      <w:pPr>
        <w:ind w:left="1400" w:hanging="360"/>
      </w:pPr>
      <w:rPr>
        <w:rFonts w:hint="default"/>
      </w:rPr>
    </w:lvl>
    <w:lvl w:ilvl="2">
      <w:start w:val="0"/>
      <w:numFmt w:val="bullet"/>
      <w:lvlText w:val="•"/>
      <w:lvlJc w:val="left"/>
      <w:pPr>
        <w:ind w:left="2340" w:hanging="360"/>
      </w:pPr>
      <w:rPr>
        <w:rFonts w:hint="default"/>
      </w:rPr>
    </w:lvl>
    <w:lvl w:ilvl="3">
      <w:start w:val="0"/>
      <w:numFmt w:val="bullet"/>
      <w:lvlText w:val="•"/>
      <w:lvlJc w:val="left"/>
      <w:pPr>
        <w:ind w:left="3280" w:hanging="360"/>
      </w:pPr>
      <w:rPr>
        <w:rFonts w:hint="default"/>
      </w:rPr>
    </w:lvl>
    <w:lvl w:ilvl="4">
      <w:start w:val="0"/>
      <w:numFmt w:val="bullet"/>
      <w:lvlText w:val="•"/>
      <w:lvlJc w:val="left"/>
      <w:pPr>
        <w:ind w:left="4220" w:hanging="360"/>
      </w:pPr>
      <w:rPr>
        <w:rFonts w:hint="default"/>
      </w:rPr>
    </w:lvl>
    <w:lvl w:ilvl="5">
      <w:start w:val="0"/>
      <w:numFmt w:val="bullet"/>
      <w:lvlText w:val="•"/>
      <w:lvlJc w:val="left"/>
      <w:pPr>
        <w:ind w:left="5160" w:hanging="360"/>
      </w:pPr>
      <w:rPr>
        <w:rFonts w:hint="default"/>
      </w:rPr>
    </w:lvl>
    <w:lvl w:ilvl="6">
      <w:start w:val="0"/>
      <w:numFmt w:val="bullet"/>
      <w:lvlText w:val="•"/>
      <w:lvlJc w:val="left"/>
      <w:pPr>
        <w:ind w:left="6100" w:hanging="360"/>
      </w:pPr>
      <w:rPr>
        <w:rFonts w:hint="default"/>
      </w:rPr>
    </w:lvl>
    <w:lvl w:ilvl="7">
      <w:start w:val="0"/>
      <w:numFmt w:val="bullet"/>
      <w:lvlText w:val="•"/>
      <w:lvlJc w:val="left"/>
      <w:pPr>
        <w:ind w:left="7040" w:hanging="360"/>
      </w:pPr>
      <w:rPr>
        <w:rFonts w:hint="default"/>
      </w:rPr>
    </w:lvl>
    <w:lvl w:ilvl="8">
      <w:start w:val="0"/>
      <w:numFmt w:val="bullet"/>
      <w:lvlText w:val="•"/>
      <w:lvlJc w:val="left"/>
      <w:pPr>
        <w:ind w:left="7980" w:hanging="360"/>
      </w:pPr>
      <w:rPr>
        <w:rFonts w:hint="default"/>
      </w:rPr>
    </w:lvl>
  </w:abstractNum>
  <w:abstractNum w:abstractNumId="93">
    <w:multiLevelType w:val="hybridMultilevel"/>
    <w:lvl w:ilvl="0">
      <w:start w:val="1"/>
      <w:numFmt w:val="decimal"/>
      <w:lvlText w:val="%1."/>
      <w:lvlJc w:val="left"/>
      <w:pPr>
        <w:ind w:left="466" w:hanging="360"/>
        <w:jc w:val="left"/>
      </w:pPr>
      <w:rPr>
        <w:rFonts w:hint="default" w:ascii="Arial" w:hAnsi="Arial" w:eastAsia="Arial" w:cs="Arial"/>
        <w:spacing w:val="-7"/>
        <w:w w:val="99"/>
        <w:sz w:val="24"/>
        <w:szCs w:val="24"/>
      </w:rPr>
    </w:lvl>
    <w:lvl w:ilvl="1">
      <w:start w:val="0"/>
      <w:numFmt w:val="bullet"/>
      <w:lvlText w:val="•"/>
      <w:lvlJc w:val="left"/>
      <w:pPr>
        <w:ind w:left="1400" w:hanging="360"/>
      </w:pPr>
      <w:rPr>
        <w:rFonts w:hint="default"/>
      </w:rPr>
    </w:lvl>
    <w:lvl w:ilvl="2">
      <w:start w:val="0"/>
      <w:numFmt w:val="bullet"/>
      <w:lvlText w:val="•"/>
      <w:lvlJc w:val="left"/>
      <w:pPr>
        <w:ind w:left="2340" w:hanging="360"/>
      </w:pPr>
      <w:rPr>
        <w:rFonts w:hint="default"/>
      </w:rPr>
    </w:lvl>
    <w:lvl w:ilvl="3">
      <w:start w:val="0"/>
      <w:numFmt w:val="bullet"/>
      <w:lvlText w:val="•"/>
      <w:lvlJc w:val="left"/>
      <w:pPr>
        <w:ind w:left="3280" w:hanging="360"/>
      </w:pPr>
      <w:rPr>
        <w:rFonts w:hint="default"/>
      </w:rPr>
    </w:lvl>
    <w:lvl w:ilvl="4">
      <w:start w:val="0"/>
      <w:numFmt w:val="bullet"/>
      <w:lvlText w:val="•"/>
      <w:lvlJc w:val="left"/>
      <w:pPr>
        <w:ind w:left="4220" w:hanging="360"/>
      </w:pPr>
      <w:rPr>
        <w:rFonts w:hint="default"/>
      </w:rPr>
    </w:lvl>
    <w:lvl w:ilvl="5">
      <w:start w:val="0"/>
      <w:numFmt w:val="bullet"/>
      <w:lvlText w:val="•"/>
      <w:lvlJc w:val="left"/>
      <w:pPr>
        <w:ind w:left="5160" w:hanging="360"/>
      </w:pPr>
      <w:rPr>
        <w:rFonts w:hint="default"/>
      </w:rPr>
    </w:lvl>
    <w:lvl w:ilvl="6">
      <w:start w:val="0"/>
      <w:numFmt w:val="bullet"/>
      <w:lvlText w:val="•"/>
      <w:lvlJc w:val="left"/>
      <w:pPr>
        <w:ind w:left="6100" w:hanging="360"/>
      </w:pPr>
      <w:rPr>
        <w:rFonts w:hint="default"/>
      </w:rPr>
    </w:lvl>
    <w:lvl w:ilvl="7">
      <w:start w:val="0"/>
      <w:numFmt w:val="bullet"/>
      <w:lvlText w:val="•"/>
      <w:lvlJc w:val="left"/>
      <w:pPr>
        <w:ind w:left="7040" w:hanging="360"/>
      </w:pPr>
      <w:rPr>
        <w:rFonts w:hint="default"/>
      </w:rPr>
    </w:lvl>
    <w:lvl w:ilvl="8">
      <w:start w:val="0"/>
      <w:numFmt w:val="bullet"/>
      <w:lvlText w:val="•"/>
      <w:lvlJc w:val="left"/>
      <w:pPr>
        <w:ind w:left="7980" w:hanging="360"/>
      </w:pPr>
      <w:rPr>
        <w:rFonts w:hint="default"/>
      </w:rPr>
    </w:lvl>
  </w:abstractNum>
  <w:abstractNum w:abstractNumId="92">
    <w:multiLevelType w:val="hybridMultilevel"/>
    <w:lvl w:ilvl="0">
      <w:start w:val="1"/>
      <w:numFmt w:val="lowerLetter"/>
      <w:lvlText w:val="%1."/>
      <w:lvlJc w:val="left"/>
      <w:pPr>
        <w:ind w:left="1406" w:hanging="360"/>
        <w:jc w:val="left"/>
      </w:pPr>
      <w:rPr>
        <w:rFonts w:hint="default" w:ascii="Arial" w:hAnsi="Arial" w:eastAsia="Arial" w:cs="Arial"/>
        <w:spacing w:val="-3"/>
        <w:w w:val="99"/>
        <w:sz w:val="24"/>
        <w:szCs w:val="24"/>
      </w:rPr>
    </w:lvl>
    <w:lvl w:ilvl="1">
      <w:start w:val="0"/>
      <w:numFmt w:val="bullet"/>
      <w:lvlText w:val="•"/>
      <w:lvlJc w:val="left"/>
      <w:pPr>
        <w:ind w:left="2304" w:hanging="360"/>
      </w:pPr>
      <w:rPr>
        <w:rFonts w:hint="default"/>
      </w:rPr>
    </w:lvl>
    <w:lvl w:ilvl="2">
      <w:start w:val="0"/>
      <w:numFmt w:val="bullet"/>
      <w:lvlText w:val="•"/>
      <w:lvlJc w:val="left"/>
      <w:pPr>
        <w:ind w:left="3208" w:hanging="360"/>
      </w:pPr>
      <w:rPr>
        <w:rFonts w:hint="default"/>
      </w:rPr>
    </w:lvl>
    <w:lvl w:ilvl="3">
      <w:start w:val="0"/>
      <w:numFmt w:val="bullet"/>
      <w:lvlText w:val="•"/>
      <w:lvlJc w:val="left"/>
      <w:pPr>
        <w:ind w:left="4112" w:hanging="360"/>
      </w:pPr>
      <w:rPr>
        <w:rFonts w:hint="default"/>
      </w:rPr>
    </w:lvl>
    <w:lvl w:ilvl="4">
      <w:start w:val="0"/>
      <w:numFmt w:val="bullet"/>
      <w:lvlText w:val="•"/>
      <w:lvlJc w:val="left"/>
      <w:pPr>
        <w:ind w:left="5016" w:hanging="360"/>
      </w:pPr>
      <w:rPr>
        <w:rFonts w:hint="default"/>
      </w:rPr>
    </w:lvl>
    <w:lvl w:ilvl="5">
      <w:start w:val="0"/>
      <w:numFmt w:val="bullet"/>
      <w:lvlText w:val="•"/>
      <w:lvlJc w:val="left"/>
      <w:pPr>
        <w:ind w:left="5920" w:hanging="360"/>
      </w:pPr>
      <w:rPr>
        <w:rFonts w:hint="default"/>
      </w:rPr>
    </w:lvl>
    <w:lvl w:ilvl="6">
      <w:start w:val="0"/>
      <w:numFmt w:val="bullet"/>
      <w:lvlText w:val="•"/>
      <w:lvlJc w:val="left"/>
      <w:pPr>
        <w:ind w:left="6824" w:hanging="360"/>
      </w:pPr>
      <w:rPr>
        <w:rFonts w:hint="default"/>
      </w:rPr>
    </w:lvl>
    <w:lvl w:ilvl="7">
      <w:start w:val="0"/>
      <w:numFmt w:val="bullet"/>
      <w:lvlText w:val="•"/>
      <w:lvlJc w:val="left"/>
      <w:pPr>
        <w:ind w:left="7728" w:hanging="360"/>
      </w:pPr>
      <w:rPr>
        <w:rFonts w:hint="default"/>
      </w:rPr>
    </w:lvl>
    <w:lvl w:ilvl="8">
      <w:start w:val="0"/>
      <w:numFmt w:val="bullet"/>
      <w:lvlText w:val="•"/>
      <w:lvlJc w:val="left"/>
      <w:pPr>
        <w:ind w:left="8632" w:hanging="360"/>
      </w:pPr>
      <w:rPr>
        <w:rFonts w:hint="default"/>
      </w:rPr>
    </w:lvl>
  </w:abstractNum>
  <w:abstractNum w:abstractNumId="91">
    <w:multiLevelType w:val="hybridMultilevel"/>
    <w:lvl w:ilvl="0">
      <w:start w:val="4"/>
      <w:numFmt w:val="decimal"/>
      <w:lvlText w:val="%1."/>
      <w:lvlJc w:val="left"/>
      <w:pPr>
        <w:ind w:left="1046" w:hanging="360"/>
        <w:jc w:val="left"/>
      </w:pPr>
      <w:rPr>
        <w:rFonts w:hint="default" w:ascii="Arial" w:hAnsi="Arial" w:eastAsia="Arial" w:cs="Arial"/>
        <w:spacing w:val="-3"/>
        <w:w w:val="99"/>
        <w:sz w:val="24"/>
        <w:szCs w:val="24"/>
      </w:rPr>
    </w:lvl>
    <w:lvl w:ilvl="1">
      <w:start w:val="1"/>
      <w:numFmt w:val="lowerLetter"/>
      <w:lvlText w:val="%2."/>
      <w:lvlJc w:val="left"/>
      <w:pPr>
        <w:ind w:left="1406" w:hanging="360"/>
        <w:jc w:val="left"/>
      </w:pPr>
      <w:rPr>
        <w:rFonts w:hint="default" w:ascii="Arial" w:hAnsi="Arial" w:eastAsia="Arial" w:cs="Arial"/>
        <w:spacing w:val="-5"/>
        <w:w w:val="99"/>
        <w:sz w:val="24"/>
        <w:szCs w:val="24"/>
      </w:rPr>
    </w:lvl>
    <w:lvl w:ilvl="2">
      <w:start w:val="0"/>
      <w:numFmt w:val="bullet"/>
      <w:lvlText w:val="•"/>
      <w:lvlJc w:val="left"/>
      <w:pPr>
        <w:ind w:left="2404" w:hanging="360"/>
      </w:pPr>
      <w:rPr>
        <w:rFonts w:hint="default"/>
      </w:rPr>
    </w:lvl>
    <w:lvl w:ilvl="3">
      <w:start w:val="0"/>
      <w:numFmt w:val="bullet"/>
      <w:lvlText w:val="•"/>
      <w:lvlJc w:val="left"/>
      <w:pPr>
        <w:ind w:left="3408" w:hanging="360"/>
      </w:pPr>
      <w:rPr>
        <w:rFonts w:hint="default"/>
      </w:rPr>
    </w:lvl>
    <w:lvl w:ilvl="4">
      <w:start w:val="0"/>
      <w:numFmt w:val="bullet"/>
      <w:lvlText w:val="•"/>
      <w:lvlJc w:val="left"/>
      <w:pPr>
        <w:ind w:left="4413" w:hanging="360"/>
      </w:pPr>
      <w:rPr>
        <w:rFonts w:hint="default"/>
      </w:rPr>
    </w:lvl>
    <w:lvl w:ilvl="5">
      <w:start w:val="0"/>
      <w:numFmt w:val="bullet"/>
      <w:lvlText w:val="•"/>
      <w:lvlJc w:val="left"/>
      <w:pPr>
        <w:ind w:left="5417" w:hanging="360"/>
      </w:pPr>
      <w:rPr>
        <w:rFonts w:hint="default"/>
      </w:rPr>
    </w:lvl>
    <w:lvl w:ilvl="6">
      <w:start w:val="0"/>
      <w:numFmt w:val="bullet"/>
      <w:lvlText w:val="•"/>
      <w:lvlJc w:val="left"/>
      <w:pPr>
        <w:ind w:left="6422" w:hanging="360"/>
      </w:pPr>
      <w:rPr>
        <w:rFonts w:hint="default"/>
      </w:rPr>
    </w:lvl>
    <w:lvl w:ilvl="7">
      <w:start w:val="0"/>
      <w:numFmt w:val="bullet"/>
      <w:lvlText w:val="•"/>
      <w:lvlJc w:val="left"/>
      <w:pPr>
        <w:ind w:left="7426" w:hanging="360"/>
      </w:pPr>
      <w:rPr>
        <w:rFonts w:hint="default"/>
      </w:rPr>
    </w:lvl>
    <w:lvl w:ilvl="8">
      <w:start w:val="0"/>
      <w:numFmt w:val="bullet"/>
      <w:lvlText w:val="•"/>
      <w:lvlJc w:val="left"/>
      <w:pPr>
        <w:ind w:left="8431" w:hanging="360"/>
      </w:pPr>
      <w:rPr>
        <w:rFonts w:hint="default"/>
      </w:rPr>
    </w:lvl>
  </w:abstractNum>
  <w:abstractNum w:abstractNumId="90">
    <w:multiLevelType w:val="hybridMultilevel"/>
    <w:lvl w:ilvl="0">
      <w:start w:val="1"/>
      <w:numFmt w:val="lowerLetter"/>
      <w:lvlText w:val="%1."/>
      <w:lvlJc w:val="left"/>
      <w:pPr>
        <w:ind w:left="1406" w:hanging="360"/>
        <w:jc w:val="left"/>
      </w:pPr>
      <w:rPr>
        <w:rFonts w:hint="default" w:ascii="Arial" w:hAnsi="Arial" w:eastAsia="Arial" w:cs="Arial"/>
        <w:spacing w:val="-3"/>
        <w:w w:val="99"/>
        <w:sz w:val="24"/>
        <w:szCs w:val="24"/>
      </w:rPr>
    </w:lvl>
    <w:lvl w:ilvl="1">
      <w:start w:val="1"/>
      <w:numFmt w:val="decimal"/>
      <w:lvlText w:val="(%2)"/>
      <w:lvlJc w:val="left"/>
      <w:pPr>
        <w:ind w:left="1766" w:hanging="360"/>
        <w:jc w:val="left"/>
      </w:pPr>
      <w:rPr>
        <w:rFonts w:hint="default" w:ascii="Arial" w:hAnsi="Arial" w:eastAsia="Arial" w:cs="Arial"/>
        <w:spacing w:val="-1"/>
        <w:w w:val="99"/>
        <w:sz w:val="24"/>
        <w:szCs w:val="24"/>
      </w:rPr>
    </w:lvl>
    <w:lvl w:ilvl="2">
      <w:start w:val="0"/>
      <w:numFmt w:val="bullet"/>
      <w:lvlText w:val="•"/>
      <w:lvlJc w:val="left"/>
      <w:pPr>
        <w:ind w:left="2724" w:hanging="360"/>
      </w:pPr>
      <w:rPr>
        <w:rFonts w:hint="default"/>
      </w:rPr>
    </w:lvl>
    <w:lvl w:ilvl="3">
      <w:start w:val="0"/>
      <w:numFmt w:val="bullet"/>
      <w:lvlText w:val="•"/>
      <w:lvlJc w:val="left"/>
      <w:pPr>
        <w:ind w:left="3688" w:hanging="360"/>
      </w:pPr>
      <w:rPr>
        <w:rFonts w:hint="default"/>
      </w:rPr>
    </w:lvl>
    <w:lvl w:ilvl="4">
      <w:start w:val="0"/>
      <w:numFmt w:val="bullet"/>
      <w:lvlText w:val="•"/>
      <w:lvlJc w:val="left"/>
      <w:pPr>
        <w:ind w:left="4653" w:hanging="360"/>
      </w:pPr>
      <w:rPr>
        <w:rFonts w:hint="default"/>
      </w:rPr>
    </w:lvl>
    <w:lvl w:ilvl="5">
      <w:start w:val="0"/>
      <w:numFmt w:val="bullet"/>
      <w:lvlText w:val="•"/>
      <w:lvlJc w:val="left"/>
      <w:pPr>
        <w:ind w:left="5617" w:hanging="360"/>
      </w:pPr>
      <w:rPr>
        <w:rFonts w:hint="default"/>
      </w:rPr>
    </w:lvl>
    <w:lvl w:ilvl="6">
      <w:start w:val="0"/>
      <w:numFmt w:val="bullet"/>
      <w:lvlText w:val="•"/>
      <w:lvlJc w:val="left"/>
      <w:pPr>
        <w:ind w:left="6582" w:hanging="360"/>
      </w:pPr>
      <w:rPr>
        <w:rFonts w:hint="default"/>
      </w:rPr>
    </w:lvl>
    <w:lvl w:ilvl="7">
      <w:start w:val="0"/>
      <w:numFmt w:val="bullet"/>
      <w:lvlText w:val="•"/>
      <w:lvlJc w:val="left"/>
      <w:pPr>
        <w:ind w:left="7546" w:hanging="360"/>
      </w:pPr>
      <w:rPr>
        <w:rFonts w:hint="default"/>
      </w:rPr>
    </w:lvl>
    <w:lvl w:ilvl="8">
      <w:start w:val="0"/>
      <w:numFmt w:val="bullet"/>
      <w:lvlText w:val="•"/>
      <w:lvlJc w:val="left"/>
      <w:pPr>
        <w:ind w:left="8511" w:hanging="360"/>
      </w:pPr>
      <w:rPr>
        <w:rFonts w:hint="default"/>
      </w:rPr>
    </w:lvl>
  </w:abstractNum>
  <w:abstractNum w:abstractNumId="89">
    <w:multiLevelType w:val="hybridMultilevel"/>
    <w:lvl w:ilvl="0">
      <w:start w:val="2"/>
      <w:numFmt w:val="decimal"/>
      <w:lvlText w:val="%1"/>
      <w:lvlJc w:val="left"/>
      <w:pPr>
        <w:ind w:left="1046" w:hanging="360"/>
        <w:jc w:val="left"/>
      </w:pPr>
      <w:rPr>
        <w:rFonts w:hint="default"/>
      </w:rPr>
    </w:lvl>
    <w:lvl w:ilvl="1">
      <w:start w:val="4"/>
      <w:numFmt w:val="decimal"/>
      <w:lvlText w:val="%1.%2"/>
      <w:lvlJc w:val="left"/>
      <w:pPr>
        <w:ind w:left="1046" w:hanging="360"/>
        <w:jc w:val="left"/>
      </w:pPr>
      <w:rPr>
        <w:rFonts w:hint="default"/>
        <w:strike/>
        <w:w w:val="99"/>
      </w:rPr>
    </w:lvl>
    <w:lvl w:ilvl="2">
      <w:start w:val="1"/>
      <w:numFmt w:val="lowerLetter"/>
      <w:lvlText w:val="%3."/>
      <w:lvlJc w:val="left"/>
      <w:pPr>
        <w:ind w:left="1406" w:hanging="360"/>
        <w:jc w:val="left"/>
      </w:pPr>
      <w:rPr>
        <w:rFonts w:hint="default" w:ascii="Arial" w:hAnsi="Arial" w:eastAsia="Arial" w:cs="Arial"/>
        <w:spacing w:val="-4"/>
        <w:w w:val="99"/>
        <w:sz w:val="24"/>
        <w:szCs w:val="24"/>
      </w:rPr>
    </w:lvl>
    <w:lvl w:ilvl="3">
      <w:start w:val="0"/>
      <w:numFmt w:val="bullet"/>
      <w:lvlText w:val="•"/>
      <w:lvlJc w:val="left"/>
      <w:pPr>
        <w:ind w:left="3408" w:hanging="360"/>
      </w:pPr>
      <w:rPr>
        <w:rFonts w:hint="default"/>
      </w:rPr>
    </w:lvl>
    <w:lvl w:ilvl="4">
      <w:start w:val="0"/>
      <w:numFmt w:val="bullet"/>
      <w:lvlText w:val="•"/>
      <w:lvlJc w:val="left"/>
      <w:pPr>
        <w:ind w:left="4413" w:hanging="360"/>
      </w:pPr>
      <w:rPr>
        <w:rFonts w:hint="default"/>
      </w:rPr>
    </w:lvl>
    <w:lvl w:ilvl="5">
      <w:start w:val="0"/>
      <w:numFmt w:val="bullet"/>
      <w:lvlText w:val="•"/>
      <w:lvlJc w:val="left"/>
      <w:pPr>
        <w:ind w:left="5417" w:hanging="360"/>
      </w:pPr>
      <w:rPr>
        <w:rFonts w:hint="default"/>
      </w:rPr>
    </w:lvl>
    <w:lvl w:ilvl="6">
      <w:start w:val="0"/>
      <w:numFmt w:val="bullet"/>
      <w:lvlText w:val="•"/>
      <w:lvlJc w:val="left"/>
      <w:pPr>
        <w:ind w:left="6422" w:hanging="360"/>
      </w:pPr>
      <w:rPr>
        <w:rFonts w:hint="default"/>
      </w:rPr>
    </w:lvl>
    <w:lvl w:ilvl="7">
      <w:start w:val="0"/>
      <w:numFmt w:val="bullet"/>
      <w:lvlText w:val="•"/>
      <w:lvlJc w:val="left"/>
      <w:pPr>
        <w:ind w:left="7426" w:hanging="360"/>
      </w:pPr>
      <w:rPr>
        <w:rFonts w:hint="default"/>
      </w:rPr>
    </w:lvl>
    <w:lvl w:ilvl="8">
      <w:start w:val="0"/>
      <w:numFmt w:val="bullet"/>
      <w:lvlText w:val="•"/>
      <w:lvlJc w:val="left"/>
      <w:pPr>
        <w:ind w:left="8431" w:hanging="360"/>
      </w:pPr>
      <w:rPr>
        <w:rFonts w:hint="default"/>
      </w:rPr>
    </w:lvl>
  </w:abstractNum>
  <w:abstractNum w:abstractNumId="88">
    <w:multiLevelType w:val="hybridMultilevel"/>
    <w:lvl w:ilvl="0">
      <w:start w:val="1"/>
      <w:numFmt w:val="decimal"/>
      <w:lvlText w:val="%1."/>
      <w:lvlJc w:val="left"/>
      <w:pPr>
        <w:ind w:left="1046" w:hanging="360"/>
        <w:jc w:val="left"/>
      </w:pPr>
      <w:rPr>
        <w:rFonts w:hint="default" w:ascii="Arial" w:hAnsi="Arial" w:eastAsia="Arial" w:cs="Arial"/>
        <w:spacing w:val="-7"/>
        <w:w w:val="99"/>
        <w:sz w:val="24"/>
        <w:szCs w:val="24"/>
      </w:rPr>
    </w:lvl>
    <w:lvl w:ilvl="1">
      <w:start w:val="0"/>
      <w:numFmt w:val="bullet"/>
      <w:lvlText w:val="•"/>
      <w:lvlJc w:val="left"/>
      <w:pPr>
        <w:ind w:left="1980" w:hanging="360"/>
      </w:pPr>
      <w:rPr>
        <w:rFonts w:hint="default"/>
      </w:rPr>
    </w:lvl>
    <w:lvl w:ilvl="2">
      <w:start w:val="0"/>
      <w:numFmt w:val="bullet"/>
      <w:lvlText w:val="•"/>
      <w:lvlJc w:val="left"/>
      <w:pPr>
        <w:ind w:left="2920" w:hanging="360"/>
      </w:pPr>
      <w:rPr>
        <w:rFonts w:hint="default"/>
      </w:rPr>
    </w:lvl>
    <w:lvl w:ilvl="3">
      <w:start w:val="0"/>
      <w:numFmt w:val="bullet"/>
      <w:lvlText w:val="•"/>
      <w:lvlJc w:val="left"/>
      <w:pPr>
        <w:ind w:left="3860" w:hanging="360"/>
      </w:pPr>
      <w:rPr>
        <w:rFonts w:hint="default"/>
      </w:rPr>
    </w:lvl>
    <w:lvl w:ilvl="4">
      <w:start w:val="0"/>
      <w:numFmt w:val="bullet"/>
      <w:lvlText w:val="•"/>
      <w:lvlJc w:val="left"/>
      <w:pPr>
        <w:ind w:left="4800" w:hanging="360"/>
      </w:pPr>
      <w:rPr>
        <w:rFonts w:hint="default"/>
      </w:rPr>
    </w:lvl>
    <w:lvl w:ilvl="5">
      <w:start w:val="0"/>
      <w:numFmt w:val="bullet"/>
      <w:lvlText w:val="•"/>
      <w:lvlJc w:val="left"/>
      <w:pPr>
        <w:ind w:left="5740" w:hanging="360"/>
      </w:pPr>
      <w:rPr>
        <w:rFonts w:hint="default"/>
      </w:rPr>
    </w:lvl>
    <w:lvl w:ilvl="6">
      <w:start w:val="0"/>
      <w:numFmt w:val="bullet"/>
      <w:lvlText w:val="•"/>
      <w:lvlJc w:val="left"/>
      <w:pPr>
        <w:ind w:left="6680" w:hanging="360"/>
      </w:pPr>
      <w:rPr>
        <w:rFonts w:hint="default"/>
      </w:rPr>
    </w:lvl>
    <w:lvl w:ilvl="7">
      <w:start w:val="0"/>
      <w:numFmt w:val="bullet"/>
      <w:lvlText w:val="•"/>
      <w:lvlJc w:val="left"/>
      <w:pPr>
        <w:ind w:left="7620" w:hanging="360"/>
      </w:pPr>
      <w:rPr>
        <w:rFonts w:hint="default"/>
      </w:rPr>
    </w:lvl>
    <w:lvl w:ilvl="8">
      <w:start w:val="0"/>
      <w:numFmt w:val="bullet"/>
      <w:lvlText w:val="•"/>
      <w:lvlJc w:val="left"/>
      <w:pPr>
        <w:ind w:left="8560" w:hanging="360"/>
      </w:pPr>
      <w:rPr>
        <w:rFonts w:hint="default"/>
      </w:rPr>
    </w:lvl>
  </w:abstractNum>
  <w:abstractNum w:abstractNumId="87">
    <w:multiLevelType w:val="hybridMultilevel"/>
    <w:lvl w:ilvl="0">
      <w:start w:val="1"/>
      <w:numFmt w:val="decimal"/>
      <w:lvlText w:val="%1."/>
      <w:lvlJc w:val="left"/>
      <w:pPr>
        <w:ind w:left="1046" w:hanging="360"/>
        <w:jc w:val="left"/>
      </w:pPr>
      <w:rPr>
        <w:rFonts w:hint="default" w:ascii="Arial" w:hAnsi="Arial" w:eastAsia="Arial" w:cs="Arial"/>
        <w:spacing w:val="-3"/>
        <w:w w:val="99"/>
        <w:sz w:val="24"/>
        <w:szCs w:val="24"/>
      </w:rPr>
    </w:lvl>
    <w:lvl w:ilvl="1">
      <w:start w:val="0"/>
      <w:numFmt w:val="bullet"/>
      <w:lvlText w:val="•"/>
      <w:lvlJc w:val="left"/>
      <w:pPr>
        <w:ind w:left="1980" w:hanging="360"/>
      </w:pPr>
      <w:rPr>
        <w:rFonts w:hint="default"/>
      </w:rPr>
    </w:lvl>
    <w:lvl w:ilvl="2">
      <w:start w:val="0"/>
      <w:numFmt w:val="bullet"/>
      <w:lvlText w:val="•"/>
      <w:lvlJc w:val="left"/>
      <w:pPr>
        <w:ind w:left="2920" w:hanging="360"/>
      </w:pPr>
      <w:rPr>
        <w:rFonts w:hint="default"/>
      </w:rPr>
    </w:lvl>
    <w:lvl w:ilvl="3">
      <w:start w:val="0"/>
      <w:numFmt w:val="bullet"/>
      <w:lvlText w:val="•"/>
      <w:lvlJc w:val="left"/>
      <w:pPr>
        <w:ind w:left="3860" w:hanging="360"/>
      </w:pPr>
      <w:rPr>
        <w:rFonts w:hint="default"/>
      </w:rPr>
    </w:lvl>
    <w:lvl w:ilvl="4">
      <w:start w:val="0"/>
      <w:numFmt w:val="bullet"/>
      <w:lvlText w:val="•"/>
      <w:lvlJc w:val="left"/>
      <w:pPr>
        <w:ind w:left="4800" w:hanging="360"/>
      </w:pPr>
      <w:rPr>
        <w:rFonts w:hint="default"/>
      </w:rPr>
    </w:lvl>
    <w:lvl w:ilvl="5">
      <w:start w:val="0"/>
      <w:numFmt w:val="bullet"/>
      <w:lvlText w:val="•"/>
      <w:lvlJc w:val="left"/>
      <w:pPr>
        <w:ind w:left="5740" w:hanging="360"/>
      </w:pPr>
      <w:rPr>
        <w:rFonts w:hint="default"/>
      </w:rPr>
    </w:lvl>
    <w:lvl w:ilvl="6">
      <w:start w:val="0"/>
      <w:numFmt w:val="bullet"/>
      <w:lvlText w:val="•"/>
      <w:lvlJc w:val="left"/>
      <w:pPr>
        <w:ind w:left="6680" w:hanging="360"/>
      </w:pPr>
      <w:rPr>
        <w:rFonts w:hint="default"/>
      </w:rPr>
    </w:lvl>
    <w:lvl w:ilvl="7">
      <w:start w:val="0"/>
      <w:numFmt w:val="bullet"/>
      <w:lvlText w:val="•"/>
      <w:lvlJc w:val="left"/>
      <w:pPr>
        <w:ind w:left="7620" w:hanging="360"/>
      </w:pPr>
      <w:rPr>
        <w:rFonts w:hint="default"/>
      </w:rPr>
    </w:lvl>
    <w:lvl w:ilvl="8">
      <w:start w:val="0"/>
      <w:numFmt w:val="bullet"/>
      <w:lvlText w:val="•"/>
      <w:lvlJc w:val="left"/>
      <w:pPr>
        <w:ind w:left="8560" w:hanging="360"/>
      </w:pPr>
      <w:rPr>
        <w:rFonts w:hint="default"/>
      </w:rPr>
    </w:lvl>
  </w:abstractNum>
  <w:abstractNum w:abstractNumId="86">
    <w:multiLevelType w:val="hybridMultilevel"/>
    <w:lvl w:ilvl="0">
      <w:start w:val="1"/>
      <w:numFmt w:val="decimal"/>
      <w:lvlText w:val="%1."/>
      <w:lvlJc w:val="left"/>
      <w:pPr>
        <w:ind w:left="1046" w:hanging="360"/>
        <w:jc w:val="left"/>
      </w:pPr>
      <w:rPr>
        <w:rFonts w:hint="default" w:ascii="Arial" w:hAnsi="Arial" w:eastAsia="Arial" w:cs="Arial"/>
        <w:spacing w:val="-5"/>
        <w:w w:val="99"/>
        <w:sz w:val="24"/>
        <w:szCs w:val="24"/>
      </w:rPr>
    </w:lvl>
    <w:lvl w:ilvl="1">
      <w:start w:val="0"/>
      <w:numFmt w:val="bullet"/>
      <w:lvlText w:val="•"/>
      <w:lvlJc w:val="left"/>
      <w:pPr>
        <w:ind w:left="1978" w:hanging="360"/>
      </w:pPr>
      <w:rPr>
        <w:rFonts w:hint="default"/>
      </w:rPr>
    </w:lvl>
    <w:lvl w:ilvl="2">
      <w:start w:val="0"/>
      <w:numFmt w:val="bullet"/>
      <w:lvlText w:val="•"/>
      <w:lvlJc w:val="left"/>
      <w:pPr>
        <w:ind w:left="2916" w:hanging="360"/>
      </w:pPr>
      <w:rPr>
        <w:rFonts w:hint="default"/>
      </w:rPr>
    </w:lvl>
    <w:lvl w:ilvl="3">
      <w:start w:val="0"/>
      <w:numFmt w:val="bullet"/>
      <w:lvlText w:val="•"/>
      <w:lvlJc w:val="left"/>
      <w:pPr>
        <w:ind w:left="3854" w:hanging="360"/>
      </w:pPr>
      <w:rPr>
        <w:rFonts w:hint="default"/>
      </w:rPr>
    </w:lvl>
    <w:lvl w:ilvl="4">
      <w:start w:val="0"/>
      <w:numFmt w:val="bullet"/>
      <w:lvlText w:val="•"/>
      <w:lvlJc w:val="left"/>
      <w:pPr>
        <w:ind w:left="4792" w:hanging="360"/>
      </w:pPr>
      <w:rPr>
        <w:rFonts w:hint="default"/>
      </w:rPr>
    </w:lvl>
    <w:lvl w:ilvl="5">
      <w:start w:val="0"/>
      <w:numFmt w:val="bullet"/>
      <w:lvlText w:val="•"/>
      <w:lvlJc w:val="left"/>
      <w:pPr>
        <w:ind w:left="5730" w:hanging="360"/>
      </w:pPr>
      <w:rPr>
        <w:rFonts w:hint="default"/>
      </w:rPr>
    </w:lvl>
    <w:lvl w:ilvl="6">
      <w:start w:val="0"/>
      <w:numFmt w:val="bullet"/>
      <w:lvlText w:val="•"/>
      <w:lvlJc w:val="left"/>
      <w:pPr>
        <w:ind w:left="6668" w:hanging="360"/>
      </w:pPr>
      <w:rPr>
        <w:rFonts w:hint="default"/>
      </w:rPr>
    </w:lvl>
    <w:lvl w:ilvl="7">
      <w:start w:val="0"/>
      <w:numFmt w:val="bullet"/>
      <w:lvlText w:val="•"/>
      <w:lvlJc w:val="left"/>
      <w:pPr>
        <w:ind w:left="7606" w:hanging="360"/>
      </w:pPr>
      <w:rPr>
        <w:rFonts w:hint="default"/>
      </w:rPr>
    </w:lvl>
    <w:lvl w:ilvl="8">
      <w:start w:val="0"/>
      <w:numFmt w:val="bullet"/>
      <w:lvlText w:val="•"/>
      <w:lvlJc w:val="left"/>
      <w:pPr>
        <w:ind w:left="8544" w:hanging="360"/>
      </w:pPr>
      <w:rPr>
        <w:rFonts w:hint="default"/>
      </w:rPr>
    </w:lvl>
  </w:abstractNum>
  <w:abstractNum w:abstractNumId="85">
    <w:multiLevelType w:val="hybridMultilevel"/>
    <w:lvl w:ilvl="0">
      <w:start w:val="1"/>
      <w:numFmt w:val="decimal"/>
      <w:lvlText w:val="%1."/>
      <w:lvlJc w:val="left"/>
      <w:pPr>
        <w:ind w:left="1046" w:hanging="360"/>
        <w:jc w:val="left"/>
      </w:pPr>
      <w:rPr>
        <w:rFonts w:hint="default" w:ascii="Arial" w:hAnsi="Arial" w:eastAsia="Arial" w:cs="Arial"/>
        <w:spacing w:val="-3"/>
        <w:w w:val="99"/>
        <w:sz w:val="24"/>
        <w:szCs w:val="24"/>
      </w:rPr>
    </w:lvl>
    <w:lvl w:ilvl="1">
      <w:start w:val="0"/>
      <w:numFmt w:val="bullet"/>
      <w:lvlText w:val="•"/>
      <w:lvlJc w:val="left"/>
      <w:pPr>
        <w:ind w:left="1980" w:hanging="360"/>
      </w:pPr>
      <w:rPr>
        <w:rFonts w:hint="default"/>
      </w:rPr>
    </w:lvl>
    <w:lvl w:ilvl="2">
      <w:start w:val="0"/>
      <w:numFmt w:val="bullet"/>
      <w:lvlText w:val="•"/>
      <w:lvlJc w:val="left"/>
      <w:pPr>
        <w:ind w:left="2920" w:hanging="360"/>
      </w:pPr>
      <w:rPr>
        <w:rFonts w:hint="default"/>
      </w:rPr>
    </w:lvl>
    <w:lvl w:ilvl="3">
      <w:start w:val="0"/>
      <w:numFmt w:val="bullet"/>
      <w:lvlText w:val="•"/>
      <w:lvlJc w:val="left"/>
      <w:pPr>
        <w:ind w:left="3860" w:hanging="360"/>
      </w:pPr>
      <w:rPr>
        <w:rFonts w:hint="default"/>
      </w:rPr>
    </w:lvl>
    <w:lvl w:ilvl="4">
      <w:start w:val="0"/>
      <w:numFmt w:val="bullet"/>
      <w:lvlText w:val="•"/>
      <w:lvlJc w:val="left"/>
      <w:pPr>
        <w:ind w:left="4800" w:hanging="360"/>
      </w:pPr>
      <w:rPr>
        <w:rFonts w:hint="default"/>
      </w:rPr>
    </w:lvl>
    <w:lvl w:ilvl="5">
      <w:start w:val="0"/>
      <w:numFmt w:val="bullet"/>
      <w:lvlText w:val="•"/>
      <w:lvlJc w:val="left"/>
      <w:pPr>
        <w:ind w:left="5740" w:hanging="360"/>
      </w:pPr>
      <w:rPr>
        <w:rFonts w:hint="default"/>
      </w:rPr>
    </w:lvl>
    <w:lvl w:ilvl="6">
      <w:start w:val="0"/>
      <w:numFmt w:val="bullet"/>
      <w:lvlText w:val="•"/>
      <w:lvlJc w:val="left"/>
      <w:pPr>
        <w:ind w:left="6680" w:hanging="360"/>
      </w:pPr>
      <w:rPr>
        <w:rFonts w:hint="default"/>
      </w:rPr>
    </w:lvl>
    <w:lvl w:ilvl="7">
      <w:start w:val="0"/>
      <w:numFmt w:val="bullet"/>
      <w:lvlText w:val="•"/>
      <w:lvlJc w:val="left"/>
      <w:pPr>
        <w:ind w:left="7620" w:hanging="360"/>
      </w:pPr>
      <w:rPr>
        <w:rFonts w:hint="default"/>
      </w:rPr>
    </w:lvl>
    <w:lvl w:ilvl="8">
      <w:start w:val="0"/>
      <w:numFmt w:val="bullet"/>
      <w:lvlText w:val="•"/>
      <w:lvlJc w:val="left"/>
      <w:pPr>
        <w:ind w:left="8560" w:hanging="360"/>
      </w:pPr>
      <w:rPr>
        <w:rFonts w:hint="default"/>
      </w:rPr>
    </w:lvl>
  </w:abstractNum>
  <w:abstractNum w:abstractNumId="84">
    <w:multiLevelType w:val="hybridMultilevel"/>
    <w:lvl w:ilvl="0">
      <w:start w:val="1"/>
      <w:numFmt w:val="decimal"/>
      <w:lvlText w:val="%1."/>
      <w:lvlJc w:val="left"/>
      <w:pPr>
        <w:ind w:left="686" w:hanging="360"/>
        <w:jc w:val="left"/>
      </w:pPr>
      <w:rPr>
        <w:rFonts w:hint="default" w:ascii="Arial" w:hAnsi="Arial" w:eastAsia="Arial" w:cs="Arial"/>
        <w:spacing w:val="-7"/>
        <w:w w:val="99"/>
        <w:sz w:val="24"/>
        <w:szCs w:val="24"/>
      </w:rPr>
    </w:lvl>
    <w:lvl w:ilvl="1">
      <w:start w:val="0"/>
      <w:numFmt w:val="bullet"/>
      <w:lvlText w:val="•"/>
      <w:lvlJc w:val="left"/>
      <w:pPr>
        <w:ind w:left="1654" w:hanging="360"/>
      </w:pPr>
      <w:rPr>
        <w:rFonts w:hint="default"/>
      </w:rPr>
    </w:lvl>
    <w:lvl w:ilvl="2">
      <w:start w:val="0"/>
      <w:numFmt w:val="bullet"/>
      <w:lvlText w:val="•"/>
      <w:lvlJc w:val="left"/>
      <w:pPr>
        <w:ind w:left="2628" w:hanging="360"/>
      </w:pPr>
      <w:rPr>
        <w:rFonts w:hint="default"/>
      </w:rPr>
    </w:lvl>
    <w:lvl w:ilvl="3">
      <w:start w:val="0"/>
      <w:numFmt w:val="bullet"/>
      <w:lvlText w:val="•"/>
      <w:lvlJc w:val="left"/>
      <w:pPr>
        <w:ind w:left="3602" w:hanging="360"/>
      </w:pPr>
      <w:rPr>
        <w:rFonts w:hint="default"/>
      </w:rPr>
    </w:lvl>
    <w:lvl w:ilvl="4">
      <w:start w:val="0"/>
      <w:numFmt w:val="bullet"/>
      <w:lvlText w:val="•"/>
      <w:lvlJc w:val="left"/>
      <w:pPr>
        <w:ind w:left="4576" w:hanging="360"/>
      </w:pPr>
      <w:rPr>
        <w:rFonts w:hint="default"/>
      </w:rPr>
    </w:lvl>
    <w:lvl w:ilvl="5">
      <w:start w:val="0"/>
      <w:numFmt w:val="bullet"/>
      <w:lvlText w:val="•"/>
      <w:lvlJc w:val="left"/>
      <w:pPr>
        <w:ind w:left="5550" w:hanging="360"/>
      </w:pPr>
      <w:rPr>
        <w:rFonts w:hint="default"/>
      </w:rPr>
    </w:lvl>
    <w:lvl w:ilvl="6">
      <w:start w:val="0"/>
      <w:numFmt w:val="bullet"/>
      <w:lvlText w:val="•"/>
      <w:lvlJc w:val="left"/>
      <w:pPr>
        <w:ind w:left="6524" w:hanging="360"/>
      </w:pPr>
      <w:rPr>
        <w:rFonts w:hint="default"/>
      </w:rPr>
    </w:lvl>
    <w:lvl w:ilvl="7">
      <w:start w:val="0"/>
      <w:numFmt w:val="bullet"/>
      <w:lvlText w:val="•"/>
      <w:lvlJc w:val="left"/>
      <w:pPr>
        <w:ind w:left="7498" w:hanging="360"/>
      </w:pPr>
      <w:rPr>
        <w:rFonts w:hint="default"/>
      </w:rPr>
    </w:lvl>
    <w:lvl w:ilvl="8">
      <w:start w:val="0"/>
      <w:numFmt w:val="bullet"/>
      <w:lvlText w:val="•"/>
      <w:lvlJc w:val="left"/>
      <w:pPr>
        <w:ind w:left="8472" w:hanging="360"/>
      </w:pPr>
      <w:rPr>
        <w:rFonts w:hint="default"/>
      </w:rPr>
    </w:lvl>
  </w:abstractNum>
  <w:abstractNum w:abstractNumId="83">
    <w:multiLevelType w:val="hybridMultilevel"/>
    <w:lvl w:ilvl="0">
      <w:start w:val="4"/>
      <w:numFmt w:val="decimal"/>
      <w:lvlText w:val="%1."/>
      <w:lvlJc w:val="left"/>
      <w:pPr>
        <w:ind w:left="1046" w:hanging="360"/>
        <w:jc w:val="left"/>
      </w:pPr>
      <w:rPr>
        <w:rFonts w:hint="default"/>
        <w:strike/>
        <w:w w:val="99"/>
      </w:rPr>
    </w:lvl>
    <w:lvl w:ilvl="1">
      <w:start w:val="1"/>
      <w:numFmt w:val="lowerLetter"/>
      <w:lvlText w:val="%2."/>
      <w:lvlJc w:val="left"/>
      <w:pPr>
        <w:ind w:left="1406" w:hanging="360"/>
        <w:jc w:val="left"/>
      </w:pPr>
      <w:rPr>
        <w:rFonts w:hint="default"/>
        <w:strike/>
        <w:w w:val="99"/>
      </w:rPr>
    </w:lvl>
    <w:lvl w:ilvl="2">
      <w:start w:val="0"/>
      <w:numFmt w:val="bullet"/>
      <w:lvlText w:val="•"/>
      <w:lvlJc w:val="left"/>
      <w:pPr>
        <w:ind w:left="2404" w:hanging="360"/>
      </w:pPr>
      <w:rPr>
        <w:rFonts w:hint="default"/>
      </w:rPr>
    </w:lvl>
    <w:lvl w:ilvl="3">
      <w:start w:val="0"/>
      <w:numFmt w:val="bullet"/>
      <w:lvlText w:val="•"/>
      <w:lvlJc w:val="left"/>
      <w:pPr>
        <w:ind w:left="3408" w:hanging="360"/>
      </w:pPr>
      <w:rPr>
        <w:rFonts w:hint="default"/>
      </w:rPr>
    </w:lvl>
    <w:lvl w:ilvl="4">
      <w:start w:val="0"/>
      <w:numFmt w:val="bullet"/>
      <w:lvlText w:val="•"/>
      <w:lvlJc w:val="left"/>
      <w:pPr>
        <w:ind w:left="4413" w:hanging="360"/>
      </w:pPr>
      <w:rPr>
        <w:rFonts w:hint="default"/>
      </w:rPr>
    </w:lvl>
    <w:lvl w:ilvl="5">
      <w:start w:val="0"/>
      <w:numFmt w:val="bullet"/>
      <w:lvlText w:val="•"/>
      <w:lvlJc w:val="left"/>
      <w:pPr>
        <w:ind w:left="5417" w:hanging="360"/>
      </w:pPr>
      <w:rPr>
        <w:rFonts w:hint="default"/>
      </w:rPr>
    </w:lvl>
    <w:lvl w:ilvl="6">
      <w:start w:val="0"/>
      <w:numFmt w:val="bullet"/>
      <w:lvlText w:val="•"/>
      <w:lvlJc w:val="left"/>
      <w:pPr>
        <w:ind w:left="6422" w:hanging="360"/>
      </w:pPr>
      <w:rPr>
        <w:rFonts w:hint="default"/>
      </w:rPr>
    </w:lvl>
    <w:lvl w:ilvl="7">
      <w:start w:val="0"/>
      <w:numFmt w:val="bullet"/>
      <w:lvlText w:val="•"/>
      <w:lvlJc w:val="left"/>
      <w:pPr>
        <w:ind w:left="7426" w:hanging="360"/>
      </w:pPr>
      <w:rPr>
        <w:rFonts w:hint="default"/>
      </w:rPr>
    </w:lvl>
    <w:lvl w:ilvl="8">
      <w:start w:val="0"/>
      <w:numFmt w:val="bullet"/>
      <w:lvlText w:val="•"/>
      <w:lvlJc w:val="left"/>
      <w:pPr>
        <w:ind w:left="8431" w:hanging="360"/>
      </w:pPr>
      <w:rPr>
        <w:rFonts w:hint="default"/>
      </w:rPr>
    </w:lvl>
  </w:abstractNum>
  <w:abstractNum w:abstractNumId="82">
    <w:multiLevelType w:val="hybridMultilevel"/>
    <w:lvl w:ilvl="0">
      <w:start w:val="4"/>
      <w:numFmt w:val="decimal"/>
      <w:lvlText w:val="%1"/>
      <w:lvlJc w:val="left"/>
      <w:pPr>
        <w:ind w:left="1546" w:hanging="1080"/>
        <w:jc w:val="left"/>
      </w:pPr>
      <w:rPr>
        <w:rFonts w:hint="default"/>
      </w:rPr>
    </w:lvl>
    <w:lvl w:ilvl="1">
      <w:start w:val="4"/>
      <w:numFmt w:val="lowerLetter"/>
      <w:lvlText w:val="%1.%2."/>
      <w:lvlJc w:val="left"/>
      <w:pPr>
        <w:ind w:left="1546" w:hanging="1080"/>
        <w:jc w:val="left"/>
      </w:pPr>
      <w:rPr>
        <w:rFonts w:hint="default"/>
        <w:strike/>
        <w:w w:val="99"/>
      </w:rPr>
    </w:lvl>
    <w:lvl w:ilvl="2">
      <w:start w:val="1"/>
      <w:numFmt w:val="decimal"/>
      <w:lvlText w:val="%3."/>
      <w:lvlJc w:val="left"/>
      <w:pPr>
        <w:ind w:left="1046" w:hanging="720"/>
        <w:jc w:val="right"/>
      </w:pPr>
      <w:rPr>
        <w:rFonts w:hint="default"/>
        <w:strike/>
        <w:w w:val="100"/>
      </w:rPr>
    </w:lvl>
    <w:lvl w:ilvl="3">
      <w:start w:val="1"/>
      <w:numFmt w:val="lowerLetter"/>
      <w:lvlText w:val="%4."/>
      <w:lvlJc w:val="left"/>
      <w:pPr>
        <w:ind w:left="1406" w:hanging="360"/>
        <w:jc w:val="left"/>
      </w:pPr>
      <w:rPr>
        <w:rFonts w:hint="default" w:ascii="Arial" w:hAnsi="Arial" w:eastAsia="Arial" w:cs="Arial"/>
        <w:spacing w:val="-3"/>
        <w:w w:val="99"/>
        <w:sz w:val="24"/>
        <w:szCs w:val="24"/>
      </w:rPr>
    </w:lvl>
    <w:lvl w:ilvl="4">
      <w:start w:val="0"/>
      <w:numFmt w:val="bullet"/>
      <w:lvlText w:val="•"/>
      <w:lvlJc w:val="left"/>
      <w:pPr>
        <w:ind w:left="3615" w:hanging="360"/>
      </w:pPr>
      <w:rPr>
        <w:rFonts w:hint="default"/>
      </w:rPr>
    </w:lvl>
    <w:lvl w:ilvl="5">
      <w:start w:val="0"/>
      <w:numFmt w:val="bullet"/>
      <w:lvlText w:val="•"/>
      <w:lvlJc w:val="left"/>
      <w:pPr>
        <w:ind w:left="4652" w:hanging="360"/>
      </w:pPr>
      <w:rPr>
        <w:rFonts w:hint="default"/>
      </w:rPr>
    </w:lvl>
    <w:lvl w:ilvl="6">
      <w:start w:val="0"/>
      <w:numFmt w:val="bullet"/>
      <w:lvlText w:val="•"/>
      <w:lvlJc w:val="left"/>
      <w:pPr>
        <w:ind w:left="5690" w:hanging="360"/>
      </w:pPr>
      <w:rPr>
        <w:rFonts w:hint="default"/>
      </w:rPr>
    </w:lvl>
    <w:lvl w:ilvl="7">
      <w:start w:val="0"/>
      <w:numFmt w:val="bullet"/>
      <w:lvlText w:val="•"/>
      <w:lvlJc w:val="left"/>
      <w:pPr>
        <w:ind w:left="6727" w:hanging="360"/>
      </w:pPr>
      <w:rPr>
        <w:rFonts w:hint="default"/>
      </w:rPr>
    </w:lvl>
    <w:lvl w:ilvl="8">
      <w:start w:val="0"/>
      <w:numFmt w:val="bullet"/>
      <w:lvlText w:val="•"/>
      <w:lvlJc w:val="left"/>
      <w:pPr>
        <w:ind w:left="7765" w:hanging="360"/>
      </w:pPr>
      <w:rPr>
        <w:rFonts w:hint="default"/>
      </w:rPr>
    </w:lvl>
  </w:abstractNum>
  <w:abstractNum w:abstractNumId="81">
    <w:multiLevelType w:val="hybridMultilevel"/>
    <w:lvl w:ilvl="0">
      <w:start w:val="1"/>
      <w:numFmt w:val="decimal"/>
      <w:lvlText w:val="%1."/>
      <w:lvlJc w:val="left"/>
      <w:pPr>
        <w:ind w:left="466" w:hanging="360"/>
        <w:jc w:val="left"/>
      </w:pPr>
      <w:rPr>
        <w:rFonts w:hint="default" w:ascii="Arial" w:hAnsi="Arial" w:eastAsia="Arial" w:cs="Arial"/>
        <w:spacing w:val="-3"/>
        <w:w w:val="99"/>
        <w:sz w:val="24"/>
        <w:szCs w:val="24"/>
      </w:rPr>
    </w:lvl>
    <w:lvl w:ilvl="1">
      <w:start w:val="0"/>
      <w:numFmt w:val="bullet"/>
      <w:lvlText w:val="•"/>
      <w:lvlJc w:val="left"/>
      <w:pPr>
        <w:ind w:left="1398" w:hanging="360"/>
      </w:pPr>
      <w:rPr>
        <w:rFonts w:hint="default"/>
      </w:rPr>
    </w:lvl>
    <w:lvl w:ilvl="2">
      <w:start w:val="0"/>
      <w:numFmt w:val="bullet"/>
      <w:lvlText w:val="•"/>
      <w:lvlJc w:val="left"/>
      <w:pPr>
        <w:ind w:left="2336" w:hanging="360"/>
      </w:pPr>
      <w:rPr>
        <w:rFonts w:hint="default"/>
      </w:rPr>
    </w:lvl>
    <w:lvl w:ilvl="3">
      <w:start w:val="0"/>
      <w:numFmt w:val="bullet"/>
      <w:lvlText w:val="•"/>
      <w:lvlJc w:val="left"/>
      <w:pPr>
        <w:ind w:left="3274" w:hanging="360"/>
      </w:pPr>
      <w:rPr>
        <w:rFonts w:hint="default"/>
      </w:rPr>
    </w:lvl>
    <w:lvl w:ilvl="4">
      <w:start w:val="0"/>
      <w:numFmt w:val="bullet"/>
      <w:lvlText w:val="•"/>
      <w:lvlJc w:val="left"/>
      <w:pPr>
        <w:ind w:left="4212" w:hanging="360"/>
      </w:pPr>
      <w:rPr>
        <w:rFonts w:hint="default"/>
      </w:rPr>
    </w:lvl>
    <w:lvl w:ilvl="5">
      <w:start w:val="0"/>
      <w:numFmt w:val="bullet"/>
      <w:lvlText w:val="•"/>
      <w:lvlJc w:val="left"/>
      <w:pPr>
        <w:ind w:left="5150" w:hanging="360"/>
      </w:pPr>
      <w:rPr>
        <w:rFonts w:hint="default"/>
      </w:rPr>
    </w:lvl>
    <w:lvl w:ilvl="6">
      <w:start w:val="0"/>
      <w:numFmt w:val="bullet"/>
      <w:lvlText w:val="•"/>
      <w:lvlJc w:val="left"/>
      <w:pPr>
        <w:ind w:left="6088" w:hanging="360"/>
      </w:pPr>
      <w:rPr>
        <w:rFonts w:hint="default"/>
      </w:rPr>
    </w:lvl>
    <w:lvl w:ilvl="7">
      <w:start w:val="0"/>
      <w:numFmt w:val="bullet"/>
      <w:lvlText w:val="•"/>
      <w:lvlJc w:val="left"/>
      <w:pPr>
        <w:ind w:left="7026" w:hanging="360"/>
      </w:pPr>
      <w:rPr>
        <w:rFonts w:hint="default"/>
      </w:rPr>
    </w:lvl>
    <w:lvl w:ilvl="8">
      <w:start w:val="0"/>
      <w:numFmt w:val="bullet"/>
      <w:lvlText w:val="•"/>
      <w:lvlJc w:val="left"/>
      <w:pPr>
        <w:ind w:left="7964" w:hanging="360"/>
      </w:pPr>
      <w:rPr>
        <w:rFonts w:hint="default"/>
      </w:rPr>
    </w:lvl>
  </w:abstractNum>
  <w:abstractNum w:abstractNumId="80">
    <w:multiLevelType w:val="hybridMultilevel"/>
    <w:lvl w:ilvl="0">
      <w:start w:val="0"/>
      <w:numFmt w:val="bullet"/>
      <w:lvlText w:val="*"/>
      <w:lvlJc w:val="left"/>
      <w:pPr>
        <w:ind w:left="1512" w:hanging="360"/>
      </w:pPr>
      <w:rPr>
        <w:rFonts w:hint="default"/>
        <w:w w:val="98"/>
        <w:u w:val="single" w:color="2E97D3"/>
      </w:rPr>
    </w:lvl>
    <w:lvl w:ilvl="1">
      <w:start w:val="0"/>
      <w:numFmt w:val="bullet"/>
      <w:lvlText w:val=""/>
      <w:lvlJc w:val="left"/>
      <w:pPr>
        <w:ind w:left="1766" w:hanging="361"/>
      </w:pPr>
      <w:rPr>
        <w:rFonts w:hint="default"/>
        <w:w w:val="100"/>
        <w:u w:val="single" w:color="2E97D3"/>
      </w:rPr>
    </w:lvl>
    <w:lvl w:ilvl="2">
      <w:start w:val="0"/>
      <w:numFmt w:val="bullet"/>
      <w:lvlText w:val="•"/>
      <w:lvlJc w:val="left"/>
      <w:pPr>
        <w:ind w:left="2722" w:hanging="361"/>
      </w:pPr>
      <w:rPr>
        <w:rFonts w:hint="default"/>
      </w:rPr>
    </w:lvl>
    <w:lvl w:ilvl="3">
      <w:start w:val="0"/>
      <w:numFmt w:val="bullet"/>
      <w:lvlText w:val="•"/>
      <w:lvlJc w:val="left"/>
      <w:pPr>
        <w:ind w:left="3684" w:hanging="361"/>
      </w:pPr>
      <w:rPr>
        <w:rFonts w:hint="default"/>
      </w:rPr>
    </w:lvl>
    <w:lvl w:ilvl="4">
      <w:start w:val="0"/>
      <w:numFmt w:val="bullet"/>
      <w:lvlText w:val="•"/>
      <w:lvlJc w:val="left"/>
      <w:pPr>
        <w:ind w:left="4646" w:hanging="361"/>
      </w:pPr>
      <w:rPr>
        <w:rFonts w:hint="default"/>
      </w:rPr>
    </w:lvl>
    <w:lvl w:ilvl="5">
      <w:start w:val="0"/>
      <w:numFmt w:val="bullet"/>
      <w:lvlText w:val="•"/>
      <w:lvlJc w:val="left"/>
      <w:pPr>
        <w:ind w:left="5608" w:hanging="361"/>
      </w:pPr>
      <w:rPr>
        <w:rFonts w:hint="default"/>
      </w:rPr>
    </w:lvl>
    <w:lvl w:ilvl="6">
      <w:start w:val="0"/>
      <w:numFmt w:val="bullet"/>
      <w:lvlText w:val="•"/>
      <w:lvlJc w:val="left"/>
      <w:pPr>
        <w:ind w:left="6571" w:hanging="361"/>
      </w:pPr>
      <w:rPr>
        <w:rFonts w:hint="default"/>
      </w:rPr>
    </w:lvl>
    <w:lvl w:ilvl="7">
      <w:start w:val="0"/>
      <w:numFmt w:val="bullet"/>
      <w:lvlText w:val="•"/>
      <w:lvlJc w:val="left"/>
      <w:pPr>
        <w:ind w:left="7533" w:hanging="361"/>
      </w:pPr>
      <w:rPr>
        <w:rFonts w:hint="default"/>
      </w:rPr>
    </w:lvl>
    <w:lvl w:ilvl="8">
      <w:start w:val="0"/>
      <w:numFmt w:val="bullet"/>
      <w:lvlText w:val="•"/>
      <w:lvlJc w:val="left"/>
      <w:pPr>
        <w:ind w:left="8495" w:hanging="361"/>
      </w:pPr>
      <w:rPr>
        <w:rFonts w:hint="default"/>
      </w:rPr>
    </w:lvl>
  </w:abstractNum>
  <w:abstractNum w:abstractNumId="79">
    <w:multiLevelType w:val="hybridMultilevel"/>
    <w:lvl w:ilvl="0">
      <w:start w:val="1"/>
      <w:numFmt w:val="decimal"/>
      <w:lvlText w:val="%1."/>
      <w:lvlJc w:val="left"/>
      <w:pPr>
        <w:ind w:left="466" w:hanging="360"/>
        <w:jc w:val="left"/>
      </w:pPr>
      <w:rPr>
        <w:rFonts w:hint="default" w:ascii="Arial" w:hAnsi="Arial" w:eastAsia="Arial" w:cs="Arial"/>
        <w:spacing w:val="-3"/>
        <w:w w:val="99"/>
        <w:sz w:val="24"/>
        <w:szCs w:val="24"/>
      </w:rPr>
    </w:lvl>
    <w:lvl w:ilvl="1">
      <w:start w:val="1"/>
      <w:numFmt w:val="lowerLetter"/>
      <w:lvlText w:val="%2."/>
      <w:lvlJc w:val="left"/>
      <w:pPr>
        <w:ind w:left="826" w:hanging="360"/>
        <w:jc w:val="left"/>
      </w:pPr>
      <w:rPr>
        <w:rFonts w:hint="default" w:ascii="Arial" w:hAnsi="Arial" w:eastAsia="Arial" w:cs="Arial"/>
        <w:spacing w:val="-4"/>
        <w:w w:val="99"/>
        <w:sz w:val="24"/>
        <w:szCs w:val="24"/>
      </w:rPr>
    </w:lvl>
    <w:lvl w:ilvl="2">
      <w:start w:val="0"/>
      <w:numFmt w:val="bullet"/>
      <w:lvlText w:val="•"/>
      <w:lvlJc w:val="left"/>
      <w:pPr>
        <w:ind w:left="1822" w:hanging="360"/>
      </w:pPr>
      <w:rPr>
        <w:rFonts w:hint="default"/>
      </w:rPr>
    </w:lvl>
    <w:lvl w:ilvl="3">
      <w:start w:val="0"/>
      <w:numFmt w:val="bullet"/>
      <w:lvlText w:val="•"/>
      <w:lvlJc w:val="left"/>
      <w:pPr>
        <w:ind w:left="2824" w:hanging="360"/>
      </w:pPr>
      <w:rPr>
        <w:rFonts w:hint="default"/>
      </w:rPr>
    </w:lvl>
    <w:lvl w:ilvl="4">
      <w:start w:val="0"/>
      <w:numFmt w:val="bullet"/>
      <w:lvlText w:val="•"/>
      <w:lvlJc w:val="left"/>
      <w:pPr>
        <w:ind w:left="3826" w:hanging="360"/>
      </w:pPr>
      <w:rPr>
        <w:rFonts w:hint="default"/>
      </w:rPr>
    </w:lvl>
    <w:lvl w:ilvl="5">
      <w:start w:val="0"/>
      <w:numFmt w:val="bullet"/>
      <w:lvlText w:val="•"/>
      <w:lvlJc w:val="left"/>
      <w:pPr>
        <w:ind w:left="4828" w:hanging="360"/>
      </w:pPr>
      <w:rPr>
        <w:rFonts w:hint="default"/>
      </w:rPr>
    </w:lvl>
    <w:lvl w:ilvl="6">
      <w:start w:val="0"/>
      <w:numFmt w:val="bullet"/>
      <w:lvlText w:val="•"/>
      <w:lvlJc w:val="left"/>
      <w:pPr>
        <w:ind w:left="5831" w:hanging="360"/>
      </w:pPr>
      <w:rPr>
        <w:rFonts w:hint="default"/>
      </w:rPr>
    </w:lvl>
    <w:lvl w:ilvl="7">
      <w:start w:val="0"/>
      <w:numFmt w:val="bullet"/>
      <w:lvlText w:val="•"/>
      <w:lvlJc w:val="left"/>
      <w:pPr>
        <w:ind w:left="6833" w:hanging="360"/>
      </w:pPr>
      <w:rPr>
        <w:rFonts w:hint="default"/>
      </w:rPr>
    </w:lvl>
    <w:lvl w:ilvl="8">
      <w:start w:val="0"/>
      <w:numFmt w:val="bullet"/>
      <w:lvlText w:val="•"/>
      <w:lvlJc w:val="left"/>
      <w:pPr>
        <w:ind w:left="7835" w:hanging="360"/>
      </w:pPr>
      <w:rPr>
        <w:rFonts w:hint="default"/>
      </w:rPr>
    </w:lvl>
  </w:abstractNum>
  <w:abstractNum w:abstractNumId="78">
    <w:multiLevelType w:val="hybridMultilevel"/>
    <w:lvl w:ilvl="0">
      <w:start w:val="1"/>
      <w:numFmt w:val="decimal"/>
      <w:lvlText w:val="%1."/>
      <w:lvlJc w:val="left"/>
      <w:pPr>
        <w:ind w:left="466" w:hanging="360"/>
        <w:jc w:val="left"/>
      </w:pPr>
      <w:rPr>
        <w:rFonts w:hint="default" w:ascii="Arial" w:hAnsi="Arial" w:eastAsia="Arial" w:cs="Arial"/>
        <w:spacing w:val="-3"/>
        <w:w w:val="99"/>
        <w:sz w:val="24"/>
        <w:szCs w:val="24"/>
      </w:rPr>
    </w:lvl>
    <w:lvl w:ilvl="1">
      <w:start w:val="0"/>
      <w:numFmt w:val="bullet"/>
      <w:lvlText w:val="•"/>
      <w:lvlJc w:val="left"/>
      <w:pPr>
        <w:ind w:left="1398" w:hanging="360"/>
      </w:pPr>
      <w:rPr>
        <w:rFonts w:hint="default"/>
      </w:rPr>
    </w:lvl>
    <w:lvl w:ilvl="2">
      <w:start w:val="0"/>
      <w:numFmt w:val="bullet"/>
      <w:lvlText w:val="•"/>
      <w:lvlJc w:val="left"/>
      <w:pPr>
        <w:ind w:left="2336" w:hanging="360"/>
      </w:pPr>
      <w:rPr>
        <w:rFonts w:hint="default"/>
      </w:rPr>
    </w:lvl>
    <w:lvl w:ilvl="3">
      <w:start w:val="0"/>
      <w:numFmt w:val="bullet"/>
      <w:lvlText w:val="•"/>
      <w:lvlJc w:val="left"/>
      <w:pPr>
        <w:ind w:left="3274" w:hanging="360"/>
      </w:pPr>
      <w:rPr>
        <w:rFonts w:hint="default"/>
      </w:rPr>
    </w:lvl>
    <w:lvl w:ilvl="4">
      <w:start w:val="0"/>
      <w:numFmt w:val="bullet"/>
      <w:lvlText w:val="•"/>
      <w:lvlJc w:val="left"/>
      <w:pPr>
        <w:ind w:left="4212" w:hanging="360"/>
      </w:pPr>
      <w:rPr>
        <w:rFonts w:hint="default"/>
      </w:rPr>
    </w:lvl>
    <w:lvl w:ilvl="5">
      <w:start w:val="0"/>
      <w:numFmt w:val="bullet"/>
      <w:lvlText w:val="•"/>
      <w:lvlJc w:val="left"/>
      <w:pPr>
        <w:ind w:left="5150" w:hanging="360"/>
      </w:pPr>
      <w:rPr>
        <w:rFonts w:hint="default"/>
      </w:rPr>
    </w:lvl>
    <w:lvl w:ilvl="6">
      <w:start w:val="0"/>
      <w:numFmt w:val="bullet"/>
      <w:lvlText w:val="•"/>
      <w:lvlJc w:val="left"/>
      <w:pPr>
        <w:ind w:left="6088" w:hanging="360"/>
      </w:pPr>
      <w:rPr>
        <w:rFonts w:hint="default"/>
      </w:rPr>
    </w:lvl>
    <w:lvl w:ilvl="7">
      <w:start w:val="0"/>
      <w:numFmt w:val="bullet"/>
      <w:lvlText w:val="•"/>
      <w:lvlJc w:val="left"/>
      <w:pPr>
        <w:ind w:left="7026" w:hanging="360"/>
      </w:pPr>
      <w:rPr>
        <w:rFonts w:hint="default"/>
      </w:rPr>
    </w:lvl>
    <w:lvl w:ilvl="8">
      <w:start w:val="0"/>
      <w:numFmt w:val="bullet"/>
      <w:lvlText w:val="•"/>
      <w:lvlJc w:val="left"/>
      <w:pPr>
        <w:ind w:left="7964" w:hanging="360"/>
      </w:pPr>
      <w:rPr>
        <w:rFonts w:hint="default"/>
      </w:rPr>
    </w:lvl>
  </w:abstractNum>
  <w:abstractNum w:abstractNumId="77">
    <w:multiLevelType w:val="hybridMultilevel"/>
    <w:lvl w:ilvl="0">
      <w:start w:val="1"/>
      <w:numFmt w:val="upperLetter"/>
      <w:lvlText w:val="%1."/>
      <w:lvlJc w:val="left"/>
      <w:pPr>
        <w:ind w:left="1180" w:hanging="360"/>
        <w:jc w:val="left"/>
      </w:pPr>
      <w:rPr>
        <w:rFonts w:hint="default"/>
        <w:strike/>
        <w:w w:val="100"/>
      </w:rPr>
    </w:lvl>
    <w:lvl w:ilvl="1">
      <w:start w:val="0"/>
      <w:numFmt w:val="bullet"/>
      <w:lvlText w:val="•"/>
      <w:lvlJc w:val="left"/>
      <w:pPr>
        <w:ind w:left="2092" w:hanging="360"/>
      </w:pPr>
      <w:rPr>
        <w:rFonts w:hint="default"/>
      </w:rPr>
    </w:lvl>
    <w:lvl w:ilvl="2">
      <w:start w:val="0"/>
      <w:numFmt w:val="bullet"/>
      <w:lvlText w:val="•"/>
      <w:lvlJc w:val="left"/>
      <w:pPr>
        <w:ind w:left="3004" w:hanging="360"/>
      </w:pPr>
      <w:rPr>
        <w:rFonts w:hint="default"/>
      </w:rPr>
    </w:lvl>
    <w:lvl w:ilvl="3">
      <w:start w:val="0"/>
      <w:numFmt w:val="bullet"/>
      <w:lvlText w:val="•"/>
      <w:lvlJc w:val="left"/>
      <w:pPr>
        <w:ind w:left="3916" w:hanging="360"/>
      </w:pPr>
      <w:rPr>
        <w:rFonts w:hint="default"/>
      </w:rPr>
    </w:lvl>
    <w:lvl w:ilvl="4">
      <w:start w:val="0"/>
      <w:numFmt w:val="bullet"/>
      <w:lvlText w:val="•"/>
      <w:lvlJc w:val="left"/>
      <w:pPr>
        <w:ind w:left="4828" w:hanging="360"/>
      </w:pPr>
      <w:rPr>
        <w:rFonts w:hint="default"/>
      </w:rPr>
    </w:lvl>
    <w:lvl w:ilvl="5">
      <w:start w:val="0"/>
      <w:numFmt w:val="bullet"/>
      <w:lvlText w:val="•"/>
      <w:lvlJc w:val="left"/>
      <w:pPr>
        <w:ind w:left="5740" w:hanging="360"/>
      </w:pPr>
      <w:rPr>
        <w:rFonts w:hint="default"/>
      </w:rPr>
    </w:lvl>
    <w:lvl w:ilvl="6">
      <w:start w:val="0"/>
      <w:numFmt w:val="bullet"/>
      <w:lvlText w:val="•"/>
      <w:lvlJc w:val="left"/>
      <w:pPr>
        <w:ind w:left="6652" w:hanging="360"/>
      </w:pPr>
      <w:rPr>
        <w:rFonts w:hint="default"/>
      </w:rPr>
    </w:lvl>
    <w:lvl w:ilvl="7">
      <w:start w:val="0"/>
      <w:numFmt w:val="bullet"/>
      <w:lvlText w:val="•"/>
      <w:lvlJc w:val="left"/>
      <w:pPr>
        <w:ind w:left="7564" w:hanging="360"/>
      </w:pPr>
      <w:rPr>
        <w:rFonts w:hint="default"/>
      </w:rPr>
    </w:lvl>
    <w:lvl w:ilvl="8">
      <w:start w:val="0"/>
      <w:numFmt w:val="bullet"/>
      <w:lvlText w:val="•"/>
      <w:lvlJc w:val="left"/>
      <w:pPr>
        <w:ind w:left="8476" w:hanging="360"/>
      </w:pPr>
      <w:rPr>
        <w:rFonts w:hint="default"/>
      </w:rPr>
    </w:lvl>
  </w:abstractNum>
  <w:abstractNum w:abstractNumId="76">
    <w:multiLevelType w:val="hybridMultilevel"/>
    <w:lvl w:ilvl="0">
      <w:start w:val="1"/>
      <w:numFmt w:val="decimal"/>
      <w:lvlText w:val="%1."/>
      <w:lvlJc w:val="left"/>
      <w:pPr>
        <w:ind w:left="1468" w:hanging="288"/>
        <w:jc w:val="left"/>
      </w:pPr>
      <w:rPr>
        <w:rFonts w:hint="default"/>
        <w:strike/>
        <w:w w:val="99"/>
      </w:rPr>
    </w:lvl>
    <w:lvl w:ilvl="1">
      <w:start w:val="0"/>
      <w:numFmt w:val="bullet"/>
      <w:lvlText w:val="•"/>
      <w:lvlJc w:val="left"/>
      <w:pPr>
        <w:ind w:left="2340" w:hanging="288"/>
      </w:pPr>
      <w:rPr>
        <w:rFonts w:hint="default"/>
      </w:rPr>
    </w:lvl>
    <w:lvl w:ilvl="2">
      <w:start w:val="0"/>
      <w:numFmt w:val="bullet"/>
      <w:lvlText w:val="•"/>
      <w:lvlJc w:val="left"/>
      <w:pPr>
        <w:ind w:left="3220" w:hanging="288"/>
      </w:pPr>
      <w:rPr>
        <w:rFonts w:hint="default"/>
      </w:rPr>
    </w:lvl>
    <w:lvl w:ilvl="3">
      <w:start w:val="0"/>
      <w:numFmt w:val="bullet"/>
      <w:lvlText w:val="•"/>
      <w:lvlJc w:val="left"/>
      <w:pPr>
        <w:ind w:left="4100" w:hanging="288"/>
      </w:pPr>
      <w:rPr>
        <w:rFonts w:hint="default"/>
      </w:rPr>
    </w:lvl>
    <w:lvl w:ilvl="4">
      <w:start w:val="0"/>
      <w:numFmt w:val="bullet"/>
      <w:lvlText w:val="•"/>
      <w:lvlJc w:val="left"/>
      <w:pPr>
        <w:ind w:left="4980" w:hanging="288"/>
      </w:pPr>
      <w:rPr>
        <w:rFonts w:hint="default"/>
      </w:rPr>
    </w:lvl>
    <w:lvl w:ilvl="5">
      <w:start w:val="0"/>
      <w:numFmt w:val="bullet"/>
      <w:lvlText w:val="•"/>
      <w:lvlJc w:val="left"/>
      <w:pPr>
        <w:ind w:left="5860" w:hanging="288"/>
      </w:pPr>
      <w:rPr>
        <w:rFonts w:hint="default"/>
      </w:rPr>
    </w:lvl>
    <w:lvl w:ilvl="6">
      <w:start w:val="0"/>
      <w:numFmt w:val="bullet"/>
      <w:lvlText w:val="•"/>
      <w:lvlJc w:val="left"/>
      <w:pPr>
        <w:ind w:left="6740" w:hanging="288"/>
      </w:pPr>
      <w:rPr>
        <w:rFonts w:hint="default"/>
      </w:rPr>
    </w:lvl>
    <w:lvl w:ilvl="7">
      <w:start w:val="0"/>
      <w:numFmt w:val="bullet"/>
      <w:lvlText w:val="•"/>
      <w:lvlJc w:val="left"/>
      <w:pPr>
        <w:ind w:left="7620" w:hanging="288"/>
      </w:pPr>
      <w:rPr>
        <w:rFonts w:hint="default"/>
      </w:rPr>
    </w:lvl>
    <w:lvl w:ilvl="8">
      <w:start w:val="0"/>
      <w:numFmt w:val="bullet"/>
      <w:lvlText w:val="•"/>
      <w:lvlJc w:val="left"/>
      <w:pPr>
        <w:ind w:left="8500" w:hanging="288"/>
      </w:pPr>
      <w:rPr>
        <w:rFonts w:hint="default"/>
      </w:rPr>
    </w:lvl>
  </w:abstractNum>
  <w:abstractNum w:abstractNumId="75">
    <w:multiLevelType w:val="hybridMultilevel"/>
    <w:lvl w:ilvl="0">
      <w:start w:val="2"/>
      <w:numFmt w:val="decimal"/>
      <w:lvlText w:val="%1."/>
      <w:lvlJc w:val="left"/>
      <w:pPr>
        <w:ind w:left="1180" w:hanging="360"/>
        <w:jc w:val="left"/>
      </w:pPr>
      <w:rPr>
        <w:rFonts w:hint="default"/>
        <w:strike/>
        <w:w w:val="99"/>
      </w:rPr>
    </w:lvl>
    <w:lvl w:ilvl="1">
      <w:start w:val="1"/>
      <w:numFmt w:val="lowerLetter"/>
      <w:lvlText w:val="%2."/>
      <w:lvlJc w:val="left"/>
      <w:pPr>
        <w:ind w:left="1540" w:hanging="360"/>
        <w:jc w:val="left"/>
      </w:pPr>
      <w:rPr>
        <w:rFonts w:hint="default"/>
        <w:strike/>
        <w:w w:val="99"/>
      </w:rPr>
    </w:lvl>
    <w:lvl w:ilvl="2">
      <w:start w:val="1"/>
      <w:numFmt w:val="decimal"/>
      <w:lvlText w:val="(%3)"/>
      <w:lvlJc w:val="left"/>
      <w:pPr>
        <w:ind w:left="1991" w:hanging="365"/>
        <w:jc w:val="left"/>
      </w:pPr>
      <w:rPr>
        <w:rFonts w:hint="default"/>
        <w:strike/>
        <w:spacing w:val="-1"/>
        <w:w w:val="99"/>
      </w:rPr>
    </w:lvl>
    <w:lvl w:ilvl="3">
      <w:start w:val="0"/>
      <w:numFmt w:val="bullet"/>
      <w:lvlText w:val="•"/>
      <w:lvlJc w:val="left"/>
      <w:pPr>
        <w:ind w:left="3037" w:hanging="365"/>
      </w:pPr>
      <w:rPr>
        <w:rFonts w:hint="default"/>
      </w:rPr>
    </w:lvl>
    <w:lvl w:ilvl="4">
      <w:start w:val="0"/>
      <w:numFmt w:val="bullet"/>
      <w:lvlText w:val="•"/>
      <w:lvlJc w:val="left"/>
      <w:pPr>
        <w:ind w:left="4075" w:hanging="365"/>
      </w:pPr>
      <w:rPr>
        <w:rFonts w:hint="default"/>
      </w:rPr>
    </w:lvl>
    <w:lvl w:ilvl="5">
      <w:start w:val="0"/>
      <w:numFmt w:val="bullet"/>
      <w:lvlText w:val="•"/>
      <w:lvlJc w:val="left"/>
      <w:pPr>
        <w:ind w:left="5112" w:hanging="365"/>
      </w:pPr>
      <w:rPr>
        <w:rFonts w:hint="default"/>
      </w:rPr>
    </w:lvl>
    <w:lvl w:ilvl="6">
      <w:start w:val="0"/>
      <w:numFmt w:val="bullet"/>
      <w:lvlText w:val="•"/>
      <w:lvlJc w:val="left"/>
      <w:pPr>
        <w:ind w:left="6150" w:hanging="365"/>
      </w:pPr>
      <w:rPr>
        <w:rFonts w:hint="default"/>
      </w:rPr>
    </w:lvl>
    <w:lvl w:ilvl="7">
      <w:start w:val="0"/>
      <w:numFmt w:val="bullet"/>
      <w:lvlText w:val="•"/>
      <w:lvlJc w:val="left"/>
      <w:pPr>
        <w:ind w:left="7187" w:hanging="365"/>
      </w:pPr>
      <w:rPr>
        <w:rFonts w:hint="default"/>
      </w:rPr>
    </w:lvl>
    <w:lvl w:ilvl="8">
      <w:start w:val="0"/>
      <w:numFmt w:val="bullet"/>
      <w:lvlText w:val="•"/>
      <w:lvlJc w:val="left"/>
      <w:pPr>
        <w:ind w:left="8225" w:hanging="365"/>
      </w:pPr>
      <w:rPr>
        <w:rFonts w:hint="default"/>
      </w:rPr>
    </w:lvl>
  </w:abstractNum>
  <w:abstractNum w:abstractNumId="74">
    <w:multiLevelType w:val="hybridMultilevel"/>
    <w:lvl w:ilvl="0">
      <w:start w:val="10"/>
      <w:numFmt w:val="decimal"/>
      <w:lvlText w:val="%1."/>
      <w:lvlJc w:val="left"/>
      <w:pPr>
        <w:ind w:left="820" w:hanging="360"/>
        <w:jc w:val="left"/>
      </w:pPr>
      <w:rPr>
        <w:rFonts w:hint="default"/>
        <w:w w:val="99"/>
        <w:u w:val="single" w:color="2E97D3"/>
      </w:rPr>
    </w:lvl>
    <w:lvl w:ilvl="1">
      <w:start w:val="1"/>
      <w:numFmt w:val="lowerLetter"/>
      <w:lvlText w:val="%2."/>
      <w:lvlJc w:val="left"/>
      <w:pPr>
        <w:ind w:left="1540" w:hanging="360"/>
        <w:jc w:val="left"/>
      </w:pPr>
      <w:rPr>
        <w:rFonts w:hint="default"/>
        <w:strike/>
        <w:w w:val="99"/>
      </w:rPr>
    </w:lvl>
    <w:lvl w:ilvl="2">
      <w:start w:val="0"/>
      <w:numFmt w:val="bullet"/>
      <w:lvlText w:val="•"/>
      <w:lvlJc w:val="left"/>
      <w:pPr>
        <w:ind w:left="2513" w:hanging="360"/>
      </w:pPr>
      <w:rPr>
        <w:rFonts w:hint="default"/>
      </w:rPr>
    </w:lvl>
    <w:lvl w:ilvl="3">
      <w:start w:val="0"/>
      <w:numFmt w:val="bullet"/>
      <w:lvlText w:val="•"/>
      <w:lvlJc w:val="left"/>
      <w:pPr>
        <w:ind w:left="3486" w:hanging="360"/>
      </w:pPr>
      <w:rPr>
        <w:rFonts w:hint="default"/>
      </w:rPr>
    </w:lvl>
    <w:lvl w:ilvl="4">
      <w:start w:val="0"/>
      <w:numFmt w:val="bullet"/>
      <w:lvlText w:val="•"/>
      <w:lvlJc w:val="left"/>
      <w:pPr>
        <w:ind w:left="4460" w:hanging="360"/>
      </w:pPr>
      <w:rPr>
        <w:rFonts w:hint="default"/>
      </w:rPr>
    </w:lvl>
    <w:lvl w:ilvl="5">
      <w:start w:val="0"/>
      <w:numFmt w:val="bullet"/>
      <w:lvlText w:val="•"/>
      <w:lvlJc w:val="left"/>
      <w:pPr>
        <w:ind w:left="5433" w:hanging="360"/>
      </w:pPr>
      <w:rPr>
        <w:rFonts w:hint="default"/>
      </w:rPr>
    </w:lvl>
    <w:lvl w:ilvl="6">
      <w:start w:val="0"/>
      <w:numFmt w:val="bullet"/>
      <w:lvlText w:val="•"/>
      <w:lvlJc w:val="left"/>
      <w:pPr>
        <w:ind w:left="6406" w:hanging="360"/>
      </w:pPr>
      <w:rPr>
        <w:rFonts w:hint="default"/>
      </w:rPr>
    </w:lvl>
    <w:lvl w:ilvl="7">
      <w:start w:val="0"/>
      <w:numFmt w:val="bullet"/>
      <w:lvlText w:val="•"/>
      <w:lvlJc w:val="left"/>
      <w:pPr>
        <w:ind w:left="7380" w:hanging="360"/>
      </w:pPr>
      <w:rPr>
        <w:rFonts w:hint="default"/>
      </w:rPr>
    </w:lvl>
    <w:lvl w:ilvl="8">
      <w:start w:val="0"/>
      <w:numFmt w:val="bullet"/>
      <w:lvlText w:val="•"/>
      <w:lvlJc w:val="left"/>
      <w:pPr>
        <w:ind w:left="8353" w:hanging="360"/>
      </w:pPr>
      <w:rPr>
        <w:rFonts w:hint="default"/>
      </w:rPr>
    </w:lvl>
  </w:abstractNum>
  <w:abstractNum w:abstractNumId="73">
    <w:multiLevelType w:val="hybridMultilevel"/>
    <w:lvl w:ilvl="0">
      <w:start w:val="6"/>
      <w:numFmt w:val="decimal"/>
      <w:lvlText w:val="%1."/>
      <w:lvlJc w:val="left"/>
      <w:pPr>
        <w:ind w:left="820" w:hanging="720"/>
        <w:jc w:val="left"/>
      </w:pPr>
      <w:rPr>
        <w:rFonts w:hint="default"/>
        <w:strike/>
        <w:w w:val="100"/>
      </w:rPr>
    </w:lvl>
    <w:lvl w:ilvl="1">
      <w:start w:val="1"/>
      <w:numFmt w:val="upperLetter"/>
      <w:lvlText w:val="%2."/>
      <w:lvlJc w:val="left"/>
      <w:pPr>
        <w:ind w:left="2116" w:hanging="360"/>
        <w:jc w:val="left"/>
      </w:pPr>
      <w:rPr>
        <w:rFonts w:hint="default"/>
        <w:strike/>
        <w:w w:val="100"/>
      </w:rPr>
    </w:lvl>
    <w:lvl w:ilvl="2">
      <w:start w:val="1"/>
      <w:numFmt w:val="decimal"/>
      <w:lvlText w:val="%3."/>
      <w:lvlJc w:val="left"/>
      <w:pPr>
        <w:ind w:left="2656" w:hanging="360"/>
        <w:jc w:val="left"/>
      </w:pPr>
      <w:rPr>
        <w:rFonts w:hint="default"/>
        <w:strike/>
        <w:w w:val="99"/>
      </w:rPr>
    </w:lvl>
    <w:lvl w:ilvl="3">
      <w:start w:val="0"/>
      <w:numFmt w:val="bullet"/>
      <w:lvlText w:val="•"/>
      <w:lvlJc w:val="left"/>
      <w:pPr>
        <w:ind w:left="3600" w:hanging="360"/>
      </w:pPr>
      <w:rPr>
        <w:rFonts w:hint="default"/>
      </w:rPr>
    </w:lvl>
    <w:lvl w:ilvl="4">
      <w:start w:val="0"/>
      <w:numFmt w:val="bullet"/>
      <w:lvlText w:val="•"/>
      <w:lvlJc w:val="left"/>
      <w:pPr>
        <w:ind w:left="4540" w:hanging="360"/>
      </w:pPr>
      <w:rPr>
        <w:rFonts w:hint="default"/>
      </w:rPr>
    </w:lvl>
    <w:lvl w:ilvl="5">
      <w:start w:val="0"/>
      <w:numFmt w:val="bullet"/>
      <w:lvlText w:val="•"/>
      <w:lvlJc w:val="left"/>
      <w:pPr>
        <w:ind w:left="5480" w:hanging="360"/>
      </w:pPr>
      <w:rPr>
        <w:rFonts w:hint="default"/>
      </w:rPr>
    </w:lvl>
    <w:lvl w:ilvl="6">
      <w:start w:val="0"/>
      <w:numFmt w:val="bullet"/>
      <w:lvlText w:val="•"/>
      <w:lvlJc w:val="left"/>
      <w:pPr>
        <w:ind w:left="6420" w:hanging="360"/>
      </w:pPr>
      <w:rPr>
        <w:rFonts w:hint="default"/>
      </w:rPr>
    </w:lvl>
    <w:lvl w:ilvl="7">
      <w:start w:val="0"/>
      <w:numFmt w:val="bullet"/>
      <w:lvlText w:val="•"/>
      <w:lvlJc w:val="left"/>
      <w:pPr>
        <w:ind w:left="7360" w:hanging="360"/>
      </w:pPr>
      <w:rPr>
        <w:rFonts w:hint="default"/>
      </w:rPr>
    </w:lvl>
    <w:lvl w:ilvl="8">
      <w:start w:val="0"/>
      <w:numFmt w:val="bullet"/>
      <w:lvlText w:val="•"/>
      <w:lvlJc w:val="left"/>
      <w:pPr>
        <w:ind w:left="8300" w:hanging="360"/>
      </w:pPr>
      <w:rPr>
        <w:rFonts w:hint="default"/>
      </w:rPr>
    </w:lvl>
  </w:abstractNum>
  <w:abstractNum w:abstractNumId="72">
    <w:multiLevelType w:val="hybridMultilevel"/>
    <w:lvl w:ilvl="0">
      <w:start w:val="1"/>
      <w:numFmt w:val="decimal"/>
      <w:lvlText w:val="%1."/>
      <w:lvlJc w:val="left"/>
      <w:pPr>
        <w:ind w:left="1180" w:hanging="360"/>
        <w:jc w:val="left"/>
      </w:pPr>
      <w:rPr>
        <w:rFonts w:hint="default" w:ascii="Arial" w:hAnsi="Arial" w:eastAsia="Arial" w:cs="Arial"/>
        <w:spacing w:val="-4"/>
        <w:w w:val="99"/>
        <w:sz w:val="24"/>
        <w:szCs w:val="24"/>
      </w:rPr>
    </w:lvl>
    <w:lvl w:ilvl="1">
      <w:start w:val="1"/>
      <w:numFmt w:val="lowerLetter"/>
      <w:lvlText w:val="%2."/>
      <w:lvlJc w:val="left"/>
      <w:pPr>
        <w:ind w:left="1540" w:hanging="360"/>
        <w:jc w:val="left"/>
      </w:pPr>
      <w:rPr>
        <w:rFonts w:hint="default" w:ascii="Arial" w:hAnsi="Arial" w:eastAsia="Arial" w:cs="Arial"/>
        <w:spacing w:val="-3"/>
        <w:w w:val="99"/>
        <w:sz w:val="24"/>
        <w:szCs w:val="24"/>
      </w:rPr>
    </w:lvl>
    <w:lvl w:ilvl="2">
      <w:start w:val="0"/>
      <w:numFmt w:val="bullet"/>
      <w:lvlText w:val="•"/>
      <w:lvlJc w:val="left"/>
      <w:pPr>
        <w:ind w:left="2513" w:hanging="360"/>
      </w:pPr>
      <w:rPr>
        <w:rFonts w:hint="default"/>
      </w:rPr>
    </w:lvl>
    <w:lvl w:ilvl="3">
      <w:start w:val="0"/>
      <w:numFmt w:val="bullet"/>
      <w:lvlText w:val="•"/>
      <w:lvlJc w:val="left"/>
      <w:pPr>
        <w:ind w:left="3486" w:hanging="360"/>
      </w:pPr>
      <w:rPr>
        <w:rFonts w:hint="default"/>
      </w:rPr>
    </w:lvl>
    <w:lvl w:ilvl="4">
      <w:start w:val="0"/>
      <w:numFmt w:val="bullet"/>
      <w:lvlText w:val="•"/>
      <w:lvlJc w:val="left"/>
      <w:pPr>
        <w:ind w:left="4460" w:hanging="360"/>
      </w:pPr>
      <w:rPr>
        <w:rFonts w:hint="default"/>
      </w:rPr>
    </w:lvl>
    <w:lvl w:ilvl="5">
      <w:start w:val="0"/>
      <w:numFmt w:val="bullet"/>
      <w:lvlText w:val="•"/>
      <w:lvlJc w:val="left"/>
      <w:pPr>
        <w:ind w:left="5433" w:hanging="360"/>
      </w:pPr>
      <w:rPr>
        <w:rFonts w:hint="default"/>
      </w:rPr>
    </w:lvl>
    <w:lvl w:ilvl="6">
      <w:start w:val="0"/>
      <w:numFmt w:val="bullet"/>
      <w:lvlText w:val="•"/>
      <w:lvlJc w:val="left"/>
      <w:pPr>
        <w:ind w:left="6406" w:hanging="360"/>
      </w:pPr>
      <w:rPr>
        <w:rFonts w:hint="default"/>
      </w:rPr>
    </w:lvl>
    <w:lvl w:ilvl="7">
      <w:start w:val="0"/>
      <w:numFmt w:val="bullet"/>
      <w:lvlText w:val="•"/>
      <w:lvlJc w:val="left"/>
      <w:pPr>
        <w:ind w:left="7380" w:hanging="360"/>
      </w:pPr>
      <w:rPr>
        <w:rFonts w:hint="default"/>
      </w:rPr>
    </w:lvl>
    <w:lvl w:ilvl="8">
      <w:start w:val="0"/>
      <w:numFmt w:val="bullet"/>
      <w:lvlText w:val="•"/>
      <w:lvlJc w:val="left"/>
      <w:pPr>
        <w:ind w:left="8353" w:hanging="360"/>
      </w:pPr>
      <w:rPr>
        <w:rFonts w:hint="default"/>
      </w:rPr>
    </w:lvl>
  </w:abstractNum>
  <w:abstractNum w:abstractNumId="71">
    <w:multiLevelType w:val="hybridMultilevel"/>
    <w:lvl w:ilvl="0">
      <w:start w:val="1"/>
      <w:numFmt w:val="lowerLetter"/>
      <w:lvlText w:val="%1."/>
      <w:lvlJc w:val="left"/>
      <w:pPr>
        <w:ind w:left="1540" w:hanging="360"/>
        <w:jc w:val="left"/>
      </w:pPr>
      <w:rPr>
        <w:rFonts w:hint="default" w:ascii="Arial" w:hAnsi="Arial" w:eastAsia="Arial" w:cs="Arial"/>
        <w:spacing w:val="-3"/>
        <w:w w:val="99"/>
        <w:sz w:val="24"/>
        <w:szCs w:val="24"/>
      </w:rPr>
    </w:lvl>
    <w:lvl w:ilvl="1">
      <w:start w:val="0"/>
      <w:numFmt w:val="bullet"/>
      <w:lvlText w:val="•"/>
      <w:lvlJc w:val="left"/>
      <w:pPr>
        <w:ind w:left="2432" w:hanging="360"/>
      </w:pPr>
      <w:rPr>
        <w:rFonts w:hint="default"/>
      </w:rPr>
    </w:lvl>
    <w:lvl w:ilvl="2">
      <w:start w:val="0"/>
      <w:numFmt w:val="bullet"/>
      <w:lvlText w:val="•"/>
      <w:lvlJc w:val="left"/>
      <w:pPr>
        <w:ind w:left="3324" w:hanging="360"/>
      </w:pPr>
      <w:rPr>
        <w:rFonts w:hint="default"/>
      </w:rPr>
    </w:lvl>
    <w:lvl w:ilvl="3">
      <w:start w:val="0"/>
      <w:numFmt w:val="bullet"/>
      <w:lvlText w:val="•"/>
      <w:lvlJc w:val="left"/>
      <w:pPr>
        <w:ind w:left="4216" w:hanging="360"/>
      </w:pPr>
      <w:rPr>
        <w:rFonts w:hint="default"/>
      </w:rPr>
    </w:lvl>
    <w:lvl w:ilvl="4">
      <w:start w:val="0"/>
      <w:numFmt w:val="bullet"/>
      <w:lvlText w:val="•"/>
      <w:lvlJc w:val="left"/>
      <w:pPr>
        <w:ind w:left="5108" w:hanging="360"/>
      </w:pPr>
      <w:rPr>
        <w:rFonts w:hint="default"/>
      </w:rPr>
    </w:lvl>
    <w:lvl w:ilvl="5">
      <w:start w:val="0"/>
      <w:numFmt w:val="bullet"/>
      <w:lvlText w:val="•"/>
      <w:lvlJc w:val="left"/>
      <w:pPr>
        <w:ind w:left="6000" w:hanging="360"/>
      </w:pPr>
      <w:rPr>
        <w:rFonts w:hint="default"/>
      </w:rPr>
    </w:lvl>
    <w:lvl w:ilvl="6">
      <w:start w:val="0"/>
      <w:numFmt w:val="bullet"/>
      <w:lvlText w:val="•"/>
      <w:lvlJc w:val="left"/>
      <w:pPr>
        <w:ind w:left="6892" w:hanging="360"/>
      </w:pPr>
      <w:rPr>
        <w:rFonts w:hint="default"/>
      </w:rPr>
    </w:lvl>
    <w:lvl w:ilvl="7">
      <w:start w:val="0"/>
      <w:numFmt w:val="bullet"/>
      <w:lvlText w:val="•"/>
      <w:lvlJc w:val="left"/>
      <w:pPr>
        <w:ind w:left="7784" w:hanging="360"/>
      </w:pPr>
      <w:rPr>
        <w:rFonts w:hint="default"/>
      </w:rPr>
    </w:lvl>
    <w:lvl w:ilvl="8">
      <w:start w:val="0"/>
      <w:numFmt w:val="bullet"/>
      <w:lvlText w:val="•"/>
      <w:lvlJc w:val="left"/>
      <w:pPr>
        <w:ind w:left="8676" w:hanging="360"/>
      </w:pPr>
      <w:rPr>
        <w:rFonts w:hint="default"/>
      </w:rPr>
    </w:lvl>
  </w:abstractNum>
  <w:abstractNum w:abstractNumId="70">
    <w:multiLevelType w:val="hybridMultilevel"/>
    <w:lvl w:ilvl="0">
      <w:start w:val="1"/>
      <w:numFmt w:val="decimal"/>
      <w:lvlText w:val="%1."/>
      <w:lvlJc w:val="left"/>
      <w:pPr>
        <w:ind w:left="1180" w:hanging="360"/>
        <w:jc w:val="right"/>
      </w:pPr>
      <w:rPr>
        <w:rFonts w:hint="default" w:ascii="Arial" w:hAnsi="Arial" w:eastAsia="Arial" w:cs="Arial"/>
        <w:spacing w:val="-6"/>
        <w:w w:val="99"/>
        <w:sz w:val="24"/>
        <w:szCs w:val="24"/>
      </w:rPr>
    </w:lvl>
    <w:lvl w:ilvl="1">
      <w:start w:val="1"/>
      <w:numFmt w:val="upperLetter"/>
      <w:lvlText w:val="%2."/>
      <w:lvlJc w:val="left"/>
      <w:pPr>
        <w:ind w:left="1000" w:hanging="360"/>
        <w:jc w:val="right"/>
      </w:pPr>
      <w:rPr>
        <w:rFonts w:hint="default"/>
        <w:strike/>
        <w:w w:val="100"/>
      </w:rPr>
    </w:lvl>
    <w:lvl w:ilvl="2">
      <w:start w:val="0"/>
      <w:numFmt w:val="bullet"/>
      <w:lvlText w:val="•"/>
      <w:lvlJc w:val="left"/>
      <w:pPr>
        <w:ind w:left="2193" w:hanging="360"/>
      </w:pPr>
      <w:rPr>
        <w:rFonts w:hint="default"/>
      </w:rPr>
    </w:lvl>
    <w:lvl w:ilvl="3">
      <w:start w:val="0"/>
      <w:numFmt w:val="bullet"/>
      <w:lvlText w:val="•"/>
      <w:lvlJc w:val="left"/>
      <w:pPr>
        <w:ind w:left="3206" w:hanging="360"/>
      </w:pPr>
      <w:rPr>
        <w:rFonts w:hint="default"/>
      </w:rPr>
    </w:lvl>
    <w:lvl w:ilvl="4">
      <w:start w:val="0"/>
      <w:numFmt w:val="bullet"/>
      <w:lvlText w:val="•"/>
      <w:lvlJc w:val="left"/>
      <w:pPr>
        <w:ind w:left="4220" w:hanging="360"/>
      </w:pPr>
      <w:rPr>
        <w:rFonts w:hint="default"/>
      </w:rPr>
    </w:lvl>
    <w:lvl w:ilvl="5">
      <w:start w:val="0"/>
      <w:numFmt w:val="bullet"/>
      <w:lvlText w:val="•"/>
      <w:lvlJc w:val="left"/>
      <w:pPr>
        <w:ind w:left="5233" w:hanging="360"/>
      </w:pPr>
      <w:rPr>
        <w:rFonts w:hint="default"/>
      </w:rPr>
    </w:lvl>
    <w:lvl w:ilvl="6">
      <w:start w:val="0"/>
      <w:numFmt w:val="bullet"/>
      <w:lvlText w:val="•"/>
      <w:lvlJc w:val="left"/>
      <w:pPr>
        <w:ind w:left="6246" w:hanging="360"/>
      </w:pPr>
      <w:rPr>
        <w:rFonts w:hint="default"/>
      </w:rPr>
    </w:lvl>
    <w:lvl w:ilvl="7">
      <w:start w:val="0"/>
      <w:numFmt w:val="bullet"/>
      <w:lvlText w:val="•"/>
      <w:lvlJc w:val="left"/>
      <w:pPr>
        <w:ind w:left="7260" w:hanging="360"/>
      </w:pPr>
      <w:rPr>
        <w:rFonts w:hint="default"/>
      </w:rPr>
    </w:lvl>
    <w:lvl w:ilvl="8">
      <w:start w:val="0"/>
      <w:numFmt w:val="bullet"/>
      <w:lvlText w:val="•"/>
      <w:lvlJc w:val="left"/>
      <w:pPr>
        <w:ind w:left="8273" w:hanging="360"/>
      </w:pPr>
      <w:rPr>
        <w:rFonts w:hint="default"/>
      </w:rPr>
    </w:lvl>
  </w:abstractNum>
  <w:abstractNum w:abstractNumId="69">
    <w:multiLevelType w:val="hybridMultilevel"/>
    <w:lvl w:ilvl="0">
      <w:start w:val="1"/>
      <w:numFmt w:val="lowerLetter"/>
      <w:lvlText w:val="%1."/>
      <w:lvlJc w:val="left"/>
      <w:pPr>
        <w:ind w:left="1540" w:hanging="360"/>
        <w:jc w:val="left"/>
      </w:pPr>
      <w:rPr>
        <w:rFonts w:hint="default" w:ascii="Arial" w:hAnsi="Arial" w:eastAsia="Arial" w:cs="Arial"/>
        <w:spacing w:val="-3"/>
        <w:w w:val="99"/>
        <w:sz w:val="24"/>
        <w:szCs w:val="24"/>
      </w:rPr>
    </w:lvl>
    <w:lvl w:ilvl="1">
      <w:start w:val="0"/>
      <w:numFmt w:val="bullet"/>
      <w:lvlText w:val="•"/>
      <w:lvlJc w:val="left"/>
      <w:pPr>
        <w:ind w:left="2438" w:hanging="360"/>
      </w:pPr>
      <w:rPr>
        <w:rFonts w:hint="default"/>
      </w:rPr>
    </w:lvl>
    <w:lvl w:ilvl="2">
      <w:start w:val="0"/>
      <w:numFmt w:val="bullet"/>
      <w:lvlText w:val="•"/>
      <w:lvlJc w:val="left"/>
      <w:pPr>
        <w:ind w:left="3336" w:hanging="360"/>
      </w:pPr>
      <w:rPr>
        <w:rFonts w:hint="default"/>
      </w:rPr>
    </w:lvl>
    <w:lvl w:ilvl="3">
      <w:start w:val="0"/>
      <w:numFmt w:val="bullet"/>
      <w:lvlText w:val="•"/>
      <w:lvlJc w:val="left"/>
      <w:pPr>
        <w:ind w:left="4234" w:hanging="360"/>
      </w:pPr>
      <w:rPr>
        <w:rFonts w:hint="default"/>
      </w:rPr>
    </w:lvl>
    <w:lvl w:ilvl="4">
      <w:start w:val="0"/>
      <w:numFmt w:val="bullet"/>
      <w:lvlText w:val="•"/>
      <w:lvlJc w:val="left"/>
      <w:pPr>
        <w:ind w:left="5132" w:hanging="360"/>
      </w:pPr>
      <w:rPr>
        <w:rFonts w:hint="default"/>
      </w:rPr>
    </w:lvl>
    <w:lvl w:ilvl="5">
      <w:start w:val="0"/>
      <w:numFmt w:val="bullet"/>
      <w:lvlText w:val="•"/>
      <w:lvlJc w:val="left"/>
      <w:pPr>
        <w:ind w:left="6030" w:hanging="360"/>
      </w:pPr>
      <w:rPr>
        <w:rFonts w:hint="default"/>
      </w:rPr>
    </w:lvl>
    <w:lvl w:ilvl="6">
      <w:start w:val="0"/>
      <w:numFmt w:val="bullet"/>
      <w:lvlText w:val="•"/>
      <w:lvlJc w:val="left"/>
      <w:pPr>
        <w:ind w:left="6928" w:hanging="360"/>
      </w:pPr>
      <w:rPr>
        <w:rFonts w:hint="default"/>
      </w:rPr>
    </w:lvl>
    <w:lvl w:ilvl="7">
      <w:start w:val="0"/>
      <w:numFmt w:val="bullet"/>
      <w:lvlText w:val="•"/>
      <w:lvlJc w:val="left"/>
      <w:pPr>
        <w:ind w:left="7826" w:hanging="360"/>
      </w:pPr>
      <w:rPr>
        <w:rFonts w:hint="default"/>
      </w:rPr>
    </w:lvl>
    <w:lvl w:ilvl="8">
      <w:start w:val="0"/>
      <w:numFmt w:val="bullet"/>
      <w:lvlText w:val="•"/>
      <w:lvlJc w:val="left"/>
      <w:pPr>
        <w:ind w:left="8724" w:hanging="360"/>
      </w:pPr>
      <w:rPr>
        <w:rFonts w:hint="default"/>
      </w:rPr>
    </w:lvl>
  </w:abstractNum>
  <w:abstractNum w:abstractNumId="68">
    <w:multiLevelType w:val="hybridMultilevel"/>
    <w:lvl w:ilvl="0">
      <w:start w:val="1"/>
      <w:numFmt w:val="decimal"/>
      <w:lvlText w:val="%1."/>
      <w:lvlJc w:val="left"/>
      <w:pPr>
        <w:ind w:left="1540" w:hanging="360"/>
        <w:jc w:val="right"/>
      </w:pPr>
      <w:rPr>
        <w:rFonts w:hint="default" w:ascii="Arial" w:hAnsi="Arial" w:eastAsia="Arial" w:cs="Arial"/>
        <w:spacing w:val="-3"/>
        <w:w w:val="99"/>
        <w:sz w:val="24"/>
        <w:szCs w:val="24"/>
      </w:rPr>
    </w:lvl>
    <w:lvl w:ilvl="1">
      <w:start w:val="1"/>
      <w:numFmt w:val="decimal"/>
      <w:lvlText w:val="(%2)"/>
      <w:lvlJc w:val="left"/>
      <w:pPr>
        <w:ind w:left="1900" w:hanging="360"/>
        <w:jc w:val="left"/>
      </w:pPr>
      <w:rPr>
        <w:rFonts w:hint="default" w:ascii="Arial" w:hAnsi="Arial" w:eastAsia="Arial" w:cs="Arial"/>
        <w:spacing w:val="-1"/>
        <w:w w:val="99"/>
        <w:sz w:val="24"/>
        <w:szCs w:val="24"/>
      </w:rPr>
    </w:lvl>
    <w:lvl w:ilvl="2">
      <w:start w:val="0"/>
      <w:numFmt w:val="bullet"/>
      <w:lvlText w:val="•"/>
      <w:lvlJc w:val="left"/>
      <w:pPr>
        <w:ind w:left="2857" w:hanging="360"/>
      </w:pPr>
      <w:rPr>
        <w:rFonts w:hint="default"/>
      </w:rPr>
    </w:lvl>
    <w:lvl w:ilvl="3">
      <w:start w:val="0"/>
      <w:numFmt w:val="bullet"/>
      <w:lvlText w:val="•"/>
      <w:lvlJc w:val="left"/>
      <w:pPr>
        <w:ind w:left="3815" w:hanging="360"/>
      </w:pPr>
      <w:rPr>
        <w:rFonts w:hint="default"/>
      </w:rPr>
    </w:lvl>
    <w:lvl w:ilvl="4">
      <w:start w:val="0"/>
      <w:numFmt w:val="bullet"/>
      <w:lvlText w:val="•"/>
      <w:lvlJc w:val="left"/>
      <w:pPr>
        <w:ind w:left="4773" w:hanging="360"/>
      </w:pPr>
      <w:rPr>
        <w:rFonts w:hint="default"/>
      </w:rPr>
    </w:lvl>
    <w:lvl w:ilvl="5">
      <w:start w:val="0"/>
      <w:numFmt w:val="bullet"/>
      <w:lvlText w:val="•"/>
      <w:lvlJc w:val="left"/>
      <w:pPr>
        <w:ind w:left="5731" w:hanging="360"/>
      </w:pPr>
      <w:rPr>
        <w:rFonts w:hint="default"/>
      </w:rPr>
    </w:lvl>
    <w:lvl w:ilvl="6">
      <w:start w:val="0"/>
      <w:numFmt w:val="bullet"/>
      <w:lvlText w:val="•"/>
      <w:lvlJc w:val="left"/>
      <w:pPr>
        <w:ind w:left="6688" w:hanging="360"/>
      </w:pPr>
      <w:rPr>
        <w:rFonts w:hint="default"/>
      </w:rPr>
    </w:lvl>
    <w:lvl w:ilvl="7">
      <w:start w:val="0"/>
      <w:numFmt w:val="bullet"/>
      <w:lvlText w:val="•"/>
      <w:lvlJc w:val="left"/>
      <w:pPr>
        <w:ind w:left="7646" w:hanging="360"/>
      </w:pPr>
      <w:rPr>
        <w:rFonts w:hint="default"/>
      </w:rPr>
    </w:lvl>
    <w:lvl w:ilvl="8">
      <w:start w:val="0"/>
      <w:numFmt w:val="bullet"/>
      <w:lvlText w:val="•"/>
      <w:lvlJc w:val="left"/>
      <w:pPr>
        <w:ind w:left="8604" w:hanging="360"/>
      </w:pPr>
      <w:rPr>
        <w:rFonts w:hint="default"/>
      </w:rPr>
    </w:lvl>
  </w:abstractNum>
  <w:abstractNum w:abstractNumId="67">
    <w:multiLevelType w:val="hybridMultilevel"/>
    <w:lvl w:ilvl="0">
      <w:start w:val="1"/>
      <w:numFmt w:val="decimal"/>
      <w:lvlText w:val="%1."/>
      <w:lvlJc w:val="left"/>
      <w:pPr>
        <w:ind w:left="1180" w:hanging="360"/>
        <w:jc w:val="right"/>
      </w:pPr>
      <w:rPr>
        <w:rFonts w:hint="default"/>
        <w:strike/>
        <w:w w:val="99"/>
      </w:rPr>
    </w:lvl>
    <w:lvl w:ilvl="1">
      <w:start w:val="0"/>
      <w:numFmt w:val="bullet"/>
      <w:lvlText w:val="•"/>
      <w:lvlJc w:val="left"/>
      <w:pPr>
        <w:ind w:left="2106" w:hanging="360"/>
      </w:pPr>
      <w:rPr>
        <w:rFonts w:hint="default"/>
      </w:rPr>
    </w:lvl>
    <w:lvl w:ilvl="2">
      <w:start w:val="0"/>
      <w:numFmt w:val="bullet"/>
      <w:lvlText w:val="•"/>
      <w:lvlJc w:val="left"/>
      <w:pPr>
        <w:ind w:left="3032" w:hanging="360"/>
      </w:pPr>
      <w:rPr>
        <w:rFonts w:hint="default"/>
      </w:rPr>
    </w:lvl>
    <w:lvl w:ilvl="3">
      <w:start w:val="0"/>
      <w:numFmt w:val="bullet"/>
      <w:lvlText w:val="•"/>
      <w:lvlJc w:val="left"/>
      <w:pPr>
        <w:ind w:left="3958" w:hanging="360"/>
      </w:pPr>
      <w:rPr>
        <w:rFonts w:hint="default"/>
      </w:rPr>
    </w:lvl>
    <w:lvl w:ilvl="4">
      <w:start w:val="0"/>
      <w:numFmt w:val="bullet"/>
      <w:lvlText w:val="•"/>
      <w:lvlJc w:val="left"/>
      <w:pPr>
        <w:ind w:left="4884" w:hanging="360"/>
      </w:pPr>
      <w:rPr>
        <w:rFonts w:hint="default"/>
      </w:rPr>
    </w:lvl>
    <w:lvl w:ilvl="5">
      <w:start w:val="0"/>
      <w:numFmt w:val="bullet"/>
      <w:lvlText w:val="•"/>
      <w:lvlJc w:val="left"/>
      <w:pPr>
        <w:ind w:left="5810" w:hanging="360"/>
      </w:pPr>
      <w:rPr>
        <w:rFonts w:hint="default"/>
      </w:rPr>
    </w:lvl>
    <w:lvl w:ilvl="6">
      <w:start w:val="0"/>
      <w:numFmt w:val="bullet"/>
      <w:lvlText w:val="•"/>
      <w:lvlJc w:val="left"/>
      <w:pPr>
        <w:ind w:left="6736" w:hanging="360"/>
      </w:pPr>
      <w:rPr>
        <w:rFonts w:hint="default"/>
      </w:rPr>
    </w:lvl>
    <w:lvl w:ilvl="7">
      <w:start w:val="0"/>
      <w:numFmt w:val="bullet"/>
      <w:lvlText w:val="•"/>
      <w:lvlJc w:val="left"/>
      <w:pPr>
        <w:ind w:left="7662" w:hanging="360"/>
      </w:pPr>
      <w:rPr>
        <w:rFonts w:hint="default"/>
      </w:rPr>
    </w:lvl>
    <w:lvl w:ilvl="8">
      <w:start w:val="0"/>
      <w:numFmt w:val="bullet"/>
      <w:lvlText w:val="•"/>
      <w:lvlJc w:val="left"/>
      <w:pPr>
        <w:ind w:left="8588" w:hanging="360"/>
      </w:pPr>
      <w:rPr>
        <w:rFonts w:hint="default"/>
      </w:rPr>
    </w:lvl>
  </w:abstractNum>
  <w:abstractNum w:abstractNumId="66">
    <w:multiLevelType w:val="hybridMultilevel"/>
    <w:lvl w:ilvl="0">
      <w:start w:val="1"/>
      <w:numFmt w:val="decimal"/>
      <w:lvlText w:val="%1."/>
      <w:lvlJc w:val="left"/>
      <w:pPr>
        <w:ind w:left="1180" w:hanging="360"/>
        <w:jc w:val="left"/>
      </w:pPr>
      <w:rPr>
        <w:rFonts w:hint="default"/>
        <w:strike/>
        <w:w w:val="99"/>
      </w:rPr>
    </w:lvl>
    <w:lvl w:ilvl="1">
      <w:start w:val="1"/>
      <w:numFmt w:val="lowerLetter"/>
      <w:lvlText w:val="%2."/>
      <w:lvlJc w:val="left"/>
      <w:pPr>
        <w:ind w:left="1540" w:hanging="360"/>
        <w:jc w:val="left"/>
      </w:pPr>
      <w:rPr>
        <w:rFonts w:hint="default"/>
        <w:strike/>
        <w:w w:val="99"/>
      </w:rPr>
    </w:lvl>
    <w:lvl w:ilvl="2">
      <w:start w:val="0"/>
      <w:numFmt w:val="bullet"/>
      <w:lvlText w:val="•"/>
      <w:lvlJc w:val="left"/>
      <w:pPr>
        <w:ind w:left="2528" w:hanging="360"/>
      </w:pPr>
      <w:rPr>
        <w:rFonts w:hint="default"/>
      </w:rPr>
    </w:lvl>
    <w:lvl w:ilvl="3">
      <w:start w:val="0"/>
      <w:numFmt w:val="bullet"/>
      <w:lvlText w:val="•"/>
      <w:lvlJc w:val="left"/>
      <w:pPr>
        <w:ind w:left="3517" w:hanging="360"/>
      </w:pPr>
      <w:rPr>
        <w:rFonts w:hint="default"/>
      </w:rPr>
    </w:lvl>
    <w:lvl w:ilvl="4">
      <w:start w:val="0"/>
      <w:numFmt w:val="bullet"/>
      <w:lvlText w:val="•"/>
      <w:lvlJc w:val="left"/>
      <w:pPr>
        <w:ind w:left="4506" w:hanging="360"/>
      </w:pPr>
      <w:rPr>
        <w:rFonts w:hint="default"/>
      </w:rPr>
    </w:lvl>
    <w:lvl w:ilvl="5">
      <w:start w:val="0"/>
      <w:numFmt w:val="bullet"/>
      <w:lvlText w:val="•"/>
      <w:lvlJc w:val="left"/>
      <w:pPr>
        <w:ind w:left="5495" w:hanging="360"/>
      </w:pPr>
      <w:rPr>
        <w:rFonts w:hint="default"/>
      </w:rPr>
    </w:lvl>
    <w:lvl w:ilvl="6">
      <w:start w:val="0"/>
      <w:numFmt w:val="bullet"/>
      <w:lvlText w:val="•"/>
      <w:lvlJc w:val="left"/>
      <w:pPr>
        <w:ind w:left="6484" w:hanging="360"/>
      </w:pPr>
      <w:rPr>
        <w:rFonts w:hint="default"/>
      </w:rPr>
    </w:lvl>
    <w:lvl w:ilvl="7">
      <w:start w:val="0"/>
      <w:numFmt w:val="bullet"/>
      <w:lvlText w:val="•"/>
      <w:lvlJc w:val="left"/>
      <w:pPr>
        <w:ind w:left="7473" w:hanging="360"/>
      </w:pPr>
      <w:rPr>
        <w:rFonts w:hint="default"/>
      </w:rPr>
    </w:lvl>
    <w:lvl w:ilvl="8">
      <w:start w:val="0"/>
      <w:numFmt w:val="bullet"/>
      <w:lvlText w:val="•"/>
      <w:lvlJc w:val="left"/>
      <w:pPr>
        <w:ind w:left="8462" w:hanging="360"/>
      </w:pPr>
      <w:rPr>
        <w:rFonts w:hint="default"/>
      </w:rPr>
    </w:lvl>
  </w:abstractNum>
  <w:abstractNum w:abstractNumId="65">
    <w:multiLevelType w:val="hybridMultilevel"/>
    <w:lvl w:ilvl="0">
      <w:start w:val="1"/>
      <w:numFmt w:val="decimal"/>
      <w:lvlText w:val="%1."/>
      <w:lvlJc w:val="left"/>
      <w:pPr>
        <w:ind w:left="1180" w:hanging="360"/>
        <w:jc w:val="left"/>
      </w:pPr>
      <w:rPr>
        <w:rFonts w:hint="default"/>
        <w:strike/>
        <w:w w:val="99"/>
      </w:rPr>
    </w:lvl>
    <w:lvl w:ilvl="1">
      <w:start w:val="0"/>
      <w:numFmt w:val="bullet"/>
      <w:lvlText w:val="•"/>
      <w:lvlJc w:val="left"/>
      <w:pPr>
        <w:ind w:left="2092" w:hanging="360"/>
      </w:pPr>
      <w:rPr>
        <w:rFonts w:hint="default"/>
      </w:rPr>
    </w:lvl>
    <w:lvl w:ilvl="2">
      <w:start w:val="0"/>
      <w:numFmt w:val="bullet"/>
      <w:lvlText w:val="•"/>
      <w:lvlJc w:val="left"/>
      <w:pPr>
        <w:ind w:left="3004" w:hanging="360"/>
      </w:pPr>
      <w:rPr>
        <w:rFonts w:hint="default"/>
      </w:rPr>
    </w:lvl>
    <w:lvl w:ilvl="3">
      <w:start w:val="0"/>
      <w:numFmt w:val="bullet"/>
      <w:lvlText w:val="•"/>
      <w:lvlJc w:val="left"/>
      <w:pPr>
        <w:ind w:left="3916" w:hanging="360"/>
      </w:pPr>
      <w:rPr>
        <w:rFonts w:hint="default"/>
      </w:rPr>
    </w:lvl>
    <w:lvl w:ilvl="4">
      <w:start w:val="0"/>
      <w:numFmt w:val="bullet"/>
      <w:lvlText w:val="•"/>
      <w:lvlJc w:val="left"/>
      <w:pPr>
        <w:ind w:left="4828" w:hanging="360"/>
      </w:pPr>
      <w:rPr>
        <w:rFonts w:hint="default"/>
      </w:rPr>
    </w:lvl>
    <w:lvl w:ilvl="5">
      <w:start w:val="0"/>
      <w:numFmt w:val="bullet"/>
      <w:lvlText w:val="•"/>
      <w:lvlJc w:val="left"/>
      <w:pPr>
        <w:ind w:left="5740" w:hanging="360"/>
      </w:pPr>
      <w:rPr>
        <w:rFonts w:hint="default"/>
      </w:rPr>
    </w:lvl>
    <w:lvl w:ilvl="6">
      <w:start w:val="0"/>
      <w:numFmt w:val="bullet"/>
      <w:lvlText w:val="•"/>
      <w:lvlJc w:val="left"/>
      <w:pPr>
        <w:ind w:left="6652" w:hanging="360"/>
      </w:pPr>
      <w:rPr>
        <w:rFonts w:hint="default"/>
      </w:rPr>
    </w:lvl>
    <w:lvl w:ilvl="7">
      <w:start w:val="0"/>
      <w:numFmt w:val="bullet"/>
      <w:lvlText w:val="•"/>
      <w:lvlJc w:val="left"/>
      <w:pPr>
        <w:ind w:left="7564" w:hanging="360"/>
      </w:pPr>
      <w:rPr>
        <w:rFonts w:hint="default"/>
      </w:rPr>
    </w:lvl>
    <w:lvl w:ilvl="8">
      <w:start w:val="0"/>
      <w:numFmt w:val="bullet"/>
      <w:lvlText w:val="•"/>
      <w:lvlJc w:val="left"/>
      <w:pPr>
        <w:ind w:left="8476" w:hanging="360"/>
      </w:pPr>
      <w:rPr>
        <w:rFonts w:hint="default"/>
      </w:rPr>
    </w:lvl>
  </w:abstractNum>
  <w:abstractNum w:abstractNumId="64">
    <w:multiLevelType w:val="hybridMultilevel"/>
    <w:lvl w:ilvl="0">
      <w:start w:val="1"/>
      <w:numFmt w:val="decimal"/>
      <w:lvlText w:val="%1."/>
      <w:lvlJc w:val="left"/>
      <w:pPr>
        <w:ind w:left="1180" w:hanging="360"/>
        <w:jc w:val="left"/>
      </w:pPr>
      <w:rPr>
        <w:rFonts w:hint="default"/>
        <w:strike/>
        <w:w w:val="99"/>
      </w:rPr>
    </w:lvl>
    <w:lvl w:ilvl="1">
      <w:start w:val="0"/>
      <w:numFmt w:val="bullet"/>
      <w:lvlText w:val="•"/>
      <w:lvlJc w:val="left"/>
      <w:pPr>
        <w:ind w:left="2092" w:hanging="360"/>
      </w:pPr>
      <w:rPr>
        <w:rFonts w:hint="default"/>
      </w:rPr>
    </w:lvl>
    <w:lvl w:ilvl="2">
      <w:start w:val="0"/>
      <w:numFmt w:val="bullet"/>
      <w:lvlText w:val="•"/>
      <w:lvlJc w:val="left"/>
      <w:pPr>
        <w:ind w:left="3004" w:hanging="360"/>
      </w:pPr>
      <w:rPr>
        <w:rFonts w:hint="default"/>
      </w:rPr>
    </w:lvl>
    <w:lvl w:ilvl="3">
      <w:start w:val="0"/>
      <w:numFmt w:val="bullet"/>
      <w:lvlText w:val="•"/>
      <w:lvlJc w:val="left"/>
      <w:pPr>
        <w:ind w:left="3916" w:hanging="360"/>
      </w:pPr>
      <w:rPr>
        <w:rFonts w:hint="default"/>
      </w:rPr>
    </w:lvl>
    <w:lvl w:ilvl="4">
      <w:start w:val="0"/>
      <w:numFmt w:val="bullet"/>
      <w:lvlText w:val="•"/>
      <w:lvlJc w:val="left"/>
      <w:pPr>
        <w:ind w:left="4828" w:hanging="360"/>
      </w:pPr>
      <w:rPr>
        <w:rFonts w:hint="default"/>
      </w:rPr>
    </w:lvl>
    <w:lvl w:ilvl="5">
      <w:start w:val="0"/>
      <w:numFmt w:val="bullet"/>
      <w:lvlText w:val="•"/>
      <w:lvlJc w:val="left"/>
      <w:pPr>
        <w:ind w:left="5740" w:hanging="360"/>
      </w:pPr>
      <w:rPr>
        <w:rFonts w:hint="default"/>
      </w:rPr>
    </w:lvl>
    <w:lvl w:ilvl="6">
      <w:start w:val="0"/>
      <w:numFmt w:val="bullet"/>
      <w:lvlText w:val="•"/>
      <w:lvlJc w:val="left"/>
      <w:pPr>
        <w:ind w:left="6652" w:hanging="360"/>
      </w:pPr>
      <w:rPr>
        <w:rFonts w:hint="default"/>
      </w:rPr>
    </w:lvl>
    <w:lvl w:ilvl="7">
      <w:start w:val="0"/>
      <w:numFmt w:val="bullet"/>
      <w:lvlText w:val="•"/>
      <w:lvlJc w:val="left"/>
      <w:pPr>
        <w:ind w:left="7564" w:hanging="360"/>
      </w:pPr>
      <w:rPr>
        <w:rFonts w:hint="default"/>
      </w:rPr>
    </w:lvl>
    <w:lvl w:ilvl="8">
      <w:start w:val="0"/>
      <w:numFmt w:val="bullet"/>
      <w:lvlText w:val="•"/>
      <w:lvlJc w:val="left"/>
      <w:pPr>
        <w:ind w:left="8476" w:hanging="360"/>
      </w:pPr>
      <w:rPr>
        <w:rFonts w:hint="default"/>
      </w:rPr>
    </w:lvl>
  </w:abstractNum>
  <w:abstractNum w:abstractNumId="63">
    <w:multiLevelType w:val="hybridMultilevel"/>
    <w:lvl w:ilvl="0">
      <w:start w:val="1"/>
      <w:numFmt w:val="decimal"/>
      <w:lvlText w:val="%1."/>
      <w:lvlJc w:val="left"/>
      <w:pPr>
        <w:ind w:left="1180" w:hanging="360"/>
        <w:jc w:val="left"/>
      </w:pPr>
      <w:rPr>
        <w:rFonts w:hint="default"/>
        <w:strike/>
        <w:w w:val="99"/>
      </w:rPr>
    </w:lvl>
    <w:lvl w:ilvl="1">
      <w:start w:val="1"/>
      <w:numFmt w:val="decimal"/>
      <w:lvlText w:val="%2."/>
      <w:lvlJc w:val="left"/>
      <w:pPr>
        <w:ind w:left="1468" w:hanging="288"/>
        <w:jc w:val="left"/>
      </w:pPr>
      <w:rPr>
        <w:rFonts w:hint="default" w:ascii="Arial" w:hAnsi="Arial" w:eastAsia="Arial" w:cs="Arial"/>
        <w:w w:val="100"/>
        <w:sz w:val="24"/>
        <w:szCs w:val="24"/>
      </w:rPr>
    </w:lvl>
    <w:lvl w:ilvl="2">
      <w:start w:val="0"/>
      <w:numFmt w:val="bullet"/>
      <w:lvlText w:val="•"/>
      <w:lvlJc w:val="left"/>
      <w:pPr>
        <w:ind w:left="2442" w:hanging="288"/>
      </w:pPr>
      <w:rPr>
        <w:rFonts w:hint="default"/>
      </w:rPr>
    </w:lvl>
    <w:lvl w:ilvl="3">
      <w:start w:val="0"/>
      <w:numFmt w:val="bullet"/>
      <w:lvlText w:val="•"/>
      <w:lvlJc w:val="left"/>
      <w:pPr>
        <w:ind w:left="3424" w:hanging="288"/>
      </w:pPr>
      <w:rPr>
        <w:rFonts w:hint="default"/>
      </w:rPr>
    </w:lvl>
    <w:lvl w:ilvl="4">
      <w:start w:val="0"/>
      <w:numFmt w:val="bullet"/>
      <w:lvlText w:val="•"/>
      <w:lvlJc w:val="left"/>
      <w:pPr>
        <w:ind w:left="4406" w:hanging="288"/>
      </w:pPr>
      <w:rPr>
        <w:rFonts w:hint="default"/>
      </w:rPr>
    </w:lvl>
    <w:lvl w:ilvl="5">
      <w:start w:val="0"/>
      <w:numFmt w:val="bullet"/>
      <w:lvlText w:val="•"/>
      <w:lvlJc w:val="left"/>
      <w:pPr>
        <w:ind w:left="5388" w:hanging="288"/>
      </w:pPr>
      <w:rPr>
        <w:rFonts w:hint="default"/>
      </w:rPr>
    </w:lvl>
    <w:lvl w:ilvl="6">
      <w:start w:val="0"/>
      <w:numFmt w:val="bullet"/>
      <w:lvlText w:val="•"/>
      <w:lvlJc w:val="left"/>
      <w:pPr>
        <w:ind w:left="6371" w:hanging="288"/>
      </w:pPr>
      <w:rPr>
        <w:rFonts w:hint="default"/>
      </w:rPr>
    </w:lvl>
    <w:lvl w:ilvl="7">
      <w:start w:val="0"/>
      <w:numFmt w:val="bullet"/>
      <w:lvlText w:val="•"/>
      <w:lvlJc w:val="left"/>
      <w:pPr>
        <w:ind w:left="7353" w:hanging="288"/>
      </w:pPr>
      <w:rPr>
        <w:rFonts w:hint="default"/>
      </w:rPr>
    </w:lvl>
    <w:lvl w:ilvl="8">
      <w:start w:val="0"/>
      <w:numFmt w:val="bullet"/>
      <w:lvlText w:val="•"/>
      <w:lvlJc w:val="left"/>
      <w:pPr>
        <w:ind w:left="8335" w:hanging="288"/>
      </w:pPr>
      <w:rPr>
        <w:rFonts w:hint="default"/>
      </w:rPr>
    </w:lvl>
  </w:abstractNum>
  <w:abstractNum w:abstractNumId="62">
    <w:multiLevelType w:val="hybridMultilevel"/>
    <w:lvl w:ilvl="0">
      <w:start w:val="1"/>
      <w:numFmt w:val="decimal"/>
      <w:lvlText w:val="%1."/>
      <w:lvlJc w:val="left"/>
      <w:pPr>
        <w:ind w:left="768" w:hanging="288"/>
        <w:jc w:val="left"/>
      </w:pPr>
      <w:rPr>
        <w:rFonts w:hint="default" w:ascii="Arial" w:hAnsi="Arial" w:eastAsia="Arial" w:cs="Arial"/>
        <w:w w:val="100"/>
        <w:sz w:val="24"/>
        <w:szCs w:val="24"/>
      </w:rPr>
    </w:lvl>
    <w:lvl w:ilvl="1">
      <w:start w:val="1"/>
      <w:numFmt w:val="decimal"/>
      <w:lvlText w:val="%2."/>
      <w:lvlJc w:val="left"/>
      <w:pPr>
        <w:ind w:left="820" w:hanging="360"/>
        <w:jc w:val="left"/>
      </w:pPr>
      <w:rPr>
        <w:rFonts w:hint="default"/>
        <w:strike/>
        <w:w w:val="99"/>
      </w:rPr>
    </w:lvl>
    <w:lvl w:ilvl="2">
      <w:start w:val="0"/>
      <w:numFmt w:val="bullet"/>
      <w:lvlText w:val="•"/>
      <w:lvlJc w:val="left"/>
      <w:pPr>
        <w:ind w:left="1795" w:hanging="360"/>
      </w:pPr>
      <w:rPr>
        <w:rFonts w:hint="default"/>
      </w:rPr>
    </w:lvl>
    <w:lvl w:ilvl="3">
      <w:start w:val="0"/>
      <w:numFmt w:val="bullet"/>
      <w:lvlText w:val="•"/>
      <w:lvlJc w:val="left"/>
      <w:pPr>
        <w:ind w:left="2771" w:hanging="360"/>
      </w:pPr>
      <w:rPr>
        <w:rFonts w:hint="default"/>
      </w:rPr>
    </w:lvl>
    <w:lvl w:ilvl="4">
      <w:start w:val="0"/>
      <w:numFmt w:val="bullet"/>
      <w:lvlText w:val="•"/>
      <w:lvlJc w:val="left"/>
      <w:pPr>
        <w:ind w:left="3746" w:hanging="360"/>
      </w:pPr>
      <w:rPr>
        <w:rFonts w:hint="default"/>
      </w:rPr>
    </w:lvl>
    <w:lvl w:ilvl="5">
      <w:start w:val="0"/>
      <w:numFmt w:val="bullet"/>
      <w:lvlText w:val="•"/>
      <w:lvlJc w:val="left"/>
      <w:pPr>
        <w:ind w:left="4722" w:hanging="360"/>
      </w:pPr>
      <w:rPr>
        <w:rFonts w:hint="default"/>
      </w:rPr>
    </w:lvl>
    <w:lvl w:ilvl="6">
      <w:start w:val="0"/>
      <w:numFmt w:val="bullet"/>
      <w:lvlText w:val="•"/>
      <w:lvlJc w:val="left"/>
      <w:pPr>
        <w:ind w:left="5697" w:hanging="360"/>
      </w:pPr>
      <w:rPr>
        <w:rFonts w:hint="default"/>
      </w:rPr>
    </w:lvl>
    <w:lvl w:ilvl="7">
      <w:start w:val="0"/>
      <w:numFmt w:val="bullet"/>
      <w:lvlText w:val="•"/>
      <w:lvlJc w:val="left"/>
      <w:pPr>
        <w:ind w:left="6673" w:hanging="360"/>
      </w:pPr>
      <w:rPr>
        <w:rFonts w:hint="default"/>
      </w:rPr>
    </w:lvl>
    <w:lvl w:ilvl="8">
      <w:start w:val="0"/>
      <w:numFmt w:val="bullet"/>
      <w:lvlText w:val="•"/>
      <w:lvlJc w:val="left"/>
      <w:pPr>
        <w:ind w:left="7648" w:hanging="360"/>
      </w:pPr>
      <w:rPr>
        <w:rFonts w:hint="default"/>
      </w:rPr>
    </w:lvl>
  </w:abstractNum>
  <w:abstractNum w:abstractNumId="61">
    <w:multiLevelType w:val="hybridMultilevel"/>
    <w:lvl w:ilvl="0">
      <w:start w:val="2"/>
      <w:numFmt w:val="decimal"/>
      <w:lvlText w:val="(%1)"/>
      <w:lvlJc w:val="left"/>
      <w:pPr>
        <w:ind w:left="460" w:hanging="495"/>
        <w:jc w:val="left"/>
      </w:pPr>
      <w:rPr>
        <w:rFonts w:hint="default"/>
        <w:strike/>
        <w:spacing w:val="-3"/>
        <w:w w:val="99"/>
      </w:rPr>
    </w:lvl>
    <w:lvl w:ilvl="1">
      <w:start w:val="0"/>
      <w:numFmt w:val="bullet"/>
      <w:lvlText w:val="•"/>
      <w:lvlJc w:val="left"/>
      <w:pPr>
        <w:ind w:left="1162" w:hanging="495"/>
      </w:pPr>
      <w:rPr>
        <w:rFonts w:hint="default"/>
      </w:rPr>
    </w:lvl>
    <w:lvl w:ilvl="2">
      <w:start w:val="0"/>
      <w:numFmt w:val="bullet"/>
      <w:lvlText w:val="•"/>
      <w:lvlJc w:val="left"/>
      <w:pPr>
        <w:ind w:left="1864" w:hanging="495"/>
      </w:pPr>
      <w:rPr>
        <w:rFonts w:hint="default"/>
      </w:rPr>
    </w:lvl>
    <w:lvl w:ilvl="3">
      <w:start w:val="0"/>
      <w:numFmt w:val="bullet"/>
      <w:lvlText w:val="•"/>
      <w:lvlJc w:val="left"/>
      <w:pPr>
        <w:ind w:left="2566" w:hanging="495"/>
      </w:pPr>
      <w:rPr>
        <w:rFonts w:hint="default"/>
      </w:rPr>
    </w:lvl>
    <w:lvl w:ilvl="4">
      <w:start w:val="0"/>
      <w:numFmt w:val="bullet"/>
      <w:lvlText w:val="•"/>
      <w:lvlJc w:val="left"/>
      <w:pPr>
        <w:ind w:left="3268" w:hanging="495"/>
      </w:pPr>
      <w:rPr>
        <w:rFonts w:hint="default"/>
      </w:rPr>
    </w:lvl>
    <w:lvl w:ilvl="5">
      <w:start w:val="0"/>
      <w:numFmt w:val="bullet"/>
      <w:lvlText w:val="•"/>
      <w:lvlJc w:val="left"/>
      <w:pPr>
        <w:ind w:left="3970" w:hanging="495"/>
      </w:pPr>
      <w:rPr>
        <w:rFonts w:hint="default"/>
      </w:rPr>
    </w:lvl>
    <w:lvl w:ilvl="6">
      <w:start w:val="0"/>
      <w:numFmt w:val="bullet"/>
      <w:lvlText w:val="•"/>
      <w:lvlJc w:val="left"/>
      <w:pPr>
        <w:ind w:left="4672" w:hanging="495"/>
      </w:pPr>
      <w:rPr>
        <w:rFonts w:hint="default"/>
      </w:rPr>
    </w:lvl>
    <w:lvl w:ilvl="7">
      <w:start w:val="0"/>
      <w:numFmt w:val="bullet"/>
      <w:lvlText w:val="•"/>
      <w:lvlJc w:val="left"/>
      <w:pPr>
        <w:ind w:left="5374" w:hanging="495"/>
      </w:pPr>
      <w:rPr>
        <w:rFonts w:hint="default"/>
      </w:rPr>
    </w:lvl>
    <w:lvl w:ilvl="8">
      <w:start w:val="0"/>
      <w:numFmt w:val="bullet"/>
      <w:lvlText w:val="•"/>
      <w:lvlJc w:val="left"/>
      <w:pPr>
        <w:ind w:left="6076" w:hanging="495"/>
      </w:pPr>
      <w:rPr>
        <w:rFonts w:hint="default"/>
      </w:rPr>
    </w:lvl>
  </w:abstractNum>
  <w:abstractNum w:abstractNumId="60">
    <w:multiLevelType w:val="hybridMultilevel"/>
    <w:lvl w:ilvl="0">
      <w:start w:val="10"/>
      <w:numFmt w:val="decimal"/>
      <w:lvlText w:val="%1."/>
      <w:lvlJc w:val="left"/>
      <w:pPr>
        <w:ind w:left="1180" w:hanging="360"/>
        <w:jc w:val="left"/>
      </w:pPr>
      <w:rPr>
        <w:rFonts w:hint="default" w:ascii="Arial" w:hAnsi="Arial" w:eastAsia="Arial" w:cs="Arial"/>
        <w:w w:val="99"/>
        <w:sz w:val="24"/>
        <w:szCs w:val="24"/>
      </w:rPr>
    </w:lvl>
    <w:lvl w:ilvl="1">
      <w:start w:val="1"/>
      <w:numFmt w:val="lowerLetter"/>
      <w:lvlText w:val="%2."/>
      <w:lvlJc w:val="left"/>
      <w:pPr>
        <w:ind w:left="1540" w:hanging="360"/>
        <w:jc w:val="left"/>
      </w:pPr>
      <w:rPr>
        <w:rFonts w:hint="default" w:ascii="Arial" w:hAnsi="Arial" w:eastAsia="Arial" w:cs="Arial"/>
        <w:spacing w:val="-3"/>
        <w:w w:val="99"/>
        <w:sz w:val="24"/>
        <w:szCs w:val="24"/>
      </w:rPr>
    </w:lvl>
    <w:lvl w:ilvl="2">
      <w:start w:val="0"/>
      <w:numFmt w:val="bullet"/>
      <w:lvlText w:val="•"/>
      <w:lvlJc w:val="left"/>
      <w:pPr>
        <w:ind w:left="2531" w:hanging="360"/>
      </w:pPr>
      <w:rPr>
        <w:rFonts w:hint="default"/>
      </w:rPr>
    </w:lvl>
    <w:lvl w:ilvl="3">
      <w:start w:val="0"/>
      <w:numFmt w:val="bullet"/>
      <w:lvlText w:val="•"/>
      <w:lvlJc w:val="left"/>
      <w:pPr>
        <w:ind w:left="3522" w:hanging="360"/>
      </w:pPr>
      <w:rPr>
        <w:rFonts w:hint="default"/>
      </w:rPr>
    </w:lvl>
    <w:lvl w:ilvl="4">
      <w:start w:val="0"/>
      <w:numFmt w:val="bullet"/>
      <w:lvlText w:val="•"/>
      <w:lvlJc w:val="left"/>
      <w:pPr>
        <w:ind w:left="4513" w:hanging="360"/>
      </w:pPr>
      <w:rPr>
        <w:rFonts w:hint="default"/>
      </w:rPr>
    </w:lvl>
    <w:lvl w:ilvl="5">
      <w:start w:val="0"/>
      <w:numFmt w:val="bullet"/>
      <w:lvlText w:val="•"/>
      <w:lvlJc w:val="left"/>
      <w:pPr>
        <w:ind w:left="5504" w:hanging="360"/>
      </w:pPr>
      <w:rPr>
        <w:rFonts w:hint="default"/>
      </w:rPr>
    </w:lvl>
    <w:lvl w:ilvl="6">
      <w:start w:val="0"/>
      <w:numFmt w:val="bullet"/>
      <w:lvlText w:val="•"/>
      <w:lvlJc w:val="left"/>
      <w:pPr>
        <w:ind w:left="6495" w:hanging="360"/>
      </w:pPr>
      <w:rPr>
        <w:rFonts w:hint="default"/>
      </w:rPr>
    </w:lvl>
    <w:lvl w:ilvl="7">
      <w:start w:val="0"/>
      <w:numFmt w:val="bullet"/>
      <w:lvlText w:val="•"/>
      <w:lvlJc w:val="left"/>
      <w:pPr>
        <w:ind w:left="7486" w:hanging="360"/>
      </w:pPr>
      <w:rPr>
        <w:rFonts w:hint="default"/>
      </w:rPr>
    </w:lvl>
    <w:lvl w:ilvl="8">
      <w:start w:val="0"/>
      <w:numFmt w:val="bullet"/>
      <w:lvlText w:val="•"/>
      <w:lvlJc w:val="left"/>
      <w:pPr>
        <w:ind w:left="8477" w:hanging="360"/>
      </w:pPr>
      <w:rPr>
        <w:rFonts w:hint="default"/>
      </w:rPr>
    </w:lvl>
  </w:abstractNum>
  <w:abstractNum w:abstractNumId="59">
    <w:multiLevelType w:val="hybridMultilevel"/>
    <w:lvl w:ilvl="0">
      <w:start w:val="1"/>
      <w:numFmt w:val="lowerLetter"/>
      <w:lvlText w:val="%1."/>
      <w:lvlJc w:val="left"/>
      <w:pPr>
        <w:ind w:left="1540" w:hanging="360"/>
        <w:jc w:val="left"/>
      </w:pPr>
      <w:rPr>
        <w:rFonts w:hint="default" w:ascii="Arial" w:hAnsi="Arial" w:eastAsia="Arial" w:cs="Arial"/>
        <w:spacing w:val="-3"/>
        <w:w w:val="99"/>
        <w:sz w:val="24"/>
        <w:szCs w:val="24"/>
      </w:rPr>
    </w:lvl>
    <w:lvl w:ilvl="1">
      <w:start w:val="0"/>
      <w:numFmt w:val="bullet"/>
      <w:lvlText w:val="•"/>
      <w:lvlJc w:val="left"/>
      <w:pPr>
        <w:ind w:left="2432" w:hanging="360"/>
      </w:pPr>
      <w:rPr>
        <w:rFonts w:hint="default"/>
      </w:rPr>
    </w:lvl>
    <w:lvl w:ilvl="2">
      <w:start w:val="0"/>
      <w:numFmt w:val="bullet"/>
      <w:lvlText w:val="•"/>
      <w:lvlJc w:val="left"/>
      <w:pPr>
        <w:ind w:left="3324" w:hanging="360"/>
      </w:pPr>
      <w:rPr>
        <w:rFonts w:hint="default"/>
      </w:rPr>
    </w:lvl>
    <w:lvl w:ilvl="3">
      <w:start w:val="0"/>
      <w:numFmt w:val="bullet"/>
      <w:lvlText w:val="•"/>
      <w:lvlJc w:val="left"/>
      <w:pPr>
        <w:ind w:left="4216" w:hanging="360"/>
      </w:pPr>
      <w:rPr>
        <w:rFonts w:hint="default"/>
      </w:rPr>
    </w:lvl>
    <w:lvl w:ilvl="4">
      <w:start w:val="0"/>
      <w:numFmt w:val="bullet"/>
      <w:lvlText w:val="•"/>
      <w:lvlJc w:val="left"/>
      <w:pPr>
        <w:ind w:left="5108" w:hanging="360"/>
      </w:pPr>
      <w:rPr>
        <w:rFonts w:hint="default"/>
      </w:rPr>
    </w:lvl>
    <w:lvl w:ilvl="5">
      <w:start w:val="0"/>
      <w:numFmt w:val="bullet"/>
      <w:lvlText w:val="•"/>
      <w:lvlJc w:val="left"/>
      <w:pPr>
        <w:ind w:left="6000" w:hanging="360"/>
      </w:pPr>
      <w:rPr>
        <w:rFonts w:hint="default"/>
      </w:rPr>
    </w:lvl>
    <w:lvl w:ilvl="6">
      <w:start w:val="0"/>
      <w:numFmt w:val="bullet"/>
      <w:lvlText w:val="•"/>
      <w:lvlJc w:val="left"/>
      <w:pPr>
        <w:ind w:left="6892" w:hanging="360"/>
      </w:pPr>
      <w:rPr>
        <w:rFonts w:hint="default"/>
      </w:rPr>
    </w:lvl>
    <w:lvl w:ilvl="7">
      <w:start w:val="0"/>
      <w:numFmt w:val="bullet"/>
      <w:lvlText w:val="•"/>
      <w:lvlJc w:val="left"/>
      <w:pPr>
        <w:ind w:left="7784" w:hanging="360"/>
      </w:pPr>
      <w:rPr>
        <w:rFonts w:hint="default"/>
      </w:rPr>
    </w:lvl>
    <w:lvl w:ilvl="8">
      <w:start w:val="0"/>
      <w:numFmt w:val="bullet"/>
      <w:lvlText w:val="•"/>
      <w:lvlJc w:val="left"/>
      <w:pPr>
        <w:ind w:left="8676" w:hanging="360"/>
      </w:pPr>
      <w:rPr>
        <w:rFonts w:hint="default"/>
      </w:rPr>
    </w:lvl>
  </w:abstractNum>
  <w:abstractNum w:abstractNumId="58">
    <w:multiLevelType w:val="hybridMultilevel"/>
    <w:lvl w:ilvl="0">
      <w:start w:val="7"/>
      <w:numFmt w:val="decimal"/>
      <w:lvlText w:val="%1."/>
      <w:lvlJc w:val="left"/>
      <w:pPr>
        <w:ind w:left="1180" w:hanging="360"/>
        <w:jc w:val="left"/>
      </w:pPr>
      <w:rPr>
        <w:rFonts w:hint="default" w:ascii="Arial" w:hAnsi="Arial" w:eastAsia="Arial" w:cs="Arial"/>
        <w:spacing w:val="-3"/>
        <w:w w:val="99"/>
        <w:sz w:val="24"/>
        <w:szCs w:val="24"/>
      </w:rPr>
    </w:lvl>
    <w:lvl w:ilvl="1">
      <w:start w:val="1"/>
      <w:numFmt w:val="lowerLetter"/>
      <w:lvlText w:val="%2."/>
      <w:lvlJc w:val="left"/>
      <w:pPr>
        <w:ind w:left="1540" w:hanging="360"/>
        <w:jc w:val="left"/>
      </w:pPr>
      <w:rPr>
        <w:rFonts w:hint="default" w:ascii="Arial" w:hAnsi="Arial" w:eastAsia="Arial" w:cs="Arial"/>
        <w:spacing w:val="-3"/>
        <w:w w:val="99"/>
        <w:sz w:val="24"/>
        <w:szCs w:val="24"/>
      </w:rPr>
    </w:lvl>
    <w:lvl w:ilvl="2">
      <w:start w:val="0"/>
      <w:numFmt w:val="bullet"/>
      <w:lvlText w:val="•"/>
      <w:lvlJc w:val="left"/>
      <w:pPr>
        <w:ind w:left="2531" w:hanging="360"/>
      </w:pPr>
      <w:rPr>
        <w:rFonts w:hint="default"/>
      </w:rPr>
    </w:lvl>
    <w:lvl w:ilvl="3">
      <w:start w:val="0"/>
      <w:numFmt w:val="bullet"/>
      <w:lvlText w:val="•"/>
      <w:lvlJc w:val="left"/>
      <w:pPr>
        <w:ind w:left="3522" w:hanging="360"/>
      </w:pPr>
      <w:rPr>
        <w:rFonts w:hint="default"/>
      </w:rPr>
    </w:lvl>
    <w:lvl w:ilvl="4">
      <w:start w:val="0"/>
      <w:numFmt w:val="bullet"/>
      <w:lvlText w:val="•"/>
      <w:lvlJc w:val="left"/>
      <w:pPr>
        <w:ind w:left="4513" w:hanging="360"/>
      </w:pPr>
      <w:rPr>
        <w:rFonts w:hint="default"/>
      </w:rPr>
    </w:lvl>
    <w:lvl w:ilvl="5">
      <w:start w:val="0"/>
      <w:numFmt w:val="bullet"/>
      <w:lvlText w:val="•"/>
      <w:lvlJc w:val="left"/>
      <w:pPr>
        <w:ind w:left="5504" w:hanging="360"/>
      </w:pPr>
      <w:rPr>
        <w:rFonts w:hint="default"/>
      </w:rPr>
    </w:lvl>
    <w:lvl w:ilvl="6">
      <w:start w:val="0"/>
      <w:numFmt w:val="bullet"/>
      <w:lvlText w:val="•"/>
      <w:lvlJc w:val="left"/>
      <w:pPr>
        <w:ind w:left="6495" w:hanging="360"/>
      </w:pPr>
      <w:rPr>
        <w:rFonts w:hint="default"/>
      </w:rPr>
    </w:lvl>
    <w:lvl w:ilvl="7">
      <w:start w:val="0"/>
      <w:numFmt w:val="bullet"/>
      <w:lvlText w:val="•"/>
      <w:lvlJc w:val="left"/>
      <w:pPr>
        <w:ind w:left="7486" w:hanging="360"/>
      </w:pPr>
      <w:rPr>
        <w:rFonts w:hint="default"/>
      </w:rPr>
    </w:lvl>
    <w:lvl w:ilvl="8">
      <w:start w:val="0"/>
      <w:numFmt w:val="bullet"/>
      <w:lvlText w:val="•"/>
      <w:lvlJc w:val="left"/>
      <w:pPr>
        <w:ind w:left="8477" w:hanging="360"/>
      </w:pPr>
      <w:rPr>
        <w:rFonts w:hint="default"/>
      </w:rPr>
    </w:lvl>
  </w:abstractNum>
  <w:abstractNum w:abstractNumId="57">
    <w:multiLevelType w:val="hybridMultilevel"/>
    <w:lvl w:ilvl="0">
      <w:start w:val="1"/>
      <w:numFmt w:val="lowerLetter"/>
      <w:lvlText w:val="%1."/>
      <w:lvlJc w:val="left"/>
      <w:pPr>
        <w:ind w:left="1540" w:hanging="360"/>
        <w:jc w:val="left"/>
      </w:pPr>
      <w:rPr>
        <w:rFonts w:hint="default" w:ascii="Arial" w:hAnsi="Arial" w:eastAsia="Arial" w:cs="Arial"/>
        <w:w w:val="99"/>
        <w:sz w:val="24"/>
        <w:szCs w:val="24"/>
      </w:rPr>
    </w:lvl>
    <w:lvl w:ilvl="1">
      <w:start w:val="0"/>
      <w:numFmt w:val="bullet"/>
      <w:lvlText w:val="•"/>
      <w:lvlJc w:val="left"/>
      <w:pPr>
        <w:ind w:left="2432" w:hanging="360"/>
      </w:pPr>
      <w:rPr>
        <w:rFonts w:hint="default"/>
      </w:rPr>
    </w:lvl>
    <w:lvl w:ilvl="2">
      <w:start w:val="0"/>
      <w:numFmt w:val="bullet"/>
      <w:lvlText w:val="•"/>
      <w:lvlJc w:val="left"/>
      <w:pPr>
        <w:ind w:left="3324" w:hanging="360"/>
      </w:pPr>
      <w:rPr>
        <w:rFonts w:hint="default"/>
      </w:rPr>
    </w:lvl>
    <w:lvl w:ilvl="3">
      <w:start w:val="0"/>
      <w:numFmt w:val="bullet"/>
      <w:lvlText w:val="•"/>
      <w:lvlJc w:val="left"/>
      <w:pPr>
        <w:ind w:left="4216" w:hanging="360"/>
      </w:pPr>
      <w:rPr>
        <w:rFonts w:hint="default"/>
      </w:rPr>
    </w:lvl>
    <w:lvl w:ilvl="4">
      <w:start w:val="0"/>
      <w:numFmt w:val="bullet"/>
      <w:lvlText w:val="•"/>
      <w:lvlJc w:val="left"/>
      <w:pPr>
        <w:ind w:left="5108" w:hanging="360"/>
      </w:pPr>
      <w:rPr>
        <w:rFonts w:hint="default"/>
      </w:rPr>
    </w:lvl>
    <w:lvl w:ilvl="5">
      <w:start w:val="0"/>
      <w:numFmt w:val="bullet"/>
      <w:lvlText w:val="•"/>
      <w:lvlJc w:val="left"/>
      <w:pPr>
        <w:ind w:left="6000" w:hanging="360"/>
      </w:pPr>
      <w:rPr>
        <w:rFonts w:hint="default"/>
      </w:rPr>
    </w:lvl>
    <w:lvl w:ilvl="6">
      <w:start w:val="0"/>
      <w:numFmt w:val="bullet"/>
      <w:lvlText w:val="•"/>
      <w:lvlJc w:val="left"/>
      <w:pPr>
        <w:ind w:left="6892" w:hanging="360"/>
      </w:pPr>
      <w:rPr>
        <w:rFonts w:hint="default"/>
      </w:rPr>
    </w:lvl>
    <w:lvl w:ilvl="7">
      <w:start w:val="0"/>
      <w:numFmt w:val="bullet"/>
      <w:lvlText w:val="•"/>
      <w:lvlJc w:val="left"/>
      <w:pPr>
        <w:ind w:left="7784" w:hanging="360"/>
      </w:pPr>
      <w:rPr>
        <w:rFonts w:hint="default"/>
      </w:rPr>
    </w:lvl>
    <w:lvl w:ilvl="8">
      <w:start w:val="0"/>
      <w:numFmt w:val="bullet"/>
      <w:lvlText w:val="•"/>
      <w:lvlJc w:val="left"/>
      <w:pPr>
        <w:ind w:left="8676" w:hanging="360"/>
      </w:pPr>
      <w:rPr>
        <w:rFonts w:hint="default"/>
      </w:rPr>
    </w:lvl>
  </w:abstractNum>
  <w:abstractNum w:abstractNumId="56">
    <w:multiLevelType w:val="hybridMultilevel"/>
    <w:lvl w:ilvl="0">
      <w:start w:val="1"/>
      <w:numFmt w:val="lowerLetter"/>
      <w:lvlText w:val="%1."/>
      <w:lvlJc w:val="left"/>
      <w:pPr>
        <w:ind w:left="1540" w:hanging="360"/>
        <w:jc w:val="left"/>
      </w:pPr>
      <w:rPr>
        <w:rFonts w:hint="default" w:ascii="Arial" w:hAnsi="Arial" w:eastAsia="Arial" w:cs="Arial"/>
        <w:spacing w:val="-3"/>
        <w:w w:val="99"/>
        <w:sz w:val="24"/>
        <w:szCs w:val="24"/>
      </w:rPr>
    </w:lvl>
    <w:lvl w:ilvl="1">
      <w:start w:val="0"/>
      <w:numFmt w:val="bullet"/>
      <w:lvlText w:val="•"/>
      <w:lvlJc w:val="left"/>
      <w:pPr>
        <w:ind w:left="2432" w:hanging="360"/>
      </w:pPr>
      <w:rPr>
        <w:rFonts w:hint="default"/>
      </w:rPr>
    </w:lvl>
    <w:lvl w:ilvl="2">
      <w:start w:val="0"/>
      <w:numFmt w:val="bullet"/>
      <w:lvlText w:val="•"/>
      <w:lvlJc w:val="left"/>
      <w:pPr>
        <w:ind w:left="3324" w:hanging="360"/>
      </w:pPr>
      <w:rPr>
        <w:rFonts w:hint="default"/>
      </w:rPr>
    </w:lvl>
    <w:lvl w:ilvl="3">
      <w:start w:val="0"/>
      <w:numFmt w:val="bullet"/>
      <w:lvlText w:val="•"/>
      <w:lvlJc w:val="left"/>
      <w:pPr>
        <w:ind w:left="4216" w:hanging="360"/>
      </w:pPr>
      <w:rPr>
        <w:rFonts w:hint="default"/>
      </w:rPr>
    </w:lvl>
    <w:lvl w:ilvl="4">
      <w:start w:val="0"/>
      <w:numFmt w:val="bullet"/>
      <w:lvlText w:val="•"/>
      <w:lvlJc w:val="left"/>
      <w:pPr>
        <w:ind w:left="5108" w:hanging="360"/>
      </w:pPr>
      <w:rPr>
        <w:rFonts w:hint="default"/>
      </w:rPr>
    </w:lvl>
    <w:lvl w:ilvl="5">
      <w:start w:val="0"/>
      <w:numFmt w:val="bullet"/>
      <w:lvlText w:val="•"/>
      <w:lvlJc w:val="left"/>
      <w:pPr>
        <w:ind w:left="6000" w:hanging="360"/>
      </w:pPr>
      <w:rPr>
        <w:rFonts w:hint="default"/>
      </w:rPr>
    </w:lvl>
    <w:lvl w:ilvl="6">
      <w:start w:val="0"/>
      <w:numFmt w:val="bullet"/>
      <w:lvlText w:val="•"/>
      <w:lvlJc w:val="left"/>
      <w:pPr>
        <w:ind w:left="6892" w:hanging="360"/>
      </w:pPr>
      <w:rPr>
        <w:rFonts w:hint="default"/>
      </w:rPr>
    </w:lvl>
    <w:lvl w:ilvl="7">
      <w:start w:val="0"/>
      <w:numFmt w:val="bullet"/>
      <w:lvlText w:val="•"/>
      <w:lvlJc w:val="left"/>
      <w:pPr>
        <w:ind w:left="7784" w:hanging="360"/>
      </w:pPr>
      <w:rPr>
        <w:rFonts w:hint="default"/>
      </w:rPr>
    </w:lvl>
    <w:lvl w:ilvl="8">
      <w:start w:val="0"/>
      <w:numFmt w:val="bullet"/>
      <w:lvlText w:val="•"/>
      <w:lvlJc w:val="left"/>
      <w:pPr>
        <w:ind w:left="8676" w:hanging="360"/>
      </w:pPr>
      <w:rPr>
        <w:rFonts w:hint="default"/>
      </w:rPr>
    </w:lvl>
  </w:abstractNum>
  <w:abstractNum w:abstractNumId="55">
    <w:multiLevelType w:val="hybridMultilevel"/>
    <w:lvl w:ilvl="0">
      <w:start w:val="1"/>
      <w:numFmt w:val="lowerLetter"/>
      <w:lvlText w:val="%1."/>
      <w:lvlJc w:val="left"/>
      <w:pPr>
        <w:ind w:left="1540" w:hanging="360"/>
        <w:jc w:val="left"/>
      </w:pPr>
      <w:rPr>
        <w:rFonts w:hint="default" w:ascii="Arial" w:hAnsi="Arial" w:eastAsia="Arial" w:cs="Arial"/>
        <w:spacing w:val="-3"/>
        <w:w w:val="99"/>
        <w:sz w:val="24"/>
        <w:szCs w:val="24"/>
      </w:rPr>
    </w:lvl>
    <w:lvl w:ilvl="1">
      <w:start w:val="0"/>
      <w:numFmt w:val="bullet"/>
      <w:lvlText w:val="•"/>
      <w:lvlJc w:val="left"/>
      <w:pPr>
        <w:ind w:left="2432" w:hanging="360"/>
      </w:pPr>
      <w:rPr>
        <w:rFonts w:hint="default"/>
      </w:rPr>
    </w:lvl>
    <w:lvl w:ilvl="2">
      <w:start w:val="0"/>
      <w:numFmt w:val="bullet"/>
      <w:lvlText w:val="•"/>
      <w:lvlJc w:val="left"/>
      <w:pPr>
        <w:ind w:left="3324" w:hanging="360"/>
      </w:pPr>
      <w:rPr>
        <w:rFonts w:hint="default"/>
      </w:rPr>
    </w:lvl>
    <w:lvl w:ilvl="3">
      <w:start w:val="0"/>
      <w:numFmt w:val="bullet"/>
      <w:lvlText w:val="•"/>
      <w:lvlJc w:val="left"/>
      <w:pPr>
        <w:ind w:left="4216" w:hanging="360"/>
      </w:pPr>
      <w:rPr>
        <w:rFonts w:hint="default"/>
      </w:rPr>
    </w:lvl>
    <w:lvl w:ilvl="4">
      <w:start w:val="0"/>
      <w:numFmt w:val="bullet"/>
      <w:lvlText w:val="•"/>
      <w:lvlJc w:val="left"/>
      <w:pPr>
        <w:ind w:left="5108" w:hanging="360"/>
      </w:pPr>
      <w:rPr>
        <w:rFonts w:hint="default"/>
      </w:rPr>
    </w:lvl>
    <w:lvl w:ilvl="5">
      <w:start w:val="0"/>
      <w:numFmt w:val="bullet"/>
      <w:lvlText w:val="•"/>
      <w:lvlJc w:val="left"/>
      <w:pPr>
        <w:ind w:left="6000" w:hanging="360"/>
      </w:pPr>
      <w:rPr>
        <w:rFonts w:hint="default"/>
      </w:rPr>
    </w:lvl>
    <w:lvl w:ilvl="6">
      <w:start w:val="0"/>
      <w:numFmt w:val="bullet"/>
      <w:lvlText w:val="•"/>
      <w:lvlJc w:val="left"/>
      <w:pPr>
        <w:ind w:left="6892" w:hanging="360"/>
      </w:pPr>
      <w:rPr>
        <w:rFonts w:hint="default"/>
      </w:rPr>
    </w:lvl>
    <w:lvl w:ilvl="7">
      <w:start w:val="0"/>
      <w:numFmt w:val="bullet"/>
      <w:lvlText w:val="•"/>
      <w:lvlJc w:val="left"/>
      <w:pPr>
        <w:ind w:left="7784" w:hanging="360"/>
      </w:pPr>
      <w:rPr>
        <w:rFonts w:hint="default"/>
      </w:rPr>
    </w:lvl>
    <w:lvl w:ilvl="8">
      <w:start w:val="0"/>
      <w:numFmt w:val="bullet"/>
      <w:lvlText w:val="•"/>
      <w:lvlJc w:val="left"/>
      <w:pPr>
        <w:ind w:left="8676" w:hanging="360"/>
      </w:pPr>
      <w:rPr>
        <w:rFonts w:hint="default"/>
      </w:rPr>
    </w:lvl>
  </w:abstractNum>
  <w:abstractNum w:abstractNumId="54">
    <w:multiLevelType w:val="hybridMultilevel"/>
    <w:lvl w:ilvl="0">
      <w:start w:val="1"/>
      <w:numFmt w:val="decimal"/>
      <w:lvlText w:val="%1."/>
      <w:lvlJc w:val="left"/>
      <w:pPr>
        <w:ind w:left="820" w:hanging="720"/>
        <w:jc w:val="left"/>
      </w:pPr>
      <w:rPr>
        <w:rFonts w:hint="default"/>
        <w:strike/>
        <w:w w:val="100"/>
      </w:rPr>
    </w:lvl>
    <w:lvl w:ilvl="1">
      <w:start w:val="0"/>
      <w:numFmt w:val="bullet"/>
      <w:lvlText w:val="•"/>
      <w:lvlJc w:val="left"/>
      <w:pPr>
        <w:ind w:left="1768" w:hanging="720"/>
      </w:pPr>
      <w:rPr>
        <w:rFonts w:hint="default"/>
      </w:rPr>
    </w:lvl>
    <w:lvl w:ilvl="2">
      <w:start w:val="0"/>
      <w:numFmt w:val="bullet"/>
      <w:lvlText w:val="•"/>
      <w:lvlJc w:val="left"/>
      <w:pPr>
        <w:ind w:left="2716" w:hanging="720"/>
      </w:pPr>
      <w:rPr>
        <w:rFonts w:hint="default"/>
      </w:rPr>
    </w:lvl>
    <w:lvl w:ilvl="3">
      <w:start w:val="0"/>
      <w:numFmt w:val="bullet"/>
      <w:lvlText w:val="•"/>
      <w:lvlJc w:val="left"/>
      <w:pPr>
        <w:ind w:left="3664" w:hanging="720"/>
      </w:pPr>
      <w:rPr>
        <w:rFonts w:hint="default"/>
      </w:rPr>
    </w:lvl>
    <w:lvl w:ilvl="4">
      <w:start w:val="0"/>
      <w:numFmt w:val="bullet"/>
      <w:lvlText w:val="•"/>
      <w:lvlJc w:val="left"/>
      <w:pPr>
        <w:ind w:left="4612" w:hanging="720"/>
      </w:pPr>
      <w:rPr>
        <w:rFonts w:hint="default"/>
      </w:rPr>
    </w:lvl>
    <w:lvl w:ilvl="5">
      <w:start w:val="0"/>
      <w:numFmt w:val="bullet"/>
      <w:lvlText w:val="•"/>
      <w:lvlJc w:val="left"/>
      <w:pPr>
        <w:ind w:left="5560" w:hanging="720"/>
      </w:pPr>
      <w:rPr>
        <w:rFonts w:hint="default"/>
      </w:rPr>
    </w:lvl>
    <w:lvl w:ilvl="6">
      <w:start w:val="0"/>
      <w:numFmt w:val="bullet"/>
      <w:lvlText w:val="•"/>
      <w:lvlJc w:val="left"/>
      <w:pPr>
        <w:ind w:left="6508" w:hanging="720"/>
      </w:pPr>
      <w:rPr>
        <w:rFonts w:hint="default"/>
      </w:rPr>
    </w:lvl>
    <w:lvl w:ilvl="7">
      <w:start w:val="0"/>
      <w:numFmt w:val="bullet"/>
      <w:lvlText w:val="•"/>
      <w:lvlJc w:val="left"/>
      <w:pPr>
        <w:ind w:left="7456" w:hanging="720"/>
      </w:pPr>
      <w:rPr>
        <w:rFonts w:hint="default"/>
      </w:rPr>
    </w:lvl>
    <w:lvl w:ilvl="8">
      <w:start w:val="0"/>
      <w:numFmt w:val="bullet"/>
      <w:lvlText w:val="•"/>
      <w:lvlJc w:val="left"/>
      <w:pPr>
        <w:ind w:left="8404" w:hanging="720"/>
      </w:pPr>
      <w:rPr>
        <w:rFonts w:hint="default"/>
      </w:rPr>
    </w:lvl>
  </w:abstractNum>
  <w:abstractNum w:abstractNumId="53">
    <w:multiLevelType w:val="hybridMultilevel"/>
    <w:lvl w:ilvl="0">
      <w:start w:val="0"/>
      <w:numFmt w:val="bullet"/>
      <w:lvlText w:val=""/>
      <w:lvlJc w:val="left"/>
      <w:pPr>
        <w:ind w:left="388" w:hanging="288"/>
      </w:pPr>
      <w:rPr>
        <w:rFonts w:hint="default"/>
        <w:strike/>
        <w:w w:val="100"/>
      </w:rPr>
    </w:lvl>
    <w:lvl w:ilvl="1">
      <w:start w:val="0"/>
      <w:numFmt w:val="bullet"/>
      <w:lvlText w:val="•"/>
      <w:lvlJc w:val="left"/>
      <w:pPr>
        <w:ind w:left="675" w:hanging="288"/>
      </w:pPr>
      <w:rPr>
        <w:rFonts w:hint="default"/>
      </w:rPr>
    </w:lvl>
    <w:lvl w:ilvl="2">
      <w:start w:val="0"/>
      <w:numFmt w:val="bullet"/>
      <w:lvlText w:val="•"/>
      <w:lvlJc w:val="left"/>
      <w:pPr>
        <w:ind w:left="970" w:hanging="288"/>
      </w:pPr>
      <w:rPr>
        <w:rFonts w:hint="default"/>
      </w:rPr>
    </w:lvl>
    <w:lvl w:ilvl="3">
      <w:start w:val="0"/>
      <w:numFmt w:val="bullet"/>
      <w:lvlText w:val="•"/>
      <w:lvlJc w:val="left"/>
      <w:pPr>
        <w:ind w:left="1266" w:hanging="288"/>
      </w:pPr>
      <w:rPr>
        <w:rFonts w:hint="default"/>
      </w:rPr>
    </w:lvl>
    <w:lvl w:ilvl="4">
      <w:start w:val="0"/>
      <w:numFmt w:val="bullet"/>
      <w:lvlText w:val="•"/>
      <w:lvlJc w:val="left"/>
      <w:pPr>
        <w:ind w:left="1561" w:hanging="288"/>
      </w:pPr>
      <w:rPr>
        <w:rFonts w:hint="default"/>
      </w:rPr>
    </w:lvl>
    <w:lvl w:ilvl="5">
      <w:start w:val="0"/>
      <w:numFmt w:val="bullet"/>
      <w:lvlText w:val="•"/>
      <w:lvlJc w:val="left"/>
      <w:pPr>
        <w:ind w:left="1856" w:hanging="288"/>
      </w:pPr>
      <w:rPr>
        <w:rFonts w:hint="default"/>
      </w:rPr>
    </w:lvl>
    <w:lvl w:ilvl="6">
      <w:start w:val="0"/>
      <w:numFmt w:val="bullet"/>
      <w:lvlText w:val="•"/>
      <w:lvlJc w:val="left"/>
      <w:pPr>
        <w:ind w:left="2152" w:hanging="288"/>
      </w:pPr>
      <w:rPr>
        <w:rFonts w:hint="default"/>
      </w:rPr>
    </w:lvl>
    <w:lvl w:ilvl="7">
      <w:start w:val="0"/>
      <w:numFmt w:val="bullet"/>
      <w:lvlText w:val="•"/>
      <w:lvlJc w:val="left"/>
      <w:pPr>
        <w:ind w:left="2447" w:hanging="288"/>
      </w:pPr>
      <w:rPr>
        <w:rFonts w:hint="default"/>
      </w:rPr>
    </w:lvl>
    <w:lvl w:ilvl="8">
      <w:start w:val="0"/>
      <w:numFmt w:val="bullet"/>
      <w:lvlText w:val="•"/>
      <w:lvlJc w:val="left"/>
      <w:pPr>
        <w:ind w:left="2742" w:hanging="288"/>
      </w:pPr>
      <w:rPr>
        <w:rFonts w:hint="default"/>
      </w:rPr>
    </w:lvl>
  </w:abstractNum>
  <w:abstractNum w:abstractNumId="52">
    <w:multiLevelType w:val="hybridMultilevel"/>
    <w:lvl w:ilvl="0">
      <w:start w:val="3"/>
      <w:numFmt w:val="decimal"/>
      <w:lvlText w:val="%1."/>
      <w:lvlJc w:val="left"/>
      <w:pPr>
        <w:ind w:left="1295" w:hanging="360"/>
        <w:jc w:val="left"/>
      </w:pPr>
      <w:rPr>
        <w:rFonts w:hint="default"/>
        <w:spacing w:val="-8"/>
        <w:w w:val="98"/>
        <w:u w:val="single" w:color="2E97D3"/>
      </w:rPr>
    </w:lvl>
    <w:lvl w:ilvl="1">
      <w:start w:val="1"/>
      <w:numFmt w:val="decimal"/>
      <w:lvlText w:val="%2."/>
      <w:lvlJc w:val="left"/>
      <w:pPr>
        <w:ind w:left="1386" w:hanging="363"/>
        <w:jc w:val="right"/>
      </w:pPr>
      <w:rPr>
        <w:rFonts w:hint="default" w:ascii="Arial" w:hAnsi="Arial" w:eastAsia="Arial" w:cs="Arial"/>
        <w:color w:val="2E97D3"/>
        <w:spacing w:val="-5"/>
        <w:w w:val="98"/>
        <w:sz w:val="24"/>
        <w:szCs w:val="24"/>
      </w:rPr>
    </w:lvl>
    <w:lvl w:ilvl="2">
      <w:start w:val="0"/>
      <w:numFmt w:val="bullet"/>
      <w:lvlText w:val="•"/>
      <w:lvlJc w:val="left"/>
      <w:pPr>
        <w:ind w:left="1506" w:hanging="363"/>
      </w:pPr>
      <w:rPr>
        <w:rFonts w:hint="default"/>
      </w:rPr>
    </w:lvl>
    <w:lvl w:ilvl="3">
      <w:start w:val="0"/>
      <w:numFmt w:val="bullet"/>
      <w:lvlText w:val="•"/>
      <w:lvlJc w:val="left"/>
      <w:pPr>
        <w:ind w:left="1633" w:hanging="363"/>
      </w:pPr>
      <w:rPr>
        <w:rFonts w:hint="default"/>
      </w:rPr>
    </w:lvl>
    <w:lvl w:ilvl="4">
      <w:start w:val="0"/>
      <w:numFmt w:val="bullet"/>
      <w:lvlText w:val="•"/>
      <w:lvlJc w:val="left"/>
      <w:pPr>
        <w:ind w:left="1760" w:hanging="363"/>
      </w:pPr>
      <w:rPr>
        <w:rFonts w:hint="default"/>
      </w:rPr>
    </w:lvl>
    <w:lvl w:ilvl="5">
      <w:start w:val="0"/>
      <w:numFmt w:val="bullet"/>
      <w:lvlText w:val="•"/>
      <w:lvlJc w:val="left"/>
      <w:pPr>
        <w:ind w:left="1887" w:hanging="363"/>
      </w:pPr>
      <w:rPr>
        <w:rFonts w:hint="default"/>
      </w:rPr>
    </w:lvl>
    <w:lvl w:ilvl="6">
      <w:start w:val="0"/>
      <w:numFmt w:val="bullet"/>
      <w:lvlText w:val="•"/>
      <w:lvlJc w:val="left"/>
      <w:pPr>
        <w:ind w:left="2014" w:hanging="363"/>
      </w:pPr>
      <w:rPr>
        <w:rFonts w:hint="default"/>
      </w:rPr>
    </w:lvl>
    <w:lvl w:ilvl="7">
      <w:start w:val="0"/>
      <w:numFmt w:val="bullet"/>
      <w:lvlText w:val="•"/>
      <w:lvlJc w:val="left"/>
      <w:pPr>
        <w:ind w:left="2141" w:hanging="363"/>
      </w:pPr>
      <w:rPr>
        <w:rFonts w:hint="default"/>
      </w:rPr>
    </w:lvl>
    <w:lvl w:ilvl="8">
      <w:start w:val="0"/>
      <w:numFmt w:val="bullet"/>
      <w:lvlText w:val="•"/>
      <w:lvlJc w:val="left"/>
      <w:pPr>
        <w:ind w:left="2267" w:hanging="363"/>
      </w:pPr>
      <w:rPr>
        <w:rFonts w:hint="default"/>
      </w:rPr>
    </w:lvl>
  </w:abstractNum>
  <w:abstractNum w:abstractNumId="51">
    <w:multiLevelType w:val="hybridMultilevel"/>
    <w:lvl w:ilvl="0">
      <w:start w:val="1"/>
      <w:numFmt w:val="decimal"/>
      <w:lvlText w:val="%1."/>
      <w:lvlJc w:val="left"/>
      <w:pPr>
        <w:ind w:left="1180" w:hanging="360"/>
        <w:jc w:val="left"/>
      </w:pPr>
      <w:rPr>
        <w:rFonts w:hint="default"/>
        <w:strike/>
        <w:w w:val="99"/>
      </w:rPr>
    </w:lvl>
    <w:lvl w:ilvl="1">
      <w:start w:val="0"/>
      <w:numFmt w:val="bullet"/>
      <w:lvlText w:val="•"/>
      <w:lvlJc w:val="left"/>
      <w:pPr>
        <w:ind w:left="2086" w:hanging="360"/>
      </w:pPr>
      <w:rPr>
        <w:rFonts w:hint="default"/>
      </w:rPr>
    </w:lvl>
    <w:lvl w:ilvl="2">
      <w:start w:val="0"/>
      <w:numFmt w:val="bullet"/>
      <w:lvlText w:val="•"/>
      <w:lvlJc w:val="left"/>
      <w:pPr>
        <w:ind w:left="2992" w:hanging="360"/>
      </w:pPr>
      <w:rPr>
        <w:rFonts w:hint="default"/>
      </w:rPr>
    </w:lvl>
    <w:lvl w:ilvl="3">
      <w:start w:val="0"/>
      <w:numFmt w:val="bullet"/>
      <w:lvlText w:val="•"/>
      <w:lvlJc w:val="left"/>
      <w:pPr>
        <w:ind w:left="3898" w:hanging="360"/>
      </w:pPr>
      <w:rPr>
        <w:rFonts w:hint="default"/>
      </w:rPr>
    </w:lvl>
    <w:lvl w:ilvl="4">
      <w:start w:val="0"/>
      <w:numFmt w:val="bullet"/>
      <w:lvlText w:val="•"/>
      <w:lvlJc w:val="left"/>
      <w:pPr>
        <w:ind w:left="4804" w:hanging="360"/>
      </w:pPr>
      <w:rPr>
        <w:rFonts w:hint="default"/>
      </w:rPr>
    </w:lvl>
    <w:lvl w:ilvl="5">
      <w:start w:val="0"/>
      <w:numFmt w:val="bullet"/>
      <w:lvlText w:val="•"/>
      <w:lvlJc w:val="left"/>
      <w:pPr>
        <w:ind w:left="5710" w:hanging="360"/>
      </w:pPr>
      <w:rPr>
        <w:rFonts w:hint="default"/>
      </w:rPr>
    </w:lvl>
    <w:lvl w:ilvl="6">
      <w:start w:val="0"/>
      <w:numFmt w:val="bullet"/>
      <w:lvlText w:val="•"/>
      <w:lvlJc w:val="left"/>
      <w:pPr>
        <w:ind w:left="6616" w:hanging="360"/>
      </w:pPr>
      <w:rPr>
        <w:rFonts w:hint="default"/>
      </w:rPr>
    </w:lvl>
    <w:lvl w:ilvl="7">
      <w:start w:val="0"/>
      <w:numFmt w:val="bullet"/>
      <w:lvlText w:val="•"/>
      <w:lvlJc w:val="left"/>
      <w:pPr>
        <w:ind w:left="7522" w:hanging="360"/>
      </w:pPr>
      <w:rPr>
        <w:rFonts w:hint="default"/>
      </w:rPr>
    </w:lvl>
    <w:lvl w:ilvl="8">
      <w:start w:val="0"/>
      <w:numFmt w:val="bullet"/>
      <w:lvlText w:val="•"/>
      <w:lvlJc w:val="left"/>
      <w:pPr>
        <w:ind w:left="8428" w:hanging="360"/>
      </w:pPr>
      <w:rPr>
        <w:rFonts w:hint="default"/>
      </w:rPr>
    </w:lvl>
  </w:abstractNum>
  <w:abstractNum w:abstractNumId="50">
    <w:multiLevelType w:val="hybridMultilevel"/>
    <w:lvl w:ilvl="0">
      <w:start w:val="4"/>
      <w:numFmt w:val="decimal"/>
      <w:lvlText w:val="%1."/>
      <w:lvlJc w:val="left"/>
      <w:pPr>
        <w:ind w:left="1180" w:hanging="360"/>
        <w:jc w:val="left"/>
      </w:pPr>
      <w:rPr>
        <w:rFonts w:hint="default"/>
        <w:strike/>
        <w:w w:val="99"/>
      </w:rPr>
    </w:lvl>
    <w:lvl w:ilvl="1">
      <w:start w:val="0"/>
      <w:numFmt w:val="bullet"/>
      <w:lvlText w:val="•"/>
      <w:lvlJc w:val="left"/>
      <w:pPr>
        <w:ind w:left="1271" w:hanging="632"/>
      </w:pPr>
      <w:rPr>
        <w:rFonts w:hint="default"/>
        <w:w w:val="99"/>
        <w:u w:val="single" w:color="2E97D3"/>
      </w:rPr>
    </w:lvl>
    <w:lvl w:ilvl="2">
      <w:start w:val="0"/>
      <w:numFmt w:val="bullet"/>
      <w:lvlText w:val="•"/>
      <w:lvlJc w:val="left"/>
      <w:pPr>
        <w:ind w:left="2277" w:hanging="632"/>
      </w:pPr>
      <w:rPr>
        <w:rFonts w:hint="default"/>
      </w:rPr>
    </w:lvl>
    <w:lvl w:ilvl="3">
      <w:start w:val="0"/>
      <w:numFmt w:val="bullet"/>
      <w:lvlText w:val="•"/>
      <w:lvlJc w:val="left"/>
      <w:pPr>
        <w:ind w:left="3275" w:hanging="632"/>
      </w:pPr>
      <w:rPr>
        <w:rFonts w:hint="default"/>
      </w:rPr>
    </w:lvl>
    <w:lvl w:ilvl="4">
      <w:start w:val="0"/>
      <w:numFmt w:val="bullet"/>
      <w:lvlText w:val="•"/>
      <w:lvlJc w:val="left"/>
      <w:pPr>
        <w:ind w:left="4273" w:hanging="632"/>
      </w:pPr>
      <w:rPr>
        <w:rFonts w:hint="default"/>
      </w:rPr>
    </w:lvl>
    <w:lvl w:ilvl="5">
      <w:start w:val="0"/>
      <w:numFmt w:val="bullet"/>
      <w:lvlText w:val="•"/>
      <w:lvlJc w:val="left"/>
      <w:pPr>
        <w:ind w:left="5271" w:hanging="632"/>
      </w:pPr>
      <w:rPr>
        <w:rFonts w:hint="default"/>
      </w:rPr>
    </w:lvl>
    <w:lvl w:ilvl="6">
      <w:start w:val="0"/>
      <w:numFmt w:val="bullet"/>
      <w:lvlText w:val="•"/>
      <w:lvlJc w:val="left"/>
      <w:pPr>
        <w:ind w:left="6268" w:hanging="632"/>
      </w:pPr>
      <w:rPr>
        <w:rFonts w:hint="default"/>
      </w:rPr>
    </w:lvl>
    <w:lvl w:ilvl="7">
      <w:start w:val="0"/>
      <w:numFmt w:val="bullet"/>
      <w:lvlText w:val="•"/>
      <w:lvlJc w:val="left"/>
      <w:pPr>
        <w:ind w:left="7266" w:hanging="632"/>
      </w:pPr>
      <w:rPr>
        <w:rFonts w:hint="default"/>
      </w:rPr>
    </w:lvl>
    <w:lvl w:ilvl="8">
      <w:start w:val="0"/>
      <w:numFmt w:val="bullet"/>
      <w:lvlText w:val="•"/>
      <w:lvlJc w:val="left"/>
      <w:pPr>
        <w:ind w:left="8264" w:hanging="632"/>
      </w:pPr>
      <w:rPr>
        <w:rFonts w:hint="default"/>
      </w:rPr>
    </w:lvl>
  </w:abstractNum>
  <w:abstractNum w:abstractNumId="49">
    <w:multiLevelType w:val="hybridMultilevel"/>
    <w:lvl w:ilvl="0">
      <w:start w:val="0"/>
      <w:numFmt w:val="bullet"/>
      <w:lvlText w:val="•"/>
      <w:lvlJc w:val="left"/>
      <w:pPr>
        <w:ind w:left="1180" w:hanging="360"/>
      </w:pPr>
      <w:rPr>
        <w:rFonts w:hint="default" w:ascii="Arial" w:hAnsi="Arial" w:eastAsia="Arial" w:cs="Arial"/>
        <w:color w:val="2E97D3"/>
        <w:w w:val="99"/>
        <w:sz w:val="24"/>
        <w:szCs w:val="24"/>
      </w:rPr>
    </w:lvl>
    <w:lvl w:ilvl="1">
      <w:start w:val="0"/>
      <w:numFmt w:val="bullet"/>
      <w:lvlText w:val="•"/>
      <w:lvlJc w:val="left"/>
      <w:pPr>
        <w:ind w:left="1540" w:hanging="360"/>
      </w:pPr>
      <w:rPr>
        <w:rFonts w:hint="default"/>
        <w:w w:val="99"/>
        <w:u w:val="single" w:color="2E97D3"/>
      </w:rPr>
    </w:lvl>
    <w:lvl w:ilvl="2">
      <w:start w:val="0"/>
      <w:numFmt w:val="bullet"/>
      <w:lvlText w:val="•"/>
      <w:lvlJc w:val="left"/>
      <w:pPr>
        <w:ind w:left="2508" w:hanging="360"/>
      </w:pPr>
      <w:rPr>
        <w:rFonts w:hint="default"/>
      </w:rPr>
    </w:lvl>
    <w:lvl w:ilvl="3">
      <w:start w:val="0"/>
      <w:numFmt w:val="bullet"/>
      <w:lvlText w:val="•"/>
      <w:lvlJc w:val="left"/>
      <w:pPr>
        <w:ind w:left="3477" w:hanging="360"/>
      </w:pPr>
      <w:rPr>
        <w:rFonts w:hint="default"/>
      </w:rPr>
    </w:lvl>
    <w:lvl w:ilvl="4">
      <w:start w:val="0"/>
      <w:numFmt w:val="bullet"/>
      <w:lvlText w:val="•"/>
      <w:lvlJc w:val="left"/>
      <w:pPr>
        <w:ind w:left="4446" w:hanging="360"/>
      </w:pPr>
      <w:rPr>
        <w:rFonts w:hint="default"/>
      </w:rPr>
    </w:lvl>
    <w:lvl w:ilvl="5">
      <w:start w:val="0"/>
      <w:numFmt w:val="bullet"/>
      <w:lvlText w:val="•"/>
      <w:lvlJc w:val="left"/>
      <w:pPr>
        <w:ind w:left="5415" w:hanging="360"/>
      </w:pPr>
      <w:rPr>
        <w:rFonts w:hint="default"/>
      </w:rPr>
    </w:lvl>
    <w:lvl w:ilvl="6">
      <w:start w:val="0"/>
      <w:numFmt w:val="bullet"/>
      <w:lvlText w:val="•"/>
      <w:lvlJc w:val="left"/>
      <w:pPr>
        <w:ind w:left="6384" w:hanging="360"/>
      </w:pPr>
      <w:rPr>
        <w:rFonts w:hint="default"/>
      </w:rPr>
    </w:lvl>
    <w:lvl w:ilvl="7">
      <w:start w:val="0"/>
      <w:numFmt w:val="bullet"/>
      <w:lvlText w:val="•"/>
      <w:lvlJc w:val="left"/>
      <w:pPr>
        <w:ind w:left="7353" w:hanging="360"/>
      </w:pPr>
      <w:rPr>
        <w:rFonts w:hint="default"/>
      </w:rPr>
    </w:lvl>
    <w:lvl w:ilvl="8">
      <w:start w:val="0"/>
      <w:numFmt w:val="bullet"/>
      <w:lvlText w:val="•"/>
      <w:lvlJc w:val="left"/>
      <w:pPr>
        <w:ind w:left="8322" w:hanging="360"/>
      </w:pPr>
      <w:rPr>
        <w:rFonts w:hint="default"/>
      </w:rPr>
    </w:lvl>
  </w:abstractNum>
  <w:abstractNum w:abstractNumId="48">
    <w:multiLevelType w:val="hybridMultilevel"/>
    <w:lvl w:ilvl="0">
      <w:start w:val="1"/>
      <w:numFmt w:val="decimal"/>
      <w:lvlText w:val="%1."/>
      <w:lvlJc w:val="left"/>
      <w:pPr>
        <w:ind w:left="820" w:hanging="203"/>
        <w:jc w:val="left"/>
      </w:pPr>
      <w:rPr>
        <w:rFonts w:hint="default" w:ascii="Arial" w:hAnsi="Arial" w:eastAsia="Arial" w:cs="Arial"/>
        <w:spacing w:val="-2"/>
        <w:w w:val="100"/>
        <w:sz w:val="24"/>
        <w:szCs w:val="24"/>
      </w:rPr>
    </w:lvl>
    <w:lvl w:ilvl="1">
      <w:start w:val="0"/>
      <w:numFmt w:val="bullet"/>
      <w:lvlText w:val="•"/>
      <w:lvlJc w:val="left"/>
      <w:pPr>
        <w:ind w:left="1768" w:hanging="203"/>
      </w:pPr>
      <w:rPr>
        <w:rFonts w:hint="default"/>
      </w:rPr>
    </w:lvl>
    <w:lvl w:ilvl="2">
      <w:start w:val="0"/>
      <w:numFmt w:val="bullet"/>
      <w:lvlText w:val="•"/>
      <w:lvlJc w:val="left"/>
      <w:pPr>
        <w:ind w:left="2716" w:hanging="203"/>
      </w:pPr>
      <w:rPr>
        <w:rFonts w:hint="default"/>
      </w:rPr>
    </w:lvl>
    <w:lvl w:ilvl="3">
      <w:start w:val="0"/>
      <w:numFmt w:val="bullet"/>
      <w:lvlText w:val="•"/>
      <w:lvlJc w:val="left"/>
      <w:pPr>
        <w:ind w:left="3664" w:hanging="203"/>
      </w:pPr>
      <w:rPr>
        <w:rFonts w:hint="default"/>
      </w:rPr>
    </w:lvl>
    <w:lvl w:ilvl="4">
      <w:start w:val="0"/>
      <w:numFmt w:val="bullet"/>
      <w:lvlText w:val="•"/>
      <w:lvlJc w:val="left"/>
      <w:pPr>
        <w:ind w:left="4612" w:hanging="203"/>
      </w:pPr>
      <w:rPr>
        <w:rFonts w:hint="default"/>
      </w:rPr>
    </w:lvl>
    <w:lvl w:ilvl="5">
      <w:start w:val="0"/>
      <w:numFmt w:val="bullet"/>
      <w:lvlText w:val="•"/>
      <w:lvlJc w:val="left"/>
      <w:pPr>
        <w:ind w:left="5560" w:hanging="203"/>
      </w:pPr>
      <w:rPr>
        <w:rFonts w:hint="default"/>
      </w:rPr>
    </w:lvl>
    <w:lvl w:ilvl="6">
      <w:start w:val="0"/>
      <w:numFmt w:val="bullet"/>
      <w:lvlText w:val="•"/>
      <w:lvlJc w:val="left"/>
      <w:pPr>
        <w:ind w:left="6508" w:hanging="203"/>
      </w:pPr>
      <w:rPr>
        <w:rFonts w:hint="default"/>
      </w:rPr>
    </w:lvl>
    <w:lvl w:ilvl="7">
      <w:start w:val="0"/>
      <w:numFmt w:val="bullet"/>
      <w:lvlText w:val="•"/>
      <w:lvlJc w:val="left"/>
      <w:pPr>
        <w:ind w:left="7456" w:hanging="203"/>
      </w:pPr>
      <w:rPr>
        <w:rFonts w:hint="default"/>
      </w:rPr>
    </w:lvl>
    <w:lvl w:ilvl="8">
      <w:start w:val="0"/>
      <w:numFmt w:val="bullet"/>
      <w:lvlText w:val="•"/>
      <w:lvlJc w:val="left"/>
      <w:pPr>
        <w:ind w:left="8404" w:hanging="203"/>
      </w:pPr>
      <w:rPr>
        <w:rFonts w:hint="default"/>
      </w:rPr>
    </w:lvl>
  </w:abstractNum>
  <w:abstractNum w:abstractNumId="47">
    <w:multiLevelType w:val="hybridMultilevel"/>
    <w:lvl w:ilvl="0">
      <w:start w:val="3"/>
      <w:numFmt w:val="decimal"/>
      <w:lvlText w:val="%1."/>
      <w:lvlJc w:val="left"/>
      <w:pPr>
        <w:ind w:left="820" w:hanging="360"/>
        <w:jc w:val="right"/>
      </w:pPr>
      <w:rPr>
        <w:rFonts w:hint="default"/>
        <w:spacing w:val="-5"/>
        <w:w w:val="98"/>
        <w:u w:val="single" w:color="2E97D3"/>
      </w:rPr>
    </w:lvl>
    <w:lvl w:ilvl="1">
      <w:start w:val="0"/>
      <w:numFmt w:val="bullet"/>
      <w:lvlText w:val="•"/>
      <w:lvlJc w:val="left"/>
      <w:pPr>
        <w:ind w:left="1768" w:hanging="360"/>
      </w:pPr>
      <w:rPr>
        <w:rFonts w:hint="default"/>
      </w:rPr>
    </w:lvl>
    <w:lvl w:ilvl="2">
      <w:start w:val="0"/>
      <w:numFmt w:val="bullet"/>
      <w:lvlText w:val="•"/>
      <w:lvlJc w:val="left"/>
      <w:pPr>
        <w:ind w:left="2716" w:hanging="360"/>
      </w:pPr>
      <w:rPr>
        <w:rFonts w:hint="default"/>
      </w:rPr>
    </w:lvl>
    <w:lvl w:ilvl="3">
      <w:start w:val="0"/>
      <w:numFmt w:val="bullet"/>
      <w:lvlText w:val="•"/>
      <w:lvlJc w:val="left"/>
      <w:pPr>
        <w:ind w:left="3664" w:hanging="360"/>
      </w:pPr>
      <w:rPr>
        <w:rFonts w:hint="default"/>
      </w:rPr>
    </w:lvl>
    <w:lvl w:ilvl="4">
      <w:start w:val="0"/>
      <w:numFmt w:val="bullet"/>
      <w:lvlText w:val="•"/>
      <w:lvlJc w:val="left"/>
      <w:pPr>
        <w:ind w:left="4612" w:hanging="360"/>
      </w:pPr>
      <w:rPr>
        <w:rFonts w:hint="default"/>
      </w:rPr>
    </w:lvl>
    <w:lvl w:ilvl="5">
      <w:start w:val="0"/>
      <w:numFmt w:val="bullet"/>
      <w:lvlText w:val="•"/>
      <w:lvlJc w:val="left"/>
      <w:pPr>
        <w:ind w:left="5560" w:hanging="360"/>
      </w:pPr>
      <w:rPr>
        <w:rFonts w:hint="default"/>
      </w:rPr>
    </w:lvl>
    <w:lvl w:ilvl="6">
      <w:start w:val="0"/>
      <w:numFmt w:val="bullet"/>
      <w:lvlText w:val="•"/>
      <w:lvlJc w:val="left"/>
      <w:pPr>
        <w:ind w:left="6508" w:hanging="360"/>
      </w:pPr>
      <w:rPr>
        <w:rFonts w:hint="default"/>
      </w:rPr>
    </w:lvl>
    <w:lvl w:ilvl="7">
      <w:start w:val="0"/>
      <w:numFmt w:val="bullet"/>
      <w:lvlText w:val="•"/>
      <w:lvlJc w:val="left"/>
      <w:pPr>
        <w:ind w:left="7456" w:hanging="360"/>
      </w:pPr>
      <w:rPr>
        <w:rFonts w:hint="default"/>
      </w:rPr>
    </w:lvl>
    <w:lvl w:ilvl="8">
      <w:start w:val="0"/>
      <w:numFmt w:val="bullet"/>
      <w:lvlText w:val="•"/>
      <w:lvlJc w:val="left"/>
      <w:pPr>
        <w:ind w:left="8404" w:hanging="360"/>
      </w:pPr>
      <w:rPr>
        <w:rFonts w:hint="default"/>
      </w:rPr>
    </w:lvl>
  </w:abstractNum>
  <w:abstractNum w:abstractNumId="46">
    <w:multiLevelType w:val="hybridMultilevel"/>
    <w:lvl w:ilvl="0">
      <w:start w:val="2"/>
      <w:numFmt w:val="decimal"/>
      <w:lvlText w:val="%1."/>
      <w:lvlJc w:val="left"/>
      <w:pPr>
        <w:ind w:left="820" w:hanging="360"/>
        <w:jc w:val="right"/>
      </w:pPr>
      <w:rPr>
        <w:rFonts w:hint="default"/>
        <w:spacing w:val="-5"/>
        <w:w w:val="98"/>
        <w:u w:val="thick" w:color="2E97D3"/>
      </w:rPr>
    </w:lvl>
    <w:lvl w:ilvl="1">
      <w:start w:val="0"/>
      <w:numFmt w:val="bullet"/>
      <w:lvlText w:val="•"/>
      <w:lvlJc w:val="left"/>
      <w:pPr>
        <w:ind w:left="1768" w:hanging="360"/>
      </w:pPr>
      <w:rPr>
        <w:rFonts w:hint="default"/>
      </w:rPr>
    </w:lvl>
    <w:lvl w:ilvl="2">
      <w:start w:val="0"/>
      <w:numFmt w:val="bullet"/>
      <w:lvlText w:val="•"/>
      <w:lvlJc w:val="left"/>
      <w:pPr>
        <w:ind w:left="2716" w:hanging="360"/>
      </w:pPr>
      <w:rPr>
        <w:rFonts w:hint="default"/>
      </w:rPr>
    </w:lvl>
    <w:lvl w:ilvl="3">
      <w:start w:val="0"/>
      <w:numFmt w:val="bullet"/>
      <w:lvlText w:val="•"/>
      <w:lvlJc w:val="left"/>
      <w:pPr>
        <w:ind w:left="3664" w:hanging="360"/>
      </w:pPr>
      <w:rPr>
        <w:rFonts w:hint="default"/>
      </w:rPr>
    </w:lvl>
    <w:lvl w:ilvl="4">
      <w:start w:val="0"/>
      <w:numFmt w:val="bullet"/>
      <w:lvlText w:val="•"/>
      <w:lvlJc w:val="left"/>
      <w:pPr>
        <w:ind w:left="4612" w:hanging="360"/>
      </w:pPr>
      <w:rPr>
        <w:rFonts w:hint="default"/>
      </w:rPr>
    </w:lvl>
    <w:lvl w:ilvl="5">
      <w:start w:val="0"/>
      <w:numFmt w:val="bullet"/>
      <w:lvlText w:val="•"/>
      <w:lvlJc w:val="left"/>
      <w:pPr>
        <w:ind w:left="5560" w:hanging="360"/>
      </w:pPr>
      <w:rPr>
        <w:rFonts w:hint="default"/>
      </w:rPr>
    </w:lvl>
    <w:lvl w:ilvl="6">
      <w:start w:val="0"/>
      <w:numFmt w:val="bullet"/>
      <w:lvlText w:val="•"/>
      <w:lvlJc w:val="left"/>
      <w:pPr>
        <w:ind w:left="6508" w:hanging="360"/>
      </w:pPr>
      <w:rPr>
        <w:rFonts w:hint="default"/>
      </w:rPr>
    </w:lvl>
    <w:lvl w:ilvl="7">
      <w:start w:val="0"/>
      <w:numFmt w:val="bullet"/>
      <w:lvlText w:val="•"/>
      <w:lvlJc w:val="left"/>
      <w:pPr>
        <w:ind w:left="7456" w:hanging="360"/>
      </w:pPr>
      <w:rPr>
        <w:rFonts w:hint="default"/>
      </w:rPr>
    </w:lvl>
    <w:lvl w:ilvl="8">
      <w:start w:val="0"/>
      <w:numFmt w:val="bullet"/>
      <w:lvlText w:val="•"/>
      <w:lvlJc w:val="left"/>
      <w:pPr>
        <w:ind w:left="8404" w:hanging="360"/>
      </w:pPr>
      <w:rPr>
        <w:rFonts w:hint="default"/>
      </w:rPr>
    </w:lvl>
  </w:abstractNum>
  <w:abstractNum w:abstractNumId="45">
    <w:multiLevelType w:val="hybridMultilevel"/>
    <w:lvl w:ilvl="0">
      <w:start w:val="1"/>
      <w:numFmt w:val="decimal"/>
      <w:lvlText w:val="%1."/>
      <w:lvlJc w:val="left"/>
      <w:pPr>
        <w:ind w:left="820" w:hanging="360"/>
        <w:jc w:val="right"/>
      </w:pPr>
      <w:rPr>
        <w:rFonts w:hint="default"/>
        <w:spacing w:val="-5"/>
        <w:w w:val="98"/>
        <w:u w:val="single" w:color="2E97D3"/>
      </w:rPr>
    </w:lvl>
    <w:lvl w:ilvl="1">
      <w:start w:val="1"/>
      <w:numFmt w:val="decimal"/>
      <w:lvlText w:val="%2."/>
      <w:lvlJc w:val="left"/>
      <w:pPr>
        <w:ind w:left="1285" w:hanging="360"/>
        <w:jc w:val="left"/>
      </w:pPr>
      <w:rPr>
        <w:rFonts w:hint="default"/>
        <w:spacing w:val="-3"/>
        <w:w w:val="98"/>
        <w:u w:val="single" w:color="2E97D3"/>
      </w:rPr>
    </w:lvl>
    <w:lvl w:ilvl="2">
      <w:start w:val="0"/>
      <w:numFmt w:val="bullet"/>
      <w:lvlText w:val="•"/>
      <w:lvlJc w:val="left"/>
      <w:pPr>
        <w:ind w:left="2282" w:hanging="360"/>
      </w:pPr>
      <w:rPr>
        <w:rFonts w:hint="default"/>
      </w:rPr>
    </w:lvl>
    <w:lvl w:ilvl="3">
      <w:start w:val="0"/>
      <w:numFmt w:val="bullet"/>
      <w:lvlText w:val="•"/>
      <w:lvlJc w:val="left"/>
      <w:pPr>
        <w:ind w:left="3284" w:hanging="360"/>
      </w:pPr>
      <w:rPr>
        <w:rFonts w:hint="default"/>
      </w:rPr>
    </w:lvl>
    <w:lvl w:ilvl="4">
      <w:start w:val="0"/>
      <w:numFmt w:val="bullet"/>
      <w:lvlText w:val="•"/>
      <w:lvlJc w:val="left"/>
      <w:pPr>
        <w:ind w:left="4286" w:hanging="360"/>
      </w:pPr>
      <w:rPr>
        <w:rFonts w:hint="default"/>
      </w:rPr>
    </w:lvl>
    <w:lvl w:ilvl="5">
      <w:start w:val="0"/>
      <w:numFmt w:val="bullet"/>
      <w:lvlText w:val="•"/>
      <w:lvlJc w:val="left"/>
      <w:pPr>
        <w:ind w:left="5288" w:hanging="360"/>
      </w:pPr>
      <w:rPr>
        <w:rFonts w:hint="default"/>
      </w:rPr>
    </w:lvl>
    <w:lvl w:ilvl="6">
      <w:start w:val="0"/>
      <w:numFmt w:val="bullet"/>
      <w:lvlText w:val="•"/>
      <w:lvlJc w:val="left"/>
      <w:pPr>
        <w:ind w:left="6291" w:hanging="360"/>
      </w:pPr>
      <w:rPr>
        <w:rFonts w:hint="default"/>
      </w:rPr>
    </w:lvl>
    <w:lvl w:ilvl="7">
      <w:start w:val="0"/>
      <w:numFmt w:val="bullet"/>
      <w:lvlText w:val="•"/>
      <w:lvlJc w:val="left"/>
      <w:pPr>
        <w:ind w:left="7293" w:hanging="360"/>
      </w:pPr>
      <w:rPr>
        <w:rFonts w:hint="default"/>
      </w:rPr>
    </w:lvl>
    <w:lvl w:ilvl="8">
      <w:start w:val="0"/>
      <w:numFmt w:val="bullet"/>
      <w:lvlText w:val="•"/>
      <w:lvlJc w:val="left"/>
      <w:pPr>
        <w:ind w:left="8295" w:hanging="360"/>
      </w:pPr>
      <w:rPr>
        <w:rFonts w:hint="default"/>
      </w:rPr>
    </w:lvl>
  </w:abstractNum>
  <w:abstractNum w:abstractNumId="44">
    <w:multiLevelType w:val="hybridMultilevel"/>
    <w:lvl w:ilvl="0">
      <w:start w:val="1"/>
      <w:numFmt w:val="decimal"/>
      <w:lvlText w:val="%1."/>
      <w:lvlJc w:val="left"/>
      <w:pPr>
        <w:ind w:left="480" w:hanging="360"/>
        <w:jc w:val="left"/>
      </w:pPr>
      <w:rPr>
        <w:rFonts w:hint="default" w:ascii="Arial" w:hAnsi="Arial" w:eastAsia="Arial" w:cs="Arial"/>
        <w:spacing w:val="-3"/>
        <w:w w:val="99"/>
        <w:sz w:val="24"/>
        <w:szCs w:val="24"/>
      </w:rPr>
    </w:lvl>
    <w:lvl w:ilvl="1">
      <w:start w:val="1"/>
      <w:numFmt w:val="decimal"/>
      <w:lvlText w:val="%2."/>
      <w:lvlJc w:val="left"/>
      <w:pPr>
        <w:ind w:left="820" w:hanging="720"/>
        <w:jc w:val="left"/>
      </w:pPr>
      <w:rPr>
        <w:rFonts w:hint="default"/>
        <w:strike/>
        <w:w w:val="100"/>
      </w:rPr>
    </w:lvl>
    <w:lvl w:ilvl="2">
      <w:start w:val="0"/>
      <w:numFmt w:val="bullet"/>
      <w:lvlText w:val="•"/>
      <w:lvlJc w:val="left"/>
      <w:pPr>
        <w:ind w:left="1795" w:hanging="720"/>
      </w:pPr>
      <w:rPr>
        <w:rFonts w:hint="default"/>
      </w:rPr>
    </w:lvl>
    <w:lvl w:ilvl="3">
      <w:start w:val="0"/>
      <w:numFmt w:val="bullet"/>
      <w:lvlText w:val="•"/>
      <w:lvlJc w:val="left"/>
      <w:pPr>
        <w:ind w:left="2771" w:hanging="720"/>
      </w:pPr>
      <w:rPr>
        <w:rFonts w:hint="default"/>
      </w:rPr>
    </w:lvl>
    <w:lvl w:ilvl="4">
      <w:start w:val="0"/>
      <w:numFmt w:val="bullet"/>
      <w:lvlText w:val="•"/>
      <w:lvlJc w:val="left"/>
      <w:pPr>
        <w:ind w:left="3746" w:hanging="720"/>
      </w:pPr>
      <w:rPr>
        <w:rFonts w:hint="default"/>
      </w:rPr>
    </w:lvl>
    <w:lvl w:ilvl="5">
      <w:start w:val="0"/>
      <w:numFmt w:val="bullet"/>
      <w:lvlText w:val="•"/>
      <w:lvlJc w:val="left"/>
      <w:pPr>
        <w:ind w:left="4722" w:hanging="720"/>
      </w:pPr>
      <w:rPr>
        <w:rFonts w:hint="default"/>
      </w:rPr>
    </w:lvl>
    <w:lvl w:ilvl="6">
      <w:start w:val="0"/>
      <w:numFmt w:val="bullet"/>
      <w:lvlText w:val="•"/>
      <w:lvlJc w:val="left"/>
      <w:pPr>
        <w:ind w:left="5697" w:hanging="720"/>
      </w:pPr>
      <w:rPr>
        <w:rFonts w:hint="default"/>
      </w:rPr>
    </w:lvl>
    <w:lvl w:ilvl="7">
      <w:start w:val="0"/>
      <w:numFmt w:val="bullet"/>
      <w:lvlText w:val="•"/>
      <w:lvlJc w:val="left"/>
      <w:pPr>
        <w:ind w:left="6673" w:hanging="720"/>
      </w:pPr>
      <w:rPr>
        <w:rFonts w:hint="default"/>
      </w:rPr>
    </w:lvl>
    <w:lvl w:ilvl="8">
      <w:start w:val="0"/>
      <w:numFmt w:val="bullet"/>
      <w:lvlText w:val="•"/>
      <w:lvlJc w:val="left"/>
      <w:pPr>
        <w:ind w:left="7648" w:hanging="720"/>
      </w:pPr>
      <w:rPr>
        <w:rFonts w:hint="default"/>
      </w:rPr>
    </w:lvl>
  </w:abstractNum>
  <w:abstractNum w:abstractNumId="43">
    <w:multiLevelType w:val="hybridMultilevel"/>
    <w:lvl w:ilvl="0">
      <w:start w:val="2"/>
      <w:numFmt w:val="decimal"/>
      <w:lvlText w:val="(%1)"/>
      <w:lvlJc w:val="left"/>
      <w:pPr>
        <w:ind w:left="120" w:hanging="360"/>
        <w:jc w:val="right"/>
      </w:pPr>
      <w:rPr>
        <w:rFonts w:hint="default" w:ascii="Arial" w:hAnsi="Arial" w:eastAsia="Arial" w:cs="Arial"/>
        <w:spacing w:val="-1"/>
        <w:w w:val="99"/>
        <w:sz w:val="24"/>
        <w:szCs w:val="24"/>
      </w:rPr>
    </w:lvl>
    <w:lvl w:ilvl="1">
      <w:start w:val="0"/>
      <w:numFmt w:val="bullet"/>
      <w:lvlText w:val="•"/>
      <w:lvlJc w:val="left"/>
      <w:pPr>
        <w:ind w:left="1068" w:hanging="360"/>
      </w:pPr>
      <w:rPr>
        <w:rFonts w:hint="default"/>
      </w:rPr>
    </w:lvl>
    <w:lvl w:ilvl="2">
      <w:start w:val="0"/>
      <w:numFmt w:val="bullet"/>
      <w:lvlText w:val="•"/>
      <w:lvlJc w:val="left"/>
      <w:pPr>
        <w:ind w:left="2016" w:hanging="360"/>
      </w:pPr>
      <w:rPr>
        <w:rFonts w:hint="default"/>
      </w:rPr>
    </w:lvl>
    <w:lvl w:ilvl="3">
      <w:start w:val="0"/>
      <w:numFmt w:val="bullet"/>
      <w:lvlText w:val="•"/>
      <w:lvlJc w:val="left"/>
      <w:pPr>
        <w:ind w:left="2964" w:hanging="360"/>
      </w:pPr>
      <w:rPr>
        <w:rFonts w:hint="default"/>
      </w:rPr>
    </w:lvl>
    <w:lvl w:ilvl="4">
      <w:start w:val="0"/>
      <w:numFmt w:val="bullet"/>
      <w:lvlText w:val="•"/>
      <w:lvlJc w:val="left"/>
      <w:pPr>
        <w:ind w:left="3912" w:hanging="360"/>
      </w:pPr>
      <w:rPr>
        <w:rFonts w:hint="default"/>
      </w:rPr>
    </w:lvl>
    <w:lvl w:ilvl="5">
      <w:start w:val="0"/>
      <w:numFmt w:val="bullet"/>
      <w:lvlText w:val="•"/>
      <w:lvlJc w:val="left"/>
      <w:pPr>
        <w:ind w:left="4860" w:hanging="360"/>
      </w:pPr>
      <w:rPr>
        <w:rFonts w:hint="default"/>
      </w:rPr>
    </w:lvl>
    <w:lvl w:ilvl="6">
      <w:start w:val="0"/>
      <w:numFmt w:val="bullet"/>
      <w:lvlText w:val="•"/>
      <w:lvlJc w:val="left"/>
      <w:pPr>
        <w:ind w:left="5808" w:hanging="360"/>
      </w:pPr>
      <w:rPr>
        <w:rFonts w:hint="default"/>
      </w:rPr>
    </w:lvl>
    <w:lvl w:ilvl="7">
      <w:start w:val="0"/>
      <w:numFmt w:val="bullet"/>
      <w:lvlText w:val="•"/>
      <w:lvlJc w:val="left"/>
      <w:pPr>
        <w:ind w:left="6756" w:hanging="360"/>
      </w:pPr>
      <w:rPr>
        <w:rFonts w:hint="default"/>
      </w:rPr>
    </w:lvl>
    <w:lvl w:ilvl="8">
      <w:start w:val="0"/>
      <w:numFmt w:val="bullet"/>
      <w:lvlText w:val="•"/>
      <w:lvlJc w:val="left"/>
      <w:pPr>
        <w:ind w:left="7704" w:hanging="360"/>
      </w:pPr>
      <w:rPr>
        <w:rFonts w:hint="default"/>
      </w:rPr>
    </w:lvl>
  </w:abstractNum>
  <w:abstractNum w:abstractNumId="42">
    <w:multiLevelType w:val="hybridMultilevel"/>
    <w:lvl w:ilvl="0">
      <w:start w:val="1"/>
      <w:numFmt w:val="decimal"/>
      <w:lvlText w:val="%1."/>
      <w:lvlJc w:val="left"/>
      <w:pPr>
        <w:ind w:left="480" w:hanging="360"/>
        <w:jc w:val="left"/>
      </w:pPr>
      <w:rPr>
        <w:rFonts w:hint="default" w:ascii="Arial" w:hAnsi="Arial" w:eastAsia="Arial" w:cs="Arial"/>
        <w:spacing w:val="-3"/>
        <w:w w:val="99"/>
        <w:sz w:val="24"/>
        <w:szCs w:val="24"/>
      </w:rPr>
    </w:lvl>
    <w:lvl w:ilvl="1">
      <w:start w:val="0"/>
      <w:numFmt w:val="bullet"/>
      <w:lvlText w:val="•"/>
      <w:lvlJc w:val="left"/>
      <w:pPr>
        <w:ind w:left="139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216" w:hanging="360"/>
      </w:pPr>
      <w:rPr>
        <w:rFonts w:hint="default"/>
      </w:rPr>
    </w:lvl>
    <w:lvl w:ilvl="4">
      <w:start w:val="0"/>
      <w:numFmt w:val="bullet"/>
      <w:lvlText w:val="•"/>
      <w:lvlJc w:val="left"/>
      <w:pPr>
        <w:ind w:left="4128" w:hanging="360"/>
      </w:pPr>
      <w:rPr>
        <w:rFonts w:hint="default"/>
      </w:rPr>
    </w:lvl>
    <w:lvl w:ilvl="5">
      <w:start w:val="0"/>
      <w:numFmt w:val="bullet"/>
      <w:lvlText w:val="•"/>
      <w:lvlJc w:val="left"/>
      <w:pPr>
        <w:ind w:left="5040" w:hanging="360"/>
      </w:pPr>
      <w:rPr>
        <w:rFonts w:hint="default"/>
      </w:rPr>
    </w:lvl>
    <w:lvl w:ilvl="6">
      <w:start w:val="0"/>
      <w:numFmt w:val="bullet"/>
      <w:lvlText w:val="•"/>
      <w:lvlJc w:val="left"/>
      <w:pPr>
        <w:ind w:left="5952" w:hanging="360"/>
      </w:pPr>
      <w:rPr>
        <w:rFonts w:hint="default"/>
      </w:rPr>
    </w:lvl>
    <w:lvl w:ilvl="7">
      <w:start w:val="0"/>
      <w:numFmt w:val="bullet"/>
      <w:lvlText w:val="•"/>
      <w:lvlJc w:val="left"/>
      <w:pPr>
        <w:ind w:left="6864" w:hanging="360"/>
      </w:pPr>
      <w:rPr>
        <w:rFonts w:hint="default"/>
      </w:rPr>
    </w:lvl>
    <w:lvl w:ilvl="8">
      <w:start w:val="0"/>
      <w:numFmt w:val="bullet"/>
      <w:lvlText w:val="•"/>
      <w:lvlJc w:val="left"/>
      <w:pPr>
        <w:ind w:left="7776" w:hanging="360"/>
      </w:pPr>
      <w:rPr>
        <w:rFonts w:hint="default"/>
      </w:rPr>
    </w:lvl>
  </w:abstractNum>
  <w:abstractNum w:abstractNumId="41">
    <w:multiLevelType w:val="hybridMultilevel"/>
    <w:lvl w:ilvl="0">
      <w:start w:val="3"/>
      <w:numFmt w:val="decimal"/>
      <w:lvlText w:val="%1."/>
      <w:lvlJc w:val="left"/>
      <w:pPr>
        <w:ind w:left="728" w:hanging="267"/>
        <w:jc w:val="left"/>
      </w:pPr>
      <w:rPr>
        <w:rFonts w:hint="default" w:ascii="Arial" w:hAnsi="Arial" w:eastAsia="Arial" w:cs="Arial"/>
        <w:w w:val="100"/>
        <w:sz w:val="24"/>
        <w:szCs w:val="24"/>
      </w:rPr>
    </w:lvl>
    <w:lvl w:ilvl="1">
      <w:start w:val="0"/>
      <w:numFmt w:val="bullet"/>
      <w:lvlText w:val="•"/>
      <w:lvlJc w:val="left"/>
      <w:pPr>
        <w:ind w:left="1606" w:hanging="267"/>
      </w:pPr>
      <w:rPr>
        <w:rFonts w:hint="default"/>
      </w:rPr>
    </w:lvl>
    <w:lvl w:ilvl="2">
      <w:start w:val="0"/>
      <w:numFmt w:val="bullet"/>
      <w:lvlText w:val="•"/>
      <w:lvlJc w:val="left"/>
      <w:pPr>
        <w:ind w:left="2492" w:hanging="267"/>
      </w:pPr>
      <w:rPr>
        <w:rFonts w:hint="default"/>
      </w:rPr>
    </w:lvl>
    <w:lvl w:ilvl="3">
      <w:start w:val="0"/>
      <w:numFmt w:val="bullet"/>
      <w:lvlText w:val="•"/>
      <w:lvlJc w:val="left"/>
      <w:pPr>
        <w:ind w:left="3378" w:hanging="267"/>
      </w:pPr>
      <w:rPr>
        <w:rFonts w:hint="default"/>
      </w:rPr>
    </w:lvl>
    <w:lvl w:ilvl="4">
      <w:start w:val="0"/>
      <w:numFmt w:val="bullet"/>
      <w:lvlText w:val="•"/>
      <w:lvlJc w:val="left"/>
      <w:pPr>
        <w:ind w:left="4264" w:hanging="267"/>
      </w:pPr>
      <w:rPr>
        <w:rFonts w:hint="default"/>
      </w:rPr>
    </w:lvl>
    <w:lvl w:ilvl="5">
      <w:start w:val="0"/>
      <w:numFmt w:val="bullet"/>
      <w:lvlText w:val="•"/>
      <w:lvlJc w:val="left"/>
      <w:pPr>
        <w:ind w:left="5150" w:hanging="267"/>
      </w:pPr>
      <w:rPr>
        <w:rFonts w:hint="default"/>
      </w:rPr>
    </w:lvl>
    <w:lvl w:ilvl="6">
      <w:start w:val="0"/>
      <w:numFmt w:val="bullet"/>
      <w:lvlText w:val="•"/>
      <w:lvlJc w:val="left"/>
      <w:pPr>
        <w:ind w:left="6036" w:hanging="267"/>
      </w:pPr>
      <w:rPr>
        <w:rFonts w:hint="default"/>
      </w:rPr>
    </w:lvl>
    <w:lvl w:ilvl="7">
      <w:start w:val="0"/>
      <w:numFmt w:val="bullet"/>
      <w:lvlText w:val="•"/>
      <w:lvlJc w:val="left"/>
      <w:pPr>
        <w:ind w:left="6922" w:hanging="267"/>
      </w:pPr>
      <w:rPr>
        <w:rFonts w:hint="default"/>
      </w:rPr>
    </w:lvl>
    <w:lvl w:ilvl="8">
      <w:start w:val="0"/>
      <w:numFmt w:val="bullet"/>
      <w:lvlText w:val="•"/>
      <w:lvlJc w:val="left"/>
      <w:pPr>
        <w:ind w:left="7808" w:hanging="267"/>
      </w:pPr>
      <w:rPr>
        <w:rFonts w:hint="default"/>
      </w:rPr>
    </w:lvl>
  </w:abstractNum>
  <w:abstractNum w:abstractNumId="40">
    <w:multiLevelType w:val="hybridMultilevel"/>
    <w:lvl w:ilvl="0">
      <w:start w:val="4"/>
      <w:numFmt w:val="upperLetter"/>
      <w:lvlText w:val="%1."/>
      <w:lvlJc w:val="left"/>
      <w:pPr>
        <w:ind w:left="820" w:hanging="360"/>
        <w:jc w:val="left"/>
      </w:pPr>
      <w:rPr>
        <w:rFonts w:hint="default" w:ascii="Arial" w:hAnsi="Arial" w:eastAsia="Arial" w:cs="Arial"/>
        <w:spacing w:val="-13"/>
        <w:w w:val="99"/>
        <w:sz w:val="24"/>
        <w:szCs w:val="24"/>
      </w:rPr>
    </w:lvl>
    <w:lvl w:ilvl="1">
      <w:start w:val="0"/>
      <w:numFmt w:val="bullet"/>
      <w:lvlText w:val="•"/>
      <w:lvlJc w:val="left"/>
      <w:pPr>
        <w:ind w:left="1696" w:hanging="360"/>
      </w:pPr>
      <w:rPr>
        <w:rFonts w:hint="default"/>
      </w:rPr>
    </w:lvl>
    <w:lvl w:ilvl="2">
      <w:start w:val="0"/>
      <w:numFmt w:val="bullet"/>
      <w:lvlText w:val="•"/>
      <w:lvlJc w:val="left"/>
      <w:pPr>
        <w:ind w:left="2572" w:hanging="360"/>
      </w:pPr>
      <w:rPr>
        <w:rFonts w:hint="default"/>
      </w:rPr>
    </w:lvl>
    <w:lvl w:ilvl="3">
      <w:start w:val="0"/>
      <w:numFmt w:val="bullet"/>
      <w:lvlText w:val="•"/>
      <w:lvlJc w:val="left"/>
      <w:pPr>
        <w:ind w:left="3448" w:hanging="360"/>
      </w:pPr>
      <w:rPr>
        <w:rFonts w:hint="default"/>
      </w:rPr>
    </w:lvl>
    <w:lvl w:ilvl="4">
      <w:start w:val="0"/>
      <w:numFmt w:val="bullet"/>
      <w:lvlText w:val="•"/>
      <w:lvlJc w:val="left"/>
      <w:pPr>
        <w:ind w:left="4324" w:hanging="360"/>
      </w:pPr>
      <w:rPr>
        <w:rFonts w:hint="default"/>
      </w:rPr>
    </w:lvl>
    <w:lvl w:ilvl="5">
      <w:start w:val="0"/>
      <w:numFmt w:val="bullet"/>
      <w:lvlText w:val="•"/>
      <w:lvlJc w:val="left"/>
      <w:pPr>
        <w:ind w:left="5200" w:hanging="360"/>
      </w:pPr>
      <w:rPr>
        <w:rFonts w:hint="default"/>
      </w:rPr>
    </w:lvl>
    <w:lvl w:ilvl="6">
      <w:start w:val="0"/>
      <w:numFmt w:val="bullet"/>
      <w:lvlText w:val="•"/>
      <w:lvlJc w:val="left"/>
      <w:pPr>
        <w:ind w:left="6076" w:hanging="360"/>
      </w:pPr>
      <w:rPr>
        <w:rFonts w:hint="default"/>
      </w:rPr>
    </w:lvl>
    <w:lvl w:ilvl="7">
      <w:start w:val="0"/>
      <w:numFmt w:val="bullet"/>
      <w:lvlText w:val="•"/>
      <w:lvlJc w:val="left"/>
      <w:pPr>
        <w:ind w:left="6952" w:hanging="360"/>
      </w:pPr>
      <w:rPr>
        <w:rFonts w:hint="default"/>
      </w:rPr>
    </w:lvl>
    <w:lvl w:ilvl="8">
      <w:start w:val="0"/>
      <w:numFmt w:val="bullet"/>
      <w:lvlText w:val="•"/>
      <w:lvlJc w:val="left"/>
      <w:pPr>
        <w:ind w:left="7828" w:hanging="360"/>
      </w:pPr>
      <w:rPr>
        <w:rFonts w:hint="default"/>
      </w:rPr>
    </w:lvl>
  </w:abstractNum>
  <w:abstractNum w:abstractNumId="39">
    <w:multiLevelType w:val="hybridMultilevel"/>
    <w:lvl w:ilvl="0">
      <w:start w:val="1"/>
      <w:numFmt w:val="decimal"/>
      <w:lvlText w:val="%1."/>
      <w:lvlJc w:val="left"/>
      <w:pPr>
        <w:ind w:left="480" w:hanging="360"/>
        <w:jc w:val="right"/>
      </w:pPr>
      <w:rPr>
        <w:rFonts w:hint="default" w:ascii="Arial" w:hAnsi="Arial" w:eastAsia="Arial" w:cs="Arial"/>
        <w:spacing w:val="-4"/>
        <w:w w:val="99"/>
        <w:sz w:val="24"/>
        <w:szCs w:val="24"/>
      </w:rPr>
    </w:lvl>
    <w:lvl w:ilvl="1">
      <w:start w:val="1"/>
      <w:numFmt w:val="upperLetter"/>
      <w:lvlText w:val="%2."/>
      <w:lvlJc w:val="left"/>
      <w:pPr>
        <w:ind w:left="840" w:hanging="360"/>
        <w:jc w:val="left"/>
      </w:pPr>
      <w:rPr>
        <w:rFonts w:hint="default" w:ascii="Arial" w:hAnsi="Arial" w:eastAsia="Arial" w:cs="Arial"/>
        <w:w w:val="100"/>
        <w:sz w:val="24"/>
        <w:szCs w:val="24"/>
      </w:rPr>
    </w:lvl>
    <w:lvl w:ilvl="2">
      <w:start w:val="1"/>
      <w:numFmt w:val="decimal"/>
      <w:lvlText w:val="%3."/>
      <w:lvlJc w:val="left"/>
      <w:pPr>
        <w:ind w:left="840" w:hanging="360"/>
        <w:jc w:val="left"/>
      </w:pPr>
      <w:rPr>
        <w:rFonts w:hint="default" w:ascii="Arial" w:hAnsi="Arial" w:eastAsia="Arial" w:cs="Arial"/>
        <w:spacing w:val="-4"/>
        <w:w w:val="99"/>
        <w:sz w:val="24"/>
        <w:szCs w:val="24"/>
      </w:rPr>
    </w:lvl>
    <w:lvl w:ilvl="3">
      <w:start w:val="0"/>
      <w:numFmt w:val="bullet"/>
      <w:lvlText w:val="•"/>
      <w:lvlJc w:val="left"/>
      <w:pPr>
        <w:ind w:left="1932" w:hanging="360"/>
      </w:pPr>
      <w:rPr>
        <w:rFonts w:hint="default"/>
      </w:rPr>
    </w:lvl>
    <w:lvl w:ilvl="4">
      <w:start w:val="0"/>
      <w:numFmt w:val="bullet"/>
      <w:lvlText w:val="•"/>
      <w:lvlJc w:val="left"/>
      <w:pPr>
        <w:ind w:left="3025" w:hanging="360"/>
      </w:pPr>
      <w:rPr>
        <w:rFonts w:hint="default"/>
      </w:rPr>
    </w:lvl>
    <w:lvl w:ilvl="5">
      <w:start w:val="0"/>
      <w:numFmt w:val="bullet"/>
      <w:lvlText w:val="•"/>
      <w:lvlJc w:val="left"/>
      <w:pPr>
        <w:ind w:left="4117" w:hanging="360"/>
      </w:pPr>
      <w:rPr>
        <w:rFonts w:hint="default"/>
      </w:rPr>
    </w:lvl>
    <w:lvl w:ilvl="6">
      <w:start w:val="0"/>
      <w:numFmt w:val="bullet"/>
      <w:lvlText w:val="•"/>
      <w:lvlJc w:val="left"/>
      <w:pPr>
        <w:ind w:left="5210" w:hanging="360"/>
      </w:pPr>
      <w:rPr>
        <w:rFonts w:hint="default"/>
      </w:rPr>
    </w:lvl>
    <w:lvl w:ilvl="7">
      <w:start w:val="0"/>
      <w:numFmt w:val="bullet"/>
      <w:lvlText w:val="•"/>
      <w:lvlJc w:val="left"/>
      <w:pPr>
        <w:ind w:left="6302" w:hanging="360"/>
      </w:pPr>
      <w:rPr>
        <w:rFonts w:hint="default"/>
      </w:rPr>
    </w:lvl>
    <w:lvl w:ilvl="8">
      <w:start w:val="0"/>
      <w:numFmt w:val="bullet"/>
      <w:lvlText w:val="•"/>
      <w:lvlJc w:val="left"/>
      <w:pPr>
        <w:ind w:left="7395" w:hanging="360"/>
      </w:pPr>
      <w:rPr>
        <w:rFonts w:hint="default"/>
      </w:rPr>
    </w:lvl>
  </w:abstractNum>
  <w:abstractNum w:abstractNumId="38">
    <w:multiLevelType w:val="hybridMultilevel"/>
    <w:lvl w:ilvl="0">
      <w:start w:val="1"/>
      <w:numFmt w:val="decimal"/>
      <w:lvlText w:val="(%1)"/>
      <w:lvlJc w:val="left"/>
      <w:pPr>
        <w:ind w:left="120" w:hanging="360"/>
        <w:jc w:val="left"/>
      </w:pPr>
      <w:rPr>
        <w:rFonts w:hint="default" w:ascii="Arial" w:hAnsi="Arial" w:eastAsia="Arial" w:cs="Arial"/>
        <w:spacing w:val="-1"/>
        <w:w w:val="99"/>
        <w:sz w:val="24"/>
        <w:szCs w:val="24"/>
      </w:rPr>
    </w:lvl>
    <w:lvl w:ilvl="1">
      <w:start w:val="0"/>
      <w:numFmt w:val="bullet"/>
      <w:lvlText w:val="•"/>
      <w:lvlJc w:val="left"/>
      <w:pPr>
        <w:ind w:left="1064" w:hanging="360"/>
      </w:pPr>
      <w:rPr>
        <w:rFonts w:hint="default"/>
      </w:rPr>
    </w:lvl>
    <w:lvl w:ilvl="2">
      <w:start w:val="0"/>
      <w:numFmt w:val="bullet"/>
      <w:lvlText w:val="•"/>
      <w:lvlJc w:val="left"/>
      <w:pPr>
        <w:ind w:left="2008" w:hanging="360"/>
      </w:pPr>
      <w:rPr>
        <w:rFonts w:hint="default"/>
      </w:rPr>
    </w:lvl>
    <w:lvl w:ilvl="3">
      <w:start w:val="0"/>
      <w:numFmt w:val="bullet"/>
      <w:lvlText w:val="•"/>
      <w:lvlJc w:val="left"/>
      <w:pPr>
        <w:ind w:left="2952" w:hanging="360"/>
      </w:pPr>
      <w:rPr>
        <w:rFonts w:hint="default"/>
      </w:rPr>
    </w:lvl>
    <w:lvl w:ilvl="4">
      <w:start w:val="0"/>
      <w:numFmt w:val="bullet"/>
      <w:lvlText w:val="•"/>
      <w:lvlJc w:val="left"/>
      <w:pPr>
        <w:ind w:left="3896" w:hanging="360"/>
      </w:pPr>
      <w:rPr>
        <w:rFonts w:hint="default"/>
      </w:rPr>
    </w:lvl>
    <w:lvl w:ilvl="5">
      <w:start w:val="0"/>
      <w:numFmt w:val="bullet"/>
      <w:lvlText w:val="•"/>
      <w:lvlJc w:val="left"/>
      <w:pPr>
        <w:ind w:left="4840" w:hanging="360"/>
      </w:pPr>
      <w:rPr>
        <w:rFonts w:hint="default"/>
      </w:rPr>
    </w:lvl>
    <w:lvl w:ilvl="6">
      <w:start w:val="0"/>
      <w:numFmt w:val="bullet"/>
      <w:lvlText w:val="•"/>
      <w:lvlJc w:val="left"/>
      <w:pPr>
        <w:ind w:left="5784" w:hanging="360"/>
      </w:pPr>
      <w:rPr>
        <w:rFonts w:hint="default"/>
      </w:rPr>
    </w:lvl>
    <w:lvl w:ilvl="7">
      <w:start w:val="0"/>
      <w:numFmt w:val="bullet"/>
      <w:lvlText w:val="•"/>
      <w:lvlJc w:val="left"/>
      <w:pPr>
        <w:ind w:left="6728" w:hanging="360"/>
      </w:pPr>
      <w:rPr>
        <w:rFonts w:hint="default"/>
      </w:rPr>
    </w:lvl>
    <w:lvl w:ilvl="8">
      <w:start w:val="0"/>
      <w:numFmt w:val="bullet"/>
      <w:lvlText w:val="•"/>
      <w:lvlJc w:val="left"/>
      <w:pPr>
        <w:ind w:left="7672" w:hanging="360"/>
      </w:pPr>
      <w:rPr>
        <w:rFonts w:hint="default"/>
      </w:rPr>
    </w:lvl>
  </w:abstractNum>
  <w:abstractNum w:abstractNumId="37">
    <w:multiLevelType w:val="hybridMultilevel"/>
    <w:lvl w:ilvl="0">
      <w:start w:val="1"/>
      <w:numFmt w:val="lowerLetter"/>
      <w:lvlText w:val="(%1)"/>
      <w:lvlJc w:val="left"/>
      <w:pPr>
        <w:ind w:left="840" w:hanging="360"/>
        <w:jc w:val="right"/>
      </w:pPr>
      <w:rPr>
        <w:rFonts w:hint="default" w:ascii="Arial" w:hAnsi="Arial" w:eastAsia="Arial" w:cs="Arial"/>
        <w:spacing w:val="-1"/>
        <w:w w:val="99"/>
        <w:sz w:val="24"/>
        <w:szCs w:val="24"/>
      </w:rPr>
    </w:lvl>
    <w:lvl w:ilvl="1">
      <w:start w:val="1"/>
      <w:numFmt w:val="decimal"/>
      <w:lvlText w:val="(%2)"/>
      <w:lvlJc w:val="left"/>
      <w:pPr>
        <w:ind w:left="840" w:hanging="360"/>
        <w:jc w:val="left"/>
      </w:pPr>
      <w:rPr>
        <w:rFonts w:hint="default" w:ascii="Arial" w:hAnsi="Arial" w:eastAsia="Arial" w:cs="Arial"/>
        <w:spacing w:val="-1"/>
        <w:w w:val="99"/>
        <w:sz w:val="24"/>
        <w:szCs w:val="24"/>
      </w:rPr>
    </w:lvl>
    <w:lvl w:ilvl="2">
      <w:start w:val="1"/>
      <w:numFmt w:val="upperLetter"/>
      <w:lvlText w:val="(%3)"/>
      <w:lvlJc w:val="left"/>
      <w:pPr>
        <w:ind w:left="2280" w:hanging="387"/>
        <w:jc w:val="left"/>
      </w:pPr>
      <w:rPr>
        <w:rFonts w:hint="default" w:ascii="Arial" w:hAnsi="Arial" w:eastAsia="Arial" w:cs="Arial"/>
        <w:spacing w:val="-1"/>
        <w:w w:val="99"/>
        <w:sz w:val="24"/>
        <w:szCs w:val="24"/>
      </w:rPr>
    </w:lvl>
    <w:lvl w:ilvl="3">
      <w:start w:val="0"/>
      <w:numFmt w:val="bullet"/>
      <w:lvlText w:val="•"/>
      <w:lvlJc w:val="left"/>
      <w:pPr>
        <w:ind w:left="2280" w:hanging="387"/>
      </w:pPr>
      <w:rPr>
        <w:rFonts w:hint="default"/>
      </w:rPr>
    </w:lvl>
    <w:lvl w:ilvl="4">
      <w:start w:val="0"/>
      <w:numFmt w:val="bullet"/>
      <w:lvlText w:val="•"/>
      <w:lvlJc w:val="left"/>
      <w:pPr>
        <w:ind w:left="3320" w:hanging="387"/>
      </w:pPr>
      <w:rPr>
        <w:rFonts w:hint="default"/>
      </w:rPr>
    </w:lvl>
    <w:lvl w:ilvl="5">
      <w:start w:val="0"/>
      <w:numFmt w:val="bullet"/>
      <w:lvlText w:val="•"/>
      <w:lvlJc w:val="left"/>
      <w:pPr>
        <w:ind w:left="4360" w:hanging="387"/>
      </w:pPr>
      <w:rPr>
        <w:rFonts w:hint="default"/>
      </w:rPr>
    </w:lvl>
    <w:lvl w:ilvl="6">
      <w:start w:val="0"/>
      <w:numFmt w:val="bullet"/>
      <w:lvlText w:val="•"/>
      <w:lvlJc w:val="left"/>
      <w:pPr>
        <w:ind w:left="5400" w:hanging="387"/>
      </w:pPr>
      <w:rPr>
        <w:rFonts w:hint="default"/>
      </w:rPr>
    </w:lvl>
    <w:lvl w:ilvl="7">
      <w:start w:val="0"/>
      <w:numFmt w:val="bullet"/>
      <w:lvlText w:val="•"/>
      <w:lvlJc w:val="left"/>
      <w:pPr>
        <w:ind w:left="6440" w:hanging="387"/>
      </w:pPr>
      <w:rPr>
        <w:rFonts w:hint="default"/>
      </w:rPr>
    </w:lvl>
    <w:lvl w:ilvl="8">
      <w:start w:val="0"/>
      <w:numFmt w:val="bullet"/>
      <w:lvlText w:val="•"/>
      <w:lvlJc w:val="left"/>
      <w:pPr>
        <w:ind w:left="7480" w:hanging="387"/>
      </w:pPr>
      <w:rPr>
        <w:rFonts w:hint="default"/>
      </w:rPr>
    </w:lvl>
  </w:abstractNum>
  <w:abstractNum w:abstractNumId="36">
    <w:multiLevelType w:val="hybridMultilevel"/>
    <w:lvl w:ilvl="0">
      <w:start w:val="1"/>
      <w:numFmt w:val="lowerLetter"/>
      <w:lvlText w:val="(%1)"/>
      <w:lvlJc w:val="left"/>
      <w:pPr>
        <w:ind w:left="840" w:hanging="360"/>
        <w:jc w:val="left"/>
      </w:pPr>
      <w:rPr>
        <w:rFonts w:hint="default" w:ascii="Arial" w:hAnsi="Arial" w:eastAsia="Arial" w:cs="Arial"/>
        <w:spacing w:val="-1"/>
        <w:w w:val="99"/>
        <w:sz w:val="24"/>
        <w:szCs w:val="24"/>
      </w:rPr>
    </w:lvl>
    <w:lvl w:ilvl="1">
      <w:start w:val="1"/>
      <w:numFmt w:val="decimal"/>
      <w:lvlText w:val="(%2)"/>
      <w:lvlJc w:val="left"/>
      <w:pPr>
        <w:ind w:left="1560" w:hanging="360"/>
        <w:jc w:val="left"/>
      </w:pPr>
      <w:rPr>
        <w:rFonts w:hint="default" w:ascii="Arial" w:hAnsi="Arial" w:eastAsia="Arial" w:cs="Arial"/>
        <w:spacing w:val="-1"/>
        <w:w w:val="99"/>
        <w:sz w:val="24"/>
        <w:szCs w:val="24"/>
      </w:rPr>
    </w:lvl>
    <w:lvl w:ilvl="2">
      <w:start w:val="0"/>
      <w:numFmt w:val="bullet"/>
      <w:lvlText w:val="•"/>
      <w:lvlJc w:val="left"/>
      <w:pPr>
        <w:ind w:left="2448" w:hanging="360"/>
      </w:pPr>
      <w:rPr>
        <w:rFonts w:hint="default"/>
      </w:rPr>
    </w:lvl>
    <w:lvl w:ilvl="3">
      <w:start w:val="0"/>
      <w:numFmt w:val="bullet"/>
      <w:lvlText w:val="•"/>
      <w:lvlJc w:val="left"/>
      <w:pPr>
        <w:ind w:left="3337"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115" w:hanging="360"/>
      </w:pPr>
      <w:rPr>
        <w:rFonts w:hint="default"/>
      </w:rPr>
    </w:lvl>
    <w:lvl w:ilvl="6">
      <w:start w:val="0"/>
      <w:numFmt w:val="bullet"/>
      <w:lvlText w:val="•"/>
      <w:lvlJc w:val="left"/>
      <w:pPr>
        <w:ind w:left="6004" w:hanging="360"/>
      </w:pPr>
      <w:rPr>
        <w:rFonts w:hint="default"/>
      </w:rPr>
    </w:lvl>
    <w:lvl w:ilvl="7">
      <w:start w:val="0"/>
      <w:numFmt w:val="bullet"/>
      <w:lvlText w:val="•"/>
      <w:lvlJc w:val="left"/>
      <w:pPr>
        <w:ind w:left="6893" w:hanging="360"/>
      </w:pPr>
      <w:rPr>
        <w:rFonts w:hint="default"/>
      </w:rPr>
    </w:lvl>
    <w:lvl w:ilvl="8">
      <w:start w:val="0"/>
      <w:numFmt w:val="bullet"/>
      <w:lvlText w:val="•"/>
      <w:lvlJc w:val="left"/>
      <w:pPr>
        <w:ind w:left="7782" w:hanging="360"/>
      </w:pPr>
      <w:rPr>
        <w:rFonts w:hint="default"/>
      </w:rPr>
    </w:lvl>
  </w:abstractNum>
  <w:abstractNum w:abstractNumId="35">
    <w:multiLevelType w:val="hybridMultilevel"/>
    <w:lvl w:ilvl="0">
      <w:start w:val="1"/>
      <w:numFmt w:val="lowerLetter"/>
      <w:lvlText w:val="(%1)"/>
      <w:lvlJc w:val="left"/>
      <w:pPr>
        <w:ind w:left="840" w:hanging="360"/>
        <w:jc w:val="left"/>
      </w:pPr>
      <w:rPr>
        <w:rFonts w:hint="default" w:ascii="Arial" w:hAnsi="Arial" w:eastAsia="Arial" w:cs="Arial"/>
        <w:spacing w:val="-1"/>
        <w:w w:val="99"/>
        <w:sz w:val="24"/>
        <w:szCs w:val="24"/>
      </w:rPr>
    </w:lvl>
    <w:lvl w:ilvl="1">
      <w:start w:val="0"/>
      <w:numFmt w:val="bullet"/>
      <w:lvlText w:val="•"/>
      <w:lvlJc w:val="left"/>
      <w:pPr>
        <w:ind w:left="1712" w:hanging="360"/>
      </w:pPr>
      <w:rPr>
        <w:rFonts w:hint="default"/>
      </w:rPr>
    </w:lvl>
    <w:lvl w:ilvl="2">
      <w:start w:val="0"/>
      <w:numFmt w:val="bullet"/>
      <w:lvlText w:val="•"/>
      <w:lvlJc w:val="left"/>
      <w:pPr>
        <w:ind w:left="2584" w:hanging="360"/>
      </w:pPr>
      <w:rPr>
        <w:rFonts w:hint="default"/>
      </w:rPr>
    </w:lvl>
    <w:lvl w:ilvl="3">
      <w:start w:val="0"/>
      <w:numFmt w:val="bullet"/>
      <w:lvlText w:val="•"/>
      <w:lvlJc w:val="left"/>
      <w:pPr>
        <w:ind w:left="3456" w:hanging="360"/>
      </w:pPr>
      <w:rPr>
        <w:rFonts w:hint="default"/>
      </w:rPr>
    </w:lvl>
    <w:lvl w:ilvl="4">
      <w:start w:val="0"/>
      <w:numFmt w:val="bullet"/>
      <w:lvlText w:val="•"/>
      <w:lvlJc w:val="left"/>
      <w:pPr>
        <w:ind w:left="4328" w:hanging="360"/>
      </w:pPr>
      <w:rPr>
        <w:rFonts w:hint="default"/>
      </w:rPr>
    </w:lvl>
    <w:lvl w:ilvl="5">
      <w:start w:val="0"/>
      <w:numFmt w:val="bullet"/>
      <w:lvlText w:val="•"/>
      <w:lvlJc w:val="left"/>
      <w:pPr>
        <w:ind w:left="5200" w:hanging="360"/>
      </w:pPr>
      <w:rPr>
        <w:rFonts w:hint="default"/>
      </w:rPr>
    </w:lvl>
    <w:lvl w:ilvl="6">
      <w:start w:val="0"/>
      <w:numFmt w:val="bullet"/>
      <w:lvlText w:val="•"/>
      <w:lvlJc w:val="left"/>
      <w:pPr>
        <w:ind w:left="6072" w:hanging="360"/>
      </w:pPr>
      <w:rPr>
        <w:rFonts w:hint="default"/>
      </w:rPr>
    </w:lvl>
    <w:lvl w:ilvl="7">
      <w:start w:val="0"/>
      <w:numFmt w:val="bullet"/>
      <w:lvlText w:val="•"/>
      <w:lvlJc w:val="left"/>
      <w:pPr>
        <w:ind w:left="6944" w:hanging="360"/>
      </w:pPr>
      <w:rPr>
        <w:rFonts w:hint="default"/>
      </w:rPr>
    </w:lvl>
    <w:lvl w:ilvl="8">
      <w:start w:val="0"/>
      <w:numFmt w:val="bullet"/>
      <w:lvlText w:val="•"/>
      <w:lvlJc w:val="left"/>
      <w:pPr>
        <w:ind w:left="7816" w:hanging="360"/>
      </w:pPr>
      <w:rPr>
        <w:rFonts w:hint="default"/>
      </w:rPr>
    </w:lvl>
  </w:abstractNum>
  <w:abstractNum w:abstractNumId="34">
    <w:multiLevelType w:val="hybridMultilevel"/>
    <w:lvl w:ilvl="0">
      <w:start w:val="1"/>
      <w:numFmt w:val="decimal"/>
      <w:lvlText w:val="%1."/>
      <w:lvlJc w:val="left"/>
      <w:pPr>
        <w:ind w:left="480" w:hanging="360"/>
        <w:jc w:val="left"/>
      </w:pPr>
      <w:rPr>
        <w:rFonts w:hint="default" w:ascii="Arial" w:hAnsi="Arial" w:eastAsia="Arial" w:cs="Arial"/>
        <w:spacing w:val="-3"/>
        <w:w w:val="99"/>
        <w:sz w:val="24"/>
        <w:szCs w:val="24"/>
      </w:rPr>
    </w:lvl>
    <w:lvl w:ilvl="1">
      <w:start w:val="1"/>
      <w:numFmt w:val="lowerLetter"/>
      <w:lvlText w:val="(%2)"/>
      <w:lvlJc w:val="left"/>
      <w:pPr>
        <w:ind w:left="840" w:hanging="360"/>
        <w:jc w:val="right"/>
      </w:pPr>
      <w:rPr>
        <w:rFonts w:hint="default" w:ascii="Arial" w:hAnsi="Arial" w:eastAsia="Arial" w:cs="Arial"/>
        <w:spacing w:val="-1"/>
        <w:w w:val="99"/>
        <w:sz w:val="24"/>
        <w:szCs w:val="24"/>
      </w:rPr>
    </w:lvl>
    <w:lvl w:ilvl="2">
      <w:start w:val="0"/>
      <w:numFmt w:val="bullet"/>
      <w:lvlText w:val="•"/>
      <w:lvlJc w:val="left"/>
      <w:pPr>
        <w:ind w:left="1808" w:hanging="360"/>
      </w:pPr>
      <w:rPr>
        <w:rFonts w:hint="default"/>
      </w:rPr>
    </w:lvl>
    <w:lvl w:ilvl="3">
      <w:start w:val="0"/>
      <w:numFmt w:val="bullet"/>
      <w:lvlText w:val="•"/>
      <w:lvlJc w:val="left"/>
      <w:pPr>
        <w:ind w:left="2777" w:hanging="360"/>
      </w:pPr>
      <w:rPr>
        <w:rFonts w:hint="default"/>
      </w:rPr>
    </w:lvl>
    <w:lvl w:ilvl="4">
      <w:start w:val="0"/>
      <w:numFmt w:val="bullet"/>
      <w:lvlText w:val="•"/>
      <w:lvlJc w:val="left"/>
      <w:pPr>
        <w:ind w:left="3746" w:hanging="360"/>
      </w:pPr>
      <w:rPr>
        <w:rFonts w:hint="default"/>
      </w:rPr>
    </w:lvl>
    <w:lvl w:ilvl="5">
      <w:start w:val="0"/>
      <w:numFmt w:val="bullet"/>
      <w:lvlText w:val="•"/>
      <w:lvlJc w:val="left"/>
      <w:pPr>
        <w:ind w:left="4715" w:hanging="360"/>
      </w:pPr>
      <w:rPr>
        <w:rFonts w:hint="default"/>
      </w:rPr>
    </w:lvl>
    <w:lvl w:ilvl="6">
      <w:start w:val="0"/>
      <w:numFmt w:val="bullet"/>
      <w:lvlText w:val="•"/>
      <w:lvlJc w:val="left"/>
      <w:pPr>
        <w:ind w:left="5684" w:hanging="360"/>
      </w:pPr>
      <w:rPr>
        <w:rFonts w:hint="default"/>
      </w:rPr>
    </w:lvl>
    <w:lvl w:ilvl="7">
      <w:start w:val="0"/>
      <w:numFmt w:val="bullet"/>
      <w:lvlText w:val="•"/>
      <w:lvlJc w:val="left"/>
      <w:pPr>
        <w:ind w:left="6653" w:hanging="360"/>
      </w:pPr>
      <w:rPr>
        <w:rFonts w:hint="default"/>
      </w:rPr>
    </w:lvl>
    <w:lvl w:ilvl="8">
      <w:start w:val="0"/>
      <w:numFmt w:val="bullet"/>
      <w:lvlText w:val="•"/>
      <w:lvlJc w:val="left"/>
      <w:pPr>
        <w:ind w:left="7622" w:hanging="360"/>
      </w:pPr>
      <w:rPr>
        <w:rFonts w:hint="default"/>
      </w:rPr>
    </w:lvl>
  </w:abstractNum>
  <w:abstractNum w:abstractNumId="33">
    <w:multiLevelType w:val="hybridMultilevel"/>
    <w:lvl w:ilvl="0">
      <w:start w:val="0"/>
      <w:numFmt w:val="bullet"/>
      <w:lvlText w:val=""/>
      <w:lvlJc w:val="left"/>
      <w:pPr>
        <w:ind w:left="760" w:hanging="720"/>
      </w:pPr>
      <w:rPr>
        <w:rFonts w:hint="default"/>
        <w:strike/>
        <w:w w:val="100"/>
      </w:rPr>
    </w:lvl>
    <w:lvl w:ilvl="1">
      <w:start w:val="0"/>
      <w:numFmt w:val="bullet"/>
      <w:lvlText w:val=""/>
      <w:lvlJc w:val="left"/>
      <w:pPr>
        <w:ind w:left="1300" w:hanging="360"/>
      </w:pPr>
      <w:rPr>
        <w:rFonts w:hint="default"/>
        <w:strike/>
        <w:w w:val="100"/>
      </w:rPr>
    </w:lvl>
    <w:lvl w:ilvl="2">
      <w:start w:val="0"/>
      <w:numFmt w:val="bullet"/>
      <w:lvlText w:val="•"/>
      <w:lvlJc w:val="left"/>
      <w:pPr>
        <w:ind w:left="2313" w:hanging="360"/>
      </w:pPr>
      <w:rPr>
        <w:rFonts w:hint="default"/>
      </w:rPr>
    </w:lvl>
    <w:lvl w:ilvl="3">
      <w:start w:val="0"/>
      <w:numFmt w:val="bullet"/>
      <w:lvlText w:val="•"/>
      <w:lvlJc w:val="left"/>
      <w:pPr>
        <w:ind w:left="3326" w:hanging="360"/>
      </w:pPr>
      <w:rPr>
        <w:rFonts w:hint="default"/>
      </w:rPr>
    </w:lvl>
    <w:lvl w:ilvl="4">
      <w:start w:val="0"/>
      <w:numFmt w:val="bullet"/>
      <w:lvlText w:val="•"/>
      <w:lvlJc w:val="left"/>
      <w:pPr>
        <w:ind w:left="4340" w:hanging="360"/>
      </w:pPr>
      <w:rPr>
        <w:rFonts w:hint="default"/>
      </w:rPr>
    </w:lvl>
    <w:lvl w:ilvl="5">
      <w:start w:val="0"/>
      <w:numFmt w:val="bullet"/>
      <w:lvlText w:val="•"/>
      <w:lvlJc w:val="left"/>
      <w:pPr>
        <w:ind w:left="5353" w:hanging="360"/>
      </w:pPr>
      <w:rPr>
        <w:rFonts w:hint="default"/>
      </w:rPr>
    </w:lvl>
    <w:lvl w:ilvl="6">
      <w:start w:val="0"/>
      <w:numFmt w:val="bullet"/>
      <w:lvlText w:val="•"/>
      <w:lvlJc w:val="left"/>
      <w:pPr>
        <w:ind w:left="6366" w:hanging="360"/>
      </w:pPr>
      <w:rPr>
        <w:rFonts w:hint="default"/>
      </w:rPr>
    </w:lvl>
    <w:lvl w:ilvl="7">
      <w:start w:val="0"/>
      <w:numFmt w:val="bullet"/>
      <w:lvlText w:val="•"/>
      <w:lvlJc w:val="left"/>
      <w:pPr>
        <w:ind w:left="7380" w:hanging="360"/>
      </w:pPr>
      <w:rPr>
        <w:rFonts w:hint="default"/>
      </w:rPr>
    </w:lvl>
    <w:lvl w:ilvl="8">
      <w:start w:val="0"/>
      <w:numFmt w:val="bullet"/>
      <w:lvlText w:val="•"/>
      <w:lvlJc w:val="left"/>
      <w:pPr>
        <w:ind w:left="8393" w:hanging="360"/>
      </w:pPr>
      <w:rPr>
        <w:rFonts w:hint="default"/>
      </w:rPr>
    </w:lvl>
  </w:abstractNum>
  <w:abstractNum w:abstractNumId="32">
    <w:multiLevelType w:val="hybridMultilevel"/>
    <w:lvl w:ilvl="0">
      <w:start w:val="1"/>
      <w:numFmt w:val="decimal"/>
      <w:lvlText w:val="%1."/>
      <w:lvlJc w:val="left"/>
      <w:pPr>
        <w:ind w:left="1211" w:hanging="452"/>
        <w:jc w:val="left"/>
      </w:pPr>
      <w:rPr>
        <w:rFonts w:hint="default"/>
        <w:spacing w:val="-1"/>
        <w:w w:val="99"/>
        <w:u w:val="thick" w:color="2E97D3"/>
      </w:rPr>
    </w:lvl>
    <w:lvl w:ilvl="1">
      <w:start w:val="1"/>
      <w:numFmt w:val="lowerLetter"/>
      <w:lvlText w:val="%2."/>
      <w:lvlJc w:val="left"/>
      <w:pPr>
        <w:ind w:left="1240" w:hanging="360"/>
        <w:jc w:val="right"/>
      </w:pPr>
      <w:rPr>
        <w:rFonts w:hint="default"/>
        <w:strike/>
        <w:w w:val="99"/>
      </w:rPr>
    </w:lvl>
    <w:lvl w:ilvl="2">
      <w:start w:val="0"/>
      <w:numFmt w:val="bullet"/>
      <w:lvlText w:val="•"/>
      <w:lvlJc w:val="left"/>
      <w:pPr>
        <w:ind w:left="2251" w:hanging="360"/>
      </w:pPr>
      <w:rPr>
        <w:rFonts w:hint="default"/>
      </w:rPr>
    </w:lvl>
    <w:lvl w:ilvl="3">
      <w:start w:val="0"/>
      <w:numFmt w:val="bullet"/>
      <w:lvlText w:val="•"/>
      <w:lvlJc w:val="left"/>
      <w:pPr>
        <w:ind w:left="3262" w:hanging="360"/>
      </w:pPr>
      <w:rPr>
        <w:rFonts w:hint="default"/>
      </w:rPr>
    </w:lvl>
    <w:lvl w:ilvl="4">
      <w:start w:val="0"/>
      <w:numFmt w:val="bullet"/>
      <w:lvlText w:val="•"/>
      <w:lvlJc w:val="left"/>
      <w:pPr>
        <w:ind w:left="4273" w:hanging="360"/>
      </w:pPr>
      <w:rPr>
        <w:rFonts w:hint="default"/>
      </w:rPr>
    </w:lvl>
    <w:lvl w:ilvl="5">
      <w:start w:val="0"/>
      <w:numFmt w:val="bullet"/>
      <w:lvlText w:val="•"/>
      <w:lvlJc w:val="left"/>
      <w:pPr>
        <w:ind w:left="5284" w:hanging="360"/>
      </w:pPr>
      <w:rPr>
        <w:rFonts w:hint="default"/>
      </w:rPr>
    </w:lvl>
    <w:lvl w:ilvl="6">
      <w:start w:val="0"/>
      <w:numFmt w:val="bullet"/>
      <w:lvlText w:val="•"/>
      <w:lvlJc w:val="left"/>
      <w:pPr>
        <w:ind w:left="6295" w:hanging="360"/>
      </w:pPr>
      <w:rPr>
        <w:rFonts w:hint="default"/>
      </w:rPr>
    </w:lvl>
    <w:lvl w:ilvl="7">
      <w:start w:val="0"/>
      <w:numFmt w:val="bullet"/>
      <w:lvlText w:val="•"/>
      <w:lvlJc w:val="left"/>
      <w:pPr>
        <w:ind w:left="7306" w:hanging="360"/>
      </w:pPr>
      <w:rPr>
        <w:rFonts w:hint="default"/>
      </w:rPr>
    </w:lvl>
    <w:lvl w:ilvl="8">
      <w:start w:val="0"/>
      <w:numFmt w:val="bullet"/>
      <w:lvlText w:val="•"/>
      <w:lvlJc w:val="left"/>
      <w:pPr>
        <w:ind w:left="8317" w:hanging="360"/>
      </w:pPr>
      <w:rPr>
        <w:rFonts w:hint="default"/>
      </w:rPr>
    </w:lvl>
  </w:abstractNum>
  <w:abstractNum w:abstractNumId="31">
    <w:multiLevelType w:val="hybridMultilevel"/>
    <w:lvl w:ilvl="0">
      <w:start w:val="1"/>
      <w:numFmt w:val="decimal"/>
      <w:lvlText w:val="%1."/>
      <w:lvlJc w:val="left"/>
      <w:pPr>
        <w:ind w:left="1240" w:hanging="360"/>
        <w:jc w:val="left"/>
      </w:pPr>
      <w:rPr>
        <w:rFonts w:hint="default"/>
        <w:spacing w:val="-5"/>
        <w:w w:val="98"/>
        <w:u w:val="single" w:color="2E97D3"/>
      </w:rPr>
    </w:lvl>
    <w:lvl w:ilvl="1">
      <w:start w:val="0"/>
      <w:numFmt w:val="bullet"/>
      <w:lvlText w:val="•"/>
      <w:lvlJc w:val="left"/>
      <w:pPr>
        <w:ind w:left="2160" w:hanging="360"/>
      </w:pPr>
      <w:rPr>
        <w:rFonts w:hint="default"/>
      </w:rPr>
    </w:lvl>
    <w:lvl w:ilvl="2">
      <w:start w:val="0"/>
      <w:numFmt w:val="bullet"/>
      <w:lvlText w:val="•"/>
      <w:lvlJc w:val="left"/>
      <w:pPr>
        <w:ind w:left="3080" w:hanging="360"/>
      </w:pPr>
      <w:rPr>
        <w:rFonts w:hint="default"/>
      </w:rPr>
    </w:lvl>
    <w:lvl w:ilvl="3">
      <w:start w:val="0"/>
      <w:numFmt w:val="bullet"/>
      <w:lvlText w:val="•"/>
      <w:lvlJc w:val="left"/>
      <w:pPr>
        <w:ind w:left="4000" w:hanging="360"/>
      </w:pPr>
      <w:rPr>
        <w:rFonts w:hint="default"/>
      </w:rPr>
    </w:lvl>
    <w:lvl w:ilvl="4">
      <w:start w:val="0"/>
      <w:numFmt w:val="bullet"/>
      <w:lvlText w:val="•"/>
      <w:lvlJc w:val="left"/>
      <w:pPr>
        <w:ind w:left="4920" w:hanging="360"/>
      </w:pPr>
      <w:rPr>
        <w:rFonts w:hint="default"/>
      </w:rPr>
    </w:lvl>
    <w:lvl w:ilvl="5">
      <w:start w:val="0"/>
      <w:numFmt w:val="bullet"/>
      <w:lvlText w:val="•"/>
      <w:lvlJc w:val="left"/>
      <w:pPr>
        <w:ind w:left="5840" w:hanging="360"/>
      </w:pPr>
      <w:rPr>
        <w:rFonts w:hint="default"/>
      </w:rPr>
    </w:lvl>
    <w:lvl w:ilvl="6">
      <w:start w:val="0"/>
      <w:numFmt w:val="bullet"/>
      <w:lvlText w:val="•"/>
      <w:lvlJc w:val="left"/>
      <w:pPr>
        <w:ind w:left="6760" w:hanging="360"/>
      </w:pPr>
      <w:rPr>
        <w:rFonts w:hint="default"/>
      </w:rPr>
    </w:lvl>
    <w:lvl w:ilvl="7">
      <w:start w:val="0"/>
      <w:numFmt w:val="bullet"/>
      <w:lvlText w:val="•"/>
      <w:lvlJc w:val="left"/>
      <w:pPr>
        <w:ind w:left="7680" w:hanging="360"/>
      </w:pPr>
      <w:rPr>
        <w:rFonts w:hint="default"/>
      </w:rPr>
    </w:lvl>
    <w:lvl w:ilvl="8">
      <w:start w:val="0"/>
      <w:numFmt w:val="bullet"/>
      <w:lvlText w:val="•"/>
      <w:lvlJc w:val="left"/>
      <w:pPr>
        <w:ind w:left="8600" w:hanging="360"/>
      </w:pPr>
      <w:rPr>
        <w:rFonts w:hint="default"/>
      </w:rPr>
    </w:lvl>
  </w:abstractNum>
  <w:abstractNum w:abstractNumId="30">
    <w:multiLevelType w:val="hybridMultilevel"/>
    <w:lvl w:ilvl="0">
      <w:start w:val="1"/>
      <w:numFmt w:val="lowerLetter"/>
      <w:lvlText w:val="%1."/>
      <w:lvlJc w:val="left"/>
      <w:pPr>
        <w:ind w:left="1600" w:hanging="360"/>
        <w:jc w:val="left"/>
      </w:pPr>
      <w:rPr>
        <w:rFonts w:hint="default"/>
        <w:spacing w:val="-5"/>
        <w:w w:val="98"/>
        <w:u w:val="single" w:color="2E97D3"/>
      </w:rPr>
    </w:lvl>
    <w:lvl w:ilvl="1">
      <w:start w:val="0"/>
      <w:numFmt w:val="bullet"/>
      <w:lvlText w:val="•"/>
      <w:lvlJc w:val="left"/>
      <w:pPr>
        <w:ind w:left="2484" w:hanging="360"/>
      </w:pPr>
      <w:rPr>
        <w:rFonts w:hint="default"/>
      </w:rPr>
    </w:lvl>
    <w:lvl w:ilvl="2">
      <w:start w:val="0"/>
      <w:numFmt w:val="bullet"/>
      <w:lvlText w:val="•"/>
      <w:lvlJc w:val="left"/>
      <w:pPr>
        <w:ind w:left="3368" w:hanging="360"/>
      </w:pPr>
      <w:rPr>
        <w:rFonts w:hint="default"/>
      </w:rPr>
    </w:lvl>
    <w:lvl w:ilvl="3">
      <w:start w:val="0"/>
      <w:numFmt w:val="bullet"/>
      <w:lvlText w:val="•"/>
      <w:lvlJc w:val="left"/>
      <w:pPr>
        <w:ind w:left="4252" w:hanging="360"/>
      </w:pPr>
      <w:rPr>
        <w:rFonts w:hint="default"/>
      </w:rPr>
    </w:lvl>
    <w:lvl w:ilvl="4">
      <w:start w:val="0"/>
      <w:numFmt w:val="bullet"/>
      <w:lvlText w:val="•"/>
      <w:lvlJc w:val="left"/>
      <w:pPr>
        <w:ind w:left="5136" w:hanging="360"/>
      </w:pPr>
      <w:rPr>
        <w:rFonts w:hint="default"/>
      </w:rPr>
    </w:lvl>
    <w:lvl w:ilvl="5">
      <w:start w:val="0"/>
      <w:numFmt w:val="bullet"/>
      <w:lvlText w:val="•"/>
      <w:lvlJc w:val="left"/>
      <w:pPr>
        <w:ind w:left="6020" w:hanging="360"/>
      </w:pPr>
      <w:rPr>
        <w:rFonts w:hint="default"/>
      </w:rPr>
    </w:lvl>
    <w:lvl w:ilvl="6">
      <w:start w:val="0"/>
      <w:numFmt w:val="bullet"/>
      <w:lvlText w:val="•"/>
      <w:lvlJc w:val="left"/>
      <w:pPr>
        <w:ind w:left="6904" w:hanging="360"/>
      </w:pPr>
      <w:rPr>
        <w:rFonts w:hint="default"/>
      </w:rPr>
    </w:lvl>
    <w:lvl w:ilvl="7">
      <w:start w:val="0"/>
      <w:numFmt w:val="bullet"/>
      <w:lvlText w:val="•"/>
      <w:lvlJc w:val="left"/>
      <w:pPr>
        <w:ind w:left="7788" w:hanging="360"/>
      </w:pPr>
      <w:rPr>
        <w:rFonts w:hint="default"/>
      </w:rPr>
    </w:lvl>
    <w:lvl w:ilvl="8">
      <w:start w:val="0"/>
      <w:numFmt w:val="bullet"/>
      <w:lvlText w:val="•"/>
      <w:lvlJc w:val="left"/>
      <w:pPr>
        <w:ind w:left="8672" w:hanging="360"/>
      </w:pPr>
      <w:rPr>
        <w:rFonts w:hint="default"/>
      </w:rPr>
    </w:lvl>
  </w:abstractNum>
  <w:abstractNum w:abstractNumId="29">
    <w:multiLevelType w:val="hybridMultilevel"/>
    <w:lvl w:ilvl="0">
      <w:start w:val="4"/>
      <w:numFmt w:val="lowerLetter"/>
      <w:lvlText w:val="%1"/>
      <w:lvlJc w:val="left"/>
      <w:pPr>
        <w:ind w:left="1200" w:hanging="720"/>
        <w:jc w:val="left"/>
      </w:pPr>
      <w:rPr>
        <w:rFonts w:hint="default"/>
      </w:rPr>
    </w:lvl>
    <w:lvl w:ilvl="1">
      <w:start w:val="4"/>
      <w:numFmt w:val="decimal"/>
      <w:lvlText w:val="%1.%2."/>
      <w:lvlJc w:val="left"/>
      <w:pPr>
        <w:ind w:left="1200" w:hanging="720"/>
        <w:jc w:val="left"/>
      </w:pPr>
      <w:rPr>
        <w:rFonts w:hint="default"/>
        <w:strike/>
        <w:w w:val="99"/>
      </w:rPr>
    </w:lvl>
    <w:lvl w:ilvl="2">
      <w:start w:val="1"/>
      <w:numFmt w:val="decimal"/>
      <w:lvlText w:val="%3."/>
      <w:lvlJc w:val="left"/>
      <w:pPr>
        <w:ind w:left="1240" w:hanging="360"/>
        <w:jc w:val="left"/>
      </w:pPr>
      <w:rPr>
        <w:rFonts w:hint="default"/>
        <w:spacing w:val="-5"/>
        <w:w w:val="98"/>
        <w:u w:val="single" w:color="2E97D3"/>
      </w:rPr>
    </w:lvl>
    <w:lvl w:ilvl="3">
      <w:start w:val="0"/>
      <w:numFmt w:val="bullet"/>
      <w:lvlText w:val=""/>
      <w:lvlJc w:val="left"/>
      <w:pPr>
        <w:ind w:left="2320" w:hanging="360"/>
      </w:pPr>
      <w:rPr>
        <w:rFonts w:hint="default" w:ascii="Symbol" w:hAnsi="Symbol" w:eastAsia="Symbol" w:cs="Symbol"/>
        <w:w w:val="100"/>
        <w:sz w:val="24"/>
        <w:szCs w:val="24"/>
      </w:rPr>
    </w:lvl>
    <w:lvl w:ilvl="4">
      <w:start w:val="0"/>
      <w:numFmt w:val="bullet"/>
      <w:lvlText w:val="•"/>
      <w:lvlJc w:val="left"/>
      <w:pPr>
        <w:ind w:left="4135" w:hanging="360"/>
      </w:pPr>
      <w:rPr>
        <w:rFonts w:hint="default"/>
      </w:rPr>
    </w:lvl>
    <w:lvl w:ilvl="5">
      <w:start w:val="0"/>
      <w:numFmt w:val="bullet"/>
      <w:lvlText w:val="•"/>
      <w:lvlJc w:val="left"/>
      <w:pPr>
        <w:ind w:left="5042" w:hanging="360"/>
      </w:pPr>
      <w:rPr>
        <w:rFonts w:hint="default"/>
      </w:rPr>
    </w:lvl>
    <w:lvl w:ilvl="6">
      <w:start w:val="0"/>
      <w:numFmt w:val="bullet"/>
      <w:lvlText w:val="•"/>
      <w:lvlJc w:val="left"/>
      <w:pPr>
        <w:ind w:left="5950" w:hanging="360"/>
      </w:pPr>
      <w:rPr>
        <w:rFonts w:hint="default"/>
      </w:rPr>
    </w:lvl>
    <w:lvl w:ilvl="7">
      <w:start w:val="0"/>
      <w:numFmt w:val="bullet"/>
      <w:lvlText w:val="•"/>
      <w:lvlJc w:val="left"/>
      <w:pPr>
        <w:ind w:left="6857" w:hanging="360"/>
      </w:pPr>
      <w:rPr>
        <w:rFonts w:hint="default"/>
      </w:rPr>
    </w:lvl>
    <w:lvl w:ilvl="8">
      <w:start w:val="0"/>
      <w:numFmt w:val="bullet"/>
      <w:lvlText w:val="•"/>
      <w:lvlJc w:val="left"/>
      <w:pPr>
        <w:ind w:left="7765" w:hanging="360"/>
      </w:pPr>
      <w:rPr>
        <w:rFonts w:hint="default"/>
      </w:rPr>
    </w:lvl>
  </w:abstractNum>
  <w:abstractNum w:abstractNumId="28">
    <w:multiLevelType w:val="hybridMultilevel"/>
    <w:lvl w:ilvl="0">
      <w:start w:val="1"/>
      <w:numFmt w:val="decimal"/>
      <w:lvlText w:val="%1."/>
      <w:lvlJc w:val="left"/>
      <w:pPr>
        <w:ind w:left="480" w:hanging="360"/>
        <w:jc w:val="left"/>
      </w:pPr>
      <w:rPr>
        <w:rFonts w:hint="default" w:ascii="Arial" w:hAnsi="Arial" w:eastAsia="Arial" w:cs="Arial"/>
        <w:spacing w:val="-3"/>
        <w:w w:val="99"/>
        <w:sz w:val="24"/>
        <w:szCs w:val="24"/>
      </w:rPr>
    </w:lvl>
    <w:lvl w:ilvl="1">
      <w:start w:val="0"/>
      <w:numFmt w:val="bullet"/>
      <w:lvlText w:val="•"/>
      <w:lvlJc w:val="left"/>
      <w:pPr>
        <w:ind w:left="139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216" w:hanging="360"/>
      </w:pPr>
      <w:rPr>
        <w:rFonts w:hint="default"/>
      </w:rPr>
    </w:lvl>
    <w:lvl w:ilvl="4">
      <w:start w:val="0"/>
      <w:numFmt w:val="bullet"/>
      <w:lvlText w:val="•"/>
      <w:lvlJc w:val="left"/>
      <w:pPr>
        <w:ind w:left="4128" w:hanging="360"/>
      </w:pPr>
      <w:rPr>
        <w:rFonts w:hint="default"/>
      </w:rPr>
    </w:lvl>
    <w:lvl w:ilvl="5">
      <w:start w:val="0"/>
      <w:numFmt w:val="bullet"/>
      <w:lvlText w:val="•"/>
      <w:lvlJc w:val="left"/>
      <w:pPr>
        <w:ind w:left="5040" w:hanging="360"/>
      </w:pPr>
      <w:rPr>
        <w:rFonts w:hint="default"/>
      </w:rPr>
    </w:lvl>
    <w:lvl w:ilvl="6">
      <w:start w:val="0"/>
      <w:numFmt w:val="bullet"/>
      <w:lvlText w:val="•"/>
      <w:lvlJc w:val="left"/>
      <w:pPr>
        <w:ind w:left="5952" w:hanging="360"/>
      </w:pPr>
      <w:rPr>
        <w:rFonts w:hint="default"/>
      </w:rPr>
    </w:lvl>
    <w:lvl w:ilvl="7">
      <w:start w:val="0"/>
      <w:numFmt w:val="bullet"/>
      <w:lvlText w:val="•"/>
      <w:lvlJc w:val="left"/>
      <w:pPr>
        <w:ind w:left="6864" w:hanging="360"/>
      </w:pPr>
      <w:rPr>
        <w:rFonts w:hint="default"/>
      </w:rPr>
    </w:lvl>
    <w:lvl w:ilvl="8">
      <w:start w:val="0"/>
      <w:numFmt w:val="bullet"/>
      <w:lvlText w:val="•"/>
      <w:lvlJc w:val="left"/>
      <w:pPr>
        <w:ind w:left="7776" w:hanging="360"/>
      </w:pPr>
      <w:rPr>
        <w:rFonts w:hint="default"/>
      </w:rPr>
    </w:lvl>
  </w:abstractNum>
  <w:abstractNum w:abstractNumId="27">
    <w:multiLevelType w:val="hybridMultilevel"/>
    <w:lvl w:ilvl="0">
      <w:start w:val="1"/>
      <w:numFmt w:val="decimal"/>
      <w:lvlText w:val="%1."/>
      <w:lvlJc w:val="left"/>
      <w:pPr>
        <w:ind w:left="480" w:hanging="360"/>
        <w:jc w:val="left"/>
      </w:pPr>
      <w:rPr>
        <w:rFonts w:hint="default" w:ascii="Arial" w:hAnsi="Arial" w:eastAsia="Arial" w:cs="Arial"/>
        <w:spacing w:val="-4"/>
        <w:w w:val="99"/>
        <w:sz w:val="24"/>
        <w:szCs w:val="24"/>
      </w:rPr>
    </w:lvl>
    <w:lvl w:ilvl="1">
      <w:start w:val="0"/>
      <w:numFmt w:val="bullet"/>
      <w:lvlText w:val="•"/>
      <w:lvlJc w:val="left"/>
      <w:pPr>
        <w:ind w:left="139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216" w:hanging="360"/>
      </w:pPr>
      <w:rPr>
        <w:rFonts w:hint="default"/>
      </w:rPr>
    </w:lvl>
    <w:lvl w:ilvl="4">
      <w:start w:val="0"/>
      <w:numFmt w:val="bullet"/>
      <w:lvlText w:val="•"/>
      <w:lvlJc w:val="left"/>
      <w:pPr>
        <w:ind w:left="4128" w:hanging="360"/>
      </w:pPr>
      <w:rPr>
        <w:rFonts w:hint="default"/>
      </w:rPr>
    </w:lvl>
    <w:lvl w:ilvl="5">
      <w:start w:val="0"/>
      <w:numFmt w:val="bullet"/>
      <w:lvlText w:val="•"/>
      <w:lvlJc w:val="left"/>
      <w:pPr>
        <w:ind w:left="5040" w:hanging="360"/>
      </w:pPr>
      <w:rPr>
        <w:rFonts w:hint="default"/>
      </w:rPr>
    </w:lvl>
    <w:lvl w:ilvl="6">
      <w:start w:val="0"/>
      <w:numFmt w:val="bullet"/>
      <w:lvlText w:val="•"/>
      <w:lvlJc w:val="left"/>
      <w:pPr>
        <w:ind w:left="5952" w:hanging="360"/>
      </w:pPr>
      <w:rPr>
        <w:rFonts w:hint="default"/>
      </w:rPr>
    </w:lvl>
    <w:lvl w:ilvl="7">
      <w:start w:val="0"/>
      <w:numFmt w:val="bullet"/>
      <w:lvlText w:val="•"/>
      <w:lvlJc w:val="left"/>
      <w:pPr>
        <w:ind w:left="6864" w:hanging="360"/>
      </w:pPr>
      <w:rPr>
        <w:rFonts w:hint="default"/>
      </w:rPr>
    </w:lvl>
    <w:lvl w:ilvl="8">
      <w:start w:val="0"/>
      <w:numFmt w:val="bullet"/>
      <w:lvlText w:val="•"/>
      <w:lvlJc w:val="left"/>
      <w:pPr>
        <w:ind w:left="7776" w:hanging="360"/>
      </w:pPr>
      <w:rPr>
        <w:rFonts w:hint="default"/>
      </w:rPr>
    </w:lvl>
  </w:abstractNum>
  <w:abstractNum w:abstractNumId="26">
    <w:multiLevelType w:val="hybridMultilevel"/>
    <w:lvl w:ilvl="0">
      <w:start w:val="1"/>
      <w:numFmt w:val="decimal"/>
      <w:lvlText w:val="%1."/>
      <w:lvlJc w:val="left"/>
      <w:pPr>
        <w:ind w:left="840" w:hanging="360"/>
        <w:jc w:val="left"/>
      </w:pPr>
      <w:rPr>
        <w:rFonts w:hint="default" w:ascii="Arial" w:hAnsi="Arial" w:eastAsia="Arial" w:cs="Arial"/>
        <w:spacing w:val="-3"/>
        <w:w w:val="99"/>
        <w:sz w:val="24"/>
        <w:szCs w:val="24"/>
      </w:rPr>
    </w:lvl>
    <w:lvl w:ilvl="1">
      <w:start w:val="0"/>
      <w:numFmt w:val="bullet"/>
      <w:lvlText w:val="•"/>
      <w:lvlJc w:val="left"/>
      <w:pPr>
        <w:ind w:left="1716" w:hanging="360"/>
      </w:pPr>
      <w:rPr>
        <w:rFonts w:hint="default"/>
      </w:rPr>
    </w:lvl>
    <w:lvl w:ilvl="2">
      <w:start w:val="0"/>
      <w:numFmt w:val="bullet"/>
      <w:lvlText w:val="•"/>
      <w:lvlJc w:val="left"/>
      <w:pPr>
        <w:ind w:left="2592" w:hanging="360"/>
      </w:pPr>
      <w:rPr>
        <w:rFonts w:hint="default"/>
      </w:rPr>
    </w:lvl>
    <w:lvl w:ilvl="3">
      <w:start w:val="0"/>
      <w:numFmt w:val="bullet"/>
      <w:lvlText w:val="•"/>
      <w:lvlJc w:val="left"/>
      <w:pPr>
        <w:ind w:left="3468" w:hanging="360"/>
      </w:pPr>
      <w:rPr>
        <w:rFonts w:hint="default"/>
      </w:rPr>
    </w:lvl>
    <w:lvl w:ilvl="4">
      <w:start w:val="0"/>
      <w:numFmt w:val="bullet"/>
      <w:lvlText w:val="•"/>
      <w:lvlJc w:val="left"/>
      <w:pPr>
        <w:ind w:left="4344" w:hanging="360"/>
      </w:pPr>
      <w:rPr>
        <w:rFonts w:hint="default"/>
      </w:rPr>
    </w:lvl>
    <w:lvl w:ilvl="5">
      <w:start w:val="0"/>
      <w:numFmt w:val="bullet"/>
      <w:lvlText w:val="•"/>
      <w:lvlJc w:val="left"/>
      <w:pPr>
        <w:ind w:left="5220" w:hanging="360"/>
      </w:pPr>
      <w:rPr>
        <w:rFonts w:hint="default"/>
      </w:rPr>
    </w:lvl>
    <w:lvl w:ilvl="6">
      <w:start w:val="0"/>
      <w:numFmt w:val="bullet"/>
      <w:lvlText w:val="•"/>
      <w:lvlJc w:val="left"/>
      <w:pPr>
        <w:ind w:left="6096" w:hanging="360"/>
      </w:pPr>
      <w:rPr>
        <w:rFonts w:hint="default"/>
      </w:rPr>
    </w:lvl>
    <w:lvl w:ilvl="7">
      <w:start w:val="0"/>
      <w:numFmt w:val="bullet"/>
      <w:lvlText w:val="•"/>
      <w:lvlJc w:val="left"/>
      <w:pPr>
        <w:ind w:left="6972" w:hanging="360"/>
      </w:pPr>
      <w:rPr>
        <w:rFonts w:hint="default"/>
      </w:rPr>
    </w:lvl>
    <w:lvl w:ilvl="8">
      <w:start w:val="0"/>
      <w:numFmt w:val="bullet"/>
      <w:lvlText w:val="•"/>
      <w:lvlJc w:val="left"/>
      <w:pPr>
        <w:ind w:left="7848" w:hanging="360"/>
      </w:pPr>
      <w:rPr>
        <w:rFonts w:hint="default"/>
      </w:rPr>
    </w:lvl>
  </w:abstractNum>
  <w:abstractNum w:abstractNumId="25">
    <w:multiLevelType w:val="hybridMultilevel"/>
    <w:lvl w:ilvl="0">
      <w:start w:val="1"/>
      <w:numFmt w:val="decimal"/>
      <w:lvlText w:val="%1."/>
      <w:lvlJc w:val="left"/>
      <w:pPr>
        <w:ind w:left="840" w:hanging="360"/>
        <w:jc w:val="left"/>
      </w:pPr>
      <w:rPr>
        <w:rFonts w:hint="default" w:ascii="Arial" w:hAnsi="Arial" w:eastAsia="Arial" w:cs="Arial"/>
        <w:spacing w:val="-3"/>
        <w:w w:val="99"/>
        <w:sz w:val="24"/>
        <w:szCs w:val="24"/>
      </w:rPr>
    </w:lvl>
    <w:lvl w:ilvl="1">
      <w:start w:val="0"/>
      <w:numFmt w:val="bullet"/>
      <w:lvlText w:val="•"/>
      <w:lvlJc w:val="left"/>
      <w:pPr>
        <w:ind w:left="1716" w:hanging="360"/>
      </w:pPr>
      <w:rPr>
        <w:rFonts w:hint="default"/>
      </w:rPr>
    </w:lvl>
    <w:lvl w:ilvl="2">
      <w:start w:val="0"/>
      <w:numFmt w:val="bullet"/>
      <w:lvlText w:val="•"/>
      <w:lvlJc w:val="left"/>
      <w:pPr>
        <w:ind w:left="2592" w:hanging="360"/>
      </w:pPr>
      <w:rPr>
        <w:rFonts w:hint="default"/>
      </w:rPr>
    </w:lvl>
    <w:lvl w:ilvl="3">
      <w:start w:val="0"/>
      <w:numFmt w:val="bullet"/>
      <w:lvlText w:val="•"/>
      <w:lvlJc w:val="left"/>
      <w:pPr>
        <w:ind w:left="3468" w:hanging="360"/>
      </w:pPr>
      <w:rPr>
        <w:rFonts w:hint="default"/>
      </w:rPr>
    </w:lvl>
    <w:lvl w:ilvl="4">
      <w:start w:val="0"/>
      <w:numFmt w:val="bullet"/>
      <w:lvlText w:val="•"/>
      <w:lvlJc w:val="left"/>
      <w:pPr>
        <w:ind w:left="4344" w:hanging="360"/>
      </w:pPr>
      <w:rPr>
        <w:rFonts w:hint="default"/>
      </w:rPr>
    </w:lvl>
    <w:lvl w:ilvl="5">
      <w:start w:val="0"/>
      <w:numFmt w:val="bullet"/>
      <w:lvlText w:val="•"/>
      <w:lvlJc w:val="left"/>
      <w:pPr>
        <w:ind w:left="5220" w:hanging="360"/>
      </w:pPr>
      <w:rPr>
        <w:rFonts w:hint="default"/>
      </w:rPr>
    </w:lvl>
    <w:lvl w:ilvl="6">
      <w:start w:val="0"/>
      <w:numFmt w:val="bullet"/>
      <w:lvlText w:val="•"/>
      <w:lvlJc w:val="left"/>
      <w:pPr>
        <w:ind w:left="6096" w:hanging="360"/>
      </w:pPr>
      <w:rPr>
        <w:rFonts w:hint="default"/>
      </w:rPr>
    </w:lvl>
    <w:lvl w:ilvl="7">
      <w:start w:val="0"/>
      <w:numFmt w:val="bullet"/>
      <w:lvlText w:val="•"/>
      <w:lvlJc w:val="left"/>
      <w:pPr>
        <w:ind w:left="6972" w:hanging="360"/>
      </w:pPr>
      <w:rPr>
        <w:rFonts w:hint="default"/>
      </w:rPr>
    </w:lvl>
    <w:lvl w:ilvl="8">
      <w:start w:val="0"/>
      <w:numFmt w:val="bullet"/>
      <w:lvlText w:val="•"/>
      <w:lvlJc w:val="left"/>
      <w:pPr>
        <w:ind w:left="7848" w:hanging="360"/>
      </w:pPr>
      <w:rPr>
        <w:rFonts w:hint="default"/>
      </w:rPr>
    </w:lvl>
  </w:abstractNum>
  <w:abstractNum w:abstractNumId="24">
    <w:multiLevelType w:val="hybridMultilevel"/>
    <w:lvl w:ilvl="0">
      <w:start w:val="1"/>
      <w:numFmt w:val="decimal"/>
      <w:lvlText w:val="%1."/>
      <w:lvlJc w:val="left"/>
      <w:pPr>
        <w:ind w:left="1180" w:hanging="360"/>
        <w:jc w:val="left"/>
      </w:pPr>
      <w:rPr>
        <w:rFonts w:hint="default" w:ascii="Arial" w:hAnsi="Arial" w:eastAsia="Arial" w:cs="Arial"/>
        <w:spacing w:val="-3"/>
        <w:w w:val="99"/>
        <w:sz w:val="24"/>
        <w:szCs w:val="24"/>
      </w:rPr>
    </w:lvl>
    <w:lvl w:ilvl="1">
      <w:start w:val="0"/>
      <w:numFmt w:val="bullet"/>
      <w:lvlText w:val="•"/>
      <w:lvlJc w:val="left"/>
      <w:pPr>
        <w:ind w:left="2092" w:hanging="360"/>
      </w:pPr>
      <w:rPr>
        <w:rFonts w:hint="default"/>
      </w:rPr>
    </w:lvl>
    <w:lvl w:ilvl="2">
      <w:start w:val="0"/>
      <w:numFmt w:val="bullet"/>
      <w:lvlText w:val="•"/>
      <w:lvlJc w:val="left"/>
      <w:pPr>
        <w:ind w:left="3004" w:hanging="360"/>
      </w:pPr>
      <w:rPr>
        <w:rFonts w:hint="default"/>
      </w:rPr>
    </w:lvl>
    <w:lvl w:ilvl="3">
      <w:start w:val="0"/>
      <w:numFmt w:val="bullet"/>
      <w:lvlText w:val="•"/>
      <w:lvlJc w:val="left"/>
      <w:pPr>
        <w:ind w:left="3916" w:hanging="360"/>
      </w:pPr>
      <w:rPr>
        <w:rFonts w:hint="default"/>
      </w:rPr>
    </w:lvl>
    <w:lvl w:ilvl="4">
      <w:start w:val="0"/>
      <w:numFmt w:val="bullet"/>
      <w:lvlText w:val="•"/>
      <w:lvlJc w:val="left"/>
      <w:pPr>
        <w:ind w:left="4828" w:hanging="360"/>
      </w:pPr>
      <w:rPr>
        <w:rFonts w:hint="default"/>
      </w:rPr>
    </w:lvl>
    <w:lvl w:ilvl="5">
      <w:start w:val="0"/>
      <w:numFmt w:val="bullet"/>
      <w:lvlText w:val="•"/>
      <w:lvlJc w:val="left"/>
      <w:pPr>
        <w:ind w:left="5740" w:hanging="360"/>
      </w:pPr>
      <w:rPr>
        <w:rFonts w:hint="default"/>
      </w:rPr>
    </w:lvl>
    <w:lvl w:ilvl="6">
      <w:start w:val="0"/>
      <w:numFmt w:val="bullet"/>
      <w:lvlText w:val="•"/>
      <w:lvlJc w:val="left"/>
      <w:pPr>
        <w:ind w:left="6652" w:hanging="360"/>
      </w:pPr>
      <w:rPr>
        <w:rFonts w:hint="default"/>
      </w:rPr>
    </w:lvl>
    <w:lvl w:ilvl="7">
      <w:start w:val="0"/>
      <w:numFmt w:val="bullet"/>
      <w:lvlText w:val="•"/>
      <w:lvlJc w:val="left"/>
      <w:pPr>
        <w:ind w:left="7564" w:hanging="360"/>
      </w:pPr>
      <w:rPr>
        <w:rFonts w:hint="default"/>
      </w:rPr>
    </w:lvl>
    <w:lvl w:ilvl="8">
      <w:start w:val="0"/>
      <w:numFmt w:val="bullet"/>
      <w:lvlText w:val="•"/>
      <w:lvlJc w:val="left"/>
      <w:pPr>
        <w:ind w:left="8476" w:hanging="360"/>
      </w:pPr>
      <w:rPr>
        <w:rFonts w:hint="default"/>
      </w:rPr>
    </w:lvl>
  </w:abstractNum>
  <w:abstractNum w:abstractNumId="23">
    <w:multiLevelType w:val="hybridMultilevel"/>
    <w:lvl w:ilvl="0">
      <w:start w:val="1"/>
      <w:numFmt w:val="decimal"/>
      <w:lvlText w:val="%1."/>
      <w:lvlJc w:val="left"/>
      <w:pPr>
        <w:ind w:left="1240" w:hanging="360"/>
        <w:jc w:val="right"/>
      </w:pPr>
      <w:rPr>
        <w:rFonts w:hint="default"/>
        <w:spacing w:val="-5"/>
        <w:w w:val="98"/>
        <w:u w:val="single" w:color="2E97D3"/>
      </w:rPr>
    </w:lvl>
    <w:lvl w:ilvl="1">
      <w:start w:val="0"/>
      <w:numFmt w:val="bullet"/>
      <w:lvlText w:val="•"/>
      <w:lvlJc w:val="left"/>
      <w:pPr>
        <w:ind w:left="2164" w:hanging="360"/>
      </w:pPr>
      <w:rPr>
        <w:rFonts w:hint="default"/>
      </w:rPr>
    </w:lvl>
    <w:lvl w:ilvl="2">
      <w:start w:val="0"/>
      <w:numFmt w:val="bullet"/>
      <w:lvlText w:val="•"/>
      <w:lvlJc w:val="left"/>
      <w:pPr>
        <w:ind w:left="3088" w:hanging="360"/>
      </w:pPr>
      <w:rPr>
        <w:rFonts w:hint="default"/>
      </w:rPr>
    </w:lvl>
    <w:lvl w:ilvl="3">
      <w:start w:val="0"/>
      <w:numFmt w:val="bullet"/>
      <w:lvlText w:val="•"/>
      <w:lvlJc w:val="left"/>
      <w:pPr>
        <w:ind w:left="4012" w:hanging="360"/>
      </w:pPr>
      <w:rPr>
        <w:rFonts w:hint="default"/>
      </w:rPr>
    </w:lvl>
    <w:lvl w:ilvl="4">
      <w:start w:val="0"/>
      <w:numFmt w:val="bullet"/>
      <w:lvlText w:val="•"/>
      <w:lvlJc w:val="left"/>
      <w:pPr>
        <w:ind w:left="4936" w:hanging="360"/>
      </w:pPr>
      <w:rPr>
        <w:rFonts w:hint="default"/>
      </w:rPr>
    </w:lvl>
    <w:lvl w:ilvl="5">
      <w:start w:val="0"/>
      <w:numFmt w:val="bullet"/>
      <w:lvlText w:val="•"/>
      <w:lvlJc w:val="left"/>
      <w:pPr>
        <w:ind w:left="5860" w:hanging="360"/>
      </w:pPr>
      <w:rPr>
        <w:rFonts w:hint="default"/>
      </w:rPr>
    </w:lvl>
    <w:lvl w:ilvl="6">
      <w:start w:val="0"/>
      <w:numFmt w:val="bullet"/>
      <w:lvlText w:val="•"/>
      <w:lvlJc w:val="left"/>
      <w:pPr>
        <w:ind w:left="6784" w:hanging="360"/>
      </w:pPr>
      <w:rPr>
        <w:rFonts w:hint="default"/>
      </w:rPr>
    </w:lvl>
    <w:lvl w:ilvl="7">
      <w:start w:val="0"/>
      <w:numFmt w:val="bullet"/>
      <w:lvlText w:val="•"/>
      <w:lvlJc w:val="left"/>
      <w:pPr>
        <w:ind w:left="7708" w:hanging="360"/>
      </w:pPr>
      <w:rPr>
        <w:rFonts w:hint="default"/>
      </w:rPr>
    </w:lvl>
    <w:lvl w:ilvl="8">
      <w:start w:val="0"/>
      <w:numFmt w:val="bullet"/>
      <w:lvlText w:val="•"/>
      <w:lvlJc w:val="left"/>
      <w:pPr>
        <w:ind w:left="8632" w:hanging="360"/>
      </w:pPr>
      <w:rPr>
        <w:rFonts w:hint="default"/>
      </w:rPr>
    </w:lvl>
  </w:abstractNum>
  <w:abstractNum w:abstractNumId="22">
    <w:multiLevelType w:val="hybridMultilevel"/>
    <w:lvl w:ilvl="0">
      <w:start w:val="3"/>
      <w:numFmt w:val="decimal"/>
      <w:lvlText w:val="%1."/>
      <w:lvlJc w:val="left"/>
      <w:pPr>
        <w:ind w:left="1300" w:hanging="360"/>
        <w:jc w:val="left"/>
      </w:pPr>
      <w:rPr>
        <w:rFonts w:hint="default"/>
        <w:spacing w:val="-3"/>
        <w:w w:val="98"/>
        <w:u w:val="single" w:color="2E97D3"/>
      </w:rPr>
    </w:lvl>
    <w:lvl w:ilvl="1">
      <w:start w:val="0"/>
      <w:numFmt w:val="bullet"/>
      <w:lvlText w:val="•"/>
      <w:lvlJc w:val="left"/>
      <w:pPr>
        <w:ind w:left="1300" w:hanging="360"/>
      </w:pPr>
      <w:rPr>
        <w:rFonts w:hint="default"/>
        <w:w w:val="99"/>
        <w:u w:val="single" w:color="2E97D3"/>
      </w:rPr>
    </w:lvl>
    <w:lvl w:ilvl="2">
      <w:start w:val="0"/>
      <w:numFmt w:val="bullet"/>
      <w:lvlText w:val="•"/>
      <w:lvlJc w:val="left"/>
      <w:pPr>
        <w:ind w:left="3117" w:hanging="360"/>
      </w:pPr>
      <w:rPr>
        <w:rFonts w:hint="default"/>
      </w:rPr>
    </w:lvl>
    <w:lvl w:ilvl="3">
      <w:start w:val="0"/>
      <w:numFmt w:val="bullet"/>
      <w:lvlText w:val="•"/>
      <w:lvlJc w:val="left"/>
      <w:pPr>
        <w:ind w:left="4015" w:hanging="360"/>
      </w:pPr>
      <w:rPr>
        <w:rFonts w:hint="default"/>
      </w:rPr>
    </w:lvl>
    <w:lvl w:ilvl="4">
      <w:start w:val="0"/>
      <w:numFmt w:val="bullet"/>
      <w:lvlText w:val="•"/>
      <w:lvlJc w:val="left"/>
      <w:pPr>
        <w:ind w:left="4913" w:hanging="360"/>
      </w:pPr>
      <w:rPr>
        <w:rFonts w:hint="default"/>
      </w:rPr>
    </w:lvl>
    <w:lvl w:ilvl="5">
      <w:start w:val="0"/>
      <w:numFmt w:val="bullet"/>
      <w:lvlText w:val="•"/>
      <w:lvlJc w:val="left"/>
      <w:pPr>
        <w:ind w:left="5811" w:hanging="360"/>
      </w:pPr>
      <w:rPr>
        <w:rFonts w:hint="default"/>
      </w:rPr>
    </w:lvl>
    <w:lvl w:ilvl="6">
      <w:start w:val="0"/>
      <w:numFmt w:val="bullet"/>
      <w:lvlText w:val="•"/>
      <w:lvlJc w:val="left"/>
      <w:pPr>
        <w:ind w:left="6708" w:hanging="360"/>
      </w:pPr>
      <w:rPr>
        <w:rFonts w:hint="default"/>
      </w:rPr>
    </w:lvl>
    <w:lvl w:ilvl="7">
      <w:start w:val="0"/>
      <w:numFmt w:val="bullet"/>
      <w:lvlText w:val="•"/>
      <w:lvlJc w:val="left"/>
      <w:pPr>
        <w:ind w:left="7606" w:hanging="360"/>
      </w:pPr>
      <w:rPr>
        <w:rFonts w:hint="default"/>
      </w:rPr>
    </w:lvl>
    <w:lvl w:ilvl="8">
      <w:start w:val="0"/>
      <w:numFmt w:val="bullet"/>
      <w:lvlText w:val="•"/>
      <w:lvlJc w:val="left"/>
      <w:pPr>
        <w:ind w:left="8504" w:hanging="360"/>
      </w:pPr>
      <w:rPr>
        <w:rFonts w:hint="default"/>
      </w:rPr>
    </w:lvl>
  </w:abstractNum>
  <w:abstractNum w:abstractNumId="21">
    <w:multiLevelType w:val="hybridMultilevel"/>
    <w:lvl w:ilvl="0">
      <w:start w:val="2"/>
      <w:numFmt w:val="decimal"/>
      <w:lvlText w:val="%1"/>
      <w:lvlJc w:val="left"/>
      <w:pPr>
        <w:ind w:left="1271" w:hanging="452"/>
        <w:jc w:val="left"/>
      </w:pPr>
      <w:rPr>
        <w:rFonts w:hint="default"/>
      </w:rPr>
    </w:lvl>
    <w:lvl w:ilvl="1">
      <w:start w:val="2"/>
      <w:numFmt w:val="lowerLetter"/>
      <w:lvlText w:val="%1.%2."/>
      <w:lvlJc w:val="left"/>
      <w:pPr>
        <w:ind w:left="1271" w:hanging="452"/>
        <w:jc w:val="left"/>
      </w:pPr>
      <w:rPr>
        <w:rFonts w:hint="default"/>
        <w:strike/>
        <w:w w:val="100"/>
      </w:rPr>
    </w:lvl>
    <w:lvl w:ilvl="2">
      <w:start w:val="1"/>
      <w:numFmt w:val="decimal"/>
      <w:lvlText w:val="%3."/>
      <w:lvlJc w:val="left"/>
      <w:pPr>
        <w:ind w:left="1300" w:hanging="360"/>
        <w:jc w:val="right"/>
      </w:pPr>
      <w:rPr>
        <w:rFonts w:hint="default"/>
        <w:spacing w:val="-3"/>
        <w:w w:val="98"/>
        <w:u w:val="single" w:color="2E97D3"/>
      </w:rPr>
    </w:lvl>
    <w:lvl w:ilvl="3">
      <w:start w:val="0"/>
      <w:numFmt w:val="bullet"/>
      <w:lvlText w:val="•"/>
      <w:lvlJc w:val="left"/>
      <w:pPr>
        <w:ind w:left="1852" w:hanging="360"/>
      </w:pPr>
      <w:rPr>
        <w:rFonts w:hint="default"/>
        <w:w w:val="99"/>
        <w:u w:val="single" w:color="2E97D3"/>
      </w:rPr>
    </w:lvl>
    <w:lvl w:ilvl="4">
      <w:start w:val="0"/>
      <w:numFmt w:val="bullet"/>
      <w:lvlText w:val="•"/>
      <w:lvlJc w:val="left"/>
      <w:pPr>
        <w:ind w:left="3374" w:hanging="360"/>
      </w:pPr>
      <w:rPr>
        <w:rFonts w:hint="default"/>
      </w:rPr>
    </w:lvl>
    <w:lvl w:ilvl="5">
      <w:start w:val="0"/>
      <w:numFmt w:val="bullet"/>
      <w:lvlText w:val="•"/>
      <w:lvlJc w:val="left"/>
      <w:pPr>
        <w:ind w:left="4528" w:hanging="360"/>
      </w:pPr>
      <w:rPr>
        <w:rFonts w:hint="default"/>
      </w:rPr>
    </w:lvl>
    <w:lvl w:ilvl="6">
      <w:start w:val="0"/>
      <w:numFmt w:val="bullet"/>
      <w:lvlText w:val="•"/>
      <w:lvlJc w:val="left"/>
      <w:pPr>
        <w:ind w:left="5682" w:hanging="360"/>
      </w:pPr>
      <w:rPr>
        <w:rFonts w:hint="default"/>
      </w:rPr>
    </w:lvl>
    <w:lvl w:ilvl="7">
      <w:start w:val="0"/>
      <w:numFmt w:val="bullet"/>
      <w:lvlText w:val="•"/>
      <w:lvlJc w:val="left"/>
      <w:pPr>
        <w:ind w:left="6837" w:hanging="360"/>
      </w:pPr>
      <w:rPr>
        <w:rFonts w:hint="default"/>
      </w:rPr>
    </w:lvl>
    <w:lvl w:ilvl="8">
      <w:start w:val="0"/>
      <w:numFmt w:val="bullet"/>
      <w:lvlText w:val="•"/>
      <w:lvlJc w:val="left"/>
      <w:pPr>
        <w:ind w:left="7991" w:hanging="360"/>
      </w:pPr>
      <w:rPr>
        <w:rFonts w:hint="default"/>
      </w:rPr>
    </w:lvl>
  </w:abstractNum>
  <w:abstractNum w:abstractNumId="20">
    <w:multiLevelType w:val="hybridMultilevel"/>
    <w:lvl w:ilvl="0">
      <w:start w:val="1"/>
      <w:numFmt w:val="decimal"/>
      <w:lvlText w:val="%1)"/>
      <w:lvlJc w:val="left"/>
      <w:pPr>
        <w:ind w:left="120" w:hanging="281"/>
        <w:jc w:val="left"/>
      </w:pPr>
      <w:rPr>
        <w:rFonts w:hint="default" w:ascii="Arial" w:hAnsi="Arial" w:eastAsia="Arial" w:cs="Arial"/>
        <w:w w:val="99"/>
        <w:sz w:val="24"/>
        <w:szCs w:val="24"/>
      </w:rPr>
    </w:lvl>
    <w:lvl w:ilvl="1">
      <w:start w:val="1"/>
      <w:numFmt w:val="lowerLetter"/>
      <w:lvlText w:val="%1.%2."/>
      <w:lvlJc w:val="left"/>
      <w:pPr>
        <w:ind w:left="1271" w:hanging="452"/>
        <w:jc w:val="left"/>
      </w:pPr>
      <w:rPr>
        <w:rFonts w:hint="default"/>
        <w:strike/>
        <w:w w:val="100"/>
      </w:rPr>
    </w:lvl>
    <w:lvl w:ilvl="2">
      <w:start w:val="0"/>
      <w:numFmt w:val="bullet"/>
      <w:lvlText w:val="•"/>
      <w:lvlJc w:val="left"/>
      <w:pPr>
        <w:ind w:left="2204" w:hanging="452"/>
      </w:pPr>
      <w:rPr>
        <w:rFonts w:hint="default"/>
      </w:rPr>
    </w:lvl>
    <w:lvl w:ilvl="3">
      <w:start w:val="0"/>
      <w:numFmt w:val="bullet"/>
      <w:lvlText w:val="•"/>
      <w:lvlJc w:val="left"/>
      <w:pPr>
        <w:ind w:left="3128" w:hanging="452"/>
      </w:pPr>
      <w:rPr>
        <w:rFonts w:hint="default"/>
      </w:rPr>
    </w:lvl>
    <w:lvl w:ilvl="4">
      <w:start w:val="0"/>
      <w:numFmt w:val="bullet"/>
      <w:lvlText w:val="•"/>
      <w:lvlJc w:val="left"/>
      <w:pPr>
        <w:ind w:left="4053" w:hanging="452"/>
      </w:pPr>
      <w:rPr>
        <w:rFonts w:hint="default"/>
      </w:rPr>
    </w:lvl>
    <w:lvl w:ilvl="5">
      <w:start w:val="0"/>
      <w:numFmt w:val="bullet"/>
      <w:lvlText w:val="•"/>
      <w:lvlJc w:val="left"/>
      <w:pPr>
        <w:ind w:left="4977" w:hanging="452"/>
      </w:pPr>
      <w:rPr>
        <w:rFonts w:hint="default"/>
      </w:rPr>
    </w:lvl>
    <w:lvl w:ilvl="6">
      <w:start w:val="0"/>
      <w:numFmt w:val="bullet"/>
      <w:lvlText w:val="•"/>
      <w:lvlJc w:val="left"/>
      <w:pPr>
        <w:ind w:left="5902" w:hanging="452"/>
      </w:pPr>
      <w:rPr>
        <w:rFonts w:hint="default"/>
      </w:rPr>
    </w:lvl>
    <w:lvl w:ilvl="7">
      <w:start w:val="0"/>
      <w:numFmt w:val="bullet"/>
      <w:lvlText w:val="•"/>
      <w:lvlJc w:val="left"/>
      <w:pPr>
        <w:ind w:left="6826" w:hanging="452"/>
      </w:pPr>
      <w:rPr>
        <w:rFonts w:hint="default"/>
      </w:rPr>
    </w:lvl>
    <w:lvl w:ilvl="8">
      <w:start w:val="0"/>
      <w:numFmt w:val="bullet"/>
      <w:lvlText w:val="•"/>
      <w:lvlJc w:val="left"/>
      <w:pPr>
        <w:ind w:left="7751" w:hanging="452"/>
      </w:pPr>
      <w:rPr>
        <w:rFonts w:hint="default"/>
      </w:rPr>
    </w:lvl>
  </w:abstractNum>
  <w:abstractNum w:abstractNumId="19">
    <w:multiLevelType w:val="hybridMultilevel"/>
    <w:lvl w:ilvl="0">
      <w:start w:val="1"/>
      <w:numFmt w:val="decimal"/>
      <w:lvlText w:val="%1."/>
      <w:lvlJc w:val="left"/>
      <w:pPr>
        <w:ind w:left="480" w:hanging="360"/>
        <w:jc w:val="left"/>
      </w:pPr>
      <w:rPr>
        <w:rFonts w:hint="default" w:ascii="Arial" w:hAnsi="Arial" w:eastAsia="Arial" w:cs="Arial"/>
        <w:w w:val="99"/>
        <w:sz w:val="24"/>
        <w:szCs w:val="24"/>
      </w:rPr>
    </w:lvl>
    <w:lvl w:ilvl="1">
      <w:start w:val="0"/>
      <w:numFmt w:val="bullet"/>
      <w:lvlText w:val="•"/>
      <w:lvlJc w:val="left"/>
      <w:pPr>
        <w:ind w:left="139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216" w:hanging="360"/>
      </w:pPr>
      <w:rPr>
        <w:rFonts w:hint="default"/>
      </w:rPr>
    </w:lvl>
    <w:lvl w:ilvl="4">
      <w:start w:val="0"/>
      <w:numFmt w:val="bullet"/>
      <w:lvlText w:val="•"/>
      <w:lvlJc w:val="left"/>
      <w:pPr>
        <w:ind w:left="4128" w:hanging="360"/>
      </w:pPr>
      <w:rPr>
        <w:rFonts w:hint="default"/>
      </w:rPr>
    </w:lvl>
    <w:lvl w:ilvl="5">
      <w:start w:val="0"/>
      <w:numFmt w:val="bullet"/>
      <w:lvlText w:val="•"/>
      <w:lvlJc w:val="left"/>
      <w:pPr>
        <w:ind w:left="5040" w:hanging="360"/>
      </w:pPr>
      <w:rPr>
        <w:rFonts w:hint="default"/>
      </w:rPr>
    </w:lvl>
    <w:lvl w:ilvl="6">
      <w:start w:val="0"/>
      <w:numFmt w:val="bullet"/>
      <w:lvlText w:val="•"/>
      <w:lvlJc w:val="left"/>
      <w:pPr>
        <w:ind w:left="5952" w:hanging="360"/>
      </w:pPr>
      <w:rPr>
        <w:rFonts w:hint="default"/>
      </w:rPr>
    </w:lvl>
    <w:lvl w:ilvl="7">
      <w:start w:val="0"/>
      <w:numFmt w:val="bullet"/>
      <w:lvlText w:val="•"/>
      <w:lvlJc w:val="left"/>
      <w:pPr>
        <w:ind w:left="6864" w:hanging="360"/>
      </w:pPr>
      <w:rPr>
        <w:rFonts w:hint="default"/>
      </w:rPr>
    </w:lvl>
    <w:lvl w:ilvl="8">
      <w:start w:val="0"/>
      <w:numFmt w:val="bullet"/>
      <w:lvlText w:val="•"/>
      <w:lvlJc w:val="left"/>
      <w:pPr>
        <w:ind w:left="7776" w:hanging="360"/>
      </w:pPr>
      <w:rPr>
        <w:rFonts w:hint="default"/>
      </w:rPr>
    </w:lvl>
  </w:abstractNum>
  <w:abstractNum w:abstractNumId="18">
    <w:multiLevelType w:val="hybridMultilevel"/>
    <w:lvl w:ilvl="0">
      <w:start w:val="1"/>
      <w:numFmt w:val="decimal"/>
      <w:lvlText w:val="%1."/>
      <w:lvlJc w:val="left"/>
      <w:pPr>
        <w:ind w:left="1180" w:hanging="360"/>
        <w:jc w:val="right"/>
      </w:pPr>
      <w:rPr>
        <w:rFonts w:hint="default" w:ascii="Arial" w:hAnsi="Arial" w:eastAsia="Arial" w:cs="Arial"/>
        <w:w w:val="99"/>
        <w:sz w:val="24"/>
        <w:szCs w:val="24"/>
      </w:rPr>
    </w:lvl>
    <w:lvl w:ilvl="1">
      <w:start w:val="1"/>
      <w:numFmt w:val="lowerLetter"/>
      <w:lvlText w:val="%2."/>
      <w:lvlJc w:val="left"/>
      <w:pPr>
        <w:ind w:left="1640" w:hanging="461"/>
        <w:jc w:val="left"/>
      </w:pPr>
      <w:rPr>
        <w:rFonts w:hint="default" w:ascii="Arial" w:hAnsi="Arial" w:eastAsia="Arial" w:cs="Arial"/>
        <w:spacing w:val="-9"/>
        <w:w w:val="99"/>
        <w:sz w:val="24"/>
        <w:szCs w:val="24"/>
      </w:rPr>
    </w:lvl>
    <w:lvl w:ilvl="2">
      <w:start w:val="0"/>
      <w:numFmt w:val="bullet"/>
      <w:lvlText w:val="•"/>
      <w:lvlJc w:val="left"/>
      <w:pPr>
        <w:ind w:left="2602" w:hanging="461"/>
      </w:pPr>
      <w:rPr>
        <w:rFonts w:hint="default"/>
      </w:rPr>
    </w:lvl>
    <w:lvl w:ilvl="3">
      <w:start w:val="0"/>
      <w:numFmt w:val="bullet"/>
      <w:lvlText w:val="•"/>
      <w:lvlJc w:val="left"/>
      <w:pPr>
        <w:ind w:left="3564" w:hanging="461"/>
      </w:pPr>
      <w:rPr>
        <w:rFonts w:hint="default"/>
      </w:rPr>
    </w:lvl>
    <w:lvl w:ilvl="4">
      <w:start w:val="0"/>
      <w:numFmt w:val="bullet"/>
      <w:lvlText w:val="•"/>
      <w:lvlJc w:val="left"/>
      <w:pPr>
        <w:ind w:left="4526" w:hanging="461"/>
      </w:pPr>
      <w:rPr>
        <w:rFonts w:hint="default"/>
      </w:rPr>
    </w:lvl>
    <w:lvl w:ilvl="5">
      <w:start w:val="0"/>
      <w:numFmt w:val="bullet"/>
      <w:lvlText w:val="•"/>
      <w:lvlJc w:val="left"/>
      <w:pPr>
        <w:ind w:left="5488" w:hanging="461"/>
      </w:pPr>
      <w:rPr>
        <w:rFonts w:hint="default"/>
      </w:rPr>
    </w:lvl>
    <w:lvl w:ilvl="6">
      <w:start w:val="0"/>
      <w:numFmt w:val="bullet"/>
      <w:lvlText w:val="•"/>
      <w:lvlJc w:val="left"/>
      <w:pPr>
        <w:ind w:left="6451" w:hanging="461"/>
      </w:pPr>
      <w:rPr>
        <w:rFonts w:hint="default"/>
      </w:rPr>
    </w:lvl>
    <w:lvl w:ilvl="7">
      <w:start w:val="0"/>
      <w:numFmt w:val="bullet"/>
      <w:lvlText w:val="•"/>
      <w:lvlJc w:val="left"/>
      <w:pPr>
        <w:ind w:left="7413" w:hanging="461"/>
      </w:pPr>
      <w:rPr>
        <w:rFonts w:hint="default"/>
      </w:rPr>
    </w:lvl>
    <w:lvl w:ilvl="8">
      <w:start w:val="0"/>
      <w:numFmt w:val="bullet"/>
      <w:lvlText w:val="•"/>
      <w:lvlJc w:val="left"/>
      <w:pPr>
        <w:ind w:left="8375" w:hanging="461"/>
      </w:pPr>
      <w:rPr>
        <w:rFonts w:hint="default"/>
      </w:rPr>
    </w:lvl>
  </w:abstractNum>
  <w:abstractNum w:abstractNumId="17">
    <w:multiLevelType w:val="hybridMultilevel"/>
    <w:lvl w:ilvl="0">
      <w:start w:val="1"/>
      <w:numFmt w:val="decimal"/>
      <w:lvlText w:val="%1."/>
      <w:lvlJc w:val="left"/>
      <w:pPr>
        <w:ind w:left="480" w:hanging="360"/>
        <w:jc w:val="right"/>
      </w:pPr>
      <w:rPr>
        <w:rFonts w:hint="default" w:ascii="Arial" w:hAnsi="Arial" w:eastAsia="Arial" w:cs="Arial"/>
        <w:spacing w:val="-5"/>
        <w:w w:val="99"/>
        <w:sz w:val="24"/>
        <w:szCs w:val="24"/>
      </w:rPr>
    </w:lvl>
    <w:lvl w:ilvl="1">
      <w:start w:val="0"/>
      <w:numFmt w:val="bullet"/>
      <w:lvlText w:val="•"/>
      <w:lvlJc w:val="left"/>
      <w:pPr>
        <w:ind w:left="139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216" w:hanging="360"/>
      </w:pPr>
      <w:rPr>
        <w:rFonts w:hint="default"/>
      </w:rPr>
    </w:lvl>
    <w:lvl w:ilvl="4">
      <w:start w:val="0"/>
      <w:numFmt w:val="bullet"/>
      <w:lvlText w:val="•"/>
      <w:lvlJc w:val="left"/>
      <w:pPr>
        <w:ind w:left="4128" w:hanging="360"/>
      </w:pPr>
      <w:rPr>
        <w:rFonts w:hint="default"/>
      </w:rPr>
    </w:lvl>
    <w:lvl w:ilvl="5">
      <w:start w:val="0"/>
      <w:numFmt w:val="bullet"/>
      <w:lvlText w:val="•"/>
      <w:lvlJc w:val="left"/>
      <w:pPr>
        <w:ind w:left="5040" w:hanging="360"/>
      </w:pPr>
      <w:rPr>
        <w:rFonts w:hint="default"/>
      </w:rPr>
    </w:lvl>
    <w:lvl w:ilvl="6">
      <w:start w:val="0"/>
      <w:numFmt w:val="bullet"/>
      <w:lvlText w:val="•"/>
      <w:lvlJc w:val="left"/>
      <w:pPr>
        <w:ind w:left="5952" w:hanging="360"/>
      </w:pPr>
      <w:rPr>
        <w:rFonts w:hint="default"/>
      </w:rPr>
    </w:lvl>
    <w:lvl w:ilvl="7">
      <w:start w:val="0"/>
      <w:numFmt w:val="bullet"/>
      <w:lvlText w:val="•"/>
      <w:lvlJc w:val="left"/>
      <w:pPr>
        <w:ind w:left="6864" w:hanging="360"/>
      </w:pPr>
      <w:rPr>
        <w:rFonts w:hint="default"/>
      </w:rPr>
    </w:lvl>
    <w:lvl w:ilvl="8">
      <w:start w:val="0"/>
      <w:numFmt w:val="bullet"/>
      <w:lvlText w:val="•"/>
      <w:lvlJc w:val="left"/>
      <w:pPr>
        <w:ind w:left="7776" w:hanging="360"/>
      </w:pPr>
      <w:rPr>
        <w:rFonts w:hint="default"/>
      </w:rPr>
    </w:lvl>
  </w:abstractNum>
  <w:abstractNum w:abstractNumId="16">
    <w:multiLevelType w:val="hybridMultilevel"/>
    <w:lvl w:ilvl="0">
      <w:start w:val="1"/>
      <w:numFmt w:val="decimal"/>
      <w:lvlText w:val="%1."/>
      <w:lvlJc w:val="left"/>
      <w:pPr>
        <w:ind w:left="480" w:hanging="360"/>
        <w:jc w:val="left"/>
      </w:pPr>
      <w:rPr>
        <w:rFonts w:hint="default" w:ascii="Arial" w:hAnsi="Arial" w:eastAsia="Arial" w:cs="Arial"/>
        <w:spacing w:val="-2"/>
        <w:w w:val="99"/>
        <w:sz w:val="24"/>
        <w:szCs w:val="24"/>
      </w:rPr>
    </w:lvl>
    <w:lvl w:ilvl="1">
      <w:start w:val="0"/>
      <w:numFmt w:val="bullet"/>
      <w:lvlText w:val=""/>
      <w:lvlJc w:val="left"/>
      <w:pPr>
        <w:ind w:left="1740" w:hanging="360"/>
      </w:pPr>
      <w:rPr>
        <w:rFonts w:hint="default" w:ascii="Symbol" w:hAnsi="Symbol" w:eastAsia="Symbol" w:cs="Symbol"/>
        <w:w w:val="100"/>
        <w:sz w:val="24"/>
        <w:szCs w:val="24"/>
      </w:rPr>
    </w:lvl>
    <w:lvl w:ilvl="2">
      <w:start w:val="0"/>
      <w:numFmt w:val="bullet"/>
      <w:lvlText w:val="•"/>
      <w:lvlJc w:val="left"/>
      <w:pPr>
        <w:ind w:left="2613" w:hanging="360"/>
      </w:pPr>
      <w:rPr>
        <w:rFonts w:hint="default"/>
      </w:rPr>
    </w:lvl>
    <w:lvl w:ilvl="3">
      <w:start w:val="0"/>
      <w:numFmt w:val="bullet"/>
      <w:lvlText w:val="•"/>
      <w:lvlJc w:val="left"/>
      <w:pPr>
        <w:ind w:left="3486" w:hanging="360"/>
      </w:pPr>
      <w:rPr>
        <w:rFonts w:hint="default"/>
      </w:rPr>
    </w:lvl>
    <w:lvl w:ilvl="4">
      <w:start w:val="0"/>
      <w:numFmt w:val="bullet"/>
      <w:lvlText w:val="•"/>
      <w:lvlJc w:val="left"/>
      <w:pPr>
        <w:ind w:left="4360" w:hanging="360"/>
      </w:pPr>
      <w:rPr>
        <w:rFonts w:hint="default"/>
      </w:rPr>
    </w:lvl>
    <w:lvl w:ilvl="5">
      <w:start w:val="0"/>
      <w:numFmt w:val="bullet"/>
      <w:lvlText w:val="•"/>
      <w:lvlJc w:val="left"/>
      <w:pPr>
        <w:ind w:left="5233" w:hanging="360"/>
      </w:pPr>
      <w:rPr>
        <w:rFonts w:hint="default"/>
      </w:rPr>
    </w:lvl>
    <w:lvl w:ilvl="6">
      <w:start w:val="0"/>
      <w:numFmt w:val="bullet"/>
      <w:lvlText w:val="•"/>
      <w:lvlJc w:val="left"/>
      <w:pPr>
        <w:ind w:left="6106" w:hanging="360"/>
      </w:pPr>
      <w:rPr>
        <w:rFonts w:hint="default"/>
      </w:rPr>
    </w:lvl>
    <w:lvl w:ilvl="7">
      <w:start w:val="0"/>
      <w:numFmt w:val="bullet"/>
      <w:lvlText w:val="•"/>
      <w:lvlJc w:val="left"/>
      <w:pPr>
        <w:ind w:left="6980" w:hanging="360"/>
      </w:pPr>
      <w:rPr>
        <w:rFonts w:hint="default"/>
      </w:rPr>
    </w:lvl>
    <w:lvl w:ilvl="8">
      <w:start w:val="0"/>
      <w:numFmt w:val="bullet"/>
      <w:lvlText w:val="•"/>
      <w:lvlJc w:val="left"/>
      <w:pPr>
        <w:ind w:left="7853" w:hanging="360"/>
      </w:pPr>
      <w:rPr>
        <w:rFonts w:hint="default"/>
      </w:rPr>
    </w:lvl>
  </w:abstractNum>
  <w:abstractNum w:abstractNumId="15">
    <w:multiLevelType w:val="hybridMultilevel"/>
    <w:lvl w:ilvl="0">
      <w:start w:val="1"/>
      <w:numFmt w:val="decimal"/>
      <w:lvlText w:val="%1."/>
      <w:lvlJc w:val="left"/>
      <w:pPr>
        <w:ind w:left="480" w:hanging="360"/>
        <w:jc w:val="left"/>
      </w:pPr>
      <w:rPr>
        <w:rFonts w:hint="default" w:ascii="Arial" w:hAnsi="Arial" w:eastAsia="Arial" w:cs="Arial"/>
        <w:spacing w:val="-3"/>
        <w:w w:val="99"/>
        <w:sz w:val="24"/>
        <w:szCs w:val="24"/>
      </w:rPr>
    </w:lvl>
    <w:lvl w:ilvl="1">
      <w:start w:val="0"/>
      <w:numFmt w:val="bullet"/>
      <w:lvlText w:val="•"/>
      <w:lvlJc w:val="left"/>
      <w:pPr>
        <w:ind w:left="139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216" w:hanging="360"/>
      </w:pPr>
      <w:rPr>
        <w:rFonts w:hint="default"/>
      </w:rPr>
    </w:lvl>
    <w:lvl w:ilvl="4">
      <w:start w:val="0"/>
      <w:numFmt w:val="bullet"/>
      <w:lvlText w:val="•"/>
      <w:lvlJc w:val="left"/>
      <w:pPr>
        <w:ind w:left="4128" w:hanging="360"/>
      </w:pPr>
      <w:rPr>
        <w:rFonts w:hint="default"/>
      </w:rPr>
    </w:lvl>
    <w:lvl w:ilvl="5">
      <w:start w:val="0"/>
      <w:numFmt w:val="bullet"/>
      <w:lvlText w:val="•"/>
      <w:lvlJc w:val="left"/>
      <w:pPr>
        <w:ind w:left="5040" w:hanging="360"/>
      </w:pPr>
      <w:rPr>
        <w:rFonts w:hint="default"/>
      </w:rPr>
    </w:lvl>
    <w:lvl w:ilvl="6">
      <w:start w:val="0"/>
      <w:numFmt w:val="bullet"/>
      <w:lvlText w:val="•"/>
      <w:lvlJc w:val="left"/>
      <w:pPr>
        <w:ind w:left="5952" w:hanging="360"/>
      </w:pPr>
      <w:rPr>
        <w:rFonts w:hint="default"/>
      </w:rPr>
    </w:lvl>
    <w:lvl w:ilvl="7">
      <w:start w:val="0"/>
      <w:numFmt w:val="bullet"/>
      <w:lvlText w:val="•"/>
      <w:lvlJc w:val="left"/>
      <w:pPr>
        <w:ind w:left="6864" w:hanging="360"/>
      </w:pPr>
      <w:rPr>
        <w:rFonts w:hint="default"/>
      </w:rPr>
    </w:lvl>
    <w:lvl w:ilvl="8">
      <w:start w:val="0"/>
      <w:numFmt w:val="bullet"/>
      <w:lvlText w:val="•"/>
      <w:lvlJc w:val="left"/>
      <w:pPr>
        <w:ind w:left="7776" w:hanging="360"/>
      </w:pPr>
      <w:rPr>
        <w:rFonts w:hint="default"/>
      </w:rPr>
    </w:lvl>
  </w:abstractNum>
  <w:abstractNum w:abstractNumId="14">
    <w:multiLevelType w:val="hybridMultilevel"/>
    <w:lvl w:ilvl="0">
      <w:start w:val="1"/>
      <w:numFmt w:val="decimal"/>
      <w:lvlText w:val="%1."/>
      <w:lvlJc w:val="left"/>
      <w:pPr>
        <w:ind w:left="480" w:hanging="360"/>
        <w:jc w:val="left"/>
      </w:pPr>
      <w:rPr>
        <w:rFonts w:hint="default" w:ascii="Arial" w:hAnsi="Arial" w:eastAsia="Arial" w:cs="Arial"/>
        <w:spacing w:val="-1"/>
        <w:w w:val="99"/>
        <w:sz w:val="24"/>
        <w:szCs w:val="24"/>
      </w:rPr>
    </w:lvl>
    <w:lvl w:ilvl="1">
      <w:start w:val="0"/>
      <w:numFmt w:val="bullet"/>
      <w:lvlText w:val="•"/>
      <w:lvlJc w:val="left"/>
      <w:pPr>
        <w:ind w:left="139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216" w:hanging="360"/>
      </w:pPr>
      <w:rPr>
        <w:rFonts w:hint="default"/>
      </w:rPr>
    </w:lvl>
    <w:lvl w:ilvl="4">
      <w:start w:val="0"/>
      <w:numFmt w:val="bullet"/>
      <w:lvlText w:val="•"/>
      <w:lvlJc w:val="left"/>
      <w:pPr>
        <w:ind w:left="4128" w:hanging="360"/>
      </w:pPr>
      <w:rPr>
        <w:rFonts w:hint="default"/>
      </w:rPr>
    </w:lvl>
    <w:lvl w:ilvl="5">
      <w:start w:val="0"/>
      <w:numFmt w:val="bullet"/>
      <w:lvlText w:val="•"/>
      <w:lvlJc w:val="left"/>
      <w:pPr>
        <w:ind w:left="5040" w:hanging="360"/>
      </w:pPr>
      <w:rPr>
        <w:rFonts w:hint="default"/>
      </w:rPr>
    </w:lvl>
    <w:lvl w:ilvl="6">
      <w:start w:val="0"/>
      <w:numFmt w:val="bullet"/>
      <w:lvlText w:val="•"/>
      <w:lvlJc w:val="left"/>
      <w:pPr>
        <w:ind w:left="5952" w:hanging="360"/>
      </w:pPr>
      <w:rPr>
        <w:rFonts w:hint="default"/>
      </w:rPr>
    </w:lvl>
    <w:lvl w:ilvl="7">
      <w:start w:val="0"/>
      <w:numFmt w:val="bullet"/>
      <w:lvlText w:val="•"/>
      <w:lvlJc w:val="left"/>
      <w:pPr>
        <w:ind w:left="6864" w:hanging="360"/>
      </w:pPr>
      <w:rPr>
        <w:rFonts w:hint="default"/>
      </w:rPr>
    </w:lvl>
    <w:lvl w:ilvl="8">
      <w:start w:val="0"/>
      <w:numFmt w:val="bullet"/>
      <w:lvlText w:val="•"/>
      <w:lvlJc w:val="left"/>
      <w:pPr>
        <w:ind w:left="7776" w:hanging="360"/>
      </w:pPr>
      <w:rPr>
        <w:rFonts w:hint="default"/>
      </w:rPr>
    </w:lvl>
  </w:abstractNum>
  <w:abstractNum w:abstractNumId="13">
    <w:multiLevelType w:val="hybridMultilevel"/>
    <w:lvl w:ilvl="0">
      <w:start w:val="0"/>
      <w:numFmt w:val="bullet"/>
      <w:lvlText w:val=""/>
      <w:lvlJc w:val="left"/>
      <w:pPr>
        <w:ind w:left="480" w:hanging="360"/>
      </w:pPr>
      <w:rPr>
        <w:rFonts w:hint="default" w:ascii="Symbol" w:hAnsi="Symbol" w:eastAsia="Symbol" w:cs="Symbol"/>
        <w:w w:val="100"/>
        <w:sz w:val="24"/>
        <w:szCs w:val="24"/>
      </w:rPr>
    </w:lvl>
    <w:lvl w:ilvl="1">
      <w:start w:val="0"/>
      <w:numFmt w:val="bullet"/>
      <w:lvlText w:val="•"/>
      <w:lvlJc w:val="left"/>
      <w:pPr>
        <w:ind w:left="139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216" w:hanging="360"/>
      </w:pPr>
      <w:rPr>
        <w:rFonts w:hint="default"/>
      </w:rPr>
    </w:lvl>
    <w:lvl w:ilvl="4">
      <w:start w:val="0"/>
      <w:numFmt w:val="bullet"/>
      <w:lvlText w:val="•"/>
      <w:lvlJc w:val="left"/>
      <w:pPr>
        <w:ind w:left="4128" w:hanging="360"/>
      </w:pPr>
      <w:rPr>
        <w:rFonts w:hint="default"/>
      </w:rPr>
    </w:lvl>
    <w:lvl w:ilvl="5">
      <w:start w:val="0"/>
      <w:numFmt w:val="bullet"/>
      <w:lvlText w:val="•"/>
      <w:lvlJc w:val="left"/>
      <w:pPr>
        <w:ind w:left="5040" w:hanging="360"/>
      </w:pPr>
      <w:rPr>
        <w:rFonts w:hint="default"/>
      </w:rPr>
    </w:lvl>
    <w:lvl w:ilvl="6">
      <w:start w:val="0"/>
      <w:numFmt w:val="bullet"/>
      <w:lvlText w:val="•"/>
      <w:lvlJc w:val="left"/>
      <w:pPr>
        <w:ind w:left="5952" w:hanging="360"/>
      </w:pPr>
      <w:rPr>
        <w:rFonts w:hint="default"/>
      </w:rPr>
    </w:lvl>
    <w:lvl w:ilvl="7">
      <w:start w:val="0"/>
      <w:numFmt w:val="bullet"/>
      <w:lvlText w:val="•"/>
      <w:lvlJc w:val="left"/>
      <w:pPr>
        <w:ind w:left="6864" w:hanging="360"/>
      </w:pPr>
      <w:rPr>
        <w:rFonts w:hint="default"/>
      </w:rPr>
    </w:lvl>
    <w:lvl w:ilvl="8">
      <w:start w:val="0"/>
      <w:numFmt w:val="bullet"/>
      <w:lvlText w:val="•"/>
      <w:lvlJc w:val="left"/>
      <w:pPr>
        <w:ind w:left="7776" w:hanging="360"/>
      </w:pPr>
      <w:rPr>
        <w:rFonts w:hint="default"/>
      </w:rPr>
    </w:lvl>
  </w:abstractNum>
  <w:abstractNum w:abstractNumId="12">
    <w:multiLevelType w:val="hybridMultilevel"/>
    <w:lvl w:ilvl="0">
      <w:start w:val="1"/>
      <w:numFmt w:val="decimal"/>
      <w:lvlText w:val="%1."/>
      <w:lvlJc w:val="left"/>
      <w:pPr>
        <w:ind w:left="480" w:hanging="360"/>
        <w:jc w:val="left"/>
      </w:pPr>
      <w:rPr>
        <w:rFonts w:hint="default" w:ascii="Arial" w:hAnsi="Arial" w:eastAsia="Arial" w:cs="Arial"/>
        <w:spacing w:val="-8"/>
        <w:w w:val="99"/>
        <w:sz w:val="24"/>
        <w:szCs w:val="24"/>
      </w:rPr>
    </w:lvl>
    <w:lvl w:ilvl="1">
      <w:start w:val="0"/>
      <w:numFmt w:val="bullet"/>
      <w:lvlText w:val="•"/>
      <w:lvlJc w:val="left"/>
      <w:pPr>
        <w:ind w:left="1356" w:hanging="360"/>
      </w:pPr>
      <w:rPr>
        <w:rFonts w:hint="default"/>
      </w:rPr>
    </w:lvl>
    <w:lvl w:ilvl="2">
      <w:start w:val="0"/>
      <w:numFmt w:val="bullet"/>
      <w:lvlText w:val="•"/>
      <w:lvlJc w:val="left"/>
      <w:pPr>
        <w:ind w:left="2232" w:hanging="360"/>
      </w:pPr>
      <w:rPr>
        <w:rFonts w:hint="default"/>
      </w:rPr>
    </w:lvl>
    <w:lvl w:ilvl="3">
      <w:start w:val="0"/>
      <w:numFmt w:val="bullet"/>
      <w:lvlText w:val="•"/>
      <w:lvlJc w:val="left"/>
      <w:pPr>
        <w:ind w:left="3108" w:hanging="360"/>
      </w:pPr>
      <w:rPr>
        <w:rFonts w:hint="default"/>
      </w:rPr>
    </w:lvl>
    <w:lvl w:ilvl="4">
      <w:start w:val="0"/>
      <w:numFmt w:val="bullet"/>
      <w:lvlText w:val="•"/>
      <w:lvlJc w:val="left"/>
      <w:pPr>
        <w:ind w:left="3984" w:hanging="360"/>
      </w:pPr>
      <w:rPr>
        <w:rFonts w:hint="default"/>
      </w:rPr>
    </w:lvl>
    <w:lvl w:ilvl="5">
      <w:start w:val="0"/>
      <w:numFmt w:val="bullet"/>
      <w:lvlText w:val="•"/>
      <w:lvlJc w:val="left"/>
      <w:pPr>
        <w:ind w:left="4860" w:hanging="360"/>
      </w:pPr>
      <w:rPr>
        <w:rFonts w:hint="default"/>
      </w:rPr>
    </w:lvl>
    <w:lvl w:ilvl="6">
      <w:start w:val="0"/>
      <w:numFmt w:val="bullet"/>
      <w:lvlText w:val="•"/>
      <w:lvlJc w:val="left"/>
      <w:pPr>
        <w:ind w:left="5736" w:hanging="360"/>
      </w:pPr>
      <w:rPr>
        <w:rFonts w:hint="default"/>
      </w:rPr>
    </w:lvl>
    <w:lvl w:ilvl="7">
      <w:start w:val="0"/>
      <w:numFmt w:val="bullet"/>
      <w:lvlText w:val="•"/>
      <w:lvlJc w:val="left"/>
      <w:pPr>
        <w:ind w:left="6612" w:hanging="360"/>
      </w:pPr>
      <w:rPr>
        <w:rFonts w:hint="default"/>
      </w:rPr>
    </w:lvl>
    <w:lvl w:ilvl="8">
      <w:start w:val="0"/>
      <w:numFmt w:val="bullet"/>
      <w:lvlText w:val="•"/>
      <w:lvlJc w:val="left"/>
      <w:pPr>
        <w:ind w:left="7488" w:hanging="360"/>
      </w:pPr>
      <w:rPr>
        <w:rFonts w:hint="default"/>
      </w:rPr>
    </w:lvl>
  </w:abstractNum>
  <w:abstractNum w:abstractNumId="11">
    <w:multiLevelType w:val="hybridMultilevel"/>
    <w:lvl w:ilvl="0">
      <w:start w:val="1"/>
      <w:numFmt w:val="decimal"/>
      <w:lvlText w:val="%1."/>
      <w:lvlJc w:val="left"/>
      <w:pPr>
        <w:ind w:left="480" w:hanging="360"/>
        <w:jc w:val="left"/>
      </w:pPr>
      <w:rPr>
        <w:rFonts w:hint="default" w:ascii="Arial" w:hAnsi="Arial" w:eastAsia="Arial" w:cs="Arial"/>
        <w:spacing w:val="-4"/>
        <w:w w:val="99"/>
        <w:sz w:val="24"/>
        <w:szCs w:val="24"/>
      </w:rPr>
    </w:lvl>
    <w:lvl w:ilvl="1">
      <w:start w:val="0"/>
      <w:numFmt w:val="bullet"/>
      <w:lvlText w:val="•"/>
      <w:lvlJc w:val="left"/>
      <w:pPr>
        <w:ind w:left="139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216" w:hanging="360"/>
      </w:pPr>
      <w:rPr>
        <w:rFonts w:hint="default"/>
      </w:rPr>
    </w:lvl>
    <w:lvl w:ilvl="4">
      <w:start w:val="0"/>
      <w:numFmt w:val="bullet"/>
      <w:lvlText w:val="•"/>
      <w:lvlJc w:val="left"/>
      <w:pPr>
        <w:ind w:left="4128" w:hanging="360"/>
      </w:pPr>
      <w:rPr>
        <w:rFonts w:hint="default"/>
      </w:rPr>
    </w:lvl>
    <w:lvl w:ilvl="5">
      <w:start w:val="0"/>
      <w:numFmt w:val="bullet"/>
      <w:lvlText w:val="•"/>
      <w:lvlJc w:val="left"/>
      <w:pPr>
        <w:ind w:left="5040" w:hanging="360"/>
      </w:pPr>
      <w:rPr>
        <w:rFonts w:hint="default"/>
      </w:rPr>
    </w:lvl>
    <w:lvl w:ilvl="6">
      <w:start w:val="0"/>
      <w:numFmt w:val="bullet"/>
      <w:lvlText w:val="•"/>
      <w:lvlJc w:val="left"/>
      <w:pPr>
        <w:ind w:left="5952" w:hanging="360"/>
      </w:pPr>
      <w:rPr>
        <w:rFonts w:hint="default"/>
      </w:rPr>
    </w:lvl>
    <w:lvl w:ilvl="7">
      <w:start w:val="0"/>
      <w:numFmt w:val="bullet"/>
      <w:lvlText w:val="•"/>
      <w:lvlJc w:val="left"/>
      <w:pPr>
        <w:ind w:left="6864" w:hanging="360"/>
      </w:pPr>
      <w:rPr>
        <w:rFonts w:hint="default"/>
      </w:rPr>
    </w:lvl>
    <w:lvl w:ilvl="8">
      <w:start w:val="0"/>
      <w:numFmt w:val="bullet"/>
      <w:lvlText w:val="•"/>
      <w:lvlJc w:val="left"/>
      <w:pPr>
        <w:ind w:left="7776" w:hanging="360"/>
      </w:pPr>
      <w:rPr>
        <w:rFonts w:hint="default"/>
      </w:rPr>
    </w:lvl>
  </w:abstractNum>
  <w:abstractNum w:abstractNumId="10">
    <w:multiLevelType w:val="hybridMultilevel"/>
    <w:lvl w:ilvl="0">
      <w:start w:val="1"/>
      <w:numFmt w:val="decimal"/>
      <w:lvlText w:val="%1."/>
      <w:lvlJc w:val="left"/>
      <w:pPr>
        <w:ind w:left="480" w:hanging="360"/>
        <w:jc w:val="left"/>
      </w:pPr>
      <w:rPr>
        <w:rFonts w:hint="default" w:ascii="Arial" w:hAnsi="Arial" w:eastAsia="Arial" w:cs="Arial"/>
        <w:spacing w:val="-2"/>
        <w:w w:val="99"/>
        <w:sz w:val="24"/>
        <w:szCs w:val="24"/>
      </w:rPr>
    </w:lvl>
    <w:lvl w:ilvl="1">
      <w:start w:val="1"/>
      <w:numFmt w:val="lowerLetter"/>
      <w:lvlText w:val="%2."/>
      <w:lvlJc w:val="left"/>
      <w:pPr>
        <w:ind w:left="840" w:hanging="360"/>
        <w:jc w:val="left"/>
      </w:pPr>
      <w:rPr>
        <w:rFonts w:hint="default" w:ascii="Arial" w:hAnsi="Arial" w:eastAsia="Arial" w:cs="Arial"/>
        <w:spacing w:val="-4"/>
        <w:w w:val="99"/>
        <w:sz w:val="24"/>
        <w:szCs w:val="24"/>
      </w:rPr>
    </w:lvl>
    <w:lvl w:ilvl="2">
      <w:start w:val="0"/>
      <w:numFmt w:val="bullet"/>
      <w:lvlText w:val="•"/>
      <w:lvlJc w:val="left"/>
      <w:pPr>
        <w:ind w:left="1813" w:hanging="360"/>
      </w:pPr>
      <w:rPr>
        <w:rFonts w:hint="default"/>
      </w:rPr>
    </w:lvl>
    <w:lvl w:ilvl="3">
      <w:start w:val="0"/>
      <w:numFmt w:val="bullet"/>
      <w:lvlText w:val="•"/>
      <w:lvlJc w:val="left"/>
      <w:pPr>
        <w:ind w:left="2786" w:hanging="360"/>
      </w:pPr>
      <w:rPr>
        <w:rFonts w:hint="default"/>
      </w:rPr>
    </w:lvl>
    <w:lvl w:ilvl="4">
      <w:start w:val="0"/>
      <w:numFmt w:val="bullet"/>
      <w:lvlText w:val="•"/>
      <w:lvlJc w:val="left"/>
      <w:pPr>
        <w:ind w:left="3760" w:hanging="360"/>
      </w:pPr>
      <w:rPr>
        <w:rFonts w:hint="default"/>
      </w:rPr>
    </w:lvl>
    <w:lvl w:ilvl="5">
      <w:start w:val="0"/>
      <w:numFmt w:val="bullet"/>
      <w:lvlText w:val="•"/>
      <w:lvlJc w:val="left"/>
      <w:pPr>
        <w:ind w:left="4733" w:hanging="360"/>
      </w:pPr>
      <w:rPr>
        <w:rFonts w:hint="default"/>
      </w:rPr>
    </w:lvl>
    <w:lvl w:ilvl="6">
      <w:start w:val="0"/>
      <w:numFmt w:val="bullet"/>
      <w:lvlText w:val="•"/>
      <w:lvlJc w:val="left"/>
      <w:pPr>
        <w:ind w:left="5706" w:hanging="360"/>
      </w:pPr>
      <w:rPr>
        <w:rFonts w:hint="default"/>
      </w:rPr>
    </w:lvl>
    <w:lvl w:ilvl="7">
      <w:start w:val="0"/>
      <w:numFmt w:val="bullet"/>
      <w:lvlText w:val="•"/>
      <w:lvlJc w:val="left"/>
      <w:pPr>
        <w:ind w:left="6680" w:hanging="360"/>
      </w:pPr>
      <w:rPr>
        <w:rFonts w:hint="default"/>
      </w:rPr>
    </w:lvl>
    <w:lvl w:ilvl="8">
      <w:start w:val="0"/>
      <w:numFmt w:val="bullet"/>
      <w:lvlText w:val="•"/>
      <w:lvlJc w:val="left"/>
      <w:pPr>
        <w:ind w:left="7653" w:hanging="360"/>
      </w:pPr>
      <w:rPr>
        <w:rFonts w:hint="default"/>
      </w:rPr>
    </w:lvl>
  </w:abstractNum>
  <w:abstractNum w:abstractNumId="9">
    <w:multiLevelType w:val="hybridMultilevel"/>
    <w:lvl w:ilvl="0">
      <w:start w:val="1"/>
      <w:numFmt w:val="decimal"/>
      <w:lvlText w:val="(%1)"/>
      <w:lvlJc w:val="left"/>
      <w:pPr>
        <w:ind w:left="820" w:hanging="360"/>
        <w:jc w:val="left"/>
      </w:pPr>
      <w:rPr>
        <w:rFonts w:hint="default" w:ascii="Arial" w:hAnsi="Arial" w:eastAsia="Arial" w:cs="Arial"/>
        <w:spacing w:val="-1"/>
        <w:w w:val="99"/>
        <w:sz w:val="24"/>
        <w:szCs w:val="24"/>
      </w:rPr>
    </w:lvl>
    <w:lvl w:ilvl="1">
      <w:start w:val="2"/>
      <w:numFmt w:val="decimal"/>
      <w:lvlText w:val="(%2)"/>
      <w:lvlJc w:val="left"/>
      <w:pPr>
        <w:ind w:left="1560" w:hanging="360"/>
        <w:jc w:val="left"/>
      </w:pPr>
      <w:rPr>
        <w:rFonts w:hint="default" w:ascii="Arial" w:hAnsi="Arial" w:eastAsia="Arial" w:cs="Arial"/>
        <w:spacing w:val="-1"/>
        <w:w w:val="99"/>
        <w:sz w:val="24"/>
        <w:szCs w:val="24"/>
      </w:rPr>
    </w:lvl>
    <w:lvl w:ilvl="2">
      <w:start w:val="1"/>
      <w:numFmt w:val="upperLetter"/>
      <w:lvlText w:val="(%3)"/>
      <w:lvlJc w:val="left"/>
      <w:pPr>
        <w:ind w:left="1560" w:hanging="387"/>
        <w:jc w:val="right"/>
      </w:pPr>
      <w:rPr>
        <w:rFonts w:hint="default" w:ascii="Arial" w:hAnsi="Arial" w:eastAsia="Arial" w:cs="Arial"/>
        <w:spacing w:val="-1"/>
        <w:w w:val="99"/>
        <w:sz w:val="24"/>
        <w:szCs w:val="24"/>
      </w:rPr>
    </w:lvl>
    <w:lvl w:ilvl="3">
      <w:start w:val="0"/>
      <w:numFmt w:val="bullet"/>
      <w:lvlText w:val="•"/>
      <w:lvlJc w:val="left"/>
      <w:pPr>
        <w:ind w:left="3337" w:hanging="387"/>
      </w:pPr>
      <w:rPr>
        <w:rFonts w:hint="default"/>
      </w:rPr>
    </w:lvl>
    <w:lvl w:ilvl="4">
      <w:start w:val="0"/>
      <w:numFmt w:val="bullet"/>
      <w:lvlText w:val="•"/>
      <w:lvlJc w:val="left"/>
      <w:pPr>
        <w:ind w:left="4226" w:hanging="387"/>
      </w:pPr>
      <w:rPr>
        <w:rFonts w:hint="default"/>
      </w:rPr>
    </w:lvl>
    <w:lvl w:ilvl="5">
      <w:start w:val="0"/>
      <w:numFmt w:val="bullet"/>
      <w:lvlText w:val="•"/>
      <w:lvlJc w:val="left"/>
      <w:pPr>
        <w:ind w:left="5115" w:hanging="387"/>
      </w:pPr>
      <w:rPr>
        <w:rFonts w:hint="default"/>
      </w:rPr>
    </w:lvl>
    <w:lvl w:ilvl="6">
      <w:start w:val="0"/>
      <w:numFmt w:val="bullet"/>
      <w:lvlText w:val="•"/>
      <w:lvlJc w:val="left"/>
      <w:pPr>
        <w:ind w:left="6004" w:hanging="387"/>
      </w:pPr>
      <w:rPr>
        <w:rFonts w:hint="default"/>
      </w:rPr>
    </w:lvl>
    <w:lvl w:ilvl="7">
      <w:start w:val="0"/>
      <w:numFmt w:val="bullet"/>
      <w:lvlText w:val="•"/>
      <w:lvlJc w:val="left"/>
      <w:pPr>
        <w:ind w:left="6893" w:hanging="387"/>
      </w:pPr>
      <w:rPr>
        <w:rFonts w:hint="default"/>
      </w:rPr>
    </w:lvl>
    <w:lvl w:ilvl="8">
      <w:start w:val="0"/>
      <w:numFmt w:val="bullet"/>
      <w:lvlText w:val="•"/>
      <w:lvlJc w:val="left"/>
      <w:pPr>
        <w:ind w:left="7782" w:hanging="387"/>
      </w:pPr>
      <w:rPr>
        <w:rFonts w:hint="default"/>
      </w:rPr>
    </w:lvl>
  </w:abstractNum>
  <w:abstractNum w:abstractNumId="8">
    <w:multiLevelType w:val="hybridMultilevel"/>
    <w:lvl w:ilvl="0">
      <w:start w:val="4"/>
      <w:numFmt w:val="decimal"/>
      <w:lvlText w:val="%1."/>
      <w:lvlJc w:val="left"/>
      <w:pPr>
        <w:ind w:left="760" w:hanging="468"/>
        <w:jc w:val="left"/>
      </w:pPr>
      <w:rPr>
        <w:rFonts w:hint="default"/>
        <w:strike/>
        <w:w w:val="99"/>
      </w:rPr>
    </w:lvl>
    <w:lvl w:ilvl="1">
      <w:start w:val="6"/>
      <w:numFmt w:val="decimal"/>
      <w:lvlText w:val="%2."/>
      <w:lvlJc w:val="left"/>
      <w:pPr>
        <w:ind w:left="1480" w:hanging="360"/>
        <w:jc w:val="left"/>
      </w:pPr>
      <w:rPr>
        <w:rFonts w:hint="default"/>
        <w:strike/>
        <w:w w:val="99"/>
      </w:rPr>
    </w:lvl>
    <w:lvl w:ilvl="2">
      <w:start w:val="0"/>
      <w:numFmt w:val="bullet"/>
      <w:lvlText w:val=""/>
      <w:lvlJc w:val="left"/>
      <w:pPr>
        <w:ind w:left="2260" w:hanging="360"/>
      </w:pPr>
      <w:rPr>
        <w:rFonts w:hint="default"/>
        <w:strike/>
        <w:w w:val="100"/>
      </w:rPr>
    </w:lvl>
    <w:lvl w:ilvl="3">
      <w:start w:val="0"/>
      <w:numFmt w:val="bullet"/>
      <w:lvlText w:val="•"/>
      <w:lvlJc w:val="left"/>
      <w:pPr>
        <w:ind w:left="3260" w:hanging="360"/>
      </w:pPr>
      <w:rPr>
        <w:rFonts w:hint="default"/>
      </w:rPr>
    </w:lvl>
    <w:lvl w:ilvl="4">
      <w:start w:val="0"/>
      <w:numFmt w:val="bullet"/>
      <w:lvlText w:val="•"/>
      <w:lvlJc w:val="left"/>
      <w:pPr>
        <w:ind w:left="4260" w:hanging="360"/>
      </w:pPr>
      <w:rPr>
        <w:rFonts w:hint="default"/>
      </w:rPr>
    </w:lvl>
    <w:lvl w:ilvl="5">
      <w:start w:val="0"/>
      <w:numFmt w:val="bullet"/>
      <w:lvlText w:val="•"/>
      <w:lvlJc w:val="left"/>
      <w:pPr>
        <w:ind w:left="5260" w:hanging="360"/>
      </w:pPr>
      <w:rPr>
        <w:rFonts w:hint="default"/>
      </w:rPr>
    </w:lvl>
    <w:lvl w:ilvl="6">
      <w:start w:val="0"/>
      <w:numFmt w:val="bullet"/>
      <w:lvlText w:val="•"/>
      <w:lvlJc w:val="left"/>
      <w:pPr>
        <w:ind w:left="6260" w:hanging="360"/>
      </w:pPr>
      <w:rPr>
        <w:rFonts w:hint="default"/>
      </w:rPr>
    </w:lvl>
    <w:lvl w:ilvl="7">
      <w:start w:val="0"/>
      <w:numFmt w:val="bullet"/>
      <w:lvlText w:val="•"/>
      <w:lvlJc w:val="left"/>
      <w:pPr>
        <w:ind w:left="7260" w:hanging="360"/>
      </w:pPr>
      <w:rPr>
        <w:rFonts w:hint="default"/>
      </w:rPr>
    </w:lvl>
    <w:lvl w:ilvl="8">
      <w:start w:val="0"/>
      <w:numFmt w:val="bullet"/>
      <w:lvlText w:val="•"/>
      <w:lvlJc w:val="left"/>
      <w:pPr>
        <w:ind w:left="8260" w:hanging="360"/>
      </w:pPr>
      <w:rPr>
        <w:rFonts w:hint="default"/>
      </w:rPr>
    </w:lvl>
  </w:abstractNum>
  <w:abstractNum w:abstractNumId="7">
    <w:multiLevelType w:val="hybridMultilevel"/>
    <w:lvl w:ilvl="0">
      <w:start w:val="0"/>
      <w:numFmt w:val="bullet"/>
      <w:lvlText w:val=""/>
      <w:lvlJc w:val="left"/>
      <w:pPr>
        <w:ind w:left="1348" w:hanging="468"/>
      </w:pPr>
      <w:rPr>
        <w:rFonts w:hint="default"/>
        <w:w w:val="100"/>
        <w:u w:val="single" w:color="2E97D3"/>
      </w:rPr>
    </w:lvl>
    <w:lvl w:ilvl="1">
      <w:start w:val="0"/>
      <w:numFmt w:val="bullet"/>
      <w:lvlText w:val="•"/>
      <w:lvlJc w:val="left"/>
      <w:pPr>
        <w:ind w:left="2248" w:hanging="468"/>
      </w:pPr>
      <w:rPr>
        <w:rFonts w:hint="default"/>
      </w:rPr>
    </w:lvl>
    <w:lvl w:ilvl="2">
      <w:start w:val="0"/>
      <w:numFmt w:val="bullet"/>
      <w:lvlText w:val="•"/>
      <w:lvlJc w:val="left"/>
      <w:pPr>
        <w:ind w:left="3156" w:hanging="468"/>
      </w:pPr>
      <w:rPr>
        <w:rFonts w:hint="default"/>
      </w:rPr>
    </w:lvl>
    <w:lvl w:ilvl="3">
      <w:start w:val="0"/>
      <w:numFmt w:val="bullet"/>
      <w:lvlText w:val="•"/>
      <w:lvlJc w:val="left"/>
      <w:pPr>
        <w:ind w:left="4064" w:hanging="468"/>
      </w:pPr>
      <w:rPr>
        <w:rFonts w:hint="default"/>
      </w:rPr>
    </w:lvl>
    <w:lvl w:ilvl="4">
      <w:start w:val="0"/>
      <w:numFmt w:val="bullet"/>
      <w:lvlText w:val="•"/>
      <w:lvlJc w:val="left"/>
      <w:pPr>
        <w:ind w:left="4972" w:hanging="468"/>
      </w:pPr>
      <w:rPr>
        <w:rFonts w:hint="default"/>
      </w:rPr>
    </w:lvl>
    <w:lvl w:ilvl="5">
      <w:start w:val="0"/>
      <w:numFmt w:val="bullet"/>
      <w:lvlText w:val="•"/>
      <w:lvlJc w:val="left"/>
      <w:pPr>
        <w:ind w:left="5880" w:hanging="468"/>
      </w:pPr>
      <w:rPr>
        <w:rFonts w:hint="default"/>
      </w:rPr>
    </w:lvl>
    <w:lvl w:ilvl="6">
      <w:start w:val="0"/>
      <w:numFmt w:val="bullet"/>
      <w:lvlText w:val="•"/>
      <w:lvlJc w:val="left"/>
      <w:pPr>
        <w:ind w:left="6788" w:hanging="468"/>
      </w:pPr>
      <w:rPr>
        <w:rFonts w:hint="default"/>
      </w:rPr>
    </w:lvl>
    <w:lvl w:ilvl="7">
      <w:start w:val="0"/>
      <w:numFmt w:val="bullet"/>
      <w:lvlText w:val="•"/>
      <w:lvlJc w:val="left"/>
      <w:pPr>
        <w:ind w:left="7696" w:hanging="468"/>
      </w:pPr>
      <w:rPr>
        <w:rFonts w:hint="default"/>
      </w:rPr>
    </w:lvl>
    <w:lvl w:ilvl="8">
      <w:start w:val="0"/>
      <w:numFmt w:val="bullet"/>
      <w:lvlText w:val="•"/>
      <w:lvlJc w:val="left"/>
      <w:pPr>
        <w:ind w:left="8604" w:hanging="468"/>
      </w:pPr>
      <w:rPr>
        <w:rFonts w:hint="default"/>
      </w:rPr>
    </w:lvl>
  </w:abstractNum>
  <w:abstractNum w:abstractNumId="6">
    <w:multiLevelType w:val="hybridMultilevel"/>
    <w:lvl w:ilvl="0">
      <w:start w:val="1"/>
      <w:numFmt w:val="decimal"/>
      <w:lvlText w:val="%1."/>
      <w:lvlJc w:val="left"/>
      <w:pPr>
        <w:ind w:left="1120" w:hanging="360"/>
        <w:jc w:val="left"/>
      </w:pPr>
      <w:rPr>
        <w:rFonts w:hint="default"/>
        <w:strike/>
        <w:w w:val="99"/>
      </w:rPr>
    </w:lvl>
    <w:lvl w:ilvl="1">
      <w:start w:val="0"/>
      <w:numFmt w:val="bullet"/>
      <w:lvlText w:val=""/>
      <w:lvlJc w:val="left"/>
      <w:pPr>
        <w:ind w:left="1480" w:hanging="231"/>
      </w:pPr>
      <w:rPr>
        <w:rFonts w:hint="default"/>
        <w:w w:val="100"/>
        <w:u w:val="single" w:color="2E97D3"/>
      </w:rPr>
    </w:lvl>
    <w:lvl w:ilvl="2">
      <w:start w:val="0"/>
      <w:numFmt w:val="bullet"/>
      <w:lvlText w:val="•"/>
      <w:lvlJc w:val="left"/>
      <w:pPr>
        <w:ind w:left="2473" w:hanging="231"/>
      </w:pPr>
      <w:rPr>
        <w:rFonts w:hint="default"/>
      </w:rPr>
    </w:lvl>
    <w:lvl w:ilvl="3">
      <w:start w:val="0"/>
      <w:numFmt w:val="bullet"/>
      <w:lvlText w:val="•"/>
      <w:lvlJc w:val="left"/>
      <w:pPr>
        <w:ind w:left="3466" w:hanging="231"/>
      </w:pPr>
      <w:rPr>
        <w:rFonts w:hint="default"/>
      </w:rPr>
    </w:lvl>
    <w:lvl w:ilvl="4">
      <w:start w:val="0"/>
      <w:numFmt w:val="bullet"/>
      <w:lvlText w:val="•"/>
      <w:lvlJc w:val="left"/>
      <w:pPr>
        <w:ind w:left="4460" w:hanging="231"/>
      </w:pPr>
      <w:rPr>
        <w:rFonts w:hint="default"/>
      </w:rPr>
    </w:lvl>
    <w:lvl w:ilvl="5">
      <w:start w:val="0"/>
      <w:numFmt w:val="bullet"/>
      <w:lvlText w:val="•"/>
      <w:lvlJc w:val="left"/>
      <w:pPr>
        <w:ind w:left="5453" w:hanging="231"/>
      </w:pPr>
      <w:rPr>
        <w:rFonts w:hint="default"/>
      </w:rPr>
    </w:lvl>
    <w:lvl w:ilvl="6">
      <w:start w:val="0"/>
      <w:numFmt w:val="bullet"/>
      <w:lvlText w:val="•"/>
      <w:lvlJc w:val="left"/>
      <w:pPr>
        <w:ind w:left="6446" w:hanging="231"/>
      </w:pPr>
      <w:rPr>
        <w:rFonts w:hint="default"/>
      </w:rPr>
    </w:lvl>
    <w:lvl w:ilvl="7">
      <w:start w:val="0"/>
      <w:numFmt w:val="bullet"/>
      <w:lvlText w:val="•"/>
      <w:lvlJc w:val="left"/>
      <w:pPr>
        <w:ind w:left="7440" w:hanging="231"/>
      </w:pPr>
      <w:rPr>
        <w:rFonts w:hint="default"/>
      </w:rPr>
    </w:lvl>
    <w:lvl w:ilvl="8">
      <w:start w:val="0"/>
      <w:numFmt w:val="bullet"/>
      <w:lvlText w:val="•"/>
      <w:lvlJc w:val="left"/>
      <w:pPr>
        <w:ind w:left="8433" w:hanging="231"/>
      </w:pPr>
      <w:rPr>
        <w:rFonts w:hint="default"/>
      </w:rPr>
    </w:lvl>
  </w:abstractNum>
  <w:abstractNum w:abstractNumId="5">
    <w:multiLevelType w:val="hybridMultilevel"/>
    <w:lvl w:ilvl="0">
      <w:start w:val="1"/>
      <w:numFmt w:val="decimal"/>
      <w:lvlText w:val="%1."/>
      <w:lvlJc w:val="left"/>
      <w:pPr>
        <w:ind w:left="1180" w:hanging="360"/>
        <w:jc w:val="left"/>
      </w:pPr>
      <w:rPr>
        <w:rFonts w:hint="default"/>
        <w:w w:val="99"/>
        <w:u w:val="thick" w:color="2E97D3"/>
      </w:rPr>
    </w:lvl>
    <w:lvl w:ilvl="1">
      <w:start w:val="0"/>
      <w:numFmt w:val="bullet"/>
      <w:lvlText w:val="•"/>
      <w:lvlJc w:val="left"/>
      <w:pPr>
        <w:ind w:left="2090" w:hanging="360"/>
      </w:pPr>
      <w:rPr>
        <w:rFonts w:hint="default"/>
      </w:rPr>
    </w:lvl>
    <w:lvl w:ilvl="2">
      <w:start w:val="0"/>
      <w:numFmt w:val="bullet"/>
      <w:lvlText w:val="•"/>
      <w:lvlJc w:val="left"/>
      <w:pPr>
        <w:ind w:left="3000" w:hanging="360"/>
      </w:pPr>
      <w:rPr>
        <w:rFonts w:hint="default"/>
      </w:rPr>
    </w:lvl>
    <w:lvl w:ilvl="3">
      <w:start w:val="0"/>
      <w:numFmt w:val="bullet"/>
      <w:lvlText w:val="•"/>
      <w:lvlJc w:val="left"/>
      <w:pPr>
        <w:ind w:left="3910" w:hanging="360"/>
      </w:pPr>
      <w:rPr>
        <w:rFonts w:hint="default"/>
      </w:rPr>
    </w:lvl>
    <w:lvl w:ilvl="4">
      <w:start w:val="0"/>
      <w:numFmt w:val="bullet"/>
      <w:lvlText w:val="•"/>
      <w:lvlJc w:val="left"/>
      <w:pPr>
        <w:ind w:left="4820" w:hanging="360"/>
      </w:pPr>
      <w:rPr>
        <w:rFonts w:hint="default"/>
      </w:rPr>
    </w:lvl>
    <w:lvl w:ilvl="5">
      <w:start w:val="0"/>
      <w:numFmt w:val="bullet"/>
      <w:lvlText w:val="•"/>
      <w:lvlJc w:val="left"/>
      <w:pPr>
        <w:ind w:left="5730" w:hanging="360"/>
      </w:pPr>
      <w:rPr>
        <w:rFonts w:hint="default"/>
      </w:rPr>
    </w:lvl>
    <w:lvl w:ilvl="6">
      <w:start w:val="0"/>
      <w:numFmt w:val="bullet"/>
      <w:lvlText w:val="•"/>
      <w:lvlJc w:val="left"/>
      <w:pPr>
        <w:ind w:left="6640" w:hanging="360"/>
      </w:pPr>
      <w:rPr>
        <w:rFonts w:hint="default"/>
      </w:rPr>
    </w:lvl>
    <w:lvl w:ilvl="7">
      <w:start w:val="0"/>
      <w:numFmt w:val="bullet"/>
      <w:lvlText w:val="•"/>
      <w:lvlJc w:val="left"/>
      <w:pPr>
        <w:ind w:left="7550" w:hanging="360"/>
      </w:pPr>
      <w:rPr>
        <w:rFonts w:hint="default"/>
      </w:rPr>
    </w:lvl>
    <w:lvl w:ilvl="8">
      <w:start w:val="0"/>
      <w:numFmt w:val="bullet"/>
      <w:lvlText w:val="•"/>
      <w:lvlJc w:val="left"/>
      <w:pPr>
        <w:ind w:left="8460" w:hanging="360"/>
      </w:pPr>
      <w:rPr>
        <w:rFonts w:hint="default"/>
      </w:rPr>
    </w:lvl>
  </w:abstractNum>
  <w:abstractNum w:abstractNumId="4">
    <w:multiLevelType w:val="hybridMultilevel"/>
    <w:lvl w:ilvl="0">
      <w:start w:val="1"/>
      <w:numFmt w:val="decimal"/>
      <w:lvlText w:val="%1."/>
      <w:lvlJc w:val="left"/>
      <w:pPr>
        <w:ind w:left="1180" w:hanging="360"/>
        <w:jc w:val="left"/>
      </w:pPr>
      <w:rPr>
        <w:rFonts w:hint="default"/>
        <w:strike/>
        <w:w w:val="99"/>
      </w:rPr>
    </w:lvl>
    <w:lvl w:ilvl="1">
      <w:start w:val="0"/>
      <w:numFmt w:val="bullet"/>
      <w:lvlText w:val=""/>
      <w:lvlJc w:val="left"/>
      <w:pPr>
        <w:ind w:left="2620" w:hanging="840"/>
      </w:pPr>
      <w:rPr>
        <w:rFonts w:hint="default"/>
        <w:w w:val="100"/>
        <w:u w:val="single" w:color="2E97D3"/>
      </w:rPr>
    </w:lvl>
    <w:lvl w:ilvl="2">
      <w:start w:val="0"/>
      <w:numFmt w:val="bullet"/>
      <w:lvlText w:val="•"/>
      <w:lvlJc w:val="left"/>
      <w:pPr>
        <w:ind w:left="3473" w:hanging="840"/>
      </w:pPr>
      <w:rPr>
        <w:rFonts w:hint="default"/>
      </w:rPr>
    </w:lvl>
    <w:lvl w:ilvl="3">
      <w:start w:val="0"/>
      <w:numFmt w:val="bullet"/>
      <w:lvlText w:val="•"/>
      <w:lvlJc w:val="left"/>
      <w:pPr>
        <w:ind w:left="4326" w:hanging="840"/>
      </w:pPr>
      <w:rPr>
        <w:rFonts w:hint="default"/>
      </w:rPr>
    </w:lvl>
    <w:lvl w:ilvl="4">
      <w:start w:val="0"/>
      <w:numFmt w:val="bullet"/>
      <w:lvlText w:val="•"/>
      <w:lvlJc w:val="left"/>
      <w:pPr>
        <w:ind w:left="5180" w:hanging="840"/>
      </w:pPr>
      <w:rPr>
        <w:rFonts w:hint="default"/>
      </w:rPr>
    </w:lvl>
    <w:lvl w:ilvl="5">
      <w:start w:val="0"/>
      <w:numFmt w:val="bullet"/>
      <w:lvlText w:val="•"/>
      <w:lvlJc w:val="left"/>
      <w:pPr>
        <w:ind w:left="6033" w:hanging="840"/>
      </w:pPr>
      <w:rPr>
        <w:rFonts w:hint="default"/>
      </w:rPr>
    </w:lvl>
    <w:lvl w:ilvl="6">
      <w:start w:val="0"/>
      <w:numFmt w:val="bullet"/>
      <w:lvlText w:val="•"/>
      <w:lvlJc w:val="left"/>
      <w:pPr>
        <w:ind w:left="6886" w:hanging="840"/>
      </w:pPr>
      <w:rPr>
        <w:rFonts w:hint="default"/>
      </w:rPr>
    </w:lvl>
    <w:lvl w:ilvl="7">
      <w:start w:val="0"/>
      <w:numFmt w:val="bullet"/>
      <w:lvlText w:val="•"/>
      <w:lvlJc w:val="left"/>
      <w:pPr>
        <w:ind w:left="7740" w:hanging="840"/>
      </w:pPr>
      <w:rPr>
        <w:rFonts w:hint="default"/>
      </w:rPr>
    </w:lvl>
    <w:lvl w:ilvl="8">
      <w:start w:val="0"/>
      <w:numFmt w:val="bullet"/>
      <w:lvlText w:val="•"/>
      <w:lvlJc w:val="left"/>
      <w:pPr>
        <w:ind w:left="8593" w:hanging="840"/>
      </w:pPr>
      <w:rPr>
        <w:rFonts w:hint="default"/>
      </w:rPr>
    </w:lvl>
  </w:abstractNum>
  <w:abstractNum w:abstractNumId="3">
    <w:multiLevelType w:val="hybridMultilevel"/>
    <w:lvl w:ilvl="0">
      <w:start w:val="4"/>
      <w:numFmt w:val="lowerLetter"/>
      <w:lvlText w:val="%1."/>
      <w:lvlJc w:val="left"/>
      <w:pPr>
        <w:ind w:left="1360" w:hanging="540"/>
        <w:jc w:val="left"/>
      </w:pPr>
      <w:rPr>
        <w:rFonts w:hint="default"/>
        <w:w w:val="99"/>
        <w:u w:val="single" w:color="2E97D3"/>
      </w:rPr>
    </w:lvl>
    <w:lvl w:ilvl="1">
      <w:start w:val="0"/>
      <w:numFmt w:val="bullet"/>
      <w:lvlText w:val="•"/>
      <w:lvlJc w:val="left"/>
      <w:pPr>
        <w:ind w:left="2244" w:hanging="540"/>
      </w:pPr>
      <w:rPr>
        <w:rFonts w:hint="default"/>
      </w:rPr>
    </w:lvl>
    <w:lvl w:ilvl="2">
      <w:start w:val="0"/>
      <w:numFmt w:val="bullet"/>
      <w:lvlText w:val="•"/>
      <w:lvlJc w:val="left"/>
      <w:pPr>
        <w:ind w:left="3128" w:hanging="540"/>
      </w:pPr>
      <w:rPr>
        <w:rFonts w:hint="default"/>
      </w:rPr>
    </w:lvl>
    <w:lvl w:ilvl="3">
      <w:start w:val="0"/>
      <w:numFmt w:val="bullet"/>
      <w:lvlText w:val="•"/>
      <w:lvlJc w:val="left"/>
      <w:pPr>
        <w:ind w:left="4012" w:hanging="540"/>
      </w:pPr>
      <w:rPr>
        <w:rFonts w:hint="default"/>
      </w:rPr>
    </w:lvl>
    <w:lvl w:ilvl="4">
      <w:start w:val="0"/>
      <w:numFmt w:val="bullet"/>
      <w:lvlText w:val="•"/>
      <w:lvlJc w:val="left"/>
      <w:pPr>
        <w:ind w:left="4896" w:hanging="540"/>
      </w:pPr>
      <w:rPr>
        <w:rFonts w:hint="default"/>
      </w:rPr>
    </w:lvl>
    <w:lvl w:ilvl="5">
      <w:start w:val="0"/>
      <w:numFmt w:val="bullet"/>
      <w:lvlText w:val="•"/>
      <w:lvlJc w:val="left"/>
      <w:pPr>
        <w:ind w:left="5780" w:hanging="540"/>
      </w:pPr>
      <w:rPr>
        <w:rFonts w:hint="default"/>
      </w:rPr>
    </w:lvl>
    <w:lvl w:ilvl="6">
      <w:start w:val="0"/>
      <w:numFmt w:val="bullet"/>
      <w:lvlText w:val="•"/>
      <w:lvlJc w:val="left"/>
      <w:pPr>
        <w:ind w:left="6664" w:hanging="540"/>
      </w:pPr>
      <w:rPr>
        <w:rFonts w:hint="default"/>
      </w:rPr>
    </w:lvl>
    <w:lvl w:ilvl="7">
      <w:start w:val="0"/>
      <w:numFmt w:val="bullet"/>
      <w:lvlText w:val="•"/>
      <w:lvlJc w:val="left"/>
      <w:pPr>
        <w:ind w:left="7548" w:hanging="540"/>
      </w:pPr>
      <w:rPr>
        <w:rFonts w:hint="default"/>
      </w:rPr>
    </w:lvl>
    <w:lvl w:ilvl="8">
      <w:start w:val="0"/>
      <w:numFmt w:val="bullet"/>
      <w:lvlText w:val="•"/>
      <w:lvlJc w:val="left"/>
      <w:pPr>
        <w:ind w:left="8432" w:hanging="540"/>
      </w:pPr>
      <w:rPr>
        <w:rFonts w:hint="default"/>
      </w:rPr>
    </w:lvl>
  </w:abstractNum>
  <w:abstractNum w:abstractNumId="2">
    <w:multiLevelType w:val="hybridMultilevel"/>
    <w:lvl w:ilvl="0">
      <w:start w:val="1"/>
      <w:numFmt w:val="lowerLetter"/>
      <w:lvlText w:val="%1."/>
      <w:lvlJc w:val="left"/>
      <w:pPr>
        <w:ind w:left="820" w:hanging="540"/>
        <w:jc w:val="left"/>
      </w:pPr>
      <w:rPr>
        <w:rFonts w:hint="default"/>
        <w:w w:val="99"/>
        <w:u w:val="single" w:color="2E97D3"/>
      </w:rPr>
    </w:lvl>
    <w:lvl w:ilvl="1">
      <w:start w:val="0"/>
      <w:numFmt w:val="bullet"/>
      <w:lvlText w:val="•"/>
      <w:lvlJc w:val="left"/>
      <w:pPr>
        <w:ind w:left="1758" w:hanging="540"/>
      </w:pPr>
      <w:rPr>
        <w:rFonts w:hint="default"/>
      </w:rPr>
    </w:lvl>
    <w:lvl w:ilvl="2">
      <w:start w:val="0"/>
      <w:numFmt w:val="bullet"/>
      <w:lvlText w:val="•"/>
      <w:lvlJc w:val="left"/>
      <w:pPr>
        <w:ind w:left="2696" w:hanging="540"/>
      </w:pPr>
      <w:rPr>
        <w:rFonts w:hint="default"/>
      </w:rPr>
    </w:lvl>
    <w:lvl w:ilvl="3">
      <w:start w:val="0"/>
      <w:numFmt w:val="bullet"/>
      <w:lvlText w:val="•"/>
      <w:lvlJc w:val="left"/>
      <w:pPr>
        <w:ind w:left="3634" w:hanging="540"/>
      </w:pPr>
      <w:rPr>
        <w:rFonts w:hint="default"/>
      </w:rPr>
    </w:lvl>
    <w:lvl w:ilvl="4">
      <w:start w:val="0"/>
      <w:numFmt w:val="bullet"/>
      <w:lvlText w:val="•"/>
      <w:lvlJc w:val="left"/>
      <w:pPr>
        <w:ind w:left="4572" w:hanging="540"/>
      </w:pPr>
      <w:rPr>
        <w:rFonts w:hint="default"/>
      </w:rPr>
    </w:lvl>
    <w:lvl w:ilvl="5">
      <w:start w:val="0"/>
      <w:numFmt w:val="bullet"/>
      <w:lvlText w:val="•"/>
      <w:lvlJc w:val="left"/>
      <w:pPr>
        <w:ind w:left="5510" w:hanging="540"/>
      </w:pPr>
      <w:rPr>
        <w:rFonts w:hint="default"/>
      </w:rPr>
    </w:lvl>
    <w:lvl w:ilvl="6">
      <w:start w:val="0"/>
      <w:numFmt w:val="bullet"/>
      <w:lvlText w:val="•"/>
      <w:lvlJc w:val="left"/>
      <w:pPr>
        <w:ind w:left="6448" w:hanging="540"/>
      </w:pPr>
      <w:rPr>
        <w:rFonts w:hint="default"/>
      </w:rPr>
    </w:lvl>
    <w:lvl w:ilvl="7">
      <w:start w:val="0"/>
      <w:numFmt w:val="bullet"/>
      <w:lvlText w:val="•"/>
      <w:lvlJc w:val="left"/>
      <w:pPr>
        <w:ind w:left="7386" w:hanging="540"/>
      </w:pPr>
      <w:rPr>
        <w:rFonts w:hint="default"/>
      </w:rPr>
    </w:lvl>
    <w:lvl w:ilvl="8">
      <w:start w:val="0"/>
      <w:numFmt w:val="bullet"/>
      <w:lvlText w:val="•"/>
      <w:lvlJc w:val="left"/>
      <w:pPr>
        <w:ind w:left="8324" w:hanging="540"/>
      </w:pPr>
      <w:rPr>
        <w:rFonts w:hint="default"/>
      </w:rPr>
    </w:lvl>
  </w:abstractNum>
  <w:abstractNum w:abstractNumId="1">
    <w:multiLevelType w:val="hybridMultilevel"/>
    <w:lvl w:ilvl="0">
      <w:start w:val="1"/>
      <w:numFmt w:val="decimal"/>
      <w:lvlText w:val="%1."/>
      <w:lvlJc w:val="left"/>
      <w:pPr>
        <w:ind w:left="1180" w:hanging="360"/>
        <w:jc w:val="left"/>
      </w:pPr>
      <w:rPr>
        <w:rFonts w:hint="default"/>
        <w:strike/>
        <w:w w:val="99"/>
      </w:rPr>
    </w:lvl>
    <w:lvl w:ilvl="1">
      <w:start w:val="0"/>
      <w:numFmt w:val="bullet"/>
      <w:lvlText w:val="•"/>
      <w:lvlJc w:val="left"/>
      <w:pPr>
        <w:ind w:left="2082" w:hanging="360"/>
      </w:pPr>
      <w:rPr>
        <w:rFonts w:hint="default"/>
      </w:rPr>
    </w:lvl>
    <w:lvl w:ilvl="2">
      <w:start w:val="0"/>
      <w:numFmt w:val="bullet"/>
      <w:lvlText w:val="•"/>
      <w:lvlJc w:val="left"/>
      <w:pPr>
        <w:ind w:left="2984" w:hanging="360"/>
      </w:pPr>
      <w:rPr>
        <w:rFonts w:hint="default"/>
      </w:rPr>
    </w:lvl>
    <w:lvl w:ilvl="3">
      <w:start w:val="0"/>
      <w:numFmt w:val="bullet"/>
      <w:lvlText w:val="•"/>
      <w:lvlJc w:val="left"/>
      <w:pPr>
        <w:ind w:left="3886" w:hanging="360"/>
      </w:pPr>
      <w:rPr>
        <w:rFonts w:hint="default"/>
      </w:rPr>
    </w:lvl>
    <w:lvl w:ilvl="4">
      <w:start w:val="0"/>
      <w:numFmt w:val="bullet"/>
      <w:lvlText w:val="•"/>
      <w:lvlJc w:val="left"/>
      <w:pPr>
        <w:ind w:left="4788" w:hanging="360"/>
      </w:pPr>
      <w:rPr>
        <w:rFonts w:hint="default"/>
      </w:rPr>
    </w:lvl>
    <w:lvl w:ilvl="5">
      <w:start w:val="0"/>
      <w:numFmt w:val="bullet"/>
      <w:lvlText w:val="•"/>
      <w:lvlJc w:val="left"/>
      <w:pPr>
        <w:ind w:left="5690" w:hanging="360"/>
      </w:pPr>
      <w:rPr>
        <w:rFonts w:hint="default"/>
      </w:rPr>
    </w:lvl>
    <w:lvl w:ilvl="6">
      <w:start w:val="0"/>
      <w:numFmt w:val="bullet"/>
      <w:lvlText w:val="•"/>
      <w:lvlJc w:val="left"/>
      <w:pPr>
        <w:ind w:left="6592" w:hanging="360"/>
      </w:pPr>
      <w:rPr>
        <w:rFonts w:hint="default"/>
      </w:rPr>
    </w:lvl>
    <w:lvl w:ilvl="7">
      <w:start w:val="0"/>
      <w:numFmt w:val="bullet"/>
      <w:lvlText w:val="•"/>
      <w:lvlJc w:val="left"/>
      <w:pPr>
        <w:ind w:left="7494" w:hanging="360"/>
      </w:pPr>
      <w:rPr>
        <w:rFonts w:hint="default"/>
      </w:rPr>
    </w:lvl>
    <w:lvl w:ilvl="8">
      <w:start w:val="0"/>
      <w:numFmt w:val="bullet"/>
      <w:lvlText w:val="•"/>
      <w:lvlJc w:val="left"/>
      <w:pPr>
        <w:ind w:left="8396" w:hanging="360"/>
      </w:pPr>
      <w:rPr>
        <w:rFonts w:hint="default"/>
      </w:rPr>
    </w:lvl>
  </w:abstractNum>
  <w:abstractNum w:abstractNumId="0">
    <w:multiLevelType w:val="hybridMultilevel"/>
    <w:lvl w:ilvl="0">
      <w:start w:val="0"/>
      <w:numFmt w:val="bullet"/>
      <w:lvlText w:val=""/>
      <w:lvlJc w:val="left"/>
      <w:pPr>
        <w:ind w:left="1928" w:hanging="360"/>
      </w:pPr>
      <w:rPr>
        <w:rFonts w:hint="default" w:ascii="Symbol" w:hAnsi="Symbol" w:eastAsia="Symbol" w:cs="Symbol"/>
        <w:w w:val="100"/>
        <w:sz w:val="24"/>
        <w:szCs w:val="24"/>
      </w:rPr>
    </w:lvl>
    <w:lvl w:ilvl="1">
      <w:start w:val="0"/>
      <w:numFmt w:val="bullet"/>
      <w:lvlText w:val="•"/>
      <w:lvlJc w:val="left"/>
      <w:pPr>
        <w:ind w:left="2800" w:hanging="360"/>
      </w:pPr>
      <w:rPr>
        <w:rFonts w:hint="default"/>
      </w:rPr>
    </w:lvl>
    <w:lvl w:ilvl="2">
      <w:start w:val="0"/>
      <w:numFmt w:val="bullet"/>
      <w:lvlText w:val="•"/>
      <w:lvlJc w:val="left"/>
      <w:pPr>
        <w:ind w:left="3680" w:hanging="360"/>
      </w:pPr>
      <w:rPr>
        <w:rFonts w:hint="default"/>
      </w:rPr>
    </w:lvl>
    <w:lvl w:ilvl="3">
      <w:start w:val="0"/>
      <w:numFmt w:val="bullet"/>
      <w:lvlText w:val="•"/>
      <w:lvlJc w:val="left"/>
      <w:pPr>
        <w:ind w:left="4560" w:hanging="360"/>
      </w:pPr>
      <w:rPr>
        <w:rFonts w:hint="default"/>
      </w:rPr>
    </w:lvl>
    <w:lvl w:ilvl="4">
      <w:start w:val="0"/>
      <w:numFmt w:val="bullet"/>
      <w:lvlText w:val="•"/>
      <w:lvlJc w:val="left"/>
      <w:pPr>
        <w:ind w:left="5440" w:hanging="360"/>
      </w:pPr>
      <w:rPr>
        <w:rFonts w:hint="default"/>
      </w:rPr>
    </w:lvl>
    <w:lvl w:ilvl="5">
      <w:start w:val="0"/>
      <w:numFmt w:val="bullet"/>
      <w:lvlText w:val="•"/>
      <w:lvlJc w:val="left"/>
      <w:pPr>
        <w:ind w:left="6320" w:hanging="360"/>
      </w:pPr>
      <w:rPr>
        <w:rFonts w:hint="default"/>
      </w:rPr>
    </w:lvl>
    <w:lvl w:ilvl="6">
      <w:start w:val="0"/>
      <w:numFmt w:val="bullet"/>
      <w:lvlText w:val="•"/>
      <w:lvlJc w:val="left"/>
      <w:pPr>
        <w:ind w:left="7200" w:hanging="360"/>
      </w:pPr>
      <w:rPr>
        <w:rFonts w:hint="default"/>
      </w:rPr>
    </w:lvl>
    <w:lvl w:ilvl="7">
      <w:start w:val="0"/>
      <w:numFmt w:val="bullet"/>
      <w:lvlText w:val="•"/>
      <w:lvlJc w:val="left"/>
      <w:pPr>
        <w:ind w:left="8080" w:hanging="360"/>
      </w:pPr>
      <w:rPr>
        <w:rFonts w:hint="default"/>
      </w:rPr>
    </w:lvl>
    <w:lvl w:ilvl="8">
      <w:start w:val="0"/>
      <w:numFmt w:val="bullet"/>
      <w:lvlText w:val="•"/>
      <w:lvlJc w:val="left"/>
      <w:pPr>
        <w:ind w:left="8960" w:hanging="360"/>
      </w:pPr>
      <w:rPr>
        <w:rFonts w:hint="default"/>
      </w:rPr>
    </w:lvl>
  </w:abstract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211" w:hanging="451"/>
      <w:outlineLvl w:val="1"/>
    </w:pPr>
    <w:rPr>
      <w:rFonts w:ascii="Arial" w:hAnsi="Arial" w:eastAsia="Arial" w:cs="Arial"/>
      <w:b/>
      <w:bCs/>
      <w:sz w:val="26"/>
      <w:szCs w:val="26"/>
      <w:u w:val="single" w:color="000000"/>
    </w:rPr>
  </w:style>
  <w:style w:styleId="Heading2" w:type="paragraph">
    <w:name w:val="Heading 2"/>
    <w:basedOn w:val="Normal"/>
    <w:uiPriority w:val="1"/>
    <w:qFormat/>
    <w:pPr>
      <w:ind w:left="20"/>
      <w:outlineLvl w:val="2"/>
    </w:pPr>
    <w:rPr>
      <w:rFonts w:ascii="Arial" w:hAnsi="Arial" w:eastAsia="Arial" w:cs="Arial"/>
      <w:b/>
      <w:bCs/>
      <w:sz w:val="24"/>
      <w:szCs w:val="24"/>
    </w:rPr>
  </w:style>
  <w:style w:styleId="ListParagraph" w:type="paragraph">
    <w:name w:val="List Paragraph"/>
    <w:basedOn w:val="Normal"/>
    <w:uiPriority w:val="1"/>
    <w:qFormat/>
    <w:pPr>
      <w:ind w:left="466"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am.dgs.ca.gov/TOC/1800.aspx" TargetMode="External"/><Relationship Id="rId6" Type="http://schemas.openxmlformats.org/officeDocument/2006/relationships/hyperlink" Target="http://sam.dgs.ca.gov/TOC/4100.aspx" TargetMode="External"/><Relationship Id="rId7" Type="http://schemas.openxmlformats.org/officeDocument/2006/relationships/hyperlink" Target="http://sam.dgs.ca.gov/TOC/4800.aspx" TargetMode="External"/><Relationship Id="rId8" Type="http://schemas.openxmlformats.org/officeDocument/2006/relationships/hyperlink" Target="http://sam.dgs.ca.gov/TOC/6000.aspx" TargetMode="External"/><Relationship Id="rId9" Type="http://schemas.openxmlformats.org/officeDocument/2006/relationships/hyperlink" Target="http://sam.dgs.ca.gov/TOC/8400.aspx"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yperlink" Target="http://www.documents.dgs.ca.gov/ofa/FARS/Vehicle%20Replacement%20Methodology.pdf" TargetMode="External"/><Relationship Id="rId13" Type="http://schemas.openxmlformats.org/officeDocument/2006/relationships/hyperlink" Target="https://www.documents.dgs.ca.gov/dgs/fmc/pdf/std152.pdf" TargetMode="Externa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oter" Target="footer2.xml"/><Relationship Id="rId17" Type="http://schemas.openxmlformats.org/officeDocument/2006/relationships/hyperlink" Target="https://leginfo.legislature.ca.gov/faces/codes_displayText.xhtml?lawCode=GOV&amp;amp;division=7.&amp;amp;title=1.&amp;amp;part&amp;amp;chapter=18.1.&amp;amp;article" TargetMode="External"/><Relationship Id="rId18" Type="http://schemas.openxmlformats.org/officeDocument/2006/relationships/hyperlink" Target="http://www.gpo.gov/fdsys/granule/USCODE-2011-title29/USCODE-2011-title29-chap16-subchapV-sec794d/content-detail.html" TargetMode="External"/><Relationship Id="rId19" Type="http://schemas.openxmlformats.org/officeDocument/2006/relationships/hyperlink" Target="http://www.ecfr.gov/cgi-bin/text-idx?SID=d5934ab5622ba6fe6793bfa23dbc383b&amp;amp;amp%3Bnode=36%3A3.0.9.1.10&amp;amp;amp%3Brgn=div5" TargetMode="External"/><Relationship Id="rId20" Type="http://schemas.openxmlformats.org/officeDocument/2006/relationships/header" Target="header4.xml"/><Relationship Id="rId21" Type="http://schemas.openxmlformats.org/officeDocument/2006/relationships/footer" Target="footer3.xml"/><Relationship Id="rId22" Type="http://schemas.openxmlformats.org/officeDocument/2006/relationships/header" Target="header5.xml"/><Relationship Id="rId23" Type="http://schemas.openxmlformats.org/officeDocument/2006/relationships/footer" Target="footer4.xml"/><Relationship Id="rId24" Type="http://schemas.openxmlformats.org/officeDocument/2006/relationships/header" Target="header6.xml"/><Relationship Id="rId25" Type="http://schemas.openxmlformats.org/officeDocument/2006/relationships/footer" Target="footer5.xml"/><Relationship Id="rId26" Type="http://schemas.openxmlformats.org/officeDocument/2006/relationships/footer" Target="footer6.xml"/><Relationship Id="rId27" Type="http://schemas.openxmlformats.org/officeDocument/2006/relationships/header" Target="header7.xml"/><Relationship Id="rId28" Type="http://schemas.openxmlformats.org/officeDocument/2006/relationships/footer" Target="footer7.xml"/><Relationship Id="rId29" Type="http://schemas.openxmlformats.org/officeDocument/2006/relationships/hyperlink" Target="http://www.dof.ca.gov/budget/budget_letters/" TargetMode="External"/><Relationship Id="rId30" Type="http://schemas.openxmlformats.org/officeDocument/2006/relationships/hyperlink" Target="http://www.ebudget.ca.gov/" TargetMode="External"/><Relationship Id="rId31" Type="http://schemas.openxmlformats.org/officeDocument/2006/relationships/hyperlink" Target="http://www.dof.ca.gov/budget/Budget_Letters/" TargetMode="External"/><Relationship Id="rId32" Type="http://schemas.openxmlformats.org/officeDocument/2006/relationships/hyperlink" Target="http://www.dof.ca.gov/Budget/Historical_Budget_Information/" TargetMode="External"/><Relationship Id="rId33" Type="http://schemas.openxmlformats.org/officeDocument/2006/relationships/hyperlink" Target="http://www.dof.ca.gov/budget/Resources_for_Departments/Budget_Forms/" TargetMode="External"/><Relationship Id="rId34" Type="http://schemas.openxmlformats.org/officeDocument/2006/relationships/hyperlink" Target="http://www.dof.ca.gov/Budget/Fiscal_Resources_For_Budget/" TargetMode="External"/><Relationship Id="rId35" Type="http://schemas.openxmlformats.org/officeDocument/2006/relationships/hyperlink" Target="http://www.dof.ca.gov/" TargetMode="External"/><Relationship Id="rId36" Type="http://schemas.openxmlformats.org/officeDocument/2006/relationships/hyperlink" Target="http://leginfo.legislature.ca.gov/faces/codes_displaySection.xhtml?lawCode=CONS&amp;amp;sectionNum=SEC.%2012.&amp;amp;article=IV" TargetMode="External"/><Relationship Id="rId37" Type="http://schemas.openxmlformats.org/officeDocument/2006/relationships/footer" Target="footer8.xml"/><Relationship Id="rId38" Type="http://schemas.openxmlformats.org/officeDocument/2006/relationships/header" Target="header8.xml"/><Relationship Id="rId39" Type="http://schemas.openxmlformats.org/officeDocument/2006/relationships/hyperlink" Target="http://www.dgs.ca.gov/osp/Resources/SAMMM.aspx" TargetMode="External"/><Relationship Id="rId40" Type="http://schemas.openxmlformats.org/officeDocument/2006/relationships/header" Target="header9.xml"/><Relationship Id="rId41" Type="http://schemas.openxmlformats.org/officeDocument/2006/relationships/footer" Target="footer9.xml"/><Relationship Id="rId42" Type="http://schemas.openxmlformats.org/officeDocument/2006/relationships/image" Target="media/image1.png"/><Relationship Id="rId43" Type="http://schemas.openxmlformats.org/officeDocument/2006/relationships/header" Target="header10.xml"/><Relationship Id="rId44" Type="http://schemas.openxmlformats.org/officeDocument/2006/relationships/footer" Target="footer10.xml"/><Relationship Id="rId45" Type="http://schemas.openxmlformats.org/officeDocument/2006/relationships/header" Target="header11.xml"/><Relationship Id="rId46" Type="http://schemas.openxmlformats.org/officeDocument/2006/relationships/footer" Target="footer11.xml"/><Relationship Id="rId47" Type="http://schemas.openxmlformats.org/officeDocument/2006/relationships/image" Target="media/image2.jpeg"/><Relationship Id="rId48" Type="http://schemas.openxmlformats.org/officeDocument/2006/relationships/header" Target="header12.xml"/><Relationship Id="rId49" Type="http://schemas.openxmlformats.org/officeDocument/2006/relationships/footer" Target="footer12.xml"/><Relationship Id="rId50" Type="http://schemas.openxmlformats.org/officeDocument/2006/relationships/header" Target="header13.xml"/><Relationship Id="rId51" Type="http://schemas.openxmlformats.org/officeDocument/2006/relationships/footer" Target="footer13.xml"/><Relationship Id="rId52" Type="http://schemas.openxmlformats.org/officeDocument/2006/relationships/hyperlink" Target="http://leginfo.legislature.ca.gov/faces/codes_displaySection.xhtml?sectionNum=13335.&amp;amp;lawCode=GOV" TargetMode="External"/><Relationship Id="rId53" Type="http://schemas.openxmlformats.org/officeDocument/2006/relationships/hyperlink" Target="http://www.lao.ca.gov/" TargetMode="External"/><Relationship Id="rId54" Type="http://schemas.openxmlformats.org/officeDocument/2006/relationships/hyperlink" Target="http://www.sam.dgs.ca.gov/TOC/6000.aspx" TargetMode="External"/><Relationship Id="rId55" Type="http://schemas.openxmlformats.org/officeDocument/2006/relationships/footer" Target="footer14.xml"/><Relationship Id="rId56" Type="http://schemas.openxmlformats.org/officeDocument/2006/relationships/header" Target="header14.xml"/><Relationship Id="rId57" Type="http://schemas.openxmlformats.org/officeDocument/2006/relationships/footer" Target="footer15.xml"/><Relationship Id="rId58" Type="http://schemas.openxmlformats.org/officeDocument/2006/relationships/hyperlink" Target="http://www.dof.ca.gov/accounting/manual_of_state_funds/" TargetMode="External"/><Relationship Id="rId59" Type="http://schemas.openxmlformats.org/officeDocument/2006/relationships/hyperlink" Target="https://www.sco.ca.gov/" TargetMode="External"/><Relationship Id="rId60" Type="http://schemas.openxmlformats.org/officeDocument/2006/relationships/hyperlink" Target="http://leginfo.legislature.ca.gov/faces/codes_displaySection.xhtml?sectionNum=12460.&amp;amp;lawCode=GOV" TargetMode="External"/><Relationship Id="rId61" Type="http://schemas.openxmlformats.org/officeDocument/2006/relationships/footer" Target="footer16.xml"/><Relationship Id="rId62" Type="http://schemas.openxmlformats.org/officeDocument/2006/relationships/footer" Target="footer17.xml"/><Relationship Id="rId63" Type="http://schemas.openxmlformats.org/officeDocument/2006/relationships/hyperlink" Target="http://leginfo.legislature.ca.gov/faces/codes_displaySection.xhtml?lawCode=GOV&amp;amp;sectionNum=19831" TargetMode="External"/><Relationship Id="rId64" Type="http://schemas.openxmlformats.org/officeDocument/2006/relationships/hyperlink" Target="http://leginfo.legislature.ca.gov/faces/codes_displaySection.xhtml?lawCode=GOV&amp;amp;sectionNum=19830" TargetMode="External"/><Relationship Id="rId65" Type="http://schemas.openxmlformats.org/officeDocument/2006/relationships/hyperlink" Target="http://leginfo.legislature.ca.gov/faces/codes_displayText.xhtml?lawCode=GOV&amp;amp;division=5.&amp;amp;title=2.&amp;amp;part=2.&amp;amp;chapter=5.&amp;amp;article=4" TargetMode="External"/><Relationship Id="rId66" Type="http://schemas.openxmlformats.org/officeDocument/2006/relationships/hyperlink" Target="http://leginfo.legislature.ca.gov/faces/codes_displaySection.xhtml?lawCode=GOV&amp;amp;sectionNum=12439" TargetMode="External"/><Relationship Id="rId67" Type="http://schemas.openxmlformats.org/officeDocument/2006/relationships/hyperlink" Target="http://www.documents.dgs.ca.gov/dgs/fmc/pdf/std607.pdf" TargetMode="External"/><Relationship Id="rId68" Type="http://schemas.openxmlformats.org/officeDocument/2006/relationships/hyperlink" Target="http://leginfo.legislature.ca.gov/faces/codes_displayexpandedbranch.xhtml" TargetMode="External"/><Relationship Id="rId69" Type="http://schemas.openxmlformats.org/officeDocument/2006/relationships/hyperlink" Target="http://www.sco.ca.gov/" TargetMode="External"/><Relationship Id="rId70" Type="http://schemas.openxmlformats.org/officeDocument/2006/relationships/hyperlink" Target="http://leginfo.legislature.ca.gov/faces/codes_displaySection.xhtml?lawCode=GOV&amp;amp;sectionNum=13405" TargetMode="External"/><Relationship Id="rId71" Type="http://schemas.openxmlformats.org/officeDocument/2006/relationships/hyperlink" Target="http://leginfo.legislature.ca.gov/faces/codes_displayText.xhtml?lawCode=FAC&amp;amp;division=1.&amp;amp;title&amp;amp;part=1.&amp;amp;chapter=2.&amp;amp;article=2" TargetMode="External"/><Relationship Id="rId72" Type="http://schemas.openxmlformats.org/officeDocument/2006/relationships/hyperlink" Target="http://www.documents.dgs.ca.gov/dgs/fmc/pdf/std033.pdf" TargetMode="External"/><Relationship Id="rId73" Type="http://schemas.openxmlformats.org/officeDocument/2006/relationships/footer" Target="footer18.xml"/><Relationship Id="rId74" Type="http://schemas.openxmlformats.org/officeDocument/2006/relationships/hyperlink" Target="https://www.dof.ca.gov/budgeting/forms/view.php" TargetMode="External"/><Relationship Id="rId75" Type="http://schemas.openxmlformats.org/officeDocument/2006/relationships/footer" Target="footer19.xml"/><Relationship Id="rId76" Type="http://schemas.openxmlformats.org/officeDocument/2006/relationships/hyperlink" Target="http://leginfo.legislature.ca.gov/faces/codes_displaySection.xhtml?lawCode=GOV&amp;amp;sectionNum=14669" TargetMode="External"/><Relationship Id="rId77" Type="http://schemas.openxmlformats.org/officeDocument/2006/relationships/hyperlink" Target="http://www.sam.dgs.ca.gov/TOC/8000.aspx" TargetMode="External"/><Relationship Id="rId78" Type="http://schemas.openxmlformats.org/officeDocument/2006/relationships/hyperlink" Target="http://leginfo.legislature.ca.gov/faces/codes_displaySection.xhtml?lawCode=GOV&amp;amp;sectionNum=13332.10" TargetMode="External"/><Relationship Id="rId79" Type="http://schemas.openxmlformats.org/officeDocument/2006/relationships/footer" Target="footer20.xml"/><Relationship Id="rId80" Type="http://schemas.openxmlformats.org/officeDocument/2006/relationships/hyperlink" Target="https://www.documents.dgs.ca.gov/sam/SamPrint/new/sam_master/sam_master_file/chap8600/8602.pdf" TargetMode="External"/><Relationship Id="rId81" Type="http://schemas.openxmlformats.org/officeDocument/2006/relationships/footer" Target="footer21.xml"/><Relationship Id="rId82" Type="http://schemas.openxmlformats.org/officeDocument/2006/relationships/footer" Target="footer22.xml"/><Relationship Id="rId83" Type="http://schemas.openxmlformats.org/officeDocument/2006/relationships/footer" Target="footer23.xml"/><Relationship Id="rId84" Type="http://schemas.openxmlformats.org/officeDocument/2006/relationships/hyperlink" Target="http://leginfo.legislature.ca.gov/faces/codes_displaySection.xhtml?lawCode=GOV&amp;amp;amp%3BsectionNum=905.2" TargetMode="External"/><Relationship Id="rId85" Type="http://schemas.openxmlformats.org/officeDocument/2006/relationships/hyperlink" Target="http://www.sam.dgs.ca.gov/TOC/8700.aspx" TargetMode="External"/><Relationship Id="rId86" Type="http://schemas.openxmlformats.org/officeDocument/2006/relationships/footer" Target="footer24.xml"/><Relationship Id="rId87" Type="http://schemas.openxmlformats.org/officeDocument/2006/relationships/footer" Target="footer25.xml"/><Relationship Id="rId88" Type="http://schemas.openxmlformats.org/officeDocument/2006/relationships/footer" Target="footer26.xml"/><Relationship Id="rId89" Type="http://schemas.openxmlformats.org/officeDocument/2006/relationships/footer" Target="footer27.xml"/><Relationship Id="rId90" Type="http://schemas.openxmlformats.org/officeDocument/2006/relationships/hyperlink" Target="http://leginfo.legislature.ca.gov/faces/codes_displaySection.xhtml?lawCode=GOV&amp;amp;amp%3BsectionNum=13070" TargetMode="External"/><Relationship Id="rId91" Type="http://schemas.openxmlformats.org/officeDocument/2006/relationships/hyperlink" Target="http://leginfo.legislature.ca.gov/faces/codes_displaySection.xhtml?lawCode=GOV&amp;amp;amp%3BsectionNum=13310" TargetMode="External"/><Relationship Id="rId92" Type="http://schemas.openxmlformats.org/officeDocument/2006/relationships/hyperlink" Target="http://leginfo.legislature.ca.gov/faces/codes_displaySection.xhtml?lawCode=GOV&amp;amp;amp%3BsectionNum=13320" TargetMode="External"/><Relationship Id="rId93" Type="http://schemas.openxmlformats.org/officeDocument/2006/relationships/hyperlink" Target="http://leginfo.legislature.ca.gov/faces/codes_displaySection.xhtml?lawCode=GOV&amp;amp;amp%3BsectionNum=13321" TargetMode="External"/><Relationship Id="rId94" Type="http://schemas.openxmlformats.org/officeDocument/2006/relationships/hyperlink" Target="http://leginfo.legislature.ca.gov/faces/codes_displaySection.xhtml?lawCode=GOV&amp;amp;amp%3BsectionNum=13322" TargetMode="External"/><Relationship Id="rId95" Type="http://schemas.openxmlformats.org/officeDocument/2006/relationships/hyperlink" Target="http://leginfo.legislature.ca.gov/faces/codes_displaySection.xhtml?lawCode=GOV&amp;amp;amp%3BsectionNum=13324" TargetMode="External"/><Relationship Id="rId96" Type="http://schemas.openxmlformats.org/officeDocument/2006/relationships/hyperlink" Target="http://leginfo.legislature.ca.gov/faces/codes_displaySection.xhtml?lawCode=GOV&amp;amp;amp%3BsectionNum=13326" TargetMode="External"/><Relationship Id="rId97" Type="http://schemas.openxmlformats.org/officeDocument/2006/relationships/hyperlink" Target="http://leginfo.legislature.ca.gov/faces/codes_displaySection.xhtml?lawCode=GOV&amp;amp;amp%3BsectionNum=13335" TargetMode="External"/><Relationship Id="rId98" Type="http://schemas.openxmlformats.org/officeDocument/2006/relationships/hyperlink" Target="http://leginfo.legislature.ca.gov/faces/codes_displaySection.xhtml?lawCode=GOV&amp;amp;amp%3BsectionNum=13337" TargetMode="External"/><Relationship Id="rId99" Type="http://schemas.openxmlformats.org/officeDocument/2006/relationships/hyperlink" Target="http://leginfo.legislature.ca.gov/faces/codes_displaySection.xhtml?lawCode=GOV&amp;amp;sectionNum=13344" TargetMode="External"/><Relationship Id="rId100" Type="http://schemas.openxmlformats.org/officeDocument/2006/relationships/hyperlink" Target="http://leginfo.legislature.ca.gov/faces/codes_displaySection.xhtml?lawCode=GOV&amp;amp;amp%3BsectionNum=19818.12" TargetMode="External"/><Relationship Id="rId101" Type="http://schemas.openxmlformats.org/officeDocument/2006/relationships/footer" Target="footer28.xml"/><Relationship Id="rId102" Type="http://schemas.openxmlformats.org/officeDocument/2006/relationships/hyperlink" Target="http://www.documents.dgs.ca.gov/dgs/fmc/pdf/std625.pdf" TargetMode="External"/><Relationship Id="rId103" Type="http://schemas.openxmlformats.org/officeDocument/2006/relationships/hyperlink" Target="http://www.spb.ca.gov/" TargetMode="External"/><Relationship Id="rId104" Type="http://schemas.openxmlformats.org/officeDocument/2006/relationships/footer" Target="footer29.xml"/><Relationship Id="rId105" Type="http://schemas.openxmlformats.org/officeDocument/2006/relationships/hyperlink" Target="http://leginfo.legislature.ca.gov/faces/codes_displaySection.xhtml?lawCode=GOV&amp;amp;sectionNum=13332" TargetMode="External"/><Relationship Id="rId106" Type="http://schemas.openxmlformats.org/officeDocument/2006/relationships/hyperlink" Target="http://www.documents.dgs.ca.gov/dgs/fmc/pdf/std026.pdf" TargetMode="External"/><Relationship Id="rId107" Type="http://schemas.openxmlformats.org/officeDocument/2006/relationships/footer" Target="footer30.xml"/><Relationship Id="rId108" Type="http://schemas.openxmlformats.org/officeDocument/2006/relationships/hyperlink" Target="http://www.dof.ca.gov/Budget/Resources_for_Departments/Budget_Forms/" TargetMode="External"/><Relationship Id="rId109" Type="http://schemas.openxmlformats.org/officeDocument/2006/relationships/hyperlink" Target="http://www.documents.dgs.ca.gov/dgs/fmc/pdf/std025.pdf" TargetMode="External"/><Relationship Id="rId110" Type="http://schemas.openxmlformats.org/officeDocument/2006/relationships/hyperlink" Target="http://www.sam.dgs.ca.gov/TOC/8300.aspx" TargetMode="External"/><Relationship Id="rId111" Type="http://schemas.openxmlformats.org/officeDocument/2006/relationships/header" Target="header15.xml"/><Relationship Id="rId112" Type="http://schemas.openxmlformats.org/officeDocument/2006/relationships/header" Target="header16.xml"/><Relationship Id="rId113" Type="http://schemas.openxmlformats.org/officeDocument/2006/relationships/hyperlink" Target="http://www.dof.ca.gov/budgeting/forms/view.php" TargetMode="External"/><Relationship Id="rId114" Type="http://schemas.openxmlformats.org/officeDocument/2006/relationships/footer" Target="footer31.xml"/><Relationship Id="rId115" Type="http://schemas.openxmlformats.org/officeDocument/2006/relationships/hyperlink" Target="http://leginfo.legislature.ca.gov/faces/codes_displaySection.xhtml?lawCode=GOV&amp;amp;sectionNum=8649" TargetMode="External"/><Relationship Id="rId116" Type="http://schemas.openxmlformats.org/officeDocument/2006/relationships/hyperlink" Target="http://leginfo.legislature.ca.gov/faces/codes_displaySection.xhtml?lawCode=GOV&amp;amp;sectionNum=13078" TargetMode="External"/><Relationship Id="rId117" Type="http://schemas.openxmlformats.org/officeDocument/2006/relationships/hyperlink" Target="http://www.caloes.ca.gov/" TargetMode="External"/><Relationship Id="rId118" Type="http://schemas.openxmlformats.org/officeDocument/2006/relationships/hyperlink" Target="http://www.caloes.ca.gov/cal-oes-divisions/planning-preparedness/state-of-california-emergency-plan-emergency-functions" TargetMode="External"/><Relationship Id="rId119" Type="http://schemas.openxmlformats.org/officeDocument/2006/relationships/footer" Target="footer32.xml"/><Relationship Id="rId120" Type="http://schemas.openxmlformats.org/officeDocument/2006/relationships/hyperlink" Target="http://leginfo.legislature.ca.gov/faces/codes_displaySection.xhtml?lawCode=GOV&amp;amp;sectionNum=11346.36" TargetMode="External"/><Relationship Id="rId121" Type="http://schemas.openxmlformats.org/officeDocument/2006/relationships/hyperlink" Target="mailto:majorregulations@dof.ca.gov" TargetMode="External"/><Relationship Id="rId122" Type="http://schemas.openxmlformats.org/officeDocument/2006/relationships/hyperlink" Target="http://leginfo.legislature.ca.gov/faces/codes_displaySection.xhtml?lawCode=GOV&amp;amp;sectionNum=11342.548" TargetMode="External"/><Relationship Id="rId123" Type="http://schemas.openxmlformats.org/officeDocument/2006/relationships/hyperlink" Target="http://leginfo.legislature.ca.gov/faces/codes_displaySection.xhtml?lawCode=GOV&amp;amp;sectionNum=11346.3" TargetMode="External"/><Relationship Id="rId124" Type="http://schemas.openxmlformats.org/officeDocument/2006/relationships/hyperlink" Target="http://leginfo.legislature.ca.gov/faces/codes_displaySection.xhtml?lawCode=GOV&amp;amp;sectionNum=11349.1.5" TargetMode="External"/><Relationship Id="rId125" Type="http://schemas.openxmlformats.org/officeDocument/2006/relationships/hyperlink" Target="http://www.documents.dgs.ca.gov/dgs/fmc/pdf/std399.pdf" TargetMode="External"/><Relationship Id="rId126" Type="http://schemas.openxmlformats.org/officeDocument/2006/relationships/hyperlink" Target="http://leginfo.legislature.ca.gov/faces/codes_displaySection.xhtml?lawCode=GOV&amp;amp;sectionNum=11346.5" TargetMode="External"/><Relationship Id="rId127" Type="http://schemas.openxmlformats.org/officeDocument/2006/relationships/hyperlink" Target="http://leginfo.legislature.ca.gov/faces/codes_displaySection.xhtml?lawCode=GOV&amp;amp;sectionNum=17500" TargetMode="External"/><Relationship Id="rId128" Type="http://schemas.openxmlformats.org/officeDocument/2006/relationships/hyperlink" Target="http://leginfo.legislature.ca.gov/faces/codes_displaySection.xhtml?lawCode=GOV&amp;amp;sectionNum=11346.2" TargetMode="External"/><Relationship Id="rId129" Type="http://schemas.openxmlformats.org/officeDocument/2006/relationships/footer" Target="footer33.xml"/><Relationship Id="rId130" Type="http://schemas.openxmlformats.org/officeDocument/2006/relationships/footer" Target="footer34.xml"/><Relationship Id="rId131" Type="http://schemas.openxmlformats.org/officeDocument/2006/relationships/hyperlink" Target="http://leginfo.legislature.ca.gov/faces/codes_displaySection.xhtml?lawCode=GOV&amp;amp;sectionNum=11346.1" TargetMode="External"/><Relationship Id="rId132" Type="http://schemas.openxmlformats.org/officeDocument/2006/relationships/hyperlink" Target="http://leginfo.legislature.ca.gov/faces/codes_displaySection.xhtml?lawCode=GOV&amp;amp;sectionNum=25643" TargetMode="External"/><Relationship Id="rId133" Type="http://schemas.openxmlformats.org/officeDocument/2006/relationships/hyperlink" Target="http://leginfo.legislature.ca.gov/faces/codes_displaySection.xhtml?lawCode=HSC&amp;amp;sectionNum=57005" TargetMode="External"/><Relationship Id="rId134" Type="http://schemas.openxmlformats.org/officeDocument/2006/relationships/hyperlink" Target="http://weblinks.westlaw.com/result/default.aspx?action=Search&amp;amp;cfid=1&amp;amp;cnt=DOC&amp;amp;db=CA%2DADC&amp;amp;eq=search&amp;amp;fmqv=c&amp;amp;fn=%5Ftop&amp;amp;method=TNC&amp;amp;mt=Westlaw&amp;amp;n=1&amp;amp;origin=Search&amp;amp;query=CI%28%221%2BCA%2BADC%2BS%2B2000%22%29&amp;amp;rlt=CLID%5FQRYRLT45995115810164&amp;amp;rltdb=CLID%5FDB96527115810164&amp;amp;rlti=1&amp;amp;rp=%2Fsearch%2Fdefault%2Ewl&amp;amp;rs=GVT1%2E0&amp;amp;service=Search&amp;amp;sp=CCR%2D1000&amp;amp;srch=TRUE&amp;amp;ss=CNT&amp;amp;sskey=CLID%5FSSSA12527115810164&amp;amp;sv=Split&amp;amp;tempinfo=FIND&amp;amp;vr=2%2E0" TargetMode="External"/><Relationship Id="rId135" Type="http://schemas.openxmlformats.org/officeDocument/2006/relationships/hyperlink" Target="http://www.calepa.ca.gov/" TargetMode="External"/><Relationship Id="rId136" Type="http://schemas.openxmlformats.org/officeDocument/2006/relationships/hyperlink" Target="http://weblinks.westlaw.com/result/default.aspx?action=Search&amp;amp;cfid=1&amp;amp;cnt=DOC&amp;amp;db=CA%2DADC&amp;amp;eq=search&amp;amp;fmqv=c&amp;amp;fn=%5Ftop&amp;amp;method=TNC&amp;amp;n=1&amp;amp;origin=Search&amp;amp;query=CI%28%221%2BCA%2BADC%2BS%2B2002%22%29&amp;amp;rlt=CLID%5FQRYRLT5598956111164&amp;amp;rltdb=CLID%5FDB3367756111164&amp;amp;rlti=1&amp;amp;rp=%2Fsearch%2Fdefault%2Ewl&amp;amp;rs=GVT1%2E0&amp;amp;service=Search&amp;amp;sp=CCR%2D1000&amp;amp;srch=TRUE&amp;amp;ss=CNT&amp;amp;sskey=CLID%5FSSSA069356111164&amp;amp;tempinfo=FIND&amp;amp;vr=2%2E0" TargetMode="External"/><Relationship Id="rId137" Type="http://schemas.openxmlformats.org/officeDocument/2006/relationships/footer" Target="footer35.xml"/><Relationship Id="rId138" Type="http://schemas.openxmlformats.org/officeDocument/2006/relationships/hyperlink" Target="http://leginfo.legislature.ca.gov/faces/codes_displaySection.xhtml?lawCode=GOV&amp;amp;sectionNum=17514" TargetMode="External"/><Relationship Id="rId139" Type="http://schemas.openxmlformats.org/officeDocument/2006/relationships/hyperlink" Target="http://leginfo.legislature.ca.gov/faces/codes_displaySection.xhtml?lawCode=GOV&amp;amp;sectionNum=17516" TargetMode="External"/><Relationship Id="rId140" Type="http://schemas.openxmlformats.org/officeDocument/2006/relationships/hyperlink" Target="http://leginfo.legislature.ca.gov/faces/codes_displaySection.xhtml?lawCode=GOV&amp;amp;sectionNum=17556" TargetMode="External"/><Relationship Id="rId141" Type="http://schemas.openxmlformats.org/officeDocument/2006/relationships/hyperlink" Target="http://leginfo.legislature.ca.gov/faces/codes_displaySection.xhtml?lawCode=GOV&amp;amp;sectionNum=17561" TargetMode="External"/><Relationship Id="rId142" Type="http://schemas.openxmlformats.org/officeDocument/2006/relationships/hyperlink" Target="http://www.oal.ca.gov/" TargetMode="External"/><Relationship Id="rId143" Type="http://schemas.openxmlformats.org/officeDocument/2006/relationships/footer" Target="footer36.xml"/><Relationship Id="rId144" Type="http://schemas.openxmlformats.org/officeDocument/2006/relationships/hyperlink" Target="http://www.oal.ca.gov/notice_register.htm" TargetMode="External"/><Relationship Id="rId145" Type="http://schemas.openxmlformats.org/officeDocument/2006/relationships/hyperlink" Target="http://leginfo.legislature.ca.gov/faces/codes_displayText.xhtml?lawCode=GOV&amp;amp;division=3.&amp;amp;title=2.&amp;amp;part=1.&amp;amp;chapter=3.5.&amp;amp;article=5" TargetMode="External"/><Relationship Id="rId146" Type="http://schemas.openxmlformats.org/officeDocument/2006/relationships/footer" Target="footer37.xml"/><Relationship Id="rId147" Type="http://schemas.openxmlformats.org/officeDocument/2006/relationships/hyperlink" Target="http://leginfo.legislature.ca.gov/faces/codes_displaySection.xhtml?lawCode=GOV&amp;amp;sectionNum=11357" TargetMode="External"/><Relationship Id="rId148" Type="http://schemas.openxmlformats.org/officeDocument/2006/relationships/hyperlink" Target="http://leginfo.legislature.ca.gov/faces/codes_displaySection.xhtml?lawCode=GOV&amp;amp;sectionNum=11347.3" TargetMode="External"/><Relationship Id="rId149" Type="http://schemas.openxmlformats.org/officeDocument/2006/relationships/hyperlink" Target="http://leginfo.legislature.ca.gov/faces/codes_displaySection.xhtml?lawCode=GOV&amp;amp;sectionNum=13070" TargetMode="External"/><Relationship Id="rId150" Type="http://schemas.openxmlformats.org/officeDocument/2006/relationships/hyperlink" Target="http://leginfo.legislature.ca.gov/faces/codes_displaySection.xhtml?lawCode=GOV&amp;amp;sectionNum=11547" TargetMode="External"/><Relationship Id="rId151" Type="http://schemas.openxmlformats.org/officeDocument/2006/relationships/hyperlink" Target="http://www.dof.ca.gov/Programs/IT_Consulting_and_Fiscal_Oversight/" TargetMode="External"/><Relationship Id="rId152" Type="http://schemas.openxmlformats.org/officeDocument/2006/relationships/hyperlink" Target="http://www.sam.dgs.ca.gov/TOC/4800.aspx" TargetMode="External"/><Relationship Id="rId153" Type="http://schemas.openxmlformats.org/officeDocument/2006/relationships/hyperlink" Target="http://www.cio.ca.gov/" TargetMode="External"/><Relationship Id="rId154" Type="http://schemas.openxmlformats.org/officeDocument/2006/relationships/hyperlink" Target="http://www.sam.dgs.ca.gov/TOC/4900.aspx" TargetMode="External"/><Relationship Id="rId155" Type="http://schemas.openxmlformats.org/officeDocument/2006/relationships/hyperlink" Target="http://www.sam.dgs.ca.gov/TOC.aspx" TargetMode="External"/><Relationship Id="rId156" Type="http://schemas.openxmlformats.org/officeDocument/2006/relationships/hyperlink" Target="http://www.cio.ca.gov/Government/IT_Policy/SIMM.html" TargetMode="External"/><Relationship Id="rId157" Type="http://schemas.openxmlformats.org/officeDocument/2006/relationships/hyperlink" Target="http://www.dts.ca.gov/" TargetMode="External"/><Relationship Id="rId158" Type="http://schemas.openxmlformats.org/officeDocument/2006/relationships/hyperlink" Target="http://leginfo.legislature.ca.gov/faces/codes_displaySection.xhtml?lawCode=GOV&amp;amp;sectionNum=11540" TargetMode="External"/><Relationship Id="rId159" Type="http://schemas.openxmlformats.org/officeDocument/2006/relationships/footer" Target="footer38.xml"/><Relationship Id="rId160" Type="http://schemas.openxmlformats.org/officeDocument/2006/relationships/footer" Target="footer39.xml"/><Relationship Id="rId161" Type="http://schemas.openxmlformats.org/officeDocument/2006/relationships/footer" Target="footer40.xml"/><Relationship Id="rId162" Type="http://schemas.openxmlformats.org/officeDocument/2006/relationships/footer" Target="footer41.xml"/><Relationship Id="rId163" Type="http://schemas.openxmlformats.org/officeDocument/2006/relationships/footer" Target="footer42.xml"/><Relationship Id="rId164" Type="http://schemas.openxmlformats.org/officeDocument/2006/relationships/header" Target="header17.xml"/><Relationship Id="rId165" Type="http://schemas.openxmlformats.org/officeDocument/2006/relationships/header" Target="header18.xml"/><Relationship Id="rId166" Type="http://schemas.openxmlformats.org/officeDocument/2006/relationships/footer" Target="footer43.xml"/><Relationship Id="rId167" Type="http://schemas.openxmlformats.org/officeDocument/2006/relationships/footer" Target="footer44.xml"/><Relationship Id="rId168" Type="http://schemas.openxmlformats.org/officeDocument/2006/relationships/hyperlink" Target="http://leginfo.legislature.ca.gov/faces/codes_displaySection.xhtml?lawCode=GOV&amp;amp;sectionNum=15770" TargetMode="External"/><Relationship Id="rId169" Type="http://schemas.openxmlformats.org/officeDocument/2006/relationships/hyperlink" Target="http://leginfo.legislature.ca.gov/faces/codes_displaySection.xhtml?lawCode=GOV&amp;amp;sectionNum=15791" TargetMode="External"/><Relationship Id="rId170" Type="http://schemas.openxmlformats.org/officeDocument/2006/relationships/hyperlink" Target="http://leginfo.legislature.ca.gov/faces/codes_displaySection.xhtml?lawCode=GOV&amp;amp;sectionNum=15792" TargetMode="External"/><Relationship Id="rId171" Type="http://schemas.openxmlformats.org/officeDocument/2006/relationships/hyperlink" Target="http://leginfo.legislature.ca.gov/faces/codes_displaySection.xhtml?lawCode=GOV&amp;amp;sectionNum=13332.11" TargetMode="External"/><Relationship Id="rId172" Type="http://schemas.openxmlformats.org/officeDocument/2006/relationships/hyperlink" Target="http://leginfo.legislature.ca.gov/faces/codes_displaySection.xhtml?lawCode=GOV&amp;amp;sectionNum=16352" TargetMode="External"/><Relationship Id="rId173" Type="http://schemas.openxmlformats.org/officeDocument/2006/relationships/hyperlink" Target="http://leginfo.legislature.ca.gov/faces/codes_displaySection.xhtml?lawCode=GOV&amp;amp;sectionNum=16352.5" TargetMode="External"/><Relationship Id="rId174" Type="http://schemas.openxmlformats.org/officeDocument/2006/relationships/hyperlink" Target="http://leginfo.legislature.ca.gov/faces/codes_displaySection.xhtml?lawCode=GOV&amp;amp;sectionNum=16354" TargetMode="External"/><Relationship Id="rId175" Type="http://schemas.openxmlformats.org/officeDocument/2006/relationships/hyperlink" Target="http://leginfo.legislature.ca.gov/faces/codes_displaySection.xhtml?lawCode=GOV&amp;amp;sectionNum=16409" TargetMode="External"/><Relationship Id="rId176" Type="http://schemas.openxmlformats.org/officeDocument/2006/relationships/hyperlink" Target="http://leginfo.legislature.ca.gov/faces/codes_displaySection.xhtml?lawCode=GOV&amp;amp;sectionNum=16351.5" TargetMode="External"/><Relationship Id="rId177" Type="http://schemas.openxmlformats.org/officeDocument/2006/relationships/hyperlink" Target="http://leginfo.legislature.ca.gov/faces/codes_displaySection.xhtml?lawCode=GOV&amp;amp;sectionNum=15812" TargetMode="External"/><Relationship Id="rId178" Type="http://schemas.openxmlformats.org/officeDocument/2006/relationships/hyperlink" Target="http://leginfo.legislature.ca.gov/faces/codes_displaySection.xhtml?lawCode=PCC&amp;amp;sectionNum=10103.5" TargetMode="External"/><Relationship Id="rId179" Type="http://schemas.openxmlformats.org/officeDocument/2006/relationships/hyperlink" Target="http://leginfo.legislature.ca.gov/faces/codes_displaySection.xhtml?lawCode=GOV&amp;amp;sectionNum=15799" TargetMode="External"/><Relationship Id="rId180" Type="http://schemas.openxmlformats.org/officeDocument/2006/relationships/hyperlink" Target="http://leginfo.legislature.ca.gov/faces/codes_displaySection.xhtml?lawCode=GOV&amp;amp;sectionNum=15802" TargetMode="External"/><Relationship Id="rId181" Type="http://schemas.openxmlformats.org/officeDocument/2006/relationships/hyperlink" Target="http://leginfo.legislature.ca.gov/faces/codes_displaySection.xhtml?lawCode=GOV&amp;amp;sectionNum=15855" TargetMode="External"/><Relationship Id="rId182" Type="http://schemas.openxmlformats.org/officeDocument/2006/relationships/hyperlink" Target="http://leginfo.legislature.ca.gov/faces/codes_displaySection.xhtml?lawCode=GOV&amp;amp;sectionNum=15809" TargetMode="External"/><Relationship Id="rId183" Type="http://schemas.openxmlformats.org/officeDocument/2006/relationships/footer" Target="footer45.xml"/><Relationship Id="rId184" Type="http://schemas.openxmlformats.org/officeDocument/2006/relationships/hyperlink" Target="http://leginfo.legislature.ca.gov/faces/codes_displaySection.xhtml?lawCode=GOV&amp;amp;sectionNum=15813" TargetMode="External"/><Relationship Id="rId185" Type="http://schemas.openxmlformats.org/officeDocument/2006/relationships/hyperlink" Target="http://leginfo.legislature.ca.gov/faces/codes_displaySection.xhtml?lawCode=GOV&amp;amp;sectionNum=15814.10" TargetMode="External"/><Relationship Id="rId186" Type="http://schemas.openxmlformats.org/officeDocument/2006/relationships/hyperlink" Target="http://leginfo.legislature.ca.gov/faces/codes_displaySection.xhtml?lawCode=GOV&amp;amp;sectionNum=15814.30" TargetMode="External"/><Relationship Id="rId187" Type="http://schemas.openxmlformats.org/officeDocument/2006/relationships/hyperlink" Target="http://leginfo.legislature.ca.gov/faces/codes_displaySection.xhtml?lawCode=GOV&amp;amp;sectionNum=15819" TargetMode="External"/><Relationship Id="rId188" Type="http://schemas.openxmlformats.org/officeDocument/2006/relationships/hyperlink" Target="http://leginfo.legislature.ca.gov/faces/codesTOCSelected.xhtml" TargetMode="External"/><Relationship Id="rId189" Type="http://schemas.openxmlformats.org/officeDocument/2006/relationships/hyperlink" Target="http://leginfo.legislature.ca.gov/faces/codes_displaySection.xhtml?lawCode=GOV&amp;amp;sectionNum=15820" TargetMode="External"/><Relationship Id="rId190" Type="http://schemas.openxmlformats.org/officeDocument/2006/relationships/footer" Target="footer46.xml"/><Relationship Id="rId191" Type="http://schemas.openxmlformats.org/officeDocument/2006/relationships/hyperlink" Target="http://leginfo.legislature.ca.gov/faces/codes_displaySection.xhtml?lawCode=GOV&amp;amp;sectionNum=15830" TargetMode="External"/><Relationship Id="rId192" Type="http://schemas.openxmlformats.org/officeDocument/2006/relationships/hyperlink" Target="http://leginfo.legislature.ca.gov/faces/codes_displaySection.xhtml?lawCode=GOV&amp;amp;sectionNum=15837.5" TargetMode="External"/><Relationship Id="rId193" Type="http://schemas.openxmlformats.org/officeDocument/2006/relationships/hyperlink" Target="http://leginfo.legislature.ca.gov/faces/codes_displaySection.xhtml?lawCode=GOV&amp;amp;sectionNum=15837.6" TargetMode="External"/><Relationship Id="rId194" Type="http://schemas.openxmlformats.org/officeDocument/2006/relationships/hyperlink" Target="http://leginfo.legislature.ca.gov/faces/codes_displaySection.xhtml?lawCode=GOV&amp;amp;sectionNum=15845" TargetMode="External"/><Relationship Id="rId195" Type="http://schemas.openxmlformats.org/officeDocument/2006/relationships/hyperlink" Target="http://leginfo.legislature.ca.gov/faces/codes_displaySection.xhtml?lawCode=GOV&amp;amp;sectionNum=15850" TargetMode="External"/><Relationship Id="rId196" Type="http://schemas.openxmlformats.org/officeDocument/2006/relationships/hyperlink" Target="http://leginfo.legislature.ca.gov/faces/codes_displaySection.xhtml?lawCode=PRC&amp;amp;sectionNum=5006" TargetMode="External"/><Relationship Id="rId197" Type="http://schemas.openxmlformats.org/officeDocument/2006/relationships/hyperlink" Target="http://leginfo.legislature.ca.gov/faces/codes_displaySection.xhtml?lawCode=GOV&amp;amp;sectionNum=13332.12" TargetMode="External"/><Relationship Id="rId198" Type="http://schemas.openxmlformats.org/officeDocument/2006/relationships/hyperlink" Target="http://leginfo.legislature.ca.gov/faces/codes_displaySection.xhtml?lawCode=GOV&amp;amp;sectionNum=13332.13" TargetMode="External"/><Relationship Id="rId199" Type="http://schemas.openxmlformats.org/officeDocument/2006/relationships/hyperlink" Target="http://leginfo.legislature.ca.gov/faces/codes_displaySection.xhtml?lawCode=GOV&amp;amp;sectionNum=831.5" TargetMode="External"/><Relationship Id="rId200" Type="http://schemas.openxmlformats.org/officeDocument/2006/relationships/hyperlink" Target="http://leginfo.legislature.ca.gov/faces/codes_displaySection.xhtml?lawCode=PRC&amp;amp;sectionNum=5080.20" TargetMode="External"/><Relationship Id="rId201" Type="http://schemas.openxmlformats.org/officeDocument/2006/relationships/hyperlink" Target="http://leginfo.legislature.ca.gov/faces/codes_displaySection.xhtml?lawCode=PCC&amp;amp;sectionNum=10127" TargetMode="External"/><Relationship Id="rId202" Type="http://schemas.openxmlformats.org/officeDocument/2006/relationships/hyperlink" Target="http://leginfo.legislature.ca.gov/faces/codes_displaySection.xhtml?lawCode=GOV&amp;amp;sectionNum=6500" TargetMode="External"/><Relationship Id="rId203" Type="http://schemas.openxmlformats.org/officeDocument/2006/relationships/hyperlink" Target="http://leginfo.legislature.ca.gov/faces/codes_displaySection.xhtml?lawCode=GOV&amp;amp;sectionNum=6517" TargetMode="External"/><Relationship Id="rId204" Type="http://schemas.openxmlformats.org/officeDocument/2006/relationships/hyperlink" Target="http://leginfo.legislature.ca.gov/faces/codes_displaySection.xhtml?lawCode=GOV&amp;amp;sectionNum=6540" TargetMode="External"/><Relationship Id="rId205" Type="http://schemas.openxmlformats.org/officeDocument/2006/relationships/footer" Target="footer47.xml"/><Relationship Id="rId206" Type="http://schemas.openxmlformats.org/officeDocument/2006/relationships/hyperlink" Target="http://leginfo.legislature.ca.gov/faces/codes_displaySection.xhtml?lawCode=GOV&amp;amp;sectionNum=13100" TargetMode="External"/><Relationship Id="rId207" Type="http://schemas.openxmlformats.org/officeDocument/2006/relationships/hyperlink" Target="http://leginfo.legislature.ca.gov/faces/codes_displaySection.xhtml?lawCode=GOV&amp;amp;sectionNum=16550" TargetMode="External"/><Relationship Id="rId208" Type="http://schemas.openxmlformats.org/officeDocument/2006/relationships/hyperlink" Target="http://leginfo.legislature.ca.gov/faces/codes_displaySection.xhtml?lawCode=CONS&amp;amp;sectionNum=SEC.%2B18.&amp;amp;article=XVI" TargetMode="External"/><Relationship Id="rId209" Type="http://schemas.openxmlformats.org/officeDocument/2006/relationships/hyperlink" Target="http://leginfo.legislature.ca.gov/faces/codes_displaySection.xhtml?lawCode=GOV&amp;amp;sectionNum=16727" TargetMode="External"/><Relationship Id="rId210" Type="http://schemas.openxmlformats.org/officeDocument/2006/relationships/hyperlink" Target="http://leginfo.legislature.ca.gov/faces/codes_displaySection.xhtml?lawCode=GOV&amp;amp;sectionNum=16731.6" TargetMode="External"/><Relationship Id="rId211" Type="http://schemas.openxmlformats.org/officeDocument/2006/relationships/footer" Target="footer48.xml"/><Relationship Id="rId212" Type="http://schemas.openxmlformats.org/officeDocument/2006/relationships/hyperlink" Target="http://leginfo.legislature.ca.gov/faces/codes_displaySection.xhtml?lawCode=GOV&amp;amp;sectionNum=16780" TargetMode="External"/><Relationship Id="rId213" Type="http://schemas.openxmlformats.org/officeDocument/2006/relationships/hyperlink" Target="http://leginfo.legislature.ca.gov/faces/codes_displaySection.xhtml?lawCode=GOV&amp;amp;sectionNum=15848" TargetMode="External"/><Relationship Id="rId214" Type="http://schemas.openxmlformats.org/officeDocument/2006/relationships/hyperlink" Target="http://leginfo.legislature.ca.gov/faces/codes_displaySection.xhtml?lawCode=GOV&amp;amp;sectionNum=15819.13" TargetMode="External"/><Relationship Id="rId215" Type="http://schemas.openxmlformats.org/officeDocument/2006/relationships/hyperlink" Target="http://leginfo.legislature.ca.gov/faces/codes_displaySection.xhtml?lawCode=GOV&amp;amp;sectionNum=15820.19" TargetMode="External"/><Relationship Id="rId216" Type="http://schemas.openxmlformats.org/officeDocument/2006/relationships/hyperlink" Target="http://leginfo.legislature.ca.gov/faces/codes_displaySection.xhtml?lawCode=GOV&amp;amp;sectionNum=15820.41" TargetMode="External"/><Relationship Id="rId217" Type="http://schemas.openxmlformats.org/officeDocument/2006/relationships/hyperlink" Target="http://leginfo.legislature.ca.gov/faces/codes_displaySection.xhtml?lawCode=GOV&amp;amp;sectionNum=15820.61" TargetMode="External"/><Relationship Id="rId218" Type="http://schemas.openxmlformats.org/officeDocument/2006/relationships/footer" Target="footer49.xml"/><Relationship Id="rId219" Type="http://schemas.openxmlformats.org/officeDocument/2006/relationships/hyperlink" Target="http://leginfo.legislature.ca.gov/faces/codes_displaySection.xhtml?lawCode=GOV&amp;amp;sectionNum=13304" TargetMode="External"/><Relationship Id="rId220" Type="http://schemas.openxmlformats.org/officeDocument/2006/relationships/hyperlink" Target="http://leginfo.legislature.ca.gov/faces/codes_displaySection.xhtml?lawCode=GOV&amp;amp;sectionNum=13308" TargetMode="External"/><Relationship Id="rId221" Type="http://schemas.openxmlformats.org/officeDocument/2006/relationships/hyperlink" Target="http://leginfo.legislature.ca.gov/faces/codes_displaySection.xhtml?lawCode=PCC&amp;amp;sectionNum=10105" TargetMode="External"/><Relationship Id="rId222" Type="http://schemas.openxmlformats.org/officeDocument/2006/relationships/hyperlink" Target="http://leginfo.legislature.ca.gov/faces/codes_displaySection.xhtml?lawCode=PCC&amp;amp;sectionNum=10126" TargetMode="External"/><Relationship Id="rId223" Type="http://schemas.openxmlformats.org/officeDocument/2006/relationships/footer" Target="footer50.xml"/><Relationship Id="rId224" Type="http://schemas.openxmlformats.org/officeDocument/2006/relationships/hyperlink" Target="http://leginfo.legislature.ca.gov/faces/codes_displaySection.xhtml?lawCode=GOV&amp;amp;sectionNum=5700" TargetMode="External"/><Relationship Id="rId225" Type="http://schemas.openxmlformats.org/officeDocument/2006/relationships/hyperlink" Target="http://leginfo.legislature.ca.gov/faces/codes_displaySection.xhtml?lawCode=GOV&amp;amp;sectionNum=14650" TargetMode="External"/><Relationship Id="rId226" Type="http://schemas.openxmlformats.org/officeDocument/2006/relationships/hyperlink" Target="http://leginfo.legislature.ca.gov/faces/codes_displayText.xhtml?lawCode=GOV&amp;amp;division=3.&amp;amp;title=2.&amp;amp;part=5.5.&amp;amp;chapter=2.&amp;amp;article=2" TargetMode="External"/><Relationship Id="rId227" Type="http://schemas.openxmlformats.org/officeDocument/2006/relationships/hyperlink" Target="http://leginfo.legislature.ca.gov/faces/codes_displaySection.xhtml?lawCode=PCC&amp;amp;sectionNum=10100" TargetMode="External"/><Relationship Id="rId228" Type="http://schemas.openxmlformats.org/officeDocument/2006/relationships/hyperlink" Target="http://leginfo.legislature.ca.gov/faces/codes_displaySection.xhtml?lawCode=PCC&amp;amp;sectionNum=10101" TargetMode="External"/><Relationship Id="rId229" Type="http://schemas.openxmlformats.org/officeDocument/2006/relationships/hyperlink" Target="http://leginfo.legislature.ca.gov/faces/codes_displaySection.xhtml?lawCode=PCC&amp;amp;sectionNum=10290" TargetMode="External"/><Relationship Id="rId230" Type="http://schemas.openxmlformats.org/officeDocument/2006/relationships/hyperlink" Target="http://leginfo.legislature.ca.gov/faces/codes_displaySection.xhtml?lawCode=PCC&amp;amp;sectionNum=10500" TargetMode="External"/><Relationship Id="rId231" Type="http://schemas.openxmlformats.org/officeDocument/2006/relationships/footer" Target="footer51.xml"/><Relationship Id="rId232" Type="http://schemas.openxmlformats.org/officeDocument/2006/relationships/hyperlink" Target="http://leginfo.legislature.ca.gov/faces/codes_displaySection.xhtml?lawCode=PCC&amp;amp;sectionNum=10700" TargetMode="External"/><Relationship Id="rId233" Type="http://schemas.openxmlformats.org/officeDocument/2006/relationships/hyperlink" Target="http://leginfo.legislature.ca.gov/faces/codes_displaySection.xhtml?lawCode=GOV&amp;amp;sectionNum=4525" TargetMode="External"/><Relationship Id="rId234" Type="http://schemas.openxmlformats.org/officeDocument/2006/relationships/hyperlink" Target="http://leginfo.legislature.ca.gov/faces/codes_displaySection.xhtml?lawCode=PCC&amp;amp;sectionNum=6106" TargetMode="External"/><Relationship Id="rId235" Type="http://schemas.openxmlformats.org/officeDocument/2006/relationships/hyperlink" Target="http://leginfo.legislature.ca.gov/faces/codes_displaySection.xhtml?lawCode=PRC&amp;amp;sectionNum=21000" TargetMode="External"/><Relationship Id="rId236" Type="http://schemas.openxmlformats.org/officeDocument/2006/relationships/hyperlink" Target="http://leginfo.legislature.ca.gov/faces/codes_displaySection.xhtml?lawCode=GOV&amp;amp;sectionNum=15854" TargetMode="External"/><Relationship Id="rId237" Type="http://schemas.openxmlformats.org/officeDocument/2006/relationships/hyperlink" Target="http://leginfo.legislature.ca.gov/faces/codes_displaySection.xhtml?lawCode=GOV&amp;amp;sectionNum=7267.2" TargetMode="External"/><Relationship Id="rId238" Type="http://schemas.openxmlformats.org/officeDocument/2006/relationships/hyperlink" Target="http://leginfo.legislature.ca.gov/faces/codes_displaySection.xhtml?lawCode=PCC&amp;amp;sectionNum=10110" TargetMode="External"/><Relationship Id="rId239" Type="http://schemas.openxmlformats.org/officeDocument/2006/relationships/hyperlink" Target="http://leginfo.legislature.ca.gov/faces/codes_displaySection.xhtml?lawCode=PRC&amp;amp;sectionNum=5024" TargetMode="External"/><Relationship Id="rId240" Type="http://schemas.openxmlformats.org/officeDocument/2006/relationships/footer" Target="footer52.xml"/><Relationship Id="rId241" Type="http://schemas.openxmlformats.org/officeDocument/2006/relationships/header" Target="header19.xml"/><Relationship Id="rId242" Type="http://schemas.openxmlformats.org/officeDocument/2006/relationships/footer" Target="footer53.xml"/><Relationship Id="rId243" Type="http://schemas.openxmlformats.org/officeDocument/2006/relationships/header" Target="header20.xml"/><Relationship Id="rId244" Type="http://schemas.openxmlformats.org/officeDocument/2006/relationships/footer" Target="footer54.xml"/><Relationship Id="rId245" Type="http://schemas.openxmlformats.org/officeDocument/2006/relationships/footer" Target="footer55.xml"/><Relationship Id="rId246" Type="http://schemas.openxmlformats.org/officeDocument/2006/relationships/footer" Target="footer56.xml"/><Relationship Id="rId247" Type="http://schemas.openxmlformats.org/officeDocument/2006/relationships/footer" Target="footer57.xml"/><Relationship Id="rId248" Type="http://schemas.openxmlformats.org/officeDocument/2006/relationships/hyperlink" Target="http://www.dgs.ca.gov/dgs/ProgramsServices/Forms/FMC/search/resultsNumber.aspx?number=9" TargetMode="External"/><Relationship Id="rId249" Type="http://schemas.openxmlformats.org/officeDocument/2006/relationships/header" Target="header21.xml"/><Relationship Id="rId250" Type="http://schemas.openxmlformats.org/officeDocument/2006/relationships/hyperlink" Target="http://www.dof.ca.gov/Budget/Resources_for_Departments/Budget_Forms/Documents/DF-151_Capital_Outlay_Budget_Change_Proposal-COBCP.docx" TargetMode="External"/><Relationship Id="rId251" Type="http://schemas.openxmlformats.org/officeDocument/2006/relationships/hyperlink" Target="http://www.dof.ca.gov/budget/budget_details/good_BCPs.html" TargetMode="External"/><Relationship Id="rId252" Type="http://schemas.openxmlformats.org/officeDocument/2006/relationships/header" Target="header22.xml"/><Relationship Id="rId253" Type="http://schemas.openxmlformats.org/officeDocument/2006/relationships/footer" Target="footer58.xml"/><Relationship Id="rId254" Type="http://schemas.openxmlformats.org/officeDocument/2006/relationships/footer" Target="footer59.xml"/><Relationship Id="rId255" Type="http://schemas.openxmlformats.org/officeDocument/2006/relationships/footer" Target="footer60.xml"/><Relationship Id="rId256" Type="http://schemas.openxmlformats.org/officeDocument/2006/relationships/footer" Target="footer61.xml"/><Relationship Id="rId257" Type="http://schemas.openxmlformats.org/officeDocument/2006/relationships/footer" Target="footer62.xml"/><Relationship Id="rId258" Type="http://schemas.openxmlformats.org/officeDocument/2006/relationships/footer" Target="footer63.xml"/><Relationship Id="rId259" Type="http://schemas.openxmlformats.org/officeDocument/2006/relationships/footer" Target="footer64.xml"/><Relationship Id="rId260" Type="http://schemas.openxmlformats.org/officeDocument/2006/relationships/footer" Target="footer65.xml"/><Relationship Id="rId261" Type="http://schemas.openxmlformats.org/officeDocument/2006/relationships/footer" Target="footer66.xml"/><Relationship Id="rId262" Type="http://schemas.openxmlformats.org/officeDocument/2006/relationships/header" Target="header23.xml"/><Relationship Id="rId263" Type="http://schemas.openxmlformats.org/officeDocument/2006/relationships/footer" Target="footer67.xml"/><Relationship Id="rId264" Type="http://schemas.openxmlformats.org/officeDocument/2006/relationships/footer" Target="footer68.xml"/><Relationship Id="rId265" Type="http://schemas.openxmlformats.org/officeDocument/2006/relationships/header" Target="header24.xml"/><Relationship Id="rId266" Type="http://schemas.openxmlformats.org/officeDocument/2006/relationships/header" Target="header25.xml"/><Relationship Id="rId267" Type="http://schemas.openxmlformats.org/officeDocument/2006/relationships/footer" Target="footer69.xml"/><Relationship Id="rId268" Type="http://schemas.openxmlformats.org/officeDocument/2006/relationships/footer" Target="footer70.xml"/><Relationship Id="rId269" Type="http://schemas.openxmlformats.org/officeDocument/2006/relationships/hyperlink" Target="http://www.bsc.ca.gov/codes.aspx" TargetMode="External"/><Relationship Id="rId270" Type="http://schemas.openxmlformats.org/officeDocument/2006/relationships/hyperlink" Target="http://leginfo.legislature.ca.gov/faces/codes_displaySection.xhtml?lawCode=PRC&amp;amp;sectionNum=5024.5" TargetMode="External"/><Relationship Id="rId271" Type="http://schemas.openxmlformats.org/officeDocument/2006/relationships/footer" Target="footer71.xml"/><Relationship Id="rId272" Type="http://schemas.openxmlformats.org/officeDocument/2006/relationships/header" Target="header26.xml"/><Relationship Id="rId273" Type="http://schemas.openxmlformats.org/officeDocument/2006/relationships/footer" Target="footer72.xml"/><Relationship Id="rId274" Type="http://schemas.openxmlformats.org/officeDocument/2006/relationships/footer" Target="footer73.xml"/><Relationship Id="rId275" Type="http://schemas.openxmlformats.org/officeDocument/2006/relationships/footer" Target="footer74.xml"/><Relationship Id="rId276" Type="http://schemas.openxmlformats.org/officeDocument/2006/relationships/footer" Target="footer75.xml"/><Relationship Id="rId277" Type="http://schemas.openxmlformats.org/officeDocument/2006/relationships/footer" Target="footer76.xml"/><Relationship Id="rId278" Type="http://schemas.openxmlformats.org/officeDocument/2006/relationships/footer" Target="footer77.xml"/><Relationship Id="rId279" Type="http://schemas.openxmlformats.org/officeDocument/2006/relationships/footer" Target="footer78.xml"/><Relationship Id="rId280" Type="http://schemas.openxmlformats.org/officeDocument/2006/relationships/footer" Target="footer79.xml"/><Relationship Id="rId281" Type="http://schemas.openxmlformats.org/officeDocument/2006/relationships/footer" Target="footer80.xml"/><Relationship Id="rId282" Type="http://schemas.openxmlformats.org/officeDocument/2006/relationships/footer" Target="footer81.xml"/><Relationship Id="rId283" Type="http://schemas.openxmlformats.org/officeDocument/2006/relationships/hyperlink" Target="http://leginfo.legislature.ca.gov/faces/codes_displayText.xhtml?lawCode=GOV&amp;amp;division=3.&amp;amp;title=2.&amp;amp;part=11.&amp;amp;chapter&amp;amp;article" TargetMode="External"/><Relationship Id="rId284" Type="http://schemas.openxmlformats.org/officeDocument/2006/relationships/hyperlink" Target="http://leginfo.legislature.ca.gov/faces/codes_displaySection.xhtml?lawCode=GOV&amp;amp;sectionNum=15853" TargetMode="External"/><Relationship Id="rId285" Type="http://schemas.openxmlformats.org/officeDocument/2006/relationships/hyperlink" Target="http://www.parks.ca.gov/" TargetMode="External"/><Relationship Id="rId286" Type="http://schemas.openxmlformats.org/officeDocument/2006/relationships/hyperlink" Target="http://www.dot.ca.gov/" TargetMode="External"/><Relationship Id="rId287" Type="http://schemas.openxmlformats.org/officeDocument/2006/relationships/hyperlink" Target="http://www.water.ca.gov/" TargetMode="External"/><Relationship Id="rId288" Type="http://schemas.openxmlformats.org/officeDocument/2006/relationships/hyperlink" Target="http://www.slc.ca.gov/" TargetMode="External"/><Relationship Id="rId289" Type="http://schemas.openxmlformats.org/officeDocument/2006/relationships/hyperlink" Target="https://www.dfg.ca.gov/" TargetMode="External"/><Relationship Id="rId290" Type="http://schemas.openxmlformats.org/officeDocument/2006/relationships/hyperlink" Target="http://www.uchastings.edu/" TargetMode="External"/><Relationship Id="rId291" Type="http://schemas.openxmlformats.org/officeDocument/2006/relationships/hyperlink" Target="http://www.universityofcalifornia.edu/" TargetMode="External"/><Relationship Id="rId292" Type="http://schemas.openxmlformats.org/officeDocument/2006/relationships/hyperlink" Target="http://leginfo.legislature.ca.gov/faces/codes_displaySection.xhtml?lawCode=GOV&amp;amp;sectionNum=15862" TargetMode="External"/><Relationship Id="rId293" Type="http://schemas.openxmlformats.org/officeDocument/2006/relationships/hyperlink" Target="http://leginfo.legislature.ca.gov/faces/codes_displaySection.xhtml?lawCode=GOV&amp;amp;sectionNum=11011" TargetMode="External"/><Relationship Id="rId294" Type="http://schemas.openxmlformats.org/officeDocument/2006/relationships/hyperlink" Target="http://leginfo.legislature.ca.gov/faces/codes_displaySection.xhtml?lawCode=GOV&amp;amp;sectionNum=15799.2" TargetMode="External"/><Relationship Id="rId295" Type="http://schemas.openxmlformats.org/officeDocument/2006/relationships/hyperlink" Target="http://leginfo.legislature.ca.gov/faces/codes_displaySection.xhtml?lawCode=GOV&amp;amp;sectionNum=15799.4" TargetMode="External"/><Relationship Id="rId296" Type="http://schemas.openxmlformats.org/officeDocument/2006/relationships/hyperlink" Target="http://leginfo.legislature.ca.gov/faces/codes_displaySection.xhtml?lawCode=GOV&amp;amp;sectionNum=15901" TargetMode="External"/><Relationship Id="rId297" Type="http://schemas.openxmlformats.org/officeDocument/2006/relationships/hyperlink" Target="http://leginfo.legislature.ca.gov/faces/codes_displaySection.xhtml?lawCode=GOV&amp;amp;sectionNum=11125" TargetMode="External"/><Relationship Id="rId298" Type="http://schemas.openxmlformats.org/officeDocument/2006/relationships/footer" Target="footer82.xml"/><Relationship Id="rId299" Type="http://schemas.openxmlformats.org/officeDocument/2006/relationships/footer" Target="footer83.xml"/><Relationship Id="rId300" Type="http://schemas.openxmlformats.org/officeDocument/2006/relationships/footer" Target="footer84.xml"/><Relationship Id="rId301" Type="http://schemas.openxmlformats.org/officeDocument/2006/relationships/footer" Target="footer85.xml"/><Relationship Id="rId302" Type="http://schemas.openxmlformats.org/officeDocument/2006/relationships/hyperlink" Target="https://www.dgsapps.dgs.ca.gov/osp/StatewideFormsWeb/Forms.aspx" TargetMode="External"/><Relationship Id="rId303" Type="http://schemas.openxmlformats.org/officeDocument/2006/relationships/footer" Target="footer86.xml"/><Relationship Id="rId304" Type="http://schemas.openxmlformats.org/officeDocument/2006/relationships/hyperlink" Target="http://leginfo.legislature.ca.gov/faces/codes_displaySection.xhtml?lawCode=PCC&amp;amp;sectionNum=21000" TargetMode="External"/><Relationship Id="rId305" Type="http://schemas.openxmlformats.org/officeDocument/2006/relationships/hyperlink" Target="http://resources.ca.gov/ceqa/" TargetMode="External"/><Relationship Id="rId306" Type="http://schemas.openxmlformats.org/officeDocument/2006/relationships/hyperlink" Target="http://weblinks.westlaw.com/result/default.aspx?action=Search&amp;amp;cfid=1&amp;amp;cnt=DOC&amp;amp;db=CA-ADC&amp;amp;eq=search&amp;amp;fmqv=c&amp;amp;fn=_top&amp;amp;method=TNC&amp;amp;mt=Westlaw&amp;amp;n=2&amp;amp;origin=Search&amp;amp;query=CI%28%22CA%2BADC%2BS%2B15378%22%29&amp;amp;rlt=CLID_QRYRLT45693305613184&amp;amp;rltdb=CLID_DB81381305613184&amp;amp;rlti=1&amp;amp;rp=%2Fsearch%2Fdefault%2Ewl&amp;amp;rs=GVT1%2E0&amp;amp;service=Search&amp;amp;sp=CCR-1000&amp;amp;srch=TRUE&amp;amp;ss=CNT&amp;amp;sskey=CLID_SSSA40381305613184&amp;amp;sv=Split&amp;amp;tempinfo=FIND&amp;amp;vr=2%2E0" TargetMode="External"/><Relationship Id="rId307" Type="http://schemas.openxmlformats.org/officeDocument/2006/relationships/hyperlink" Target="http://weblinks.westlaw.com/result/default.aspx?action=Search&amp;amp;cfid=1&amp;amp;cnt=DOC&amp;amp;db=CA-ADC&amp;amp;eq=search&amp;amp;fmqv=c&amp;amp;fn=_top&amp;amp;method=TNC&amp;amp;n=1&amp;amp;origin=Search&amp;amp;query=CI%28%22CA%2BADC%2BS%2B15075%22%29&amp;amp;rlt=CLID_QRYRLT6674405512164&amp;amp;rltdb=CLID_DB85824395512164&amp;amp;rlti=1&amp;amp;rp=%2Fsearch%2Fdefault%2Ewl&amp;amp;rs=GVT1%2E0&amp;amp;service=Search&amp;amp;sp=CCR-1000&amp;amp;srch=TRUE&amp;amp;ss=CNT&amp;amp;sskey=CLID_SSSA69824395512164&amp;amp;tempinfo=FIND&amp;amp;vr=2%2E0" TargetMode="External"/><Relationship Id="rId308" Type="http://schemas.openxmlformats.org/officeDocument/2006/relationships/hyperlink" Target="http://weblinks.westlaw.com/result/default.aspx?action=Search&amp;amp;cfid=1&amp;amp;cnt=DOC&amp;amp;db=CA-ADC&amp;amp;eq=search&amp;amp;fmqv=c&amp;amp;fn=_top&amp;amp;method=TNC&amp;amp;n=1&amp;amp;origin=Search&amp;amp;query=CI%28%22CA%2BADC%2BS%2B15094%22%29&amp;amp;rlt=CLID_QRYRLT3967265612164&amp;amp;rltdb=CLID_DB5242265612164&amp;amp;rlti=1&amp;amp;rp=%2Fsearch%2Fdefault%2Ewl&amp;amp;rs=GVT1%2E0&amp;amp;service=Search&amp;amp;sp=CCR-1000&amp;amp;srch=TRUE&amp;amp;ss=CNT&amp;amp;sskey=CLID_SSSA2542265612164&amp;amp;tempinfo=FIND&amp;amp;vr=2%2E0" TargetMode="External"/><Relationship Id="rId309" Type="http://schemas.openxmlformats.org/officeDocument/2006/relationships/footer" Target="footer87.xml"/><Relationship Id="rId310" Type="http://schemas.openxmlformats.org/officeDocument/2006/relationships/footer" Target="footer88.xml"/><Relationship Id="rId311" Type="http://schemas.openxmlformats.org/officeDocument/2006/relationships/footer" Target="footer89.xml"/><Relationship Id="rId312" Type="http://schemas.openxmlformats.org/officeDocument/2006/relationships/hyperlink" Target="http://leginfo.legislature.ca.gov/faces/codes_displaySection.xhtml?lawCode=GOV&amp;amp;sectionNum=14959" TargetMode="External"/><Relationship Id="rId313" Type="http://schemas.openxmlformats.org/officeDocument/2006/relationships/header" Target="header27.xml"/><Relationship Id="rId314" Type="http://schemas.openxmlformats.org/officeDocument/2006/relationships/hyperlink" Target="http://leginfo.legislature.ca.gov/faces/codes_displaySection.xhtml?lawCode=GOV&amp;amp;amp%3BsectionNum=16352.5" TargetMode="External"/><Relationship Id="rId315" Type="http://schemas.openxmlformats.org/officeDocument/2006/relationships/hyperlink" Target="http://leginfo.legislature.ca.gov/faces/codes_displaySection.xhtml?lawCode=GOV&amp;amp;amp%3BsectionNum=16354" TargetMode="External"/><Relationship Id="rId316" Type="http://schemas.openxmlformats.org/officeDocument/2006/relationships/hyperlink" Target="http://leginfo.legislature.ca.gov/faces/codes_displaySection.xhtml?lawCode=GOV&amp;amp;amp%3BsectionNum=16409" TargetMode="External"/><Relationship Id="rId317" Type="http://schemas.openxmlformats.org/officeDocument/2006/relationships/hyperlink" Target="http://leginfo.legislature.ca.gov/faces/codes_displaySection.xhtml?lawCode=GOV&amp;amp;amp%3BsectionNum=13332.11" TargetMode="External"/><Relationship Id="rId318" Type="http://schemas.openxmlformats.org/officeDocument/2006/relationships/header" Target="header28.xml"/><Relationship Id="rId319" Type="http://schemas.openxmlformats.org/officeDocument/2006/relationships/header" Target="header29.xml"/><Relationship Id="rId320" Type="http://schemas.openxmlformats.org/officeDocument/2006/relationships/footer" Target="footer90.xml"/><Relationship Id="rId321" Type="http://schemas.openxmlformats.org/officeDocument/2006/relationships/header" Target="header30.xml"/><Relationship Id="rId322" Type="http://schemas.openxmlformats.org/officeDocument/2006/relationships/header" Target="header31.xml"/><Relationship Id="rId323" Type="http://schemas.openxmlformats.org/officeDocument/2006/relationships/footer" Target="footer91.xml"/><Relationship Id="rId324" Type="http://schemas.openxmlformats.org/officeDocument/2006/relationships/header" Target="header32.xml"/><Relationship Id="rId325" Type="http://schemas.openxmlformats.org/officeDocument/2006/relationships/footer" Target="footer92.xml"/><Relationship Id="rId326" Type="http://schemas.openxmlformats.org/officeDocument/2006/relationships/header" Target="header33.xml"/><Relationship Id="rId327" Type="http://schemas.openxmlformats.org/officeDocument/2006/relationships/footer" Target="footer93.xml"/><Relationship Id="rId328" Type="http://schemas.openxmlformats.org/officeDocument/2006/relationships/image" Target="media/image3.png"/><Relationship Id="rId329" Type="http://schemas.openxmlformats.org/officeDocument/2006/relationships/header" Target="header34.xml"/><Relationship Id="rId330" Type="http://schemas.openxmlformats.org/officeDocument/2006/relationships/footer" Target="footer94.xml"/><Relationship Id="rId331" Type="http://schemas.openxmlformats.org/officeDocument/2006/relationships/hyperlink" Target="http://leginfo.legislature.ca.gov/faces/codes_displaySection.xhtml?lawCode=PCC&amp;amp;amp%3BsectionNum=10103.5" TargetMode="External"/><Relationship Id="rId332" Type="http://schemas.openxmlformats.org/officeDocument/2006/relationships/footer" Target="footer95.xml"/><Relationship Id="rId333" Type="http://schemas.openxmlformats.org/officeDocument/2006/relationships/hyperlink" Target="http://leginfo.legislature.ca.gov/faces/codes_displaySection.xhtml?lawCode=CCP&amp;amp;sectionNum=1245.220" TargetMode="External"/><Relationship Id="rId334" Type="http://schemas.openxmlformats.org/officeDocument/2006/relationships/hyperlink" Target="http://leginfo.legislature.ca.gov/faces/codes_displaySection.xhtml?lawCode=CCP&amp;amp;sectionNum=1245.230" TargetMode="External"/><Relationship Id="rId335" Type="http://schemas.openxmlformats.org/officeDocument/2006/relationships/hyperlink" Target="http://leginfo.legislature.ca.gov/faces/codes_displaySection.xhtml?lawCode=CCP&amp;amp;sectionNum=1245.235" TargetMode="External"/><Relationship Id="rId336" Type="http://schemas.openxmlformats.org/officeDocument/2006/relationships/hyperlink" Target="http://leginfo.legislature.ca.gov/faces/codes_displaySection.xhtml?lawCode=GOV&amp;amp;sectionNum=15857" TargetMode="External"/><Relationship Id="rId337" Type="http://schemas.openxmlformats.org/officeDocument/2006/relationships/hyperlink" Target="http://leginfo.legislature.ca.gov/faces/codes_displaySection.xhtml?lawCode=CCP&amp;amp;sectionNum=1268.510" TargetMode="External"/><Relationship Id="rId338" Type="http://schemas.openxmlformats.org/officeDocument/2006/relationships/hyperlink" Target="http://leginfo.legislature.ca.gov/faces/codes_displaySection.xhtml?lawCode=CCP&amp;amp;sectionNum=1255.010" TargetMode="External"/><Relationship Id="rId339" Type="http://schemas.openxmlformats.org/officeDocument/2006/relationships/hyperlink" Target="http://leginfo.legislature.ca.gov/faces/codes_displaySection.xhtml?lawCode=GOV&amp;amp;sectionNum=14957" TargetMode="External"/><Relationship Id="rId340" Type="http://schemas.openxmlformats.org/officeDocument/2006/relationships/footer" Target="footer96.xml"/><Relationship Id="rId341" Type="http://schemas.openxmlformats.org/officeDocument/2006/relationships/header" Target="header35.xml"/><Relationship Id="rId342" Type="http://schemas.openxmlformats.org/officeDocument/2006/relationships/footer" Target="footer97.xml"/><Relationship Id="rId343" Type="http://schemas.openxmlformats.org/officeDocument/2006/relationships/footer" Target="footer98.xml"/><Relationship Id="rId344" Type="http://schemas.openxmlformats.org/officeDocument/2006/relationships/header" Target="header36.xml"/><Relationship Id="rId345" Type="http://schemas.openxmlformats.org/officeDocument/2006/relationships/hyperlink" Target="http://leginfo.legislature.ca.gov/faces/codes_displaySection.xhtml?lawCode=CONS&amp;amp;sectionNum=SECTION%2B1.&amp;amp;article=XVI" TargetMode="External"/><Relationship Id="rId346" Type="http://schemas.openxmlformats.org/officeDocument/2006/relationships/hyperlink" Target="http://leginfo.legislature.ca.gov/faces/codes_displaySection.xhtml?lawCode=GOV&amp;amp;sectionNum=16650" TargetMode="External"/><Relationship Id="rId347" Type="http://schemas.openxmlformats.org/officeDocument/2006/relationships/hyperlink" Target="http://leginfo.legislature.ca.gov/faces/codes_displaySection.xhtml?lawCode=GOV&amp;amp;sectionNum=15849.1" TargetMode="External"/><Relationship Id="rId348" Type="http://schemas.openxmlformats.org/officeDocument/2006/relationships/hyperlink" Target="http://leginfo.legislature.ca.gov/faces/codes_displaySection.xhtml?lawCode=GOV&amp;amp;sectionNum=16470" TargetMode="External"/><Relationship Id="rId349" Type="http://schemas.openxmlformats.org/officeDocument/2006/relationships/hyperlink" Target="http://leginfo.legislature.ca.gov/faces/codes_displaySection.xhtml?lawCode=GOV&amp;amp;sectionNum=16312" TargetMode="External"/><Relationship Id="rId350" Type="http://schemas.openxmlformats.org/officeDocument/2006/relationships/hyperlink" Target="http://leginfo.legislature.ca.gov/faces/codes_displaySection.xhtml?lawCode=GOV&amp;amp;sectionNum=16314" TargetMode="External"/><Relationship Id="rId351" Type="http://schemas.openxmlformats.org/officeDocument/2006/relationships/footer" Target="footer99.xml"/><Relationship Id="rId352" Type="http://schemas.openxmlformats.org/officeDocument/2006/relationships/footer" Target="footer100.xml"/><Relationship Id="rId353" Type="http://schemas.openxmlformats.org/officeDocument/2006/relationships/footer" Target="footer101.xml"/><Relationship Id="rId354" Type="http://schemas.openxmlformats.org/officeDocument/2006/relationships/header" Target="header37.xml"/><Relationship Id="rId355" Type="http://schemas.openxmlformats.org/officeDocument/2006/relationships/footer" Target="footer102.xml"/><Relationship Id="rId356" Type="http://schemas.openxmlformats.org/officeDocument/2006/relationships/footer" Target="footer103.xml"/><Relationship Id="rId357" Type="http://schemas.openxmlformats.org/officeDocument/2006/relationships/footer" Target="footer104.xml"/><Relationship Id="rId358" Type="http://schemas.openxmlformats.org/officeDocument/2006/relationships/header" Target="header38.xml"/><Relationship Id="rId359" Type="http://schemas.openxmlformats.org/officeDocument/2006/relationships/footer" Target="footer105.xml"/><Relationship Id="rId360" Type="http://schemas.openxmlformats.org/officeDocument/2006/relationships/hyperlink" Target="http://www.documents.dgs.ca.gov/sam/SamPrint/new/sam_master/sam_master_file/chap6000/6806.pdf" TargetMode="External"/><Relationship Id="rId361" Type="http://schemas.openxmlformats.org/officeDocument/2006/relationships/header" Target="header39.xml"/><Relationship Id="rId362" Type="http://schemas.openxmlformats.org/officeDocument/2006/relationships/header" Target="header40.xml"/><Relationship Id="rId363" Type="http://schemas.openxmlformats.org/officeDocument/2006/relationships/header" Target="header41.xml"/><Relationship Id="rId364" Type="http://schemas.openxmlformats.org/officeDocument/2006/relationships/header" Target="header42.xml"/><Relationship Id="rId365" Type="http://schemas.openxmlformats.org/officeDocument/2006/relationships/header" Target="header43.xml"/><Relationship Id="rId366" Type="http://schemas.openxmlformats.org/officeDocument/2006/relationships/header" Target="header44.xml"/><Relationship Id="rId367" Type="http://schemas.openxmlformats.org/officeDocument/2006/relationships/header" Target="header45.xml"/><Relationship Id="rId368" Type="http://schemas.openxmlformats.org/officeDocument/2006/relationships/header" Target="header46.xml"/><Relationship Id="rId369" Type="http://schemas.openxmlformats.org/officeDocument/2006/relationships/hyperlink" Target="http://leginfo.legislature.ca.gov/faces/codes_displaySection.xhtml?lawCode=PCC&amp;amp;amp%3BsectionNum=10108.5" TargetMode="External"/><Relationship Id="rId370" Type="http://schemas.openxmlformats.org/officeDocument/2006/relationships/header" Target="header47.xml"/><Relationship Id="rId371" Type="http://schemas.openxmlformats.org/officeDocument/2006/relationships/footer" Target="footer106.xml"/><Relationship Id="rId372" Type="http://schemas.openxmlformats.org/officeDocument/2006/relationships/hyperlink" Target="http://www.documents.dgs.ca.gov/sam/SamPrint/new/sam_master/sam_master_file/chap6000/6828.pdf" TargetMode="External"/><Relationship Id="rId373" Type="http://schemas.openxmlformats.org/officeDocument/2006/relationships/header" Target="header48.xml"/><Relationship Id="rId374" Type="http://schemas.openxmlformats.org/officeDocument/2006/relationships/hyperlink" Target="http://leginfo.legislature.ca.gov/faces/codes_displaySection.xhtml?lawCode=PCC&amp;amp;amp%3BsectionNum=10105" TargetMode="External"/><Relationship Id="rId375" Type="http://schemas.openxmlformats.org/officeDocument/2006/relationships/header" Target="header49.xml"/><Relationship Id="rId376" Type="http://schemas.openxmlformats.org/officeDocument/2006/relationships/hyperlink" Target="http://www.treasurer.ca.gov/" TargetMode="External"/><Relationship Id="rId377" Type="http://schemas.openxmlformats.org/officeDocument/2006/relationships/hyperlink" Target="http://www.treasurer.ca.gov/index.asp" TargetMode="External"/><Relationship Id="rId378" Type="http://schemas.openxmlformats.org/officeDocument/2006/relationships/header" Target="header50.xml"/><Relationship Id="rId379" Type="http://schemas.openxmlformats.org/officeDocument/2006/relationships/footer" Target="footer107.xml"/><Relationship Id="rId380" Type="http://schemas.openxmlformats.org/officeDocument/2006/relationships/header" Target="header51.xml"/><Relationship Id="rId381" Type="http://schemas.openxmlformats.org/officeDocument/2006/relationships/hyperlink" Target="http://leginfo.legislature.ca.gov/faces/codes_displaySection.xhtml?lawCode=CONS&amp;amp;sectionNum=SEC.%2B3.&amp;amp;article=IV" TargetMode="External"/><Relationship Id="rId382" Type="http://schemas.openxmlformats.org/officeDocument/2006/relationships/hyperlink" Target="http://leginfo.legislature.ca.gov/faces/codes_displaySection.xhtml?lawCode=CONS&amp;amp;sectionNum=SEC.%2B8.&amp;amp;article=IV" TargetMode="External"/><Relationship Id="rId383" Type="http://schemas.openxmlformats.org/officeDocument/2006/relationships/header" Target="header52.xml"/><Relationship Id="rId384" Type="http://schemas.openxmlformats.org/officeDocument/2006/relationships/hyperlink" Target="http://leginfo.legislature.ca.gov/faces/codes_displaySection.xhtml?lawCode=CONS&amp;amp;sectionNum=SEC.%2B10.&amp;amp;article=IV" TargetMode="External"/><Relationship Id="rId385" Type="http://schemas.openxmlformats.org/officeDocument/2006/relationships/header" Target="header53.xml"/><Relationship Id="rId386" Type="http://schemas.openxmlformats.org/officeDocument/2006/relationships/header" Target="header54.xml"/><Relationship Id="rId387" Type="http://schemas.openxmlformats.org/officeDocument/2006/relationships/header" Target="header55.xml"/><Relationship Id="rId388" Type="http://schemas.openxmlformats.org/officeDocument/2006/relationships/header" Target="header56.xml"/><Relationship Id="rId389" Type="http://schemas.openxmlformats.org/officeDocument/2006/relationships/header" Target="header57.xml"/><Relationship Id="rId390" Type="http://schemas.openxmlformats.org/officeDocument/2006/relationships/footer" Target="footer108.xml"/><Relationship Id="rId391" Type="http://schemas.openxmlformats.org/officeDocument/2006/relationships/hyperlink" Target="https://www.documents.dgs.ca.gov/dgs/fmc/pdf/std204.pdf" TargetMode="External"/><Relationship Id="rId392" Type="http://schemas.openxmlformats.org/officeDocument/2006/relationships/hyperlink" Target="http://www.irs.gov/Tax-Professionals/Tax-Code%2C-Regulations-and-Official-Guidance#irc" TargetMode="External"/><Relationship Id="rId393" Type="http://schemas.openxmlformats.org/officeDocument/2006/relationships/header" Target="header58.xml"/><Relationship Id="rId394" Type="http://schemas.openxmlformats.org/officeDocument/2006/relationships/hyperlink" Target="https://www.ftb.ca.gov/index.shtml?disabled=true" TargetMode="External"/><Relationship Id="rId395" Type="http://schemas.openxmlformats.org/officeDocument/2006/relationships/hyperlink" Target="http://www.ftb.ca.gov/individuals/wsc/decision-chart.shtml" TargetMode="External"/><Relationship Id="rId396" Type="http://schemas.openxmlformats.org/officeDocument/2006/relationships/hyperlink" Target="http://www.documents.dgs.ca.gov/sam/SamPrint/new/sam_master/sam_master_file/chap8400/8422.195.pdf" TargetMode="External"/><Relationship Id="rId397" Type="http://schemas.openxmlformats.org/officeDocument/2006/relationships/hyperlink" Target="http://www.irs.gov/" TargetMode="External"/><Relationship Id="rId398" Type="http://schemas.openxmlformats.org/officeDocument/2006/relationships/hyperlink" Target="http://www.ftb.ca.gov/" TargetMode="External"/><Relationship Id="rId399" Type="http://schemas.openxmlformats.org/officeDocument/2006/relationships/hyperlink" Target="http://www.documents.dgs.ca.gov/sam/SamPrint/new/sam_master/sam_master_file/chap8400/8422.193.pdf" TargetMode="External"/><Relationship Id="rId400" Type="http://schemas.openxmlformats.org/officeDocument/2006/relationships/header" Target="header59.xml"/><Relationship Id="rId401" Type="http://schemas.openxmlformats.org/officeDocument/2006/relationships/footer" Target="footer109.xml"/><Relationship Id="rId402" Type="http://schemas.openxmlformats.org/officeDocument/2006/relationships/footer" Target="footer110.xml"/><Relationship Id="rId403" Type="http://schemas.openxmlformats.org/officeDocument/2006/relationships/image" Target="media/image4.png"/><Relationship Id="rId404" Type="http://schemas.openxmlformats.org/officeDocument/2006/relationships/image" Target="media/image5.png"/><Relationship Id="rId4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dc:title>Format and minor grammatical changes have been made to all pages included in this revision package.  Revision bars are not inserted for format changes, non-substantial technical changes, and fully rewritten chapters.  Revision bars appear on the right sid</dc:title>
  <dcterms:created xsi:type="dcterms:W3CDTF">2020-07-13T14:52:21Z</dcterms:created>
  <dcterms:modified xsi:type="dcterms:W3CDTF">2020-07-13T14:52:21Z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2018-03-16T00:00:00Z</vt:filetime>
  </property>
  <property fmtid="{D5CDD505-2E9C-101B-9397-08002B2CF9AE}" pid="3" name="Creator">
    <vt:lpwstr>Acrobat PDFMaker 17 for Word</vt:lpwstr>
  </property>
  <property fmtid="{D5CDD505-2E9C-101B-9397-08002B2CF9AE}" pid="4" name="LastSaved">
    <vt:filetime>2020-07-13T00:00:00Z</vt:filetime>
  </property>
</Properties>
</file>