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267" w:right="147" w:firstLine="0"/>
        <w:jc w:val="center"/>
        <w:rPr>
          <w:b/>
          <w:sz w:val="20"/>
        </w:rPr>
      </w:pPr>
      <w:r>
        <w:rPr>
          <w:b/>
          <w:sz w:val="20"/>
        </w:rPr>
        <w:t>MAJOR REVISION SUMMARY</w:t>
      </w:r>
    </w:p>
    <w:p>
      <w:pPr>
        <w:pStyle w:val="BodyText"/>
        <w:spacing w:before="3"/>
        <w:rPr>
          <w:b/>
          <w:sz w:val="21"/>
        </w:rPr>
      </w:pPr>
    </w:p>
    <w:p>
      <w:pPr>
        <w:pStyle w:val="BodyText"/>
        <w:spacing w:line="249" w:lineRule="auto"/>
        <w:ind w:left="239" w:right="119"/>
        <w:jc w:val="both"/>
      </w:pPr>
      <w:r>
        <w:rPr/>
        <w:t>Format and minor grammatical changes have been made to all pages included in this revision package. Revision  bars are not inserted for format changes, non-substantial technical changes, and fully rewritten chapters. Revision bars appear on the right sides of all pages. Vertical (addition) bars indicate added and rewritten matter, and horizontal (deletion) bars indicate deleted</w:t>
      </w:r>
      <w:r>
        <w:rPr>
          <w:spacing w:val="44"/>
        </w:rPr>
        <w:t> </w:t>
      </w:r>
      <w:r>
        <w:rPr/>
        <w:t>matter.</w:t>
      </w:r>
    </w:p>
    <w:p>
      <w:pPr>
        <w:pStyle w:val="BodyText"/>
        <w:spacing w:before="11"/>
        <w:rPr>
          <w:sz w:val="17"/>
        </w:rPr>
      </w:pPr>
    </w:p>
    <w:p>
      <w:pPr>
        <w:pStyle w:val="Heading1"/>
        <w:tabs>
          <w:tab w:pos="5443" w:val="left" w:leader="none"/>
        </w:tabs>
        <w:spacing w:before="0"/>
        <w:ind w:left="931"/>
      </w:pPr>
      <w:r>
        <w:rPr>
          <w:u w:val="single"/>
        </w:rPr>
        <w:t>Item</w:t>
      </w:r>
      <w:r>
        <w:rPr/>
        <w:tab/>
      </w:r>
      <w:r>
        <w:rPr>
          <w:spacing w:val="-3"/>
          <w:u w:val="single"/>
        </w:rPr>
        <w:t>Summary</w:t>
      </w:r>
    </w:p>
    <w:p>
      <w:pPr>
        <w:tabs>
          <w:tab w:pos="2236" w:val="left" w:leader="none"/>
        </w:tabs>
        <w:spacing w:before="9"/>
        <w:ind w:left="240" w:right="0" w:firstLine="0"/>
        <w:jc w:val="both"/>
        <w:rPr>
          <w:sz w:val="20"/>
        </w:rPr>
      </w:pPr>
      <w:r>
        <w:rPr>
          <w:b/>
          <w:sz w:val="20"/>
        </w:rPr>
        <w:t>Subject</w:t>
      </w:r>
      <w:r>
        <w:rPr>
          <w:b/>
          <w:spacing w:val="-3"/>
          <w:sz w:val="20"/>
        </w:rPr>
        <w:t> </w:t>
      </w:r>
      <w:r>
        <w:rPr>
          <w:b/>
          <w:sz w:val="20"/>
        </w:rPr>
        <w:t>Index</w:t>
        <w:tab/>
      </w:r>
      <w:r>
        <w:rPr>
          <w:sz w:val="20"/>
        </w:rPr>
        <w:t>Updates</w:t>
      </w:r>
      <w:r>
        <w:rPr>
          <w:spacing w:val="-3"/>
          <w:sz w:val="20"/>
        </w:rPr>
        <w:t> </w:t>
      </w:r>
      <w:r>
        <w:rPr>
          <w:sz w:val="20"/>
        </w:rPr>
        <w:t>entries.</w:t>
      </w:r>
    </w:p>
    <w:p>
      <w:pPr>
        <w:pStyle w:val="BodyText"/>
        <w:spacing w:before="7"/>
        <w:rPr>
          <w:sz w:val="21"/>
        </w:rPr>
      </w:pPr>
    </w:p>
    <w:p>
      <w:pPr>
        <w:tabs>
          <w:tab w:pos="2236" w:val="left" w:leader="none"/>
        </w:tabs>
        <w:spacing w:before="1"/>
        <w:ind w:left="240" w:right="0" w:firstLine="0"/>
        <w:jc w:val="both"/>
        <w:rPr>
          <w:sz w:val="20"/>
        </w:rPr>
      </w:pPr>
      <w:r>
        <w:rPr>
          <w:b/>
          <w:sz w:val="20"/>
        </w:rPr>
        <w:t>Chapter</w:t>
      </w:r>
      <w:r>
        <w:rPr>
          <w:b/>
          <w:spacing w:val="1"/>
          <w:sz w:val="20"/>
        </w:rPr>
        <w:t> </w:t>
      </w:r>
      <w:r>
        <w:rPr>
          <w:b/>
          <w:sz w:val="20"/>
        </w:rPr>
        <w:t>0001</w:t>
        <w:tab/>
      </w:r>
      <w:r>
        <w:rPr>
          <w:b/>
          <w:sz w:val="20"/>
          <w:u w:val="single"/>
        </w:rPr>
        <w:t>Introduction  </w:t>
      </w:r>
      <w:r>
        <w:rPr>
          <w:sz w:val="20"/>
        </w:rPr>
        <w:t>Updates Sections</w:t>
      </w:r>
      <w:r>
        <w:rPr>
          <w:spacing w:val="-8"/>
          <w:sz w:val="20"/>
        </w:rPr>
        <w:t> </w:t>
      </w:r>
      <w:r>
        <w:rPr>
          <w:sz w:val="20"/>
        </w:rPr>
        <w:t>0030.</w:t>
      </w:r>
    </w:p>
    <w:p>
      <w:pPr>
        <w:pStyle w:val="BodyText"/>
        <w:rPr>
          <w:sz w:val="14"/>
        </w:rPr>
      </w:pPr>
    </w:p>
    <w:p>
      <w:pPr>
        <w:pStyle w:val="BodyText"/>
        <w:tabs>
          <w:tab w:pos="2217" w:val="left" w:leader="none"/>
        </w:tabs>
        <w:spacing w:line="249" w:lineRule="auto" w:before="94"/>
        <w:ind w:left="2217" w:right="230" w:hanging="1978"/>
      </w:pPr>
      <w:r>
        <w:rPr>
          <w:b/>
        </w:rPr>
        <w:t>Chapter</w:t>
      </w:r>
      <w:r>
        <w:rPr>
          <w:b/>
          <w:spacing w:val="1"/>
        </w:rPr>
        <w:t> </w:t>
      </w:r>
      <w:r>
        <w:rPr>
          <w:b/>
        </w:rPr>
        <w:t>1200</w:t>
        <w:tab/>
      </w:r>
      <w:r>
        <w:rPr>
          <w:b/>
          <w:u w:val="single"/>
        </w:rPr>
        <w:t>Contracts   </w:t>
      </w:r>
      <w:r>
        <w:rPr/>
        <w:t>Section  1233,  3.  p,  replaces  "handicapped  workshops'"</w:t>
      </w:r>
      <w:r>
        <w:rPr>
          <w:spacing w:val="19"/>
        </w:rPr>
        <w:t> </w:t>
      </w:r>
      <w:r>
        <w:rPr/>
        <w:t>with</w:t>
      </w:r>
      <w:r>
        <w:rPr>
          <w:spacing w:val="41"/>
        </w:rPr>
        <w:t> </w:t>
      </w:r>
      <w:r>
        <w:rPr/>
        <w:t>"Community</w:t>
      </w:r>
      <w:r>
        <w:rPr>
          <w:spacing w:val="-1"/>
          <w:w w:val="100"/>
        </w:rPr>
        <w:t> </w:t>
      </w:r>
      <w:r>
        <w:rPr/>
        <w:t>Based Rehabilitation Programs</w:t>
      </w:r>
      <w:r>
        <w:rPr>
          <w:spacing w:val="-1"/>
        </w:rPr>
        <w:t> </w:t>
      </w:r>
      <w:r>
        <w:rPr/>
        <w:t>(CRP)."</w:t>
      </w:r>
    </w:p>
    <w:p>
      <w:pPr>
        <w:pStyle w:val="BodyText"/>
        <w:spacing w:before="4"/>
        <w:rPr>
          <w:sz w:val="21"/>
        </w:rPr>
      </w:pPr>
    </w:p>
    <w:p>
      <w:pPr>
        <w:tabs>
          <w:tab w:pos="2217" w:val="left" w:leader="none"/>
        </w:tabs>
        <w:spacing w:before="0"/>
        <w:ind w:left="240" w:right="0" w:firstLine="0"/>
        <w:jc w:val="left"/>
        <w:rPr>
          <w:sz w:val="20"/>
        </w:rPr>
      </w:pPr>
      <w:r>
        <w:rPr>
          <w:b/>
          <w:sz w:val="20"/>
        </w:rPr>
        <w:t>Chapter</w:t>
      </w:r>
      <w:r>
        <w:rPr>
          <w:b/>
          <w:spacing w:val="1"/>
          <w:sz w:val="20"/>
        </w:rPr>
        <w:t> </w:t>
      </w:r>
      <w:r>
        <w:rPr>
          <w:b/>
          <w:sz w:val="20"/>
        </w:rPr>
        <w:t>1600</w:t>
        <w:tab/>
      </w:r>
      <w:r>
        <w:rPr>
          <w:b/>
          <w:sz w:val="20"/>
          <w:u w:val="single"/>
        </w:rPr>
        <w:t>Records Management  </w:t>
      </w:r>
      <w:r>
        <w:rPr>
          <w:sz w:val="20"/>
        </w:rPr>
        <w:t>Section 1611, b. replaces "recoil" with</w:t>
      </w:r>
      <w:r>
        <w:rPr>
          <w:spacing w:val="9"/>
          <w:sz w:val="20"/>
        </w:rPr>
        <w:t> </w:t>
      </w:r>
      <w:r>
        <w:rPr>
          <w:sz w:val="20"/>
        </w:rPr>
        <w:t>"recycle."</w:t>
      </w:r>
    </w:p>
    <w:p>
      <w:pPr>
        <w:pStyle w:val="BodyText"/>
        <w:rPr>
          <w:sz w:val="14"/>
        </w:rPr>
      </w:pPr>
    </w:p>
    <w:p>
      <w:pPr>
        <w:tabs>
          <w:tab w:pos="2217" w:val="left" w:leader="none"/>
        </w:tabs>
        <w:spacing w:line="249" w:lineRule="auto" w:before="93"/>
        <w:ind w:left="2217" w:right="228" w:hanging="1978"/>
        <w:jc w:val="both"/>
        <w:rPr>
          <w:sz w:val="20"/>
        </w:rPr>
      </w:pPr>
      <w:r>
        <w:rPr>
          <w:b/>
          <w:sz w:val="20"/>
        </w:rPr>
        <w:t>Chapter</w:t>
      </w:r>
      <w:r>
        <w:rPr>
          <w:b/>
          <w:spacing w:val="1"/>
          <w:sz w:val="20"/>
        </w:rPr>
        <w:t> </w:t>
      </w:r>
      <w:r>
        <w:rPr>
          <w:b/>
          <w:sz w:val="20"/>
        </w:rPr>
        <w:t>2400</w:t>
        <w:tab/>
      </w:r>
      <w:r>
        <w:rPr>
          <w:b/>
          <w:sz w:val="20"/>
          <w:u w:val="single"/>
        </w:rPr>
        <w:t>Insurance  and  Surety  Bonds     </w:t>
      </w:r>
      <w:r>
        <w:rPr>
          <w:sz w:val="20"/>
        </w:rPr>
        <w:t>Section  2482  renames  "Financial   </w:t>
      </w:r>
      <w:r>
        <w:rPr>
          <w:spacing w:val="2"/>
          <w:sz w:val="20"/>
        </w:rPr>
        <w:t> </w:t>
      </w:r>
      <w:r>
        <w:rPr>
          <w:sz w:val="20"/>
        </w:rPr>
        <w:t>and </w:t>
      </w:r>
      <w:r>
        <w:rPr>
          <w:spacing w:val="18"/>
          <w:sz w:val="20"/>
        </w:rPr>
        <w:t> </w:t>
      </w:r>
      <w:r>
        <w:rPr>
          <w:sz w:val="20"/>
        </w:rPr>
        <w:t>Performance</w:t>
      </w:r>
      <w:r>
        <w:rPr>
          <w:w w:val="100"/>
          <w:sz w:val="20"/>
        </w:rPr>
        <w:t> </w:t>
      </w:r>
      <w:r>
        <w:rPr>
          <w:sz w:val="20"/>
        </w:rPr>
        <w:t>Audits" to "Office of State Audits and Evaluations," and adds the Bureau of State Audits for reporting</w:t>
      </w:r>
      <w:r>
        <w:rPr>
          <w:spacing w:val="22"/>
          <w:sz w:val="20"/>
        </w:rPr>
        <w:t> </w:t>
      </w:r>
      <w:r>
        <w:rPr>
          <w:sz w:val="20"/>
        </w:rPr>
        <w:t>requirements.</w:t>
      </w:r>
    </w:p>
    <w:p>
      <w:pPr>
        <w:pStyle w:val="BodyText"/>
        <w:spacing w:before="4"/>
        <w:rPr>
          <w:sz w:val="21"/>
        </w:rPr>
      </w:pPr>
    </w:p>
    <w:p>
      <w:pPr>
        <w:tabs>
          <w:tab w:pos="2217" w:val="left" w:leader="none"/>
        </w:tabs>
        <w:spacing w:before="0"/>
        <w:ind w:left="240" w:right="0" w:firstLine="0"/>
        <w:jc w:val="left"/>
        <w:rPr>
          <w:sz w:val="20"/>
        </w:rPr>
      </w:pPr>
      <w:r>
        <w:rPr>
          <w:b/>
          <w:sz w:val="20"/>
        </w:rPr>
        <w:t>Chapter</w:t>
      </w:r>
      <w:r>
        <w:rPr>
          <w:b/>
          <w:spacing w:val="1"/>
          <w:sz w:val="20"/>
        </w:rPr>
        <w:t> </w:t>
      </w:r>
      <w:r>
        <w:rPr>
          <w:b/>
          <w:sz w:val="20"/>
        </w:rPr>
        <w:t>2800</w:t>
        <w:tab/>
      </w:r>
      <w:r>
        <w:rPr>
          <w:b/>
          <w:sz w:val="20"/>
          <w:u w:val="single"/>
        </w:rPr>
        <w:t>Publishing/Printing  </w:t>
      </w:r>
      <w:r>
        <w:rPr>
          <w:sz w:val="20"/>
        </w:rPr>
        <w:t>Deletes Section 2815 "OSP</w:t>
      </w:r>
      <w:r>
        <w:rPr>
          <w:spacing w:val="1"/>
          <w:sz w:val="20"/>
        </w:rPr>
        <w:t> </w:t>
      </w:r>
      <w:r>
        <w:rPr>
          <w:sz w:val="20"/>
        </w:rPr>
        <w:t>Publications."</w:t>
      </w:r>
    </w:p>
    <w:p>
      <w:pPr>
        <w:pStyle w:val="BodyText"/>
        <w:rPr>
          <w:sz w:val="14"/>
        </w:rPr>
      </w:pPr>
    </w:p>
    <w:p>
      <w:pPr>
        <w:pStyle w:val="BodyText"/>
        <w:tabs>
          <w:tab w:pos="2217" w:val="left" w:leader="none"/>
        </w:tabs>
        <w:spacing w:line="249" w:lineRule="auto" w:before="93"/>
        <w:ind w:left="2217" w:right="230" w:hanging="1978"/>
      </w:pPr>
      <w:r>
        <w:rPr>
          <w:b/>
        </w:rPr>
        <w:t>Chapter</w:t>
      </w:r>
      <w:r>
        <w:rPr>
          <w:b/>
          <w:spacing w:val="1"/>
        </w:rPr>
        <w:t> </w:t>
      </w:r>
      <w:r>
        <w:rPr>
          <w:b/>
        </w:rPr>
        <w:t>6000</w:t>
        <w:tab/>
      </w:r>
      <w:r>
        <w:rPr>
          <w:b/>
          <w:u w:val="single"/>
        </w:rPr>
        <w:t>Budgeting    </w:t>
      </w:r>
      <w:r>
        <w:rPr/>
        <w:t>Corrects  address  and  telephone  number  in  Section  6680.   </w:t>
      </w:r>
      <w:r>
        <w:rPr>
          <w:spacing w:val="15"/>
        </w:rPr>
        <w:t> </w:t>
      </w:r>
      <w:r>
        <w:rPr/>
        <w:t>Section </w:t>
      </w:r>
      <w:r>
        <w:rPr>
          <w:spacing w:val="1"/>
        </w:rPr>
        <w:t> </w:t>
      </w:r>
      <w:r>
        <w:rPr/>
        <w:t>6945</w:t>
      </w:r>
      <w:r>
        <w:rPr>
          <w:w w:val="100"/>
        </w:rPr>
        <w:t> </w:t>
      </w:r>
      <w:r>
        <w:rPr/>
        <w:t>replaces "September 7" with "September</w:t>
      </w:r>
      <w:r>
        <w:rPr>
          <w:spacing w:val="4"/>
        </w:rPr>
        <w:t> </w:t>
      </w:r>
      <w:r>
        <w:rPr/>
        <w:t>1."</w:t>
      </w:r>
    </w:p>
    <w:p>
      <w:pPr>
        <w:pStyle w:val="BodyText"/>
        <w:spacing w:before="3"/>
        <w:rPr>
          <w:sz w:val="21"/>
        </w:rPr>
      </w:pPr>
    </w:p>
    <w:p>
      <w:pPr>
        <w:tabs>
          <w:tab w:pos="2217" w:val="left" w:leader="none"/>
        </w:tabs>
        <w:spacing w:line="249" w:lineRule="auto" w:before="1"/>
        <w:ind w:left="2217" w:right="229" w:hanging="1978"/>
        <w:jc w:val="left"/>
        <w:rPr>
          <w:sz w:val="20"/>
        </w:rPr>
      </w:pPr>
      <w:r>
        <w:rPr>
          <w:b/>
          <w:sz w:val="20"/>
        </w:rPr>
        <w:t>Chapter</w:t>
      </w:r>
      <w:r>
        <w:rPr>
          <w:b/>
          <w:spacing w:val="1"/>
          <w:sz w:val="20"/>
        </w:rPr>
        <w:t> </w:t>
      </w:r>
      <w:r>
        <w:rPr>
          <w:b/>
          <w:sz w:val="20"/>
        </w:rPr>
        <w:t>8000</w:t>
        <w:tab/>
      </w:r>
      <w:r>
        <w:rPr>
          <w:b/>
          <w:sz w:val="20"/>
          <w:u w:val="single"/>
        </w:rPr>
        <w:t>Cash        </w:t>
      </w:r>
      <w:r>
        <w:rPr>
          <w:b/>
          <w:spacing w:val="5"/>
          <w:sz w:val="20"/>
          <w:u w:val="single"/>
        </w:rPr>
        <w:t> </w:t>
      </w:r>
      <w:r>
        <w:rPr>
          <w:sz w:val="20"/>
        </w:rPr>
        <w:t>Section 8000 clarifies which law enforcement agency to contact in the event</w:t>
      </w:r>
      <w:r>
        <w:rPr>
          <w:spacing w:val="27"/>
          <w:sz w:val="20"/>
        </w:rPr>
        <w:t> </w:t>
      </w:r>
      <w:r>
        <w:rPr>
          <w:sz w:val="20"/>
        </w:rPr>
        <w:t>of</w:t>
      </w:r>
      <w:r>
        <w:rPr>
          <w:spacing w:val="-1"/>
          <w:w w:val="100"/>
          <w:sz w:val="20"/>
        </w:rPr>
        <w:t> </w:t>
      </w:r>
      <w:r>
        <w:rPr>
          <w:sz w:val="20"/>
        </w:rPr>
        <w:t>robbery.</w:t>
      </w:r>
    </w:p>
    <w:p>
      <w:pPr>
        <w:pStyle w:val="BodyText"/>
        <w:spacing w:before="11"/>
      </w:pPr>
    </w:p>
    <w:p>
      <w:pPr>
        <w:pStyle w:val="BodyText"/>
        <w:ind w:left="2217"/>
      </w:pPr>
      <w:r>
        <w:rPr/>
        <w:t>Section 8041 corrects a SAM section reference.</w:t>
      </w:r>
    </w:p>
    <w:p>
      <w:pPr>
        <w:pStyle w:val="BodyText"/>
        <w:spacing w:before="8"/>
        <w:rPr>
          <w:sz w:val="21"/>
        </w:rPr>
      </w:pPr>
    </w:p>
    <w:p>
      <w:pPr>
        <w:pStyle w:val="BodyText"/>
        <w:spacing w:line="249" w:lineRule="auto"/>
        <w:ind w:left="2217" w:right="230"/>
      </w:pPr>
      <w:r>
        <w:rPr/>
        <w:t>Section 8041.1 adds the Bureau of State Audits to notification requirements, and provides the bureau and unit at Department of Justice.</w:t>
      </w:r>
    </w:p>
    <w:p>
      <w:pPr>
        <w:pStyle w:val="BodyText"/>
        <w:spacing w:before="10"/>
      </w:pPr>
    </w:p>
    <w:p>
      <w:pPr>
        <w:pStyle w:val="BodyText"/>
        <w:spacing w:line="249" w:lineRule="auto" w:before="1"/>
        <w:ind w:left="2217"/>
      </w:pPr>
      <w:r>
        <w:rPr/>
        <w:t>Section 8042 adds new procedures for uncashed and unclaimed office revolving fund and agency checks issued after January 1, 1998.</w:t>
      </w:r>
    </w:p>
    <w:p>
      <w:pPr>
        <w:pStyle w:val="BodyText"/>
        <w:spacing w:before="11"/>
      </w:pPr>
    </w:p>
    <w:p>
      <w:pPr>
        <w:pStyle w:val="BodyText"/>
        <w:spacing w:line="249" w:lineRule="auto"/>
        <w:ind w:left="2217" w:right="230"/>
      </w:pPr>
      <w:r>
        <w:rPr/>
        <w:t>Section 8043 clarifies which law enforcement agency to contact when counterfeit money has been received.</w:t>
      </w:r>
    </w:p>
    <w:p>
      <w:pPr>
        <w:pStyle w:val="BodyText"/>
        <w:spacing w:before="10"/>
      </w:pPr>
    </w:p>
    <w:p>
      <w:pPr>
        <w:pStyle w:val="BodyText"/>
        <w:spacing w:line="249" w:lineRule="auto" w:before="1"/>
        <w:ind w:left="2217" w:right="229"/>
        <w:jc w:val="both"/>
      </w:pPr>
      <w:r>
        <w:rPr/>
        <w:t>Section 8045 adds the stale date of checks issued before January 1, 1998, and the stale  date of checks issued on or after January 1, 1998. Removes the bank reimbursement provision for "over the counter"</w:t>
      </w:r>
      <w:r>
        <w:rPr>
          <w:spacing w:val="3"/>
        </w:rPr>
        <w:t> </w:t>
      </w:r>
      <w:r>
        <w:rPr/>
        <w:t>checks.</w:t>
      </w:r>
    </w:p>
    <w:p>
      <w:pPr>
        <w:pStyle w:val="BodyText"/>
        <w:spacing w:before="11"/>
      </w:pPr>
    </w:p>
    <w:p>
      <w:pPr>
        <w:pStyle w:val="BodyText"/>
        <w:ind w:left="2217"/>
      </w:pPr>
      <w:r>
        <w:rPr/>
        <w:t>Section 8046 changes the recognition period of stop payments.</w:t>
      </w:r>
    </w:p>
    <w:p>
      <w:pPr>
        <w:pStyle w:val="BodyText"/>
        <w:spacing w:before="8"/>
        <w:rPr>
          <w:sz w:val="21"/>
        </w:rPr>
      </w:pPr>
    </w:p>
    <w:p>
      <w:pPr>
        <w:pStyle w:val="BodyText"/>
        <w:spacing w:line="249" w:lineRule="auto"/>
        <w:ind w:left="2217" w:right="332"/>
      </w:pPr>
      <w:r>
        <w:rPr/>
        <w:t>Section 8048 changes the Department of Finance unit and adds the Bureau of State   Audits and California Highway Patrol for the notification </w:t>
      </w:r>
      <w:r>
        <w:rPr>
          <w:spacing w:val="16"/>
        </w:rPr>
        <w:t> </w:t>
      </w:r>
      <w:r>
        <w:rPr/>
        <w:t>requirements.</w:t>
      </w:r>
    </w:p>
    <w:p>
      <w:pPr>
        <w:pStyle w:val="BodyText"/>
        <w:spacing w:before="10"/>
      </w:pPr>
    </w:p>
    <w:p>
      <w:pPr>
        <w:pStyle w:val="BodyText"/>
        <w:spacing w:line="501" w:lineRule="auto" w:before="1"/>
        <w:ind w:left="2217" w:right="1430"/>
      </w:pPr>
      <w:r>
        <w:rPr/>
        <w:t>Section 8090 removes the types of remittances to the State Treasury. Section 8090.1 corrects the remittance provision of agency trust fund cash. Section 8091 changes the procedures for remittances to the State  Treasury.</w:t>
      </w:r>
    </w:p>
    <w:p>
      <w:pPr>
        <w:pStyle w:val="BodyText"/>
        <w:spacing w:line="249" w:lineRule="auto" w:before="8"/>
        <w:ind w:left="2217"/>
      </w:pPr>
      <w:r>
        <w:rPr/>
        <w:t>Section 8091.1 deletes the instructions to provide attachments to remittance advices; and changes the definition of unscheduled reimbursements.</w:t>
      </w:r>
    </w:p>
    <w:p>
      <w:pPr>
        <w:pStyle w:val="BodyText"/>
        <w:rPr>
          <w:sz w:val="17"/>
        </w:rPr>
      </w:pPr>
      <w:r>
        <w:rPr/>
        <w:pict>
          <v:group style="position:absolute;margin-left:65.625pt;margin-top:11.743056pt;width:474.3pt;height:2.2pt;mso-position-horizontal-relative:page;mso-position-vertical-relative:paragraph;z-index:0;mso-wrap-distance-left:0;mso-wrap-distance-right:0" coordorigin="1313,235" coordsize="9486,44">
            <v:line style="position:absolute" from="1320,242" to="3322,242" stroked="true" strokeweight=".72pt" strokecolor="#000000">
              <v:stroke dashstyle="solid"/>
            </v:line>
            <v:line style="position:absolute" from="1320,271" to="3322,271" stroked="true" strokeweight=".72pt" strokecolor="#000000">
              <v:stroke dashstyle="solid"/>
            </v:line>
            <v:line style="position:absolute" from="3322,242" to="3365,242" stroked="true" strokeweight=".72pt" strokecolor="#000000">
              <v:stroke dashstyle="solid"/>
            </v:line>
            <v:line style="position:absolute" from="3322,271" to="3365,271" stroked="true" strokeweight=".72pt" strokecolor="#000000">
              <v:stroke dashstyle="solid"/>
            </v:line>
            <v:line style="position:absolute" from="3365,242" to="10790,242" stroked="true" strokeweight=".72pt" strokecolor="#000000">
              <v:stroke dashstyle="solid"/>
            </v:line>
            <v:line style="position:absolute" from="3365,271" to="10790,271" stroked="true" strokeweight=".72pt" strokecolor="#000000">
              <v:stroke dashstyle="solid"/>
            </v:line>
            <w10:wrap type="topAndBottom"/>
          </v:group>
        </w:pict>
      </w:r>
    </w:p>
    <w:p>
      <w:pPr>
        <w:spacing w:after="0"/>
        <w:rPr>
          <w:sz w:val="17"/>
        </w:rPr>
        <w:sectPr>
          <w:footerReference w:type="default" r:id="rId5"/>
          <w:type w:val="continuous"/>
          <w:pgSz w:w="12240" w:h="15840"/>
          <w:pgMar w:footer="743" w:top="660" w:bottom="940" w:left="1200" w:right="1320"/>
          <w:pgNumType w:start="1"/>
        </w:sectPr>
      </w:pPr>
    </w:p>
    <w:p>
      <w:pPr>
        <w:pStyle w:val="BodyText"/>
        <w:spacing w:before="7"/>
        <w:rPr>
          <w:sz w:val="13"/>
        </w:rPr>
      </w:pPr>
    </w:p>
    <w:p>
      <w:pPr>
        <w:tabs>
          <w:tab w:pos="2217" w:val="left" w:leader="none"/>
        </w:tabs>
        <w:spacing w:before="93"/>
        <w:ind w:left="240" w:right="0" w:firstLine="0"/>
        <w:jc w:val="left"/>
        <w:rPr>
          <w:sz w:val="20"/>
        </w:rPr>
      </w:pPr>
      <w:r>
        <w:rPr>
          <w:b/>
          <w:sz w:val="20"/>
        </w:rPr>
        <w:t>Chapter</w:t>
      </w:r>
      <w:r>
        <w:rPr>
          <w:b/>
          <w:spacing w:val="1"/>
          <w:sz w:val="20"/>
        </w:rPr>
        <w:t> </w:t>
      </w:r>
      <w:r>
        <w:rPr>
          <w:b/>
          <w:sz w:val="20"/>
        </w:rPr>
        <w:t>8200</w:t>
        <w:tab/>
      </w:r>
      <w:r>
        <w:rPr>
          <w:b/>
          <w:sz w:val="20"/>
          <w:u w:val="single"/>
        </w:rPr>
        <w:t>Income  </w:t>
      </w:r>
      <w:r>
        <w:rPr>
          <w:sz w:val="20"/>
        </w:rPr>
        <w:t>Section 8200 rewritten to define</w:t>
      </w:r>
      <w:r>
        <w:rPr>
          <w:spacing w:val="4"/>
          <w:sz w:val="20"/>
        </w:rPr>
        <w:t> </w:t>
      </w:r>
      <w:r>
        <w:rPr>
          <w:sz w:val="20"/>
        </w:rPr>
        <w:t>income.</w:t>
      </w:r>
    </w:p>
    <w:p>
      <w:pPr>
        <w:pStyle w:val="BodyText"/>
        <w:spacing w:before="7"/>
        <w:rPr>
          <w:sz w:val="13"/>
        </w:rPr>
      </w:pPr>
    </w:p>
    <w:p>
      <w:pPr>
        <w:pStyle w:val="BodyText"/>
        <w:spacing w:line="501" w:lineRule="auto" w:before="93"/>
        <w:ind w:left="2217" w:right="3035"/>
      </w:pPr>
      <w:r>
        <w:rPr/>
        <w:t>Section 8210 renamed and rewritten to define revenue. Section 8212 makes grammatical corrections.</w:t>
      </w:r>
    </w:p>
    <w:p>
      <w:pPr>
        <w:pStyle w:val="BodyText"/>
        <w:spacing w:before="8"/>
        <w:ind w:left="2217"/>
      </w:pPr>
      <w:r>
        <w:rPr/>
        <w:t>Section 8213 removes verbiage.</w:t>
      </w:r>
    </w:p>
    <w:p>
      <w:pPr>
        <w:pStyle w:val="BodyText"/>
        <w:spacing w:before="8"/>
        <w:rPr>
          <w:sz w:val="21"/>
        </w:rPr>
      </w:pPr>
    </w:p>
    <w:p>
      <w:pPr>
        <w:pStyle w:val="BodyText"/>
        <w:spacing w:line="501" w:lineRule="auto"/>
        <w:ind w:left="2217" w:right="3861"/>
      </w:pPr>
      <w:r>
        <w:rPr/>
        <w:t>Section 8214 makes revision for consistency. Section 8215 corrects coding information.</w:t>
      </w:r>
    </w:p>
    <w:p>
      <w:pPr>
        <w:pStyle w:val="BodyText"/>
        <w:spacing w:line="501" w:lineRule="auto" w:before="8"/>
        <w:ind w:left="2217" w:right="3035"/>
      </w:pPr>
      <w:r>
        <w:rPr/>
        <w:t>Section 8240 revises revenue refund procedures. Section 8241 changes presentation for clarity.</w:t>
      </w:r>
    </w:p>
    <w:p>
      <w:pPr>
        <w:pStyle w:val="BodyText"/>
        <w:spacing w:before="8"/>
        <w:ind w:left="2217"/>
      </w:pPr>
      <w:r>
        <w:rPr/>
        <w:t>Deletes sections 8242 through 8244.</w:t>
      </w:r>
    </w:p>
    <w:p>
      <w:pPr>
        <w:pStyle w:val="BodyText"/>
        <w:spacing w:before="8"/>
        <w:rPr>
          <w:sz w:val="21"/>
        </w:rPr>
      </w:pPr>
    </w:p>
    <w:p>
      <w:pPr>
        <w:pStyle w:val="BodyText"/>
        <w:spacing w:line="249" w:lineRule="auto"/>
        <w:ind w:left="2217" w:right="230"/>
      </w:pPr>
      <w:r>
        <w:rPr/>
        <w:t>Section 8281 adds new procedures for uncashed/unclaimed State Controller's Office warrants issued after January 1, 1998.</w:t>
      </w:r>
    </w:p>
    <w:p>
      <w:pPr>
        <w:pStyle w:val="BodyText"/>
        <w:spacing w:before="10"/>
      </w:pPr>
    </w:p>
    <w:p>
      <w:pPr>
        <w:pStyle w:val="BodyText"/>
        <w:spacing w:before="1"/>
        <w:ind w:left="2217"/>
      </w:pPr>
      <w:r>
        <w:rPr/>
        <w:t>Deletes sections 8282 and 8285.</w:t>
      </w:r>
    </w:p>
    <w:p>
      <w:pPr>
        <w:pStyle w:val="BodyText"/>
        <w:spacing w:before="8"/>
        <w:rPr>
          <w:sz w:val="21"/>
        </w:rPr>
      </w:pPr>
    </w:p>
    <w:p>
      <w:pPr>
        <w:pStyle w:val="BodyText"/>
        <w:ind w:left="2217"/>
      </w:pPr>
      <w:r>
        <w:rPr/>
        <w:t>Section 8286 makes minor revision to narrative, and corrects reference to SAM section.</w:t>
      </w:r>
    </w:p>
    <w:p>
      <w:pPr>
        <w:pStyle w:val="BodyText"/>
        <w:spacing w:before="7"/>
        <w:rPr>
          <w:sz w:val="21"/>
        </w:rPr>
      </w:pPr>
    </w:p>
    <w:p>
      <w:pPr>
        <w:pStyle w:val="BodyText"/>
        <w:spacing w:line="249" w:lineRule="auto" w:before="1"/>
        <w:ind w:left="2217"/>
      </w:pPr>
      <w:r>
        <w:rPr/>
        <w:t>Section 8287 revises crediting of refunds to reverted appropriations; corrects reference to SAM section.</w:t>
      </w:r>
    </w:p>
    <w:p>
      <w:pPr>
        <w:pStyle w:val="BodyText"/>
        <w:spacing w:before="11"/>
      </w:pPr>
    </w:p>
    <w:p>
      <w:pPr>
        <w:pStyle w:val="BodyText"/>
        <w:ind w:left="2217"/>
      </w:pPr>
      <w:r>
        <w:rPr/>
        <w:t>Section 8290 revises income accrual.</w:t>
      </w:r>
    </w:p>
    <w:p>
      <w:pPr>
        <w:pStyle w:val="BodyText"/>
        <w:spacing w:before="8"/>
        <w:rPr>
          <w:sz w:val="21"/>
        </w:rPr>
      </w:pPr>
    </w:p>
    <w:p>
      <w:pPr>
        <w:pStyle w:val="BodyText"/>
        <w:spacing w:line="501" w:lineRule="auto"/>
        <w:ind w:left="2217" w:right="1430"/>
      </w:pPr>
      <w:r>
        <w:rPr/>
        <w:t>Section 8290.4 revises narrative and corrects SAM section reference. Section 8290.7 revises narrative, and adds SAM section reference.</w:t>
      </w:r>
    </w:p>
    <w:p>
      <w:pPr>
        <w:pStyle w:val="BodyText"/>
        <w:spacing w:before="8"/>
        <w:ind w:left="2217"/>
      </w:pPr>
      <w:r>
        <w:rPr/>
        <w:t>Deletes section 8290.9.</w:t>
      </w:r>
    </w:p>
    <w:p>
      <w:pPr>
        <w:pStyle w:val="BodyText"/>
        <w:spacing w:before="8"/>
        <w:rPr>
          <w:sz w:val="21"/>
        </w:rPr>
      </w:pPr>
    </w:p>
    <w:p>
      <w:pPr>
        <w:pStyle w:val="BodyText"/>
        <w:ind w:left="2217"/>
      </w:pPr>
      <w:r>
        <w:rPr/>
        <w:t>Deletes 8290.9 Illustrations 1 through 5.</w:t>
      </w:r>
    </w:p>
    <w:p>
      <w:pPr>
        <w:pStyle w:val="BodyText"/>
        <w:spacing w:before="8"/>
        <w:rPr>
          <w:sz w:val="21"/>
        </w:rPr>
      </w:pPr>
    </w:p>
    <w:p>
      <w:pPr>
        <w:pStyle w:val="BodyText"/>
        <w:spacing w:line="249" w:lineRule="auto"/>
        <w:ind w:left="2217" w:right="230"/>
      </w:pPr>
      <w:r>
        <w:rPr/>
        <w:t>Section 8299.1 makes minor revision to correct quote; changes Department Of Finance unit name from "Accounting Systems" to "Fiscal Systems and Consulting Unit."</w:t>
      </w:r>
    </w:p>
    <w:p>
      <w:pPr>
        <w:pStyle w:val="BodyText"/>
        <w:spacing w:before="4"/>
        <w:rPr>
          <w:sz w:val="21"/>
        </w:rPr>
      </w:pPr>
    </w:p>
    <w:p>
      <w:pPr>
        <w:tabs>
          <w:tab w:pos="2236" w:val="left" w:leader="none"/>
          <w:tab w:pos="3771" w:val="left" w:leader="none"/>
          <w:tab w:pos="7228" w:val="left" w:leader="none"/>
        </w:tabs>
        <w:spacing w:line="249" w:lineRule="auto" w:before="0"/>
        <w:ind w:left="2236" w:right="228" w:hanging="1997"/>
        <w:jc w:val="left"/>
        <w:rPr>
          <w:sz w:val="20"/>
        </w:rPr>
      </w:pPr>
      <w:r>
        <w:rPr>
          <w:b/>
          <w:sz w:val="20"/>
        </w:rPr>
        <w:t>Chapter</w:t>
      </w:r>
      <w:r>
        <w:rPr>
          <w:b/>
          <w:spacing w:val="1"/>
          <w:sz w:val="20"/>
        </w:rPr>
        <w:t> </w:t>
      </w:r>
      <w:r>
        <w:rPr>
          <w:b/>
          <w:sz w:val="20"/>
        </w:rPr>
        <w:t>8300</w:t>
        <w:tab/>
      </w:r>
      <w:r>
        <w:rPr>
          <w:b/>
          <w:sz w:val="20"/>
          <w:u w:val="single"/>
        </w:rPr>
        <w:t>Fiscal </w:t>
      </w:r>
      <w:r>
        <w:rPr>
          <w:b/>
          <w:spacing w:val="24"/>
          <w:sz w:val="20"/>
          <w:u w:val="single"/>
        </w:rPr>
        <w:t> </w:t>
      </w:r>
      <w:r>
        <w:rPr>
          <w:b/>
          <w:sz w:val="20"/>
          <w:u w:val="single"/>
        </w:rPr>
        <w:t>Affairs:</w:t>
        <w:tab/>
        <w:t>Allotment—Expenditure </w:t>
      </w:r>
      <w:r>
        <w:rPr>
          <w:b/>
          <w:spacing w:val="16"/>
          <w:sz w:val="20"/>
          <w:u w:val="single"/>
        </w:rPr>
        <w:t> </w:t>
      </w:r>
      <w:r>
        <w:rPr>
          <w:b/>
          <w:sz w:val="20"/>
          <w:u w:val="single"/>
        </w:rPr>
        <w:t>Accounting</w:t>
      </w:r>
      <w:r>
        <w:rPr>
          <w:b/>
          <w:sz w:val="20"/>
        </w:rPr>
        <w:tab/>
      </w:r>
      <w:r>
        <w:rPr>
          <w:sz w:val="20"/>
        </w:rPr>
        <w:t>Section  8361 </w:t>
      </w:r>
      <w:r>
        <w:rPr>
          <w:spacing w:val="34"/>
          <w:sz w:val="20"/>
        </w:rPr>
        <w:t> </w:t>
      </w:r>
      <w:r>
        <w:rPr>
          <w:sz w:val="20"/>
        </w:rPr>
        <w:t>clarifies </w:t>
      </w:r>
      <w:r>
        <w:rPr>
          <w:spacing w:val="17"/>
          <w:sz w:val="20"/>
        </w:rPr>
        <w:t> </w:t>
      </w:r>
      <w:r>
        <w:rPr>
          <w:sz w:val="20"/>
        </w:rPr>
        <w:t>the</w:t>
      </w:r>
      <w:r>
        <w:rPr>
          <w:spacing w:val="-1"/>
          <w:w w:val="100"/>
          <w:sz w:val="20"/>
        </w:rPr>
        <w:t> </w:t>
      </w:r>
      <w:r>
        <w:rPr>
          <w:sz w:val="20"/>
        </w:rPr>
        <w:t>posting of Workers' Compensation</w:t>
      </w:r>
      <w:r>
        <w:rPr>
          <w:spacing w:val="-1"/>
          <w:sz w:val="20"/>
        </w:rPr>
        <w:t> </w:t>
      </w:r>
      <w:r>
        <w:rPr>
          <w:sz w:val="20"/>
        </w:rPr>
        <w:t>expenditures.</w:t>
      </w:r>
    </w:p>
    <w:p>
      <w:pPr>
        <w:pStyle w:val="BodyText"/>
        <w:spacing w:before="11"/>
      </w:pPr>
    </w:p>
    <w:p>
      <w:pPr>
        <w:pStyle w:val="BodyText"/>
        <w:spacing w:line="501" w:lineRule="auto" w:after="3"/>
        <w:ind w:left="2236" w:right="2393"/>
      </w:pPr>
      <w:r>
        <w:rPr/>
        <w:t>Section 8380 corrects SAM references due to re-numbering. Section 8382 corrects SAM reference due to re-numbering.</w:t>
      </w:r>
    </w:p>
    <w:p>
      <w:pPr>
        <w:pStyle w:val="BodyText"/>
        <w:spacing w:line="43" w:lineRule="exact"/>
        <w:ind w:left="112"/>
        <w:rPr>
          <w:sz w:val="4"/>
        </w:rPr>
      </w:pPr>
      <w:r>
        <w:rPr>
          <w:position w:val="0"/>
          <w:sz w:val="4"/>
        </w:rPr>
        <w:pict>
          <v:group style="width:474.3pt;height:2.2pt;mso-position-horizontal-relative:char;mso-position-vertical-relative:line" coordorigin="0,0" coordsize="9486,44">
            <v:line style="position:absolute" from="8,8" to="2009,8" stroked="true" strokeweight=".72pt" strokecolor="#000000">
              <v:stroke dashstyle="solid"/>
            </v:line>
            <v:line style="position:absolute" from="8,36" to="2009,36" stroked="true" strokeweight=".72pt" strokecolor="#000000">
              <v:stroke dashstyle="solid"/>
            </v:line>
            <v:line style="position:absolute" from="2009,8" to="2052,8" stroked="true" strokeweight=".72pt" strokecolor="#000000">
              <v:stroke dashstyle="solid"/>
            </v:line>
            <v:line style="position:absolute" from="2009,36" to="2052,36" stroked="true" strokeweight=".72pt" strokecolor="#000000">
              <v:stroke dashstyle="solid"/>
            </v:line>
            <v:line style="position:absolute" from="2052,8" to="9478,8" stroked="true" strokeweight=".72pt" strokecolor="#000000">
              <v:stroke dashstyle="solid"/>
            </v:line>
            <v:line style="position:absolute" from="2052,36" to="9478,36" stroked="true" strokeweight=".72pt" strokecolor="#000000">
              <v:stroke dashstyle="solid"/>
            </v:line>
          </v:group>
        </w:pict>
      </w:r>
      <w:r>
        <w:rPr>
          <w:position w:val="0"/>
          <w:sz w:val="4"/>
        </w:rPr>
      </w:r>
    </w:p>
    <w:p>
      <w:pPr>
        <w:spacing w:after="0" w:line="43" w:lineRule="exact"/>
        <w:rPr>
          <w:sz w:val="4"/>
        </w:rPr>
        <w:sectPr>
          <w:headerReference w:type="default" r:id="rId6"/>
          <w:pgSz w:w="12240" w:h="15840"/>
          <w:pgMar w:header="737" w:footer="743" w:top="960" w:bottom="940" w:left="1200" w:right="1320"/>
        </w:sectPr>
      </w:pPr>
    </w:p>
    <w:p>
      <w:pPr>
        <w:pStyle w:val="BodyText"/>
        <w:spacing w:before="7"/>
        <w:rPr>
          <w:sz w:val="13"/>
        </w:rPr>
      </w:pPr>
    </w:p>
    <w:p>
      <w:pPr>
        <w:pStyle w:val="BodyText"/>
        <w:tabs>
          <w:tab w:pos="2236" w:val="left" w:leader="none"/>
        </w:tabs>
        <w:spacing w:line="249" w:lineRule="auto" w:before="93"/>
        <w:ind w:left="2236" w:right="228" w:hanging="1997"/>
        <w:jc w:val="both"/>
      </w:pPr>
      <w:r>
        <w:rPr>
          <w:b/>
        </w:rPr>
        <w:t>Chapter</w:t>
      </w:r>
      <w:r>
        <w:rPr>
          <w:b/>
          <w:spacing w:val="1"/>
        </w:rPr>
        <w:t> </w:t>
      </w:r>
      <w:r>
        <w:rPr>
          <w:b/>
        </w:rPr>
        <w:t>8400</w:t>
        <w:tab/>
      </w:r>
      <w:r>
        <w:rPr>
          <w:b/>
          <w:u w:val="single"/>
        </w:rPr>
        <w:t>Disbursements     </w:t>
      </w:r>
      <w:r>
        <w:rPr/>
        <w:t>Updates  Sections  8422.19  through  8422.195  to  comply  </w:t>
      </w:r>
      <w:r>
        <w:rPr>
          <w:spacing w:val="28"/>
        </w:rPr>
        <w:t> </w:t>
      </w:r>
      <w:r>
        <w:rPr/>
        <w:t>with </w:t>
      </w:r>
      <w:r>
        <w:rPr>
          <w:spacing w:val="14"/>
        </w:rPr>
        <w:t> </w:t>
      </w:r>
      <w:r>
        <w:rPr/>
        <w:t>new</w:t>
      </w:r>
      <w:r>
        <w:rPr>
          <w:spacing w:val="-1"/>
          <w:w w:val="100"/>
        </w:rPr>
        <w:t> </w:t>
      </w:r>
      <w:r>
        <w:rPr/>
        <w:t>Internal Revenue Code, Section 6045 (f) requirements regarding attorney fees. This revision identifies payments normally reported by state agencies to the appropriate boxes in the Form 1099 and eliminates the obsolete reportable payment  code  structure.  It further incorporates instructions from Management Memo 92-18 that requires unique FEIN(s) for each state</w:t>
      </w:r>
      <w:r>
        <w:rPr>
          <w:spacing w:val="3"/>
        </w:rPr>
        <w:t> </w:t>
      </w:r>
      <w:r>
        <w:rPr/>
        <w:t>agency.</w:t>
      </w:r>
    </w:p>
    <w:p>
      <w:pPr>
        <w:pStyle w:val="BodyText"/>
        <w:spacing w:before="11"/>
      </w:pPr>
    </w:p>
    <w:p>
      <w:pPr>
        <w:pStyle w:val="BodyText"/>
        <w:spacing w:line="249" w:lineRule="auto"/>
        <w:ind w:left="2236" w:right="229"/>
        <w:jc w:val="both"/>
      </w:pPr>
      <w:r>
        <w:rPr/>
        <w:t>Rewrites Sections 8474 through 8474.4 to provide state agencies with the new late payment penalty guidelines in accordance with the California Prompt Payment Act (Government Code Section 927).</w:t>
      </w:r>
    </w:p>
    <w:p>
      <w:pPr>
        <w:pStyle w:val="BodyText"/>
        <w:spacing w:before="11"/>
      </w:pPr>
    </w:p>
    <w:p>
      <w:pPr>
        <w:pStyle w:val="BodyText"/>
        <w:ind w:left="2236"/>
        <w:jc w:val="both"/>
      </w:pPr>
      <w:r>
        <w:rPr/>
        <w:t>Deletes Sections 8475 through 8475.5.</w:t>
      </w:r>
    </w:p>
    <w:p>
      <w:pPr>
        <w:pStyle w:val="BodyText"/>
        <w:spacing w:before="1"/>
        <w:rPr>
          <w:sz w:val="22"/>
        </w:rPr>
      </w:pPr>
    </w:p>
    <w:p>
      <w:pPr>
        <w:tabs>
          <w:tab w:pos="2236" w:val="left" w:leader="none"/>
        </w:tabs>
        <w:spacing w:before="0"/>
        <w:ind w:left="240" w:right="0" w:firstLine="0"/>
        <w:jc w:val="left"/>
        <w:rPr>
          <w:sz w:val="20"/>
        </w:rPr>
      </w:pPr>
      <w:r>
        <w:rPr>
          <w:b/>
          <w:sz w:val="20"/>
        </w:rPr>
        <w:t>Chapter</w:t>
      </w:r>
      <w:r>
        <w:rPr>
          <w:b/>
          <w:spacing w:val="1"/>
          <w:sz w:val="20"/>
        </w:rPr>
        <w:t> </w:t>
      </w:r>
      <w:r>
        <w:rPr>
          <w:b/>
          <w:sz w:val="20"/>
        </w:rPr>
        <w:t>8500</w:t>
        <w:tab/>
      </w:r>
      <w:r>
        <w:rPr>
          <w:b/>
          <w:sz w:val="20"/>
          <w:u w:val="single"/>
        </w:rPr>
        <w:t>Payrolls  </w:t>
      </w:r>
      <w:r>
        <w:rPr>
          <w:sz w:val="20"/>
        </w:rPr>
        <w:t>Section 8580.5 revises procedures for undelivered salary warrants.</w:t>
      </w:r>
    </w:p>
    <w:p>
      <w:pPr>
        <w:pStyle w:val="BodyText"/>
        <w:spacing w:before="6"/>
        <w:rPr>
          <w:sz w:val="13"/>
        </w:rPr>
      </w:pPr>
    </w:p>
    <w:p>
      <w:pPr>
        <w:pStyle w:val="BodyText"/>
        <w:spacing w:before="94"/>
        <w:ind w:left="2236"/>
        <w:jc w:val="both"/>
      </w:pPr>
      <w:r>
        <w:rPr/>
        <w:t>Section 8585 makes corrections to form names.</w:t>
      </w:r>
    </w:p>
    <w:p>
      <w:pPr>
        <w:pStyle w:val="BodyText"/>
        <w:spacing w:before="1"/>
        <w:rPr>
          <w:sz w:val="22"/>
        </w:rPr>
      </w:pPr>
    </w:p>
    <w:p>
      <w:pPr>
        <w:pStyle w:val="BodyText"/>
        <w:tabs>
          <w:tab w:pos="2236" w:val="left" w:leader="none"/>
        </w:tabs>
        <w:spacing w:line="249" w:lineRule="auto" w:before="1"/>
        <w:ind w:left="2236" w:right="230" w:hanging="1997"/>
        <w:jc w:val="both"/>
      </w:pPr>
      <w:r>
        <w:rPr>
          <w:b/>
        </w:rPr>
        <w:t>Chapter </w:t>
      </w:r>
      <w:r>
        <w:rPr>
          <w:b/>
          <w:spacing w:val="4"/>
        </w:rPr>
        <w:t> </w:t>
      </w:r>
      <w:r>
        <w:rPr>
          <w:b/>
        </w:rPr>
        <w:t>8600</w:t>
        <w:tab/>
      </w:r>
      <w:r>
        <w:rPr>
          <w:b/>
          <w:u w:val="single"/>
        </w:rPr>
        <w:t>Property Accounting   </w:t>
      </w:r>
      <w:r>
        <w:rPr/>
        <w:t>Revises Section 8643, clarifying which law  </w:t>
      </w:r>
      <w:r>
        <w:rPr>
          <w:spacing w:val="17"/>
        </w:rPr>
        <w:t> </w:t>
      </w:r>
      <w:r>
        <w:rPr/>
        <w:t>enforcement</w:t>
      </w:r>
      <w:r>
        <w:rPr>
          <w:spacing w:val="19"/>
        </w:rPr>
        <w:t> </w:t>
      </w:r>
      <w:r>
        <w:rPr/>
        <w:t>agency</w:t>
      </w:r>
      <w:r>
        <w:rPr>
          <w:spacing w:val="-1"/>
          <w:w w:val="100"/>
        </w:rPr>
        <w:t> </w:t>
      </w:r>
      <w:r>
        <w:rPr/>
        <w:t>to contact whenever property is lost, stolen or destroyed. Add the Bureau of State Audits as a contact in the event of fraud or</w:t>
      </w:r>
      <w:r>
        <w:rPr>
          <w:spacing w:val="14"/>
        </w:rPr>
        <w:t> </w:t>
      </w:r>
      <w:r>
        <w:rPr/>
        <w:t>embezzlement.</w:t>
      </w:r>
    </w:p>
    <w:p>
      <w:pPr>
        <w:pStyle w:val="BodyText"/>
        <w:spacing w:before="4"/>
        <w:rPr>
          <w:sz w:val="21"/>
        </w:rPr>
      </w:pPr>
    </w:p>
    <w:p>
      <w:pPr>
        <w:tabs>
          <w:tab w:pos="2217" w:val="left" w:leader="none"/>
        </w:tabs>
        <w:spacing w:line="249" w:lineRule="auto" w:before="0"/>
        <w:ind w:left="2217" w:right="228" w:hanging="1978"/>
        <w:jc w:val="both"/>
        <w:rPr>
          <w:sz w:val="20"/>
        </w:rPr>
      </w:pPr>
      <w:r>
        <w:rPr>
          <w:b/>
          <w:sz w:val="20"/>
        </w:rPr>
        <w:t>Chapter</w:t>
      </w:r>
      <w:r>
        <w:rPr>
          <w:b/>
          <w:spacing w:val="1"/>
          <w:sz w:val="20"/>
        </w:rPr>
        <w:t> </w:t>
      </w:r>
      <w:r>
        <w:rPr>
          <w:b/>
          <w:sz w:val="20"/>
        </w:rPr>
        <w:t>8700</w:t>
        <w:tab/>
      </w:r>
      <w:r>
        <w:rPr>
          <w:b/>
          <w:sz w:val="20"/>
          <w:u w:val="single"/>
        </w:rPr>
        <w:t>Miscellaneous   Accounting   Procedures      </w:t>
      </w:r>
      <w:r>
        <w:rPr>
          <w:sz w:val="20"/>
        </w:rPr>
        <w:t>Section   8740   updates   the  </w:t>
      </w:r>
      <w:r>
        <w:rPr>
          <w:spacing w:val="22"/>
          <w:sz w:val="20"/>
        </w:rPr>
        <w:t> </w:t>
      </w:r>
      <w:r>
        <w:rPr>
          <w:sz w:val="20"/>
        </w:rPr>
        <w:t>formula  </w:t>
      </w:r>
      <w:r>
        <w:rPr>
          <w:spacing w:val="3"/>
          <w:sz w:val="20"/>
        </w:rPr>
        <w:t> </w:t>
      </w:r>
      <w:r>
        <w:rPr>
          <w:sz w:val="20"/>
        </w:rPr>
        <w:t>for</w:t>
      </w:r>
      <w:r>
        <w:rPr>
          <w:spacing w:val="-1"/>
          <w:w w:val="100"/>
          <w:sz w:val="20"/>
        </w:rPr>
        <w:t> </w:t>
      </w:r>
      <w:r>
        <w:rPr>
          <w:sz w:val="20"/>
        </w:rPr>
        <w:t>determining hourly rates for services of employees paid on monthly</w:t>
      </w:r>
      <w:r>
        <w:rPr>
          <w:spacing w:val="10"/>
          <w:sz w:val="20"/>
        </w:rPr>
        <w:t> </w:t>
      </w:r>
      <w:r>
        <w:rPr>
          <w:sz w:val="20"/>
        </w:rPr>
        <w:t>basis.</w:t>
      </w:r>
    </w:p>
    <w:p>
      <w:pPr>
        <w:pStyle w:val="BodyText"/>
        <w:spacing w:before="10"/>
      </w:pPr>
    </w:p>
    <w:p>
      <w:pPr>
        <w:pStyle w:val="BodyText"/>
        <w:spacing w:line="249" w:lineRule="auto"/>
        <w:ind w:left="2236" w:right="229"/>
        <w:jc w:val="both"/>
      </w:pPr>
      <w:r>
        <w:rPr/>
        <w:t>Sections 8752 through 8758.1 update central service agency names, adds Department Of Information Technology as a central service agency, adds Internet addresses, and revises the name of the federal guidelines for preparing Indirect Cost Rate  Proposals.</w:t>
      </w:r>
    </w:p>
    <w:p>
      <w:pPr>
        <w:pStyle w:val="BodyText"/>
        <w:spacing w:before="3"/>
        <w:rPr>
          <w:sz w:val="21"/>
        </w:rPr>
      </w:pPr>
    </w:p>
    <w:p>
      <w:pPr>
        <w:tabs>
          <w:tab w:pos="2217" w:val="left" w:leader="none"/>
        </w:tabs>
        <w:spacing w:before="1"/>
        <w:ind w:left="240" w:right="0" w:firstLine="0"/>
        <w:jc w:val="left"/>
        <w:rPr>
          <w:sz w:val="20"/>
        </w:rPr>
      </w:pPr>
      <w:r>
        <w:rPr>
          <w:b/>
          <w:sz w:val="20"/>
        </w:rPr>
        <w:t>Chapter</w:t>
      </w:r>
      <w:r>
        <w:rPr>
          <w:b/>
          <w:spacing w:val="1"/>
          <w:sz w:val="20"/>
        </w:rPr>
        <w:t> </w:t>
      </w:r>
      <w:r>
        <w:rPr>
          <w:b/>
          <w:sz w:val="20"/>
        </w:rPr>
        <w:t>10200</w:t>
        <w:tab/>
      </w:r>
      <w:r>
        <w:rPr>
          <w:b/>
          <w:sz w:val="20"/>
          <w:u w:val="single"/>
        </w:rPr>
        <w:t>Basis of Accounting </w:t>
      </w:r>
      <w:r>
        <w:rPr>
          <w:sz w:val="20"/>
        </w:rPr>
        <w:t>Section 10210 corrects SAM section reference due to</w:t>
      </w:r>
      <w:r>
        <w:rPr>
          <w:spacing w:val="12"/>
          <w:sz w:val="20"/>
        </w:rPr>
        <w:t> </w:t>
      </w:r>
      <w:r>
        <w:rPr>
          <w:sz w:val="20"/>
        </w:rPr>
        <w:t>renumbering.</w:t>
      </w:r>
    </w:p>
    <w:p>
      <w:pPr>
        <w:pStyle w:val="BodyText"/>
        <w:spacing w:before="7"/>
        <w:rPr>
          <w:sz w:val="13"/>
        </w:rPr>
      </w:pPr>
    </w:p>
    <w:p>
      <w:pPr>
        <w:pStyle w:val="BodyText"/>
        <w:spacing w:line="249" w:lineRule="auto" w:before="93"/>
        <w:ind w:left="2217" w:right="332"/>
      </w:pPr>
      <w:r>
        <w:rPr/>
        <w:t>Section 10220 corrects SAM section reference due to renumbering; and clarifies types   and postings of</w:t>
      </w:r>
      <w:r>
        <w:rPr>
          <w:spacing w:val="1"/>
        </w:rPr>
        <w:t> </w:t>
      </w:r>
      <w:r>
        <w:rPr/>
        <w:t>abatements.</w:t>
      </w:r>
    </w:p>
    <w:p>
      <w:pPr>
        <w:pStyle w:val="BodyText"/>
        <w:spacing w:before="10"/>
      </w:pPr>
    </w:p>
    <w:p>
      <w:pPr>
        <w:pStyle w:val="BodyText"/>
        <w:ind w:left="2217"/>
      </w:pPr>
      <w:r>
        <w:rPr/>
        <w:t>Section 10230 changes the revenues that are subject to accrual.</w:t>
      </w:r>
    </w:p>
    <w:p>
      <w:pPr>
        <w:pStyle w:val="BodyText"/>
        <w:spacing w:before="8"/>
        <w:rPr>
          <w:sz w:val="21"/>
        </w:rPr>
      </w:pPr>
    </w:p>
    <w:p>
      <w:pPr>
        <w:pStyle w:val="BodyText"/>
        <w:spacing w:line="249" w:lineRule="auto"/>
        <w:ind w:left="2217" w:right="230"/>
      </w:pPr>
      <w:r>
        <w:rPr/>
        <w:t>Section 10240 clarifies the intent and purpose of accruing expenditures and reimbursements at year end.</w:t>
      </w:r>
    </w:p>
    <w:p>
      <w:pPr>
        <w:pStyle w:val="BodyText"/>
        <w:spacing w:before="11"/>
      </w:pPr>
    </w:p>
    <w:p>
      <w:pPr>
        <w:pStyle w:val="BodyText"/>
        <w:ind w:left="2217"/>
      </w:pPr>
      <w:r>
        <w:rPr/>
        <w:t>Section 10250 deletes references to fixed assets and non-governmental Cost Funds.</w:t>
      </w:r>
    </w:p>
    <w:p>
      <w:pPr>
        <w:pStyle w:val="BodyText"/>
        <w:spacing w:before="1"/>
        <w:rPr>
          <w:sz w:val="22"/>
        </w:rPr>
      </w:pPr>
    </w:p>
    <w:p>
      <w:pPr>
        <w:tabs>
          <w:tab w:pos="1977" w:val="left" w:leader="none"/>
        </w:tabs>
        <w:spacing w:before="0"/>
        <w:ind w:left="0" w:right="147" w:firstLine="0"/>
        <w:jc w:val="center"/>
        <w:rPr>
          <w:sz w:val="20"/>
        </w:rPr>
      </w:pPr>
      <w:r>
        <w:rPr>
          <w:b/>
          <w:sz w:val="20"/>
        </w:rPr>
        <w:t>Chapter</w:t>
      </w:r>
      <w:r>
        <w:rPr>
          <w:b/>
          <w:spacing w:val="1"/>
          <w:sz w:val="20"/>
        </w:rPr>
        <w:t> </w:t>
      </w:r>
      <w:r>
        <w:rPr>
          <w:b/>
          <w:sz w:val="20"/>
        </w:rPr>
        <w:t>10400</w:t>
        <w:tab/>
      </w:r>
      <w:r>
        <w:rPr>
          <w:b/>
          <w:sz w:val="20"/>
          <w:u w:val="single"/>
        </w:rPr>
        <w:t>General Ledger Accounts  </w:t>
      </w:r>
      <w:r>
        <w:rPr>
          <w:sz w:val="20"/>
        </w:rPr>
        <w:t>Section 10407 makes minor revision to purpose of</w:t>
      </w:r>
      <w:r>
        <w:rPr>
          <w:spacing w:val="23"/>
          <w:sz w:val="20"/>
        </w:rPr>
        <w:t> </w:t>
      </w:r>
      <w:r>
        <w:rPr>
          <w:sz w:val="20"/>
        </w:rPr>
        <w:t>account.</w:t>
      </w:r>
    </w:p>
    <w:p>
      <w:pPr>
        <w:pStyle w:val="BodyText"/>
        <w:spacing w:before="6"/>
        <w:rPr>
          <w:sz w:val="13"/>
        </w:rPr>
      </w:pPr>
    </w:p>
    <w:p>
      <w:pPr>
        <w:pStyle w:val="BodyText"/>
        <w:spacing w:before="93"/>
        <w:ind w:left="2217"/>
      </w:pPr>
      <w:r>
        <w:rPr/>
        <w:t>Section 10408 makes minor revision to purpose of account.</w:t>
      </w:r>
    </w:p>
    <w:p>
      <w:pPr>
        <w:pStyle w:val="BodyText"/>
        <w:spacing w:before="7"/>
        <w:rPr>
          <w:sz w:val="21"/>
        </w:rPr>
      </w:pPr>
    </w:p>
    <w:p>
      <w:pPr>
        <w:pStyle w:val="BodyText"/>
        <w:spacing w:line="501" w:lineRule="auto"/>
        <w:ind w:left="2217" w:right="230"/>
      </w:pPr>
      <w:r>
        <w:rPr/>
        <w:t>Section 10409 makes minor revision to purpose of account, and adds a standard entry. Section 10414 revises purposes of account, and adds standard entry.</w:t>
      </w:r>
    </w:p>
    <w:p>
      <w:pPr>
        <w:pStyle w:val="BodyText"/>
        <w:spacing w:line="501" w:lineRule="auto" w:before="8"/>
        <w:ind w:left="2236" w:right="1553" w:hanging="20"/>
      </w:pPr>
      <w:r>
        <w:rPr/>
        <w:t>Section 10415 revises purpose of account, and adds standard entry. Section 10416 revises purpose of account, and adds standard entry.</w:t>
      </w:r>
    </w:p>
    <w:p>
      <w:pPr>
        <w:pStyle w:val="BodyText"/>
        <w:spacing w:before="8"/>
        <w:ind w:left="2236"/>
      </w:pPr>
      <w:r>
        <w:rPr/>
        <w:t>Section 10417 makes minor revision to purpose of account, and adds standard  entry.</w:t>
      </w:r>
    </w:p>
    <w:p>
      <w:pPr>
        <w:pStyle w:val="BodyText"/>
        <w:spacing w:before="9"/>
        <w:rPr>
          <w:sz w:val="17"/>
        </w:rPr>
      </w:pPr>
      <w:r>
        <w:rPr/>
        <w:pict>
          <v:group style="position:absolute;margin-left:65.625pt;margin-top:12.184747pt;width:474.3pt;height:2.2pt;mso-position-horizontal-relative:page;mso-position-vertical-relative:paragraph;z-index:1072;mso-wrap-distance-left:0;mso-wrap-distance-right:0" coordorigin="1313,244" coordsize="9486,44">
            <v:line style="position:absolute" from="1320,251" to="3322,251" stroked="true" strokeweight=".72pt" strokecolor="#000000">
              <v:stroke dashstyle="solid"/>
            </v:line>
            <v:line style="position:absolute" from="1320,280" to="3322,280" stroked="true" strokeweight=".72pt" strokecolor="#000000">
              <v:stroke dashstyle="solid"/>
            </v:line>
            <v:line style="position:absolute" from="3322,251" to="3365,251" stroked="true" strokeweight=".72pt" strokecolor="#000000">
              <v:stroke dashstyle="solid"/>
            </v:line>
            <v:line style="position:absolute" from="3322,280" to="3365,280" stroked="true" strokeweight=".72pt" strokecolor="#000000">
              <v:stroke dashstyle="solid"/>
            </v:line>
            <v:line style="position:absolute" from="3365,251" to="10790,251" stroked="true" strokeweight=".72pt" strokecolor="#000000">
              <v:stroke dashstyle="solid"/>
            </v:line>
            <v:line style="position:absolute" from="3365,280" to="10790,280" stroked="true" strokeweight=".72pt" strokecolor="#000000">
              <v:stroke dashstyle="solid"/>
            </v:line>
            <w10:wrap type="topAndBottom"/>
          </v:group>
        </w:pict>
      </w:r>
    </w:p>
    <w:p>
      <w:pPr>
        <w:spacing w:after="0"/>
        <w:rPr>
          <w:sz w:val="17"/>
        </w:rPr>
        <w:sectPr>
          <w:pgSz w:w="12240" w:h="15840"/>
          <w:pgMar w:header="737" w:footer="743" w:top="960" w:bottom="940" w:left="1200" w:right="1320"/>
        </w:sectPr>
      </w:pPr>
    </w:p>
    <w:p>
      <w:pPr>
        <w:pStyle w:val="BodyText"/>
        <w:spacing w:before="7"/>
        <w:rPr>
          <w:sz w:val="13"/>
        </w:rPr>
      </w:pPr>
    </w:p>
    <w:p>
      <w:pPr>
        <w:pStyle w:val="BodyText"/>
        <w:tabs>
          <w:tab w:pos="2236" w:val="left" w:leader="none"/>
        </w:tabs>
        <w:spacing w:line="249" w:lineRule="auto" w:before="93"/>
        <w:ind w:left="2236" w:right="230" w:hanging="1997"/>
      </w:pPr>
      <w:r>
        <w:rPr>
          <w:b/>
        </w:rPr>
        <w:t>Chapter</w:t>
      </w:r>
      <w:r>
        <w:rPr>
          <w:b/>
          <w:spacing w:val="1"/>
        </w:rPr>
        <w:t> </w:t>
      </w:r>
      <w:r>
        <w:rPr>
          <w:b/>
        </w:rPr>
        <w:t>10500</w:t>
        <w:tab/>
      </w:r>
      <w:r>
        <w:rPr>
          <w:b/>
          <w:u w:val="single"/>
        </w:rPr>
        <w:t>Standard Entries  </w:t>
      </w:r>
      <w:r>
        <w:rPr/>
        <w:t>Section 10510 adds revenue account to entry, limits  </w:t>
      </w:r>
      <w:r>
        <w:rPr>
          <w:spacing w:val="13"/>
        </w:rPr>
        <w:t> </w:t>
      </w:r>
      <w:r>
        <w:rPr/>
        <w:t>those</w:t>
      </w:r>
      <w:r>
        <w:rPr>
          <w:spacing w:val="10"/>
        </w:rPr>
        <w:t> </w:t>
      </w:r>
      <w:r>
        <w:rPr/>
        <w:t>unclaimed</w:t>
      </w:r>
      <w:r>
        <w:rPr>
          <w:spacing w:val="-1"/>
          <w:w w:val="100"/>
        </w:rPr>
        <w:t> </w:t>
      </w:r>
      <w:r>
        <w:rPr/>
        <w:t>checks remitted to the Treasury, deletes sample disbursements</w:t>
      </w:r>
      <w:r>
        <w:rPr>
          <w:spacing w:val="3"/>
        </w:rPr>
        <w:t> </w:t>
      </w:r>
      <w:r>
        <w:rPr/>
        <w:t>register.</w:t>
      </w:r>
    </w:p>
    <w:p>
      <w:pPr>
        <w:pStyle w:val="BodyText"/>
        <w:spacing w:before="11"/>
      </w:pPr>
    </w:p>
    <w:p>
      <w:pPr>
        <w:pStyle w:val="BodyText"/>
        <w:spacing w:line="249" w:lineRule="auto"/>
        <w:ind w:left="2236"/>
      </w:pPr>
      <w:r>
        <w:rPr/>
        <w:t>Section 10514 corrects Controller's document titles; and clarifies the use of this entry for advances to a service agency.</w:t>
      </w:r>
    </w:p>
    <w:p>
      <w:pPr>
        <w:pStyle w:val="BodyText"/>
        <w:spacing w:before="11"/>
      </w:pPr>
    </w:p>
    <w:p>
      <w:pPr>
        <w:pStyle w:val="BodyText"/>
        <w:spacing w:line="249" w:lineRule="auto"/>
        <w:ind w:left="2236" w:right="230"/>
      </w:pPr>
      <w:r>
        <w:rPr/>
        <w:t>Section 10515 corrects Controller's document title, the journal entry, and the explanation for "No Warrant" claims.</w:t>
      </w:r>
    </w:p>
    <w:p>
      <w:pPr>
        <w:pStyle w:val="BodyText"/>
        <w:spacing w:before="11"/>
      </w:pPr>
    </w:p>
    <w:p>
      <w:pPr>
        <w:pStyle w:val="BodyText"/>
        <w:ind w:left="2236"/>
      </w:pPr>
      <w:r>
        <w:rPr/>
        <w:t>Section 10602 revises standard entry to include other general ledger  accounts.</w:t>
      </w:r>
    </w:p>
    <w:p>
      <w:pPr>
        <w:pStyle w:val="BodyText"/>
        <w:spacing w:before="8"/>
        <w:rPr>
          <w:sz w:val="21"/>
        </w:rPr>
      </w:pPr>
    </w:p>
    <w:p>
      <w:pPr>
        <w:pStyle w:val="BodyText"/>
        <w:spacing w:line="249" w:lineRule="auto"/>
        <w:ind w:left="2236"/>
      </w:pPr>
      <w:r>
        <w:rPr/>
        <w:t>Section 10610 revises standard entry to delete Refunds to Reverted Appropriations from entry.</w:t>
      </w:r>
    </w:p>
    <w:p>
      <w:pPr>
        <w:pStyle w:val="BodyText"/>
        <w:spacing w:before="10"/>
      </w:pPr>
    </w:p>
    <w:p>
      <w:pPr>
        <w:pStyle w:val="BodyText"/>
        <w:ind w:left="2236"/>
      </w:pPr>
      <w:r>
        <w:rPr/>
        <w:t>Section 10611 corrects last revision to standard entry.</w:t>
      </w:r>
    </w:p>
    <w:p>
      <w:pPr>
        <w:pStyle w:val="BodyText"/>
        <w:spacing w:before="1"/>
        <w:rPr>
          <w:sz w:val="22"/>
        </w:rPr>
      </w:pPr>
    </w:p>
    <w:p>
      <w:pPr>
        <w:tabs>
          <w:tab w:pos="2236" w:val="left" w:leader="none"/>
        </w:tabs>
        <w:spacing w:line="249" w:lineRule="auto" w:before="0"/>
        <w:ind w:left="2236" w:right="228" w:hanging="1997"/>
        <w:jc w:val="left"/>
        <w:rPr>
          <w:sz w:val="20"/>
        </w:rPr>
      </w:pPr>
      <w:r>
        <w:rPr>
          <w:b/>
          <w:sz w:val="20"/>
        </w:rPr>
        <w:t>Chapter</w:t>
      </w:r>
      <w:r>
        <w:rPr>
          <w:b/>
          <w:spacing w:val="1"/>
          <w:sz w:val="20"/>
        </w:rPr>
        <w:t> </w:t>
      </w:r>
      <w:r>
        <w:rPr>
          <w:b/>
          <w:sz w:val="20"/>
        </w:rPr>
        <w:t>18000</w:t>
        <w:tab/>
      </w:r>
      <w:r>
        <w:rPr>
          <w:b/>
          <w:sz w:val="20"/>
          <w:u w:val="single"/>
        </w:rPr>
        <w:t>Trust  and  Agency  Funds—Other    </w:t>
      </w:r>
      <w:r>
        <w:rPr>
          <w:sz w:val="20"/>
        </w:rPr>
        <w:t>Section  18420  updates  types  of  accounts</w:t>
      </w:r>
      <w:r>
        <w:rPr>
          <w:spacing w:val="-6"/>
          <w:sz w:val="20"/>
        </w:rPr>
        <w:t> </w:t>
      </w:r>
      <w:r>
        <w:rPr>
          <w:sz w:val="20"/>
        </w:rPr>
        <w:t>in</w:t>
      </w:r>
      <w:r>
        <w:rPr>
          <w:spacing w:val="45"/>
          <w:sz w:val="20"/>
        </w:rPr>
        <w:t> </w:t>
      </w:r>
      <w:r>
        <w:rPr>
          <w:sz w:val="20"/>
        </w:rPr>
        <w:t>the</w:t>
      </w:r>
      <w:r>
        <w:rPr>
          <w:spacing w:val="-1"/>
          <w:w w:val="100"/>
          <w:sz w:val="20"/>
        </w:rPr>
        <w:t> </w:t>
      </w:r>
      <w:r>
        <w:rPr>
          <w:sz w:val="20"/>
        </w:rPr>
        <w:t>Special Deposit Fund</w:t>
      </w:r>
      <w:r>
        <w:rPr>
          <w:spacing w:val="2"/>
          <w:sz w:val="20"/>
        </w:rPr>
        <w:t> </w:t>
      </w:r>
      <w:r>
        <w:rPr>
          <w:sz w:val="20"/>
        </w:rPr>
        <w:t>(SDF).</w:t>
      </w:r>
    </w:p>
    <w:p>
      <w:pPr>
        <w:pStyle w:val="BodyText"/>
        <w:spacing w:before="10"/>
      </w:pPr>
    </w:p>
    <w:p>
      <w:pPr>
        <w:pStyle w:val="BodyText"/>
        <w:spacing w:line="501" w:lineRule="auto" w:before="1"/>
        <w:ind w:left="2236" w:right="2393"/>
      </w:pPr>
      <w:r>
        <w:rPr/>
        <w:t>Section 18424 updates types of unclaimed trust moneys. Section 18424.1 changes SAM section references.</w:t>
      </w:r>
    </w:p>
    <w:p>
      <w:pPr>
        <w:pStyle w:val="BodyText"/>
        <w:spacing w:line="249" w:lineRule="auto" w:before="8"/>
        <w:ind w:left="2236"/>
      </w:pPr>
      <w:r>
        <w:rPr/>
        <w:t>Section 18424.2 makes changes to include only uncashed or unclaimed agency trust fund checks.</w:t>
      </w:r>
    </w:p>
    <w:p>
      <w:pPr>
        <w:pStyle w:val="BodyText"/>
        <w:spacing w:before="10"/>
      </w:pPr>
    </w:p>
    <w:p>
      <w:pPr>
        <w:pStyle w:val="BodyText"/>
        <w:ind w:left="2236"/>
      </w:pPr>
      <w:r>
        <w:rPr/>
        <w:t>Deletes section 18424.3.</w:t>
      </w:r>
    </w:p>
    <w:p>
      <w:pPr>
        <w:pStyle w:val="BodyText"/>
        <w:spacing w:before="8"/>
        <w:rPr>
          <w:sz w:val="21"/>
        </w:rPr>
      </w:pPr>
    </w:p>
    <w:p>
      <w:pPr>
        <w:pStyle w:val="BodyText"/>
        <w:spacing w:line="501" w:lineRule="auto"/>
        <w:ind w:left="2236" w:right="3035"/>
      </w:pPr>
      <w:r>
        <w:rPr/>
        <w:t>Section 18424.4 deletes SAM section references. Section 18424.5 changes SDF remittance procedures. Section 18424.6 revises withdrawals from SDF.</w:t>
      </w:r>
    </w:p>
    <w:p>
      <w:pPr>
        <w:pStyle w:val="BodyText"/>
        <w:spacing w:before="8"/>
        <w:ind w:left="2236"/>
      </w:pPr>
      <w:r>
        <w:rPr/>
        <w:t>Section 18424.7 deletes Board of Control claim procedures.</w:t>
      </w:r>
    </w:p>
    <w:p>
      <w:pPr>
        <w:pStyle w:val="BodyText"/>
        <w:spacing w:before="7"/>
        <w:rPr>
          <w:sz w:val="21"/>
        </w:rPr>
      </w:pPr>
    </w:p>
    <w:p>
      <w:pPr>
        <w:pStyle w:val="BodyText"/>
        <w:spacing w:before="1" w:after="5"/>
        <w:ind w:left="2236"/>
      </w:pPr>
      <w:r>
        <w:rPr/>
        <w:t>Section 18426 updates departmental references and SAM section references.</w:t>
      </w:r>
    </w:p>
    <w:p>
      <w:pPr>
        <w:pStyle w:val="BodyText"/>
        <w:spacing w:line="43" w:lineRule="exact"/>
        <w:ind w:left="112"/>
        <w:rPr>
          <w:sz w:val="4"/>
        </w:rPr>
      </w:pPr>
      <w:r>
        <w:rPr>
          <w:position w:val="0"/>
          <w:sz w:val="4"/>
        </w:rPr>
        <w:pict>
          <v:group style="width:474.3pt;height:2.2pt;mso-position-horizontal-relative:char;mso-position-vertical-relative:line" coordorigin="0,0" coordsize="9486,44">
            <v:line style="position:absolute" from="8,8" to="2009,8" stroked="true" strokeweight=".72pt" strokecolor="#000000">
              <v:stroke dashstyle="solid"/>
            </v:line>
            <v:line style="position:absolute" from="8,36" to="2009,36" stroked="true" strokeweight=".72pt" strokecolor="#000000">
              <v:stroke dashstyle="solid"/>
            </v:line>
            <v:line style="position:absolute" from="2009,8" to="2052,8" stroked="true" strokeweight=".72pt" strokecolor="#000000">
              <v:stroke dashstyle="solid"/>
            </v:line>
            <v:line style="position:absolute" from="2009,36" to="2052,36" stroked="true" strokeweight=".72pt" strokecolor="#000000">
              <v:stroke dashstyle="solid"/>
            </v:line>
            <v:line style="position:absolute" from="2052,8" to="9478,8" stroked="true" strokeweight=".72pt" strokecolor="#000000">
              <v:stroke dashstyle="solid"/>
            </v:line>
            <v:line style="position:absolute" from="2052,36" to="9478,36" stroked="true" strokeweight=".72pt" strokecolor="#000000">
              <v:stroke dashstyle="solid"/>
            </v:line>
          </v:group>
        </w:pict>
      </w:r>
      <w:r>
        <w:rPr>
          <w:position w:val="0"/>
          <w:sz w:val="4"/>
        </w:rPr>
      </w:r>
    </w:p>
    <w:sectPr>
      <w:pgSz w:w="12240" w:h="15840"/>
      <w:pgMar w:header="737" w:footer="743" w:top="960" w:bottom="940" w:left="12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743.857605pt;width:39pt;height:13.2pt;mso-position-horizontal-relative:page;mso-position-vertical-relative:page;z-index:-6112" type="#_x0000_t202" filled="false" stroked="false">
          <v:textbox inset="0,0,0,0">
            <w:txbxContent>
              <w:p>
                <w:pPr>
                  <w:spacing w:before="13"/>
                  <w:ind w:left="20" w:right="0" w:firstLine="0"/>
                  <w:jc w:val="left"/>
                  <w:rPr>
                    <w:b/>
                    <w:sz w:val="20"/>
                  </w:rPr>
                </w:pPr>
                <w:r>
                  <w:rPr>
                    <w:b/>
                    <w:sz w:val="20"/>
                  </w:rPr>
                  <w:t>Rev. 367</w:t>
                </w:r>
              </w:p>
            </w:txbxContent>
          </v:textbox>
          <w10:wrap type="none"/>
        </v:shape>
      </w:pict>
    </w:r>
    <w:r>
      <w:rPr/>
      <w:pict>
        <v:shape style="position:absolute;margin-left:292.239990pt;margin-top:743.857605pt;width:26.6pt;height:13.2pt;mso-position-horizontal-relative:page;mso-position-vertical-relative:page;z-index:-6088" type="#_x0000_t202" filled="false" stroked="false">
          <v:textbox inset="0,0,0,0">
            <w:txbxContent>
              <w:p>
                <w:pPr>
                  <w:spacing w:before="13"/>
                  <w:ind w:left="40" w:right="0" w:firstLine="0"/>
                  <w:jc w:val="left"/>
                  <w:rPr>
                    <w:b/>
                    <w:sz w:val="20"/>
                  </w:rPr>
                </w:pPr>
                <w:r>
                  <w:rPr/>
                  <w:fldChar w:fldCharType="begin"/>
                </w:r>
                <w:r>
                  <w:rPr>
                    <w:b/>
                    <w:sz w:val="20"/>
                  </w:rPr>
                  <w:instrText> PAGE </w:instrText>
                </w:r>
                <w:r>
                  <w:rPr/>
                  <w:fldChar w:fldCharType="separate"/>
                </w:r>
                <w:r>
                  <w:rPr/>
                  <w:t>1</w:t>
                </w:r>
                <w:r>
                  <w:rPr/>
                  <w:fldChar w:fldCharType="end"/>
                </w:r>
                <w:r>
                  <w:rPr>
                    <w:b/>
                    <w:sz w:val="20"/>
                  </w:rPr>
                  <w:t> of 4</w:t>
                </w:r>
              </w:p>
            </w:txbxContent>
          </v:textbox>
          <w10:wrap type="none"/>
        </v:shape>
      </w:pict>
    </w:r>
    <w:r>
      <w:rPr/>
      <w:pict>
        <v:shape style="position:absolute;margin-left:460.279999pt;margin-top:743.857605pt;width:80.75pt;height:13.2pt;mso-position-horizontal-relative:page;mso-position-vertical-relative:page;z-index:-6064" type="#_x0000_t202" filled="false" stroked="false">
          <v:textbox inset="0,0,0,0">
            <w:txbxContent>
              <w:p>
                <w:pPr>
                  <w:spacing w:before="13"/>
                  <w:ind w:left="20" w:right="0" w:firstLine="0"/>
                  <w:jc w:val="left"/>
                  <w:rPr>
                    <w:b/>
                    <w:sz w:val="20"/>
                  </w:rPr>
                </w:pPr>
                <w:r>
                  <w:rPr>
                    <w:b/>
                    <w:sz w:val="20"/>
                  </w:rPr>
                  <w:t>FEBRUARY 1999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05.559998pt;margin-top:35.857578pt;width:21.95pt;height:13.2pt;mso-position-horizontal-relative:page;mso-position-vertical-relative:page;z-index:-6040" type="#_x0000_t202" filled="false" stroked="false">
          <v:textbox inset="0,0,0,0">
            <w:txbxContent>
              <w:p>
                <w:pPr>
                  <w:spacing w:before="13"/>
                  <w:ind w:left="20" w:right="0" w:firstLine="0"/>
                  <w:jc w:val="left"/>
                  <w:rPr>
                    <w:b/>
                    <w:sz w:val="20"/>
                  </w:rPr>
                </w:pPr>
                <w:r>
                  <w:rPr>
                    <w:b/>
                    <w:sz w:val="20"/>
                    <w:u w:val="single"/>
                  </w:rPr>
                  <w:t>Item</w:t>
                </w:r>
              </w:p>
            </w:txbxContent>
          </v:textbox>
          <w10:wrap type="none"/>
        </v:shape>
      </w:pict>
    </w:r>
    <w:r>
      <w:rPr/>
      <w:pict>
        <v:shape style="position:absolute;margin-left:331.160004pt;margin-top:35.857578pt;width:43.8pt;height:13.2pt;mso-position-horizontal-relative:page;mso-position-vertical-relative:page;z-index:-6016" type="#_x0000_t202" filled="false" stroked="false">
          <v:textbox inset="0,0,0,0">
            <w:txbxContent>
              <w:p>
                <w:pPr>
                  <w:spacing w:before="13"/>
                  <w:ind w:left="20" w:right="0" w:firstLine="0"/>
                  <w:jc w:val="left"/>
                  <w:rPr>
                    <w:b/>
                    <w:sz w:val="20"/>
                  </w:rPr>
                </w:pPr>
                <w:r>
                  <w:rPr>
                    <w:b/>
                    <w:sz w:val="20"/>
                    <w:u w:val="single"/>
                  </w:rPr>
                  <w:t>Summary</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3"/>
      <w:ind w:left="20"/>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dc:title>summary.PDF</dc:title>
  <dcterms:created xsi:type="dcterms:W3CDTF">2020-07-14T13:27:53Z</dcterms:created>
  <dcterms:modified xsi:type="dcterms:W3CDTF">2020-07-14T13:27:53Z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vt:lpwstr>
  </property>
  <property fmtid="{D5CDD505-2E9C-101B-9397-08002B2CF9AE}" pid="4" name="LastSaved">
    <vt:filetime>2020-07-14T00:00:00Z</vt:filetime>
  </property>
</Properties>
</file>