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Heading1"/>
        <w:spacing w:before="70"/>
        <w:ind w:left="3455" w:right="3335"/>
        <w:jc w:val="center"/>
      </w:pPr>
      <w:r>
        <w:rPr/>
        <w:t>MAJOR REVISION SUMMARY</w:t>
      </w:r>
    </w:p>
    <w:p>
      <w:pPr>
        <w:pStyle w:val="BodyText"/>
        <w:spacing w:before="3"/>
        <w:rPr>
          <w:b/>
          <w:sz w:val="21"/>
        </w:rPr>
      </w:pPr>
    </w:p>
    <w:p>
      <w:pPr>
        <w:pStyle w:val="BodyText"/>
        <w:spacing w:line="249" w:lineRule="auto"/>
        <w:ind w:left="240" w:right="119"/>
        <w:jc w:val="both"/>
      </w:pPr>
      <w:r>
        <w:rPr/>
        <w:t>Format and minor grammatical changes have been made to all pages included in this revision package. Revision  bars are not inserted for format changes, non-substantial technical changes, and fully rewritten chapters. Revision bars appear on the right side of all pages.  Vertical (addition) bars indicate added and rewritten matter, and  horizontal (deletion) bars indicate deleted</w:t>
      </w:r>
      <w:r>
        <w:rPr>
          <w:spacing w:val="44"/>
        </w:rPr>
        <w:t> </w:t>
      </w:r>
      <w:r>
        <w:rPr/>
        <w:t>matter.</w:t>
      </w:r>
    </w:p>
    <w:p>
      <w:pPr>
        <w:pStyle w:val="BodyText"/>
        <w:spacing w:before="11"/>
        <w:rPr>
          <w:sz w:val="17"/>
        </w:rPr>
      </w:pPr>
    </w:p>
    <w:p>
      <w:pPr>
        <w:pStyle w:val="Heading1"/>
        <w:tabs>
          <w:tab w:pos="5443" w:val="left" w:leader="none"/>
        </w:tabs>
        <w:ind w:left="931"/>
      </w:pPr>
      <w:r>
        <w:rPr>
          <w:u w:val="single"/>
        </w:rPr>
        <w:t>Item</w:t>
      </w:r>
      <w:r>
        <w:rPr/>
        <w:tab/>
      </w:r>
      <w:r>
        <w:rPr>
          <w:spacing w:val="-3"/>
          <w:u w:val="single"/>
        </w:rPr>
        <w:t>Summary</w:t>
      </w:r>
    </w:p>
    <w:p>
      <w:pPr>
        <w:pStyle w:val="BodyText"/>
        <w:spacing w:before="2"/>
        <w:rPr>
          <w:b/>
          <w:sz w:val="13"/>
        </w:rPr>
      </w:pPr>
    </w:p>
    <w:p>
      <w:pPr>
        <w:tabs>
          <w:tab w:pos="2236" w:val="left" w:leader="none"/>
        </w:tabs>
        <w:spacing w:before="98"/>
        <w:ind w:left="240" w:right="0" w:firstLine="0"/>
        <w:jc w:val="left"/>
        <w:rPr>
          <w:sz w:val="20"/>
        </w:rPr>
      </w:pPr>
      <w:r>
        <w:rPr>
          <w:b/>
          <w:sz w:val="20"/>
        </w:rPr>
        <w:t>Subject</w:t>
      </w:r>
      <w:r>
        <w:rPr>
          <w:b/>
          <w:spacing w:val="-3"/>
          <w:sz w:val="20"/>
        </w:rPr>
        <w:t> </w:t>
      </w:r>
      <w:r>
        <w:rPr>
          <w:b/>
          <w:sz w:val="20"/>
        </w:rPr>
        <w:t>Index</w:t>
        <w:tab/>
      </w:r>
      <w:r>
        <w:rPr>
          <w:sz w:val="20"/>
        </w:rPr>
        <w:t>Updates</w:t>
      </w:r>
      <w:r>
        <w:rPr>
          <w:spacing w:val="-3"/>
          <w:sz w:val="20"/>
        </w:rPr>
        <w:t> </w:t>
      </w:r>
      <w:r>
        <w:rPr>
          <w:sz w:val="20"/>
        </w:rPr>
        <w:t>entries.</w:t>
      </w:r>
    </w:p>
    <w:p>
      <w:pPr>
        <w:pStyle w:val="BodyText"/>
        <w:spacing w:before="8"/>
        <w:rPr>
          <w:sz w:val="21"/>
        </w:rPr>
      </w:pPr>
    </w:p>
    <w:p>
      <w:pPr>
        <w:tabs>
          <w:tab w:pos="2236" w:val="left" w:leader="none"/>
        </w:tabs>
        <w:spacing w:before="0"/>
        <w:ind w:left="240" w:right="0" w:firstLine="0"/>
        <w:jc w:val="left"/>
        <w:rPr>
          <w:sz w:val="20"/>
        </w:rPr>
      </w:pPr>
      <w:r>
        <w:rPr>
          <w:b/>
          <w:sz w:val="20"/>
        </w:rPr>
        <w:t>Chapter</w:t>
      </w:r>
      <w:r>
        <w:rPr>
          <w:b/>
          <w:spacing w:val="1"/>
          <w:sz w:val="20"/>
        </w:rPr>
        <w:t> </w:t>
      </w:r>
      <w:r>
        <w:rPr>
          <w:b/>
          <w:sz w:val="20"/>
        </w:rPr>
        <w:t>0001</w:t>
        <w:tab/>
      </w:r>
      <w:r>
        <w:rPr>
          <w:b/>
          <w:sz w:val="20"/>
          <w:u w:val="single"/>
        </w:rPr>
        <w:t>Introduction  </w:t>
      </w:r>
      <w:r>
        <w:rPr>
          <w:sz w:val="20"/>
        </w:rPr>
        <w:t>Updates Section 0030 regarding SAM publications and</w:t>
      </w:r>
      <w:r>
        <w:rPr>
          <w:spacing w:val="44"/>
          <w:sz w:val="20"/>
        </w:rPr>
        <w:t> </w:t>
      </w:r>
      <w:r>
        <w:rPr>
          <w:sz w:val="20"/>
        </w:rPr>
        <w:t>contacts.</w:t>
      </w:r>
    </w:p>
    <w:p>
      <w:pPr>
        <w:pStyle w:val="BodyText"/>
        <w:rPr>
          <w:sz w:val="14"/>
        </w:rPr>
      </w:pPr>
    </w:p>
    <w:p>
      <w:pPr>
        <w:tabs>
          <w:tab w:pos="2236" w:val="left" w:leader="none"/>
        </w:tabs>
        <w:spacing w:line="249" w:lineRule="auto" w:before="93"/>
        <w:ind w:left="2236" w:right="296" w:hanging="1997"/>
        <w:jc w:val="left"/>
        <w:rPr>
          <w:sz w:val="20"/>
        </w:rPr>
      </w:pPr>
      <w:r>
        <w:rPr>
          <w:b/>
          <w:sz w:val="20"/>
        </w:rPr>
        <w:t>Chapter</w:t>
      </w:r>
      <w:r>
        <w:rPr>
          <w:b/>
          <w:spacing w:val="1"/>
          <w:sz w:val="20"/>
        </w:rPr>
        <w:t> </w:t>
      </w:r>
      <w:r>
        <w:rPr>
          <w:b/>
          <w:sz w:val="20"/>
        </w:rPr>
        <w:t>6000</w:t>
        <w:tab/>
      </w:r>
      <w:r>
        <w:rPr>
          <w:b/>
          <w:sz w:val="20"/>
          <w:u w:val="single"/>
        </w:rPr>
        <w:t>Budgeting  </w:t>
      </w:r>
      <w:r>
        <w:rPr>
          <w:sz w:val="20"/>
        </w:rPr>
        <w:t>Makes technical correction:  Renames reverse side of page 6872 (Cont.</w:t>
      </w:r>
      <w:r>
        <w:rPr>
          <w:spacing w:val="20"/>
          <w:sz w:val="20"/>
        </w:rPr>
        <w:t> </w:t>
      </w:r>
      <w:r>
        <w:rPr>
          <w:sz w:val="20"/>
        </w:rPr>
        <w:t>1)</w:t>
      </w:r>
      <w:r>
        <w:rPr>
          <w:spacing w:val="1"/>
          <w:sz w:val="20"/>
        </w:rPr>
        <w:t> </w:t>
      </w:r>
      <w:r>
        <w:rPr>
          <w:sz w:val="20"/>
        </w:rPr>
        <w:t>as</w:t>
      </w:r>
      <w:r>
        <w:rPr>
          <w:spacing w:val="-1"/>
          <w:w w:val="100"/>
          <w:sz w:val="20"/>
        </w:rPr>
        <w:t> </w:t>
      </w:r>
      <w:r>
        <w:rPr>
          <w:sz w:val="20"/>
        </w:rPr>
        <w:t>6872 (Cont.</w:t>
      </w:r>
      <w:r>
        <w:rPr>
          <w:spacing w:val="14"/>
          <w:sz w:val="20"/>
        </w:rPr>
        <w:t> </w:t>
      </w:r>
      <w:r>
        <w:rPr>
          <w:sz w:val="20"/>
        </w:rPr>
        <w:t>2).</w:t>
      </w:r>
    </w:p>
    <w:p>
      <w:pPr>
        <w:pStyle w:val="BodyText"/>
        <w:spacing w:before="4"/>
        <w:rPr>
          <w:sz w:val="21"/>
        </w:rPr>
      </w:pPr>
    </w:p>
    <w:p>
      <w:pPr>
        <w:tabs>
          <w:tab w:pos="2236" w:val="left" w:leader="none"/>
        </w:tabs>
        <w:spacing w:line="249" w:lineRule="auto" w:before="0"/>
        <w:ind w:left="2236" w:right="632" w:hanging="1997"/>
        <w:jc w:val="left"/>
        <w:rPr>
          <w:sz w:val="20"/>
        </w:rPr>
      </w:pPr>
      <w:r>
        <w:rPr>
          <w:b/>
          <w:sz w:val="20"/>
        </w:rPr>
        <w:t>Chapter</w:t>
      </w:r>
      <w:r>
        <w:rPr>
          <w:b/>
          <w:spacing w:val="1"/>
          <w:sz w:val="20"/>
        </w:rPr>
        <w:t> </w:t>
      </w:r>
      <w:r>
        <w:rPr>
          <w:b/>
          <w:sz w:val="20"/>
        </w:rPr>
        <w:t>7900</w:t>
        <w:tab/>
      </w:r>
      <w:r>
        <w:rPr>
          <w:b/>
          <w:sz w:val="20"/>
          <w:u w:val="single"/>
        </w:rPr>
        <w:t>Reconciliations and Reports  </w:t>
      </w:r>
      <w:r>
        <w:rPr>
          <w:sz w:val="20"/>
        </w:rPr>
        <w:t>Revises 7951 Illustration report names,</w:t>
      </w:r>
      <w:r>
        <w:rPr>
          <w:spacing w:val="44"/>
          <w:sz w:val="20"/>
        </w:rPr>
        <w:t> </w:t>
      </w:r>
      <w:r>
        <w:rPr>
          <w:sz w:val="20"/>
        </w:rPr>
        <w:t>column</w:t>
      </w:r>
      <w:r>
        <w:rPr>
          <w:spacing w:val="4"/>
          <w:sz w:val="20"/>
        </w:rPr>
        <w:t> </w:t>
      </w:r>
      <w:r>
        <w:rPr>
          <w:sz w:val="20"/>
        </w:rPr>
        <w:t>titles,</w:t>
      </w:r>
      <w:r>
        <w:rPr>
          <w:w w:val="100"/>
          <w:sz w:val="20"/>
        </w:rPr>
        <w:t> </w:t>
      </w:r>
      <w:r>
        <w:rPr>
          <w:sz w:val="20"/>
        </w:rPr>
        <w:t>mailing addresses, and references for the chart of year-end </w:t>
      </w:r>
      <w:r>
        <w:rPr>
          <w:spacing w:val="7"/>
          <w:sz w:val="20"/>
        </w:rPr>
        <w:t> </w:t>
      </w:r>
      <w:r>
        <w:rPr>
          <w:sz w:val="20"/>
        </w:rPr>
        <w:t>reports.</w:t>
      </w:r>
    </w:p>
    <w:p>
      <w:pPr>
        <w:pStyle w:val="BodyText"/>
        <w:spacing w:before="4"/>
        <w:rPr>
          <w:sz w:val="21"/>
        </w:rPr>
      </w:pPr>
    </w:p>
    <w:p>
      <w:pPr>
        <w:pStyle w:val="BodyText"/>
        <w:tabs>
          <w:tab w:pos="2217" w:val="left" w:leader="none"/>
        </w:tabs>
        <w:spacing w:line="249" w:lineRule="auto"/>
        <w:ind w:left="2217" w:right="229" w:hanging="1978"/>
      </w:pPr>
      <w:r>
        <w:rPr>
          <w:b/>
        </w:rPr>
        <w:t>Chapter</w:t>
      </w:r>
      <w:r>
        <w:rPr>
          <w:b/>
          <w:spacing w:val="1"/>
        </w:rPr>
        <w:t> </w:t>
      </w:r>
      <w:r>
        <w:rPr>
          <w:b/>
        </w:rPr>
        <w:t>8000</w:t>
        <w:tab/>
      </w:r>
      <w:r>
        <w:rPr>
          <w:b/>
          <w:u w:val="single"/>
        </w:rPr>
        <w:t>Cash   </w:t>
      </w:r>
      <w:r>
        <w:rPr/>
        <w:t>Chapter Index deletes Section 8072.1, renumbers and renames Section   </w:t>
      </w:r>
      <w:r>
        <w:rPr>
          <w:spacing w:val="38"/>
        </w:rPr>
        <w:t> </w:t>
      </w:r>
      <w:r>
        <w:rPr/>
        <w:t>8072.2</w:t>
      </w:r>
      <w:r>
        <w:rPr>
          <w:spacing w:val="21"/>
        </w:rPr>
        <w:t> </w:t>
      </w:r>
      <w:r>
        <w:rPr/>
        <w:t>as</w:t>
      </w:r>
      <w:r>
        <w:rPr>
          <w:w w:val="100"/>
        </w:rPr>
        <w:t> </w:t>
      </w:r>
      <w:r>
        <w:rPr/>
        <w:t>"Counterfeit Currency" Section</w:t>
      </w:r>
      <w:r>
        <w:rPr>
          <w:spacing w:val="-2"/>
        </w:rPr>
        <w:t> </w:t>
      </w:r>
      <w:r>
        <w:rPr/>
        <w:t>8072.1</w:t>
      </w:r>
    </w:p>
    <w:p>
      <w:pPr>
        <w:pStyle w:val="BodyText"/>
        <w:spacing w:before="10"/>
      </w:pPr>
    </w:p>
    <w:p>
      <w:pPr>
        <w:pStyle w:val="BodyText"/>
        <w:spacing w:line="249" w:lineRule="auto"/>
        <w:ind w:left="2217" w:right="228"/>
        <w:jc w:val="both"/>
      </w:pPr>
      <w:r>
        <w:rPr/>
        <w:t>Moves text from "Burglaries, Robberies, or Defalcations" Section 8072.1 to Section 8000 instructing employees to surrender cash if threatened with violence and advises to notify law enforcement and OSAE.</w:t>
      </w:r>
    </w:p>
    <w:p>
      <w:pPr>
        <w:pStyle w:val="BodyText"/>
        <w:spacing w:before="10"/>
      </w:pPr>
    </w:p>
    <w:p>
      <w:pPr>
        <w:pStyle w:val="BodyText"/>
        <w:ind w:left="2217"/>
        <w:jc w:val="both"/>
      </w:pPr>
      <w:r>
        <w:rPr/>
        <w:t>Sections 8001.1 deletes requirement to submit account requests in  triplicate.</w:t>
      </w:r>
    </w:p>
    <w:p>
      <w:pPr>
        <w:pStyle w:val="BodyText"/>
        <w:spacing w:before="8"/>
        <w:rPr>
          <w:sz w:val="21"/>
        </w:rPr>
      </w:pPr>
    </w:p>
    <w:p>
      <w:pPr>
        <w:pStyle w:val="BodyText"/>
        <w:spacing w:line="249" w:lineRule="auto"/>
        <w:ind w:left="2217" w:right="229"/>
        <w:jc w:val="both"/>
      </w:pPr>
      <w:r>
        <w:rPr/>
        <w:t>Adds additional STO detailed instructions to Section 8060 regarding reconciliation of deposit errors and check errors.</w:t>
      </w:r>
    </w:p>
    <w:p>
      <w:pPr>
        <w:pStyle w:val="BodyText"/>
        <w:spacing w:before="11"/>
      </w:pPr>
    </w:p>
    <w:p>
      <w:pPr>
        <w:pStyle w:val="BodyText"/>
        <w:spacing w:line="249" w:lineRule="auto"/>
        <w:ind w:left="2217" w:right="229"/>
        <w:jc w:val="both"/>
      </w:pPr>
      <w:r>
        <w:rPr/>
        <w:t>Provides Section 8072 with new procedures and annual reporting requirements for Office Revolving Fund deficiency claims; also advises on cash deficiencies that must be filed with Board of Control.</w:t>
      </w:r>
    </w:p>
    <w:p>
      <w:pPr>
        <w:pStyle w:val="BodyText"/>
        <w:spacing w:before="11"/>
      </w:pPr>
    </w:p>
    <w:p>
      <w:pPr>
        <w:pStyle w:val="BodyText"/>
        <w:ind w:left="2217"/>
        <w:jc w:val="both"/>
      </w:pPr>
      <w:r>
        <w:rPr/>
        <w:t>Deletes Section 8072.1 and moves written text to Section 8000.</w:t>
      </w:r>
    </w:p>
    <w:p>
      <w:pPr>
        <w:pStyle w:val="BodyText"/>
        <w:spacing w:before="8"/>
        <w:rPr>
          <w:sz w:val="21"/>
        </w:rPr>
      </w:pPr>
    </w:p>
    <w:p>
      <w:pPr>
        <w:pStyle w:val="BodyText"/>
        <w:spacing w:line="249" w:lineRule="auto"/>
        <w:ind w:left="2217" w:right="229"/>
        <w:jc w:val="both"/>
      </w:pPr>
      <w:r>
        <w:rPr/>
        <w:t>Renumbers Section 8072.2 as Section 8072.1, deletes reference to Board of Control, and makes reference to Section 8072.</w:t>
      </w:r>
    </w:p>
    <w:p>
      <w:pPr>
        <w:pStyle w:val="BodyText"/>
        <w:spacing w:before="10"/>
      </w:pPr>
    </w:p>
    <w:p>
      <w:pPr>
        <w:pStyle w:val="BodyText"/>
        <w:ind w:left="2217"/>
        <w:jc w:val="both"/>
      </w:pPr>
      <w:r>
        <w:rPr/>
        <w:t>Deletes entire Section 8072.3.</w:t>
      </w:r>
    </w:p>
    <w:p>
      <w:pPr>
        <w:pStyle w:val="BodyText"/>
        <w:spacing w:before="1"/>
        <w:rPr>
          <w:sz w:val="22"/>
        </w:rPr>
      </w:pPr>
    </w:p>
    <w:p>
      <w:pPr>
        <w:tabs>
          <w:tab w:pos="2217" w:val="left" w:leader="none"/>
        </w:tabs>
        <w:spacing w:before="0"/>
        <w:ind w:left="240" w:right="0" w:firstLine="0"/>
        <w:jc w:val="left"/>
        <w:rPr>
          <w:sz w:val="20"/>
        </w:rPr>
      </w:pPr>
      <w:r>
        <w:rPr>
          <w:b/>
          <w:sz w:val="20"/>
        </w:rPr>
        <w:t>Chapter</w:t>
      </w:r>
      <w:r>
        <w:rPr>
          <w:b/>
          <w:spacing w:val="1"/>
          <w:sz w:val="20"/>
        </w:rPr>
        <w:t> </w:t>
      </w:r>
      <w:r>
        <w:rPr>
          <w:b/>
          <w:sz w:val="20"/>
        </w:rPr>
        <w:t>8100</w:t>
        <w:tab/>
      </w:r>
      <w:r>
        <w:rPr>
          <w:b/>
          <w:sz w:val="20"/>
          <w:u w:val="single"/>
        </w:rPr>
        <w:t>Revolving </w:t>
      </w:r>
      <w:r>
        <w:rPr>
          <w:b/>
          <w:spacing w:val="-3"/>
          <w:sz w:val="20"/>
          <w:u w:val="single"/>
        </w:rPr>
        <w:t>Funds  </w:t>
      </w:r>
      <w:r>
        <w:rPr>
          <w:sz w:val="20"/>
        </w:rPr>
        <w:t>Section 8100 makes reference to Section 8072 for ORF</w:t>
      </w:r>
      <w:r>
        <w:rPr>
          <w:spacing w:val="20"/>
          <w:sz w:val="20"/>
        </w:rPr>
        <w:t> </w:t>
      </w:r>
      <w:r>
        <w:rPr>
          <w:sz w:val="20"/>
        </w:rPr>
        <w:t>deficiencies.</w:t>
      </w:r>
    </w:p>
    <w:p>
      <w:pPr>
        <w:pStyle w:val="BodyText"/>
        <w:rPr>
          <w:sz w:val="14"/>
        </w:rPr>
      </w:pPr>
    </w:p>
    <w:p>
      <w:pPr>
        <w:tabs>
          <w:tab w:pos="2217" w:val="left" w:leader="none"/>
        </w:tabs>
        <w:spacing w:line="249" w:lineRule="auto" w:before="93"/>
        <w:ind w:left="2217" w:right="636" w:hanging="1978"/>
        <w:jc w:val="left"/>
        <w:rPr>
          <w:sz w:val="20"/>
        </w:rPr>
      </w:pPr>
      <w:r>
        <w:rPr>
          <w:b/>
          <w:sz w:val="20"/>
        </w:rPr>
        <w:t>Chapter</w:t>
      </w:r>
      <w:r>
        <w:rPr>
          <w:b/>
          <w:spacing w:val="1"/>
          <w:sz w:val="20"/>
        </w:rPr>
        <w:t> </w:t>
      </w:r>
      <w:r>
        <w:rPr>
          <w:b/>
          <w:sz w:val="20"/>
        </w:rPr>
        <w:t>8700</w:t>
        <w:tab/>
      </w:r>
      <w:r>
        <w:rPr>
          <w:b/>
          <w:sz w:val="20"/>
          <w:u w:val="single"/>
        </w:rPr>
        <w:t>Miscellaneous Accounting Procedures  </w:t>
      </w:r>
      <w:r>
        <w:rPr>
          <w:sz w:val="20"/>
        </w:rPr>
        <w:t>Revises types of Board of Control</w:t>
      </w:r>
      <w:r>
        <w:rPr>
          <w:spacing w:val="-19"/>
          <w:sz w:val="20"/>
        </w:rPr>
        <w:t> </w:t>
      </w:r>
      <w:r>
        <w:rPr>
          <w:sz w:val="20"/>
        </w:rPr>
        <w:t>claims</w:t>
      </w:r>
      <w:r>
        <w:rPr>
          <w:spacing w:val="-3"/>
          <w:sz w:val="20"/>
        </w:rPr>
        <w:t> </w:t>
      </w:r>
      <w:r>
        <w:rPr>
          <w:sz w:val="20"/>
        </w:rPr>
        <w:t>in</w:t>
      </w:r>
      <w:r>
        <w:rPr>
          <w:spacing w:val="-2"/>
          <w:w w:val="100"/>
          <w:sz w:val="20"/>
        </w:rPr>
        <w:t> </w:t>
      </w:r>
      <w:r>
        <w:rPr>
          <w:sz w:val="20"/>
        </w:rPr>
        <w:t>Section</w:t>
      </w:r>
      <w:r>
        <w:rPr>
          <w:spacing w:val="-1"/>
          <w:sz w:val="20"/>
        </w:rPr>
        <w:t> </w:t>
      </w:r>
      <w:r>
        <w:rPr>
          <w:sz w:val="20"/>
        </w:rPr>
        <w:t>8710.</w:t>
      </w:r>
    </w:p>
    <w:p>
      <w:pPr>
        <w:pStyle w:val="BodyText"/>
        <w:spacing w:before="3"/>
        <w:rPr>
          <w:sz w:val="21"/>
        </w:rPr>
      </w:pPr>
    </w:p>
    <w:p>
      <w:pPr>
        <w:pStyle w:val="BodyText"/>
        <w:tabs>
          <w:tab w:pos="2217" w:val="left" w:leader="none"/>
        </w:tabs>
        <w:spacing w:line="249" w:lineRule="auto"/>
        <w:ind w:left="2217" w:right="603" w:hanging="1978"/>
      </w:pPr>
      <w:r>
        <w:rPr>
          <w:b/>
        </w:rPr>
        <w:t>Chapter</w:t>
      </w:r>
      <w:r>
        <w:rPr>
          <w:b/>
          <w:spacing w:val="1"/>
        </w:rPr>
        <w:t> </w:t>
      </w:r>
      <w:r>
        <w:rPr>
          <w:b/>
        </w:rPr>
        <w:t>10500</w:t>
        <w:tab/>
      </w:r>
      <w:r>
        <w:rPr>
          <w:b/>
          <w:u w:val="single"/>
        </w:rPr>
        <w:t>Standard Entries  </w:t>
      </w:r>
      <w:r>
        <w:rPr/>
        <w:t>Section 10509 substitutes State Controller's Office for</w:t>
      </w:r>
      <w:r>
        <w:rPr>
          <w:spacing w:val="10"/>
        </w:rPr>
        <w:t> </w:t>
      </w:r>
      <w:r>
        <w:rPr/>
        <w:t>Board of</w:t>
      </w:r>
      <w:r>
        <w:rPr>
          <w:spacing w:val="-1"/>
          <w:w w:val="100"/>
        </w:rPr>
        <w:t> </w:t>
      </w:r>
      <w:r>
        <w:rPr/>
        <w:t>Control; deletes references to discharge of accountability in explanations; and revises source document and complete rewrite of</w:t>
      </w:r>
      <w:r>
        <w:rPr>
          <w:spacing w:val="4"/>
        </w:rPr>
        <w:t> </w:t>
      </w:r>
      <w:r>
        <w:rPr/>
        <w:t>explanation.</w:t>
      </w:r>
    </w:p>
    <w:p>
      <w:pPr>
        <w:pStyle w:val="BodyText"/>
        <w:spacing w:before="10"/>
      </w:pPr>
    </w:p>
    <w:p>
      <w:pPr>
        <w:pStyle w:val="BodyText"/>
        <w:spacing w:line="249" w:lineRule="auto"/>
        <w:ind w:left="2217"/>
      </w:pPr>
      <w:r>
        <w:rPr/>
        <w:t>Deletes Board of Control's approval in Section 10608 for claims against reverted appropriations.</w:t>
      </w:r>
    </w:p>
    <w:p>
      <w:pPr>
        <w:pStyle w:val="BodyText"/>
        <w:rPr>
          <w:sz w:val="17"/>
        </w:rPr>
      </w:pPr>
      <w:r>
        <w:rPr/>
        <w:pict>
          <v:group style="position:absolute;margin-left:65.625pt;margin-top:11.75562pt;width:474.3pt;height:2.2pt;mso-position-horizontal-relative:page;mso-position-vertical-relative:paragraph;z-index:0;mso-wrap-distance-left:0;mso-wrap-distance-right:0" coordorigin="1313,235" coordsize="9486,44">
            <v:line style="position:absolute" from="1320,243" to="3322,243" stroked="true" strokeweight=".72pt" strokecolor="#000000">
              <v:stroke dashstyle="solid"/>
            </v:line>
            <v:line style="position:absolute" from="1320,271" to="3322,271" stroked="true" strokeweight=".72pt" strokecolor="#000000">
              <v:stroke dashstyle="solid"/>
            </v:line>
            <v:line style="position:absolute" from="3322,243" to="3365,243" stroked="true" strokeweight=".72pt" strokecolor="#000000">
              <v:stroke dashstyle="solid"/>
            </v:line>
            <v:line style="position:absolute" from="3322,271" to="3365,271" stroked="true" strokeweight=".72pt" strokecolor="#000000">
              <v:stroke dashstyle="solid"/>
            </v:line>
            <v:line style="position:absolute" from="3365,243" to="10790,243" stroked="true" strokeweight=".72pt" strokecolor="#000000">
              <v:stroke dashstyle="solid"/>
            </v:line>
            <v:line style="position:absolute" from="3365,271" to="10790,271" stroked="true" strokeweight=".72pt" strokecolor="#000000">
              <v:stroke dashstyle="solid"/>
            </v:line>
            <w10:wrap type="topAndBottom"/>
          </v:group>
        </w:pict>
      </w:r>
    </w:p>
    <w:p>
      <w:pPr>
        <w:pStyle w:val="BodyText"/>
      </w:pPr>
    </w:p>
    <w:p>
      <w:pPr>
        <w:pStyle w:val="BodyText"/>
      </w:pPr>
    </w:p>
    <w:p>
      <w:pPr>
        <w:pStyle w:val="BodyText"/>
      </w:pPr>
    </w:p>
    <w:p>
      <w:pPr>
        <w:pStyle w:val="BodyText"/>
      </w:pPr>
    </w:p>
    <w:p>
      <w:pPr>
        <w:pStyle w:val="BodyText"/>
        <w:spacing w:before="3"/>
        <w:rPr>
          <w:sz w:val="19"/>
        </w:rPr>
      </w:pPr>
    </w:p>
    <w:p>
      <w:pPr>
        <w:pStyle w:val="Heading1"/>
        <w:tabs>
          <w:tab w:pos="4684" w:val="left" w:leader="none"/>
          <w:tab w:pos="8308" w:val="left" w:leader="none"/>
        </w:tabs>
        <w:spacing w:before="1"/>
      </w:pPr>
      <w:r>
        <w:rPr/>
        <w:t>Rev.</w:t>
      </w:r>
      <w:r>
        <w:rPr>
          <w:spacing w:val="2"/>
        </w:rPr>
        <w:t> </w:t>
      </w:r>
      <w:r>
        <w:rPr/>
        <w:t>365</w:t>
        <w:tab/>
        <w:t>1</w:t>
      </w:r>
      <w:r>
        <w:rPr>
          <w:spacing w:val="1"/>
        </w:rPr>
        <w:t> </w:t>
      </w:r>
      <w:r>
        <w:rPr/>
        <w:t>of</w:t>
      </w:r>
      <w:r>
        <w:rPr>
          <w:spacing w:val="1"/>
        </w:rPr>
        <w:t> </w:t>
      </w:r>
      <w:r>
        <w:rPr/>
        <w:t>1</w:t>
        <w:tab/>
        <w:t>AUGUST</w:t>
      </w:r>
      <w:r>
        <w:rPr>
          <w:spacing w:val="2"/>
        </w:rPr>
        <w:t> </w:t>
      </w:r>
      <w:r>
        <w:rPr/>
        <w:t>1998</w:t>
      </w:r>
    </w:p>
    <w:sectPr>
      <w:type w:val="continuous"/>
      <w:pgSz w:w="12240" w:h="15840"/>
      <w:pgMar w:top="660" w:bottom="280" w:left="1200" w:right="13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BodyText" w:type="paragraph">
    <w:name w:val="Body Text"/>
    <w:basedOn w:val="Normal"/>
    <w:uiPriority w:val="1"/>
    <w:qFormat/>
    <w:pPr/>
    <w:rPr>
      <w:rFonts w:ascii="Times New Roman" w:hAnsi="Times New Roman" w:eastAsia="Times New Roman" w:cs="Times New Roman"/>
      <w:sz w:val="20"/>
      <w:szCs w:val="20"/>
    </w:rPr>
  </w:style>
  <w:style w:styleId="Heading1" w:type="paragraph">
    <w:name w:val="Heading 1"/>
    <w:basedOn w:val="Normal"/>
    <w:uiPriority w:val="1"/>
    <w:qFormat/>
    <w:pPr>
      <w:ind w:left="240"/>
      <w:outlineLvl w:val="1"/>
    </w:pPr>
    <w:rPr>
      <w:rFonts w:ascii="Times New Roman" w:hAnsi="Times New Roman" w:eastAsia="Times New Roman" w:cs="Times New Roman"/>
      <w:b/>
      <w:bCs/>
      <w:sz w:val="20"/>
      <w:szCs w:val="20"/>
    </w:rPr>
  </w:style>
  <w:style w:styleId="ListParagraph" w:type="paragraph">
    <w:name w:val="List Paragraph"/>
    <w:basedOn w:val="Normal"/>
    <w:uiPriority w:val="1"/>
    <w:qFormat/>
    <w:pPr/>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Unknown</dc:creator>
  <dc:title>REVSUMMARY.PDF</dc:title>
  <dcterms:created xsi:type="dcterms:W3CDTF">2020-07-14T13:33:36Z</dcterms:created>
  <dcterms:modified xsi:type="dcterms:W3CDTF">2020-07-14T13:33:36Z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2020-07-14T00:00:00Z</vt:filetime>
  </property>
  <property fmtid="{D5CDD505-2E9C-101B-9397-08002B2CF9AE}" pid="3" name="Creator">
    <vt:lpwstr>Microsoft Word </vt:lpwstr>
  </property>
  <property fmtid="{D5CDD505-2E9C-101B-9397-08002B2CF9AE}" pid="4" name="LastSaved">
    <vt:filetime>2020-07-14T00:00:00Z</vt:filetime>
  </property>
</Properties>
</file>