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184FFB" w:rsidRPr="00605EB5" w14:paraId="403160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5119F3" w14:textId="1D978A18" w:rsidR="00184FFB" w:rsidRPr="00184FFB" w:rsidRDefault="00AC7D06" w:rsidP="00CF7987">
            <w:pPr>
              <w:spacing w:before="40"/>
              <w:rPr>
                <w:rFonts w:ascii="Arial" w:hAnsi="Arial" w:cs="Arial"/>
                <w:b/>
                <w:bCs/>
                <w:sz w:val="24"/>
                <w:szCs w:val="24"/>
              </w:rPr>
            </w:pPr>
            <w:hyperlink r:id="rId5" w:history="1">
              <w:r w:rsidR="002D3397">
                <w:rPr>
                  <w:rStyle w:val="Hyperlink"/>
                  <w:rFonts w:ascii="Arial" w:hAnsi="Arial" w:cs="Arial"/>
                  <w:b/>
                  <w:bCs/>
                  <w:sz w:val="24"/>
                  <w:szCs w:val="24"/>
                </w:rPr>
                <w:t>Chapter 7900</w:t>
              </w:r>
            </w:hyperlink>
          </w:p>
        </w:tc>
        <w:tc>
          <w:tcPr>
            <w:tcW w:w="5760" w:type="dxa"/>
            <w:tcBorders>
              <w:top w:val="single" w:sz="4" w:space="0" w:color="auto"/>
              <w:left w:val="single" w:sz="4" w:space="0" w:color="auto"/>
              <w:bottom w:val="single" w:sz="4" w:space="0" w:color="auto"/>
              <w:right w:val="single" w:sz="4" w:space="0" w:color="auto"/>
            </w:tcBorders>
          </w:tcPr>
          <w:p w14:paraId="255D4FD4" w14:textId="77777777" w:rsidR="00184FFB" w:rsidRPr="00184FFB" w:rsidRDefault="00184FF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CC359C" w14:textId="77777777" w:rsidR="00184FFB" w:rsidRPr="00184FFB" w:rsidRDefault="00184FFB" w:rsidP="00CF7987">
            <w:pPr>
              <w:spacing w:before="40"/>
              <w:jc w:val="center"/>
              <w:rPr>
                <w:rFonts w:ascii="Arial" w:hAnsi="Arial" w:cs="Arial"/>
                <w:bCs/>
                <w:sz w:val="24"/>
                <w:szCs w:val="24"/>
              </w:rPr>
            </w:pPr>
          </w:p>
        </w:tc>
      </w:tr>
      <w:tr w:rsidR="002D3397" w:rsidRPr="00605EB5" w14:paraId="6542DB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1CF199F" w14:textId="04390A06" w:rsidR="002D3397" w:rsidRPr="002D3397" w:rsidRDefault="002D3397" w:rsidP="00CF7987">
            <w:pPr>
              <w:spacing w:before="40"/>
              <w:rPr>
                <w:rFonts w:ascii="Arial" w:hAnsi="Arial" w:cs="Arial"/>
                <w:b/>
                <w:bCs/>
                <w:sz w:val="24"/>
                <w:szCs w:val="24"/>
              </w:rPr>
            </w:pPr>
            <w:r>
              <w:rPr>
                <w:rFonts w:ascii="Arial" w:hAnsi="Arial" w:cs="Arial"/>
                <w:b/>
                <w:bCs/>
                <w:sz w:val="24"/>
                <w:szCs w:val="24"/>
              </w:rPr>
              <w:t xml:space="preserve"> Section 7900</w:t>
            </w:r>
          </w:p>
        </w:tc>
        <w:tc>
          <w:tcPr>
            <w:tcW w:w="5760" w:type="dxa"/>
            <w:tcBorders>
              <w:top w:val="single" w:sz="4" w:space="0" w:color="auto"/>
              <w:left w:val="single" w:sz="4" w:space="0" w:color="auto"/>
              <w:bottom w:val="single" w:sz="4" w:space="0" w:color="auto"/>
              <w:right w:val="single" w:sz="4" w:space="0" w:color="auto"/>
            </w:tcBorders>
          </w:tcPr>
          <w:p w14:paraId="2116B69D" w14:textId="1B455193" w:rsidR="002D3397" w:rsidRPr="002D3397" w:rsidRDefault="002D3397" w:rsidP="00CF7987">
            <w:pPr>
              <w:spacing w:before="40"/>
              <w:rPr>
                <w:rFonts w:ascii="Arial" w:hAnsi="Arial" w:cs="Arial"/>
                <w:bCs/>
                <w:sz w:val="24"/>
                <w:szCs w:val="24"/>
              </w:rPr>
            </w:pPr>
            <w:r w:rsidRPr="002D3397">
              <w:rPr>
                <w:rFonts w:ascii="Arial" w:hAnsi="Arial" w:cs="Arial"/>
                <w:sz w:val="24"/>
                <w:szCs w:val="24"/>
              </w:rPr>
              <w:t>Retitled from Introduction to Reconciliations and Reports Chapter to Introduction to Reconciliations and Reports. Minor language updates. Deleted outdated content.</w:t>
            </w:r>
          </w:p>
        </w:tc>
        <w:tc>
          <w:tcPr>
            <w:tcW w:w="1260" w:type="dxa"/>
            <w:tcBorders>
              <w:top w:val="single" w:sz="4" w:space="0" w:color="auto"/>
              <w:left w:val="single" w:sz="4" w:space="0" w:color="auto"/>
              <w:bottom w:val="single" w:sz="4" w:space="0" w:color="auto"/>
              <w:right w:val="single" w:sz="4" w:space="0" w:color="auto"/>
            </w:tcBorders>
            <w:vAlign w:val="center"/>
          </w:tcPr>
          <w:p w14:paraId="7F68744E" w14:textId="0860CD36" w:rsidR="002D3397" w:rsidRPr="00184FFB" w:rsidRDefault="006B7CBC" w:rsidP="00CF7987">
            <w:pPr>
              <w:spacing w:before="40"/>
              <w:jc w:val="center"/>
              <w:rPr>
                <w:rFonts w:ascii="Arial" w:hAnsi="Arial" w:cs="Arial"/>
                <w:bCs/>
                <w:sz w:val="24"/>
                <w:szCs w:val="24"/>
              </w:rPr>
            </w:pPr>
            <w:hyperlink r:id="rId6" w:history="1">
              <w:r w:rsidR="002D3397" w:rsidRPr="006B7CBC">
                <w:rPr>
                  <w:rStyle w:val="Hyperlink"/>
                  <w:rFonts w:ascii="Arial" w:hAnsi="Arial" w:cs="Arial"/>
                  <w:bCs/>
                  <w:sz w:val="24"/>
                  <w:szCs w:val="24"/>
                </w:rPr>
                <w:t>7900</w:t>
              </w:r>
            </w:hyperlink>
          </w:p>
        </w:tc>
      </w:tr>
      <w:tr w:rsidR="002D3397" w:rsidRPr="00605EB5" w14:paraId="0599BDF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D7F60C6" w14:textId="403B7D67" w:rsidR="002D3397" w:rsidRPr="002D3397" w:rsidRDefault="009370C7" w:rsidP="00CF7987">
            <w:pPr>
              <w:spacing w:before="40"/>
              <w:rPr>
                <w:rFonts w:ascii="Arial" w:hAnsi="Arial" w:cs="Arial"/>
                <w:b/>
                <w:bCs/>
                <w:sz w:val="24"/>
                <w:szCs w:val="24"/>
              </w:rPr>
            </w:pPr>
            <w:r>
              <w:rPr>
                <w:rFonts w:ascii="Arial" w:hAnsi="Arial" w:cs="Arial"/>
                <w:b/>
                <w:bCs/>
                <w:sz w:val="24"/>
                <w:szCs w:val="24"/>
              </w:rPr>
              <w:t xml:space="preserve"> Section 7901</w:t>
            </w:r>
          </w:p>
        </w:tc>
        <w:tc>
          <w:tcPr>
            <w:tcW w:w="5760" w:type="dxa"/>
            <w:tcBorders>
              <w:top w:val="single" w:sz="4" w:space="0" w:color="auto"/>
              <w:left w:val="single" w:sz="4" w:space="0" w:color="auto"/>
              <w:bottom w:val="single" w:sz="4" w:space="0" w:color="auto"/>
              <w:right w:val="single" w:sz="4" w:space="0" w:color="auto"/>
            </w:tcBorders>
          </w:tcPr>
          <w:p w14:paraId="2AB06DB6" w14:textId="5545FB67" w:rsidR="002D3397" w:rsidRPr="00184FFB" w:rsidRDefault="009370C7" w:rsidP="00CF7987">
            <w:pPr>
              <w:spacing w:before="40"/>
              <w:rPr>
                <w:rFonts w:ascii="Arial" w:hAnsi="Arial" w:cs="Arial"/>
                <w:bCs/>
                <w:sz w:val="24"/>
                <w:szCs w:val="24"/>
              </w:rPr>
            </w:pPr>
            <w:r>
              <w:rPr>
                <w:rFonts w:ascii="Arial" w:hAnsi="Arial" w:cs="Arial"/>
                <w:bCs/>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D6DBA87" w14:textId="2AAF92CC" w:rsidR="002D3397" w:rsidRPr="00184FFB" w:rsidRDefault="009370C7" w:rsidP="00CF7987">
            <w:pPr>
              <w:spacing w:before="40"/>
              <w:jc w:val="center"/>
              <w:rPr>
                <w:rFonts w:ascii="Arial" w:hAnsi="Arial" w:cs="Arial"/>
                <w:bCs/>
                <w:sz w:val="24"/>
                <w:szCs w:val="24"/>
              </w:rPr>
            </w:pPr>
            <w:hyperlink r:id="rId7" w:history="1">
              <w:r w:rsidRPr="009370C7">
                <w:rPr>
                  <w:rStyle w:val="Hyperlink"/>
                  <w:rFonts w:ascii="Arial" w:hAnsi="Arial" w:cs="Arial"/>
                  <w:bCs/>
                  <w:sz w:val="24"/>
                  <w:szCs w:val="24"/>
                </w:rPr>
                <w:t>7901</w:t>
              </w:r>
            </w:hyperlink>
          </w:p>
        </w:tc>
      </w:tr>
      <w:tr w:rsidR="002D3397" w:rsidRPr="00605EB5" w14:paraId="328A5F8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BB078B9" w14:textId="601612B4" w:rsidR="002D3397" w:rsidRPr="002D3397" w:rsidRDefault="00D31680" w:rsidP="00CF7987">
            <w:pPr>
              <w:spacing w:before="40"/>
              <w:rPr>
                <w:rFonts w:ascii="Arial" w:hAnsi="Arial" w:cs="Arial"/>
                <w:b/>
                <w:bCs/>
                <w:sz w:val="24"/>
                <w:szCs w:val="24"/>
              </w:rPr>
            </w:pPr>
            <w:r>
              <w:rPr>
                <w:rFonts w:ascii="Arial" w:hAnsi="Arial" w:cs="Arial"/>
                <w:b/>
                <w:bCs/>
                <w:sz w:val="24"/>
                <w:szCs w:val="24"/>
              </w:rPr>
              <w:t xml:space="preserve"> Section 7904</w:t>
            </w:r>
          </w:p>
        </w:tc>
        <w:tc>
          <w:tcPr>
            <w:tcW w:w="5760" w:type="dxa"/>
            <w:tcBorders>
              <w:top w:val="single" w:sz="4" w:space="0" w:color="auto"/>
              <w:left w:val="single" w:sz="4" w:space="0" w:color="auto"/>
              <w:bottom w:val="single" w:sz="4" w:space="0" w:color="auto"/>
              <w:right w:val="single" w:sz="4" w:space="0" w:color="auto"/>
            </w:tcBorders>
          </w:tcPr>
          <w:p w14:paraId="3C14554E" w14:textId="084E7B4A" w:rsidR="002D3397" w:rsidRPr="00184FFB" w:rsidRDefault="00D31680" w:rsidP="00CF7987">
            <w:pPr>
              <w:spacing w:before="40"/>
              <w:rPr>
                <w:rFonts w:ascii="Arial" w:hAnsi="Arial" w:cs="Arial"/>
                <w:bCs/>
                <w:sz w:val="24"/>
                <w:szCs w:val="24"/>
              </w:rPr>
            </w:pPr>
            <w:r>
              <w:rPr>
                <w:rFonts w:ascii="Arial" w:hAnsi="Arial" w:cs="Arial"/>
                <w:bCs/>
                <w:sz w:val="24"/>
                <w:szCs w:val="24"/>
              </w:rPr>
              <w:t>Section deleted – content outdated.</w:t>
            </w:r>
          </w:p>
        </w:tc>
        <w:tc>
          <w:tcPr>
            <w:tcW w:w="1260" w:type="dxa"/>
            <w:tcBorders>
              <w:top w:val="single" w:sz="4" w:space="0" w:color="auto"/>
              <w:left w:val="single" w:sz="4" w:space="0" w:color="auto"/>
              <w:bottom w:val="single" w:sz="4" w:space="0" w:color="auto"/>
              <w:right w:val="single" w:sz="4" w:space="0" w:color="auto"/>
            </w:tcBorders>
            <w:vAlign w:val="center"/>
          </w:tcPr>
          <w:p w14:paraId="7319742A" w14:textId="00654431" w:rsidR="002D3397" w:rsidRPr="00184FFB" w:rsidRDefault="00D31680" w:rsidP="00CF7987">
            <w:pPr>
              <w:spacing w:before="40"/>
              <w:jc w:val="center"/>
              <w:rPr>
                <w:rFonts w:ascii="Arial" w:hAnsi="Arial" w:cs="Arial"/>
                <w:bCs/>
                <w:sz w:val="24"/>
                <w:szCs w:val="24"/>
              </w:rPr>
            </w:pPr>
            <w:hyperlink r:id="rId8" w:history="1">
              <w:r w:rsidRPr="00D31680">
                <w:rPr>
                  <w:rStyle w:val="Hyperlink"/>
                  <w:rFonts w:ascii="Arial" w:hAnsi="Arial" w:cs="Arial"/>
                  <w:bCs/>
                  <w:sz w:val="24"/>
                  <w:szCs w:val="24"/>
                </w:rPr>
                <w:t>7904</w:t>
              </w:r>
            </w:hyperlink>
          </w:p>
        </w:tc>
      </w:tr>
      <w:tr w:rsidR="002D3397" w:rsidRPr="00605EB5" w14:paraId="484A551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2B74275" w14:textId="65B11416" w:rsidR="002D3397" w:rsidRPr="002D3397" w:rsidRDefault="00822899" w:rsidP="00CF7987">
            <w:pPr>
              <w:spacing w:before="40"/>
              <w:rPr>
                <w:rFonts w:ascii="Arial" w:hAnsi="Arial" w:cs="Arial"/>
                <w:b/>
                <w:bCs/>
                <w:sz w:val="24"/>
                <w:szCs w:val="24"/>
              </w:rPr>
            </w:pPr>
            <w:r>
              <w:rPr>
                <w:rFonts w:ascii="Arial" w:hAnsi="Arial" w:cs="Arial"/>
                <w:b/>
                <w:bCs/>
                <w:sz w:val="24"/>
                <w:szCs w:val="24"/>
              </w:rPr>
              <w:t xml:space="preserve"> Section 7905</w:t>
            </w:r>
          </w:p>
        </w:tc>
        <w:tc>
          <w:tcPr>
            <w:tcW w:w="5760" w:type="dxa"/>
            <w:tcBorders>
              <w:top w:val="single" w:sz="4" w:space="0" w:color="auto"/>
              <w:left w:val="single" w:sz="4" w:space="0" w:color="auto"/>
              <w:bottom w:val="single" w:sz="4" w:space="0" w:color="auto"/>
              <w:right w:val="single" w:sz="4" w:space="0" w:color="auto"/>
            </w:tcBorders>
          </w:tcPr>
          <w:p w14:paraId="5B7D5CF1" w14:textId="5419A309" w:rsidR="002D3397" w:rsidRPr="00822899" w:rsidRDefault="00822899" w:rsidP="00CF7987">
            <w:pPr>
              <w:spacing w:before="40"/>
              <w:rPr>
                <w:rFonts w:ascii="Arial" w:hAnsi="Arial" w:cs="Arial"/>
                <w:bCs/>
                <w:sz w:val="24"/>
                <w:szCs w:val="24"/>
              </w:rPr>
            </w:pPr>
            <w:r w:rsidRPr="00822899">
              <w:rPr>
                <w:rFonts w:ascii="Arial" w:hAnsi="Arial" w:cs="Arial"/>
                <w:sz w:val="24"/>
                <w:szCs w:val="24"/>
              </w:rPr>
              <w:t>Section deleted. Content incorporated into section 7900.</w:t>
            </w:r>
          </w:p>
        </w:tc>
        <w:tc>
          <w:tcPr>
            <w:tcW w:w="1260" w:type="dxa"/>
            <w:tcBorders>
              <w:top w:val="single" w:sz="4" w:space="0" w:color="auto"/>
              <w:left w:val="single" w:sz="4" w:space="0" w:color="auto"/>
              <w:bottom w:val="single" w:sz="4" w:space="0" w:color="auto"/>
              <w:right w:val="single" w:sz="4" w:space="0" w:color="auto"/>
            </w:tcBorders>
            <w:vAlign w:val="center"/>
          </w:tcPr>
          <w:p w14:paraId="73636C9A" w14:textId="75CE9802" w:rsidR="002D3397" w:rsidRPr="00184FFB" w:rsidRDefault="00822899" w:rsidP="00CF7987">
            <w:pPr>
              <w:spacing w:before="40"/>
              <w:jc w:val="center"/>
              <w:rPr>
                <w:rFonts w:ascii="Arial" w:hAnsi="Arial" w:cs="Arial"/>
                <w:bCs/>
                <w:sz w:val="24"/>
                <w:szCs w:val="24"/>
              </w:rPr>
            </w:pPr>
            <w:hyperlink r:id="rId9" w:history="1">
              <w:r w:rsidRPr="00822899">
                <w:rPr>
                  <w:rStyle w:val="Hyperlink"/>
                  <w:rFonts w:ascii="Arial" w:hAnsi="Arial" w:cs="Arial"/>
                  <w:bCs/>
                  <w:sz w:val="24"/>
                  <w:szCs w:val="24"/>
                </w:rPr>
                <w:t>7905</w:t>
              </w:r>
            </w:hyperlink>
          </w:p>
        </w:tc>
      </w:tr>
      <w:tr w:rsidR="002D3397" w:rsidRPr="00605EB5" w14:paraId="2679699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BC2DE5A" w14:textId="1FFC71EC" w:rsidR="002D3397" w:rsidRPr="002D3397" w:rsidRDefault="00574300" w:rsidP="00CF7987">
            <w:pPr>
              <w:spacing w:before="40"/>
              <w:rPr>
                <w:rFonts w:ascii="Arial" w:hAnsi="Arial" w:cs="Arial"/>
                <w:b/>
                <w:bCs/>
                <w:sz w:val="24"/>
                <w:szCs w:val="24"/>
              </w:rPr>
            </w:pPr>
            <w:r>
              <w:rPr>
                <w:rFonts w:ascii="Arial" w:hAnsi="Arial" w:cs="Arial"/>
                <w:b/>
                <w:bCs/>
                <w:sz w:val="24"/>
                <w:szCs w:val="24"/>
              </w:rPr>
              <w:t xml:space="preserve"> Section 7921</w:t>
            </w:r>
          </w:p>
        </w:tc>
        <w:tc>
          <w:tcPr>
            <w:tcW w:w="5760" w:type="dxa"/>
            <w:tcBorders>
              <w:top w:val="single" w:sz="4" w:space="0" w:color="auto"/>
              <w:left w:val="single" w:sz="4" w:space="0" w:color="auto"/>
              <w:bottom w:val="single" w:sz="4" w:space="0" w:color="auto"/>
              <w:right w:val="single" w:sz="4" w:space="0" w:color="auto"/>
            </w:tcBorders>
          </w:tcPr>
          <w:p w14:paraId="2DD90753" w14:textId="0F7BE926" w:rsidR="002D3397" w:rsidRPr="00184FFB" w:rsidRDefault="00574300" w:rsidP="00CF7987">
            <w:pPr>
              <w:spacing w:before="40"/>
              <w:rPr>
                <w:rFonts w:ascii="Arial" w:hAnsi="Arial" w:cs="Arial"/>
                <w:bCs/>
                <w:sz w:val="24"/>
                <w:szCs w:val="24"/>
              </w:rPr>
            </w:pPr>
            <w:r>
              <w:rPr>
                <w:rFonts w:ascii="Arial" w:hAnsi="Arial" w:cs="Arial"/>
                <w:bCs/>
                <w:sz w:val="24"/>
                <w:szCs w:val="24"/>
              </w:rPr>
              <w:t>Minor language and reference updates.</w:t>
            </w:r>
          </w:p>
        </w:tc>
        <w:tc>
          <w:tcPr>
            <w:tcW w:w="1260" w:type="dxa"/>
            <w:tcBorders>
              <w:top w:val="single" w:sz="4" w:space="0" w:color="auto"/>
              <w:left w:val="single" w:sz="4" w:space="0" w:color="auto"/>
              <w:bottom w:val="single" w:sz="4" w:space="0" w:color="auto"/>
              <w:right w:val="single" w:sz="4" w:space="0" w:color="auto"/>
            </w:tcBorders>
            <w:vAlign w:val="center"/>
          </w:tcPr>
          <w:p w14:paraId="79FAD2E4" w14:textId="3606A6FD" w:rsidR="002D3397" w:rsidRPr="00184FFB" w:rsidRDefault="00574300" w:rsidP="00CF7987">
            <w:pPr>
              <w:spacing w:before="40"/>
              <w:jc w:val="center"/>
              <w:rPr>
                <w:rFonts w:ascii="Arial" w:hAnsi="Arial" w:cs="Arial"/>
                <w:bCs/>
                <w:sz w:val="24"/>
                <w:szCs w:val="24"/>
              </w:rPr>
            </w:pPr>
            <w:hyperlink r:id="rId10" w:history="1">
              <w:r w:rsidRPr="00574300">
                <w:rPr>
                  <w:rStyle w:val="Hyperlink"/>
                  <w:rFonts w:ascii="Arial" w:hAnsi="Arial" w:cs="Arial"/>
                  <w:bCs/>
                  <w:sz w:val="24"/>
                  <w:szCs w:val="24"/>
                </w:rPr>
                <w:t>7921</w:t>
              </w:r>
            </w:hyperlink>
          </w:p>
        </w:tc>
      </w:tr>
      <w:tr w:rsidR="002D3397" w:rsidRPr="00605EB5" w14:paraId="62CF662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D0AFB2D" w14:textId="1FF796EB" w:rsidR="002D3397" w:rsidRPr="002D3397" w:rsidRDefault="00A82A6D" w:rsidP="00CF7987">
            <w:pPr>
              <w:spacing w:before="40"/>
              <w:rPr>
                <w:rFonts w:ascii="Arial" w:hAnsi="Arial" w:cs="Arial"/>
                <w:b/>
                <w:bCs/>
                <w:sz w:val="24"/>
                <w:szCs w:val="24"/>
              </w:rPr>
            </w:pPr>
            <w:r>
              <w:rPr>
                <w:rFonts w:ascii="Arial" w:hAnsi="Arial" w:cs="Arial"/>
                <w:b/>
                <w:bCs/>
                <w:sz w:val="24"/>
                <w:szCs w:val="24"/>
              </w:rPr>
              <w:t xml:space="preserve"> Section 7930</w:t>
            </w:r>
          </w:p>
        </w:tc>
        <w:tc>
          <w:tcPr>
            <w:tcW w:w="5760" w:type="dxa"/>
            <w:tcBorders>
              <w:top w:val="single" w:sz="4" w:space="0" w:color="auto"/>
              <w:left w:val="single" w:sz="4" w:space="0" w:color="auto"/>
              <w:bottom w:val="single" w:sz="4" w:space="0" w:color="auto"/>
              <w:right w:val="single" w:sz="4" w:space="0" w:color="auto"/>
            </w:tcBorders>
          </w:tcPr>
          <w:p w14:paraId="553D7247" w14:textId="77777777" w:rsidR="00A82A6D" w:rsidRPr="00A82A6D" w:rsidRDefault="00A82A6D" w:rsidP="00A82A6D">
            <w:pPr>
              <w:spacing w:after="0" w:line="240" w:lineRule="auto"/>
              <w:rPr>
                <w:rFonts w:ascii="Arial" w:hAnsi="Arial" w:cs="Arial"/>
                <w:sz w:val="24"/>
                <w:szCs w:val="24"/>
              </w:rPr>
            </w:pPr>
            <w:r w:rsidRPr="00A82A6D">
              <w:rPr>
                <w:rFonts w:ascii="Arial" w:hAnsi="Arial" w:cs="Arial"/>
                <w:sz w:val="24"/>
                <w:szCs w:val="24"/>
              </w:rPr>
              <w:t>Updated calendar of reports and actions as follows:</w:t>
            </w:r>
          </w:p>
          <w:p w14:paraId="3155FB7D" w14:textId="77777777" w:rsidR="00A82A6D" w:rsidRPr="00A82A6D" w:rsidRDefault="00A82A6D" w:rsidP="00A82A6D">
            <w:pPr>
              <w:pStyle w:val="ListParagraph"/>
              <w:numPr>
                <w:ilvl w:val="0"/>
                <w:numId w:val="11"/>
              </w:numPr>
              <w:ind w:left="252" w:hanging="252"/>
              <w:rPr>
                <w:rFonts w:ascii="Arial" w:hAnsi="Arial" w:cs="Arial"/>
                <w:sz w:val="24"/>
                <w:szCs w:val="24"/>
              </w:rPr>
            </w:pPr>
            <w:r w:rsidRPr="00A82A6D">
              <w:rPr>
                <w:rFonts w:ascii="Arial" w:hAnsi="Arial" w:cs="Arial"/>
                <w:sz w:val="24"/>
                <w:szCs w:val="24"/>
              </w:rPr>
              <w:t>Due date for the year-end financial reports for General Fund, Feeder Fund and Economic Uncertainty Funds changed from July 31 to August 31.</w:t>
            </w:r>
          </w:p>
          <w:p w14:paraId="4A9DC140" w14:textId="77777777" w:rsidR="00A82A6D" w:rsidRPr="00A82A6D" w:rsidRDefault="00A82A6D" w:rsidP="00A82A6D">
            <w:pPr>
              <w:spacing w:after="0" w:line="240" w:lineRule="auto"/>
              <w:rPr>
                <w:rFonts w:ascii="Arial" w:hAnsi="Arial" w:cs="Arial"/>
                <w:sz w:val="24"/>
                <w:szCs w:val="24"/>
              </w:rPr>
            </w:pPr>
          </w:p>
          <w:p w14:paraId="210BA219" w14:textId="77777777" w:rsidR="00A82A6D" w:rsidRPr="00A82A6D" w:rsidRDefault="00A82A6D" w:rsidP="00A82A6D">
            <w:pPr>
              <w:pStyle w:val="ListParagraph"/>
              <w:numPr>
                <w:ilvl w:val="0"/>
                <w:numId w:val="11"/>
              </w:numPr>
              <w:ind w:left="252" w:hanging="252"/>
              <w:rPr>
                <w:rFonts w:ascii="Arial" w:hAnsi="Arial" w:cs="Arial"/>
                <w:sz w:val="24"/>
                <w:szCs w:val="24"/>
              </w:rPr>
            </w:pPr>
            <w:r w:rsidRPr="00A82A6D">
              <w:rPr>
                <w:rFonts w:ascii="Arial" w:hAnsi="Arial" w:cs="Arial"/>
                <w:sz w:val="24"/>
                <w:szCs w:val="24"/>
              </w:rPr>
              <w:t>Due date for the following reports changed from August 20 to August 31:</w:t>
            </w:r>
          </w:p>
          <w:p w14:paraId="5656577F" w14:textId="77777777" w:rsidR="00A82A6D" w:rsidRPr="00A82A6D" w:rsidRDefault="00A82A6D" w:rsidP="00A82A6D">
            <w:pPr>
              <w:pStyle w:val="ListParagraph"/>
              <w:numPr>
                <w:ilvl w:val="1"/>
                <w:numId w:val="11"/>
              </w:numPr>
              <w:ind w:left="526" w:hanging="180"/>
              <w:rPr>
                <w:rFonts w:ascii="Arial" w:hAnsi="Arial" w:cs="Arial"/>
                <w:sz w:val="24"/>
                <w:szCs w:val="24"/>
              </w:rPr>
            </w:pPr>
            <w:r w:rsidRPr="00A82A6D">
              <w:rPr>
                <w:rFonts w:ascii="Arial" w:hAnsi="Arial" w:cs="Arial"/>
                <w:sz w:val="24"/>
                <w:szCs w:val="24"/>
              </w:rPr>
              <w:t xml:space="preserve">Year-end financial reports (all funds) </w:t>
            </w:r>
          </w:p>
          <w:p w14:paraId="496788BD" w14:textId="77777777" w:rsidR="00A82A6D" w:rsidRPr="00A82A6D" w:rsidRDefault="00A82A6D" w:rsidP="00A82A6D">
            <w:pPr>
              <w:pStyle w:val="ListParagraph"/>
              <w:numPr>
                <w:ilvl w:val="1"/>
                <w:numId w:val="11"/>
              </w:numPr>
              <w:ind w:left="526" w:hanging="180"/>
              <w:rPr>
                <w:rFonts w:ascii="Arial" w:hAnsi="Arial" w:cs="Arial"/>
                <w:sz w:val="24"/>
                <w:szCs w:val="24"/>
              </w:rPr>
            </w:pPr>
            <w:r w:rsidRPr="00A82A6D">
              <w:rPr>
                <w:rFonts w:ascii="Arial" w:hAnsi="Arial" w:cs="Arial"/>
                <w:sz w:val="24"/>
                <w:szCs w:val="24"/>
              </w:rPr>
              <w:t>Report 13</w:t>
            </w:r>
          </w:p>
          <w:p w14:paraId="23F5A031" w14:textId="77777777" w:rsidR="00A82A6D" w:rsidRPr="00A82A6D" w:rsidRDefault="00A82A6D" w:rsidP="00A82A6D">
            <w:pPr>
              <w:pStyle w:val="ListParagraph"/>
              <w:numPr>
                <w:ilvl w:val="1"/>
                <w:numId w:val="11"/>
              </w:numPr>
              <w:ind w:left="526" w:hanging="180"/>
              <w:rPr>
                <w:rFonts w:ascii="Arial" w:hAnsi="Arial" w:cs="Arial"/>
                <w:sz w:val="24"/>
                <w:szCs w:val="24"/>
              </w:rPr>
            </w:pPr>
            <w:r w:rsidRPr="00A82A6D">
              <w:rPr>
                <w:rFonts w:ascii="Arial" w:hAnsi="Arial" w:cs="Arial"/>
                <w:sz w:val="24"/>
                <w:szCs w:val="24"/>
              </w:rPr>
              <w:t>Report 14</w:t>
            </w:r>
          </w:p>
          <w:p w14:paraId="210F3000" w14:textId="77777777" w:rsidR="00A82A6D" w:rsidRPr="00A82A6D" w:rsidRDefault="00A82A6D" w:rsidP="00A82A6D">
            <w:pPr>
              <w:pStyle w:val="ListParagraph"/>
              <w:numPr>
                <w:ilvl w:val="1"/>
                <w:numId w:val="11"/>
              </w:numPr>
              <w:ind w:left="526" w:hanging="180"/>
              <w:rPr>
                <w:rFonts w:ascii="Arial" w:hAnsi="Arial" w:cs="Arial"/>
                <w:sz w:val="24"/>
                <w:szCs w:val="24"/>
              </w:rPr>
            </w:pPr>
            <w:r w:rsidRPr="00A82A6D">
              <w:rPr>
                <w:rFonts w:ascii="Arial" w:hAnsi="Arial" w:cs="Arial"/>
                <w:sz w:val="24"/>
                <w:szCs w:val="24"/>
              </w:rPr>
              <w:t>Bank statements for accounts outside the State Treasury</w:t>
            </w:r>
          </w:p>
          <w:p w14:paraId="5EB12C51" w14:textId="77777777" w:rsidR="00A82A6D" w:rsidRPr="00A82A6D" w:rsidRDefault="00A82A6D" w:rsidP="00A82A6D">
            <w:pPr>
              <w:pStyle w:val="ListParagraph"/>
              <w:numPr>
                <w:ilvl w:val="1"/>
                <w:numId w:val="11"/>
              </w:numPr>
              <w:ind w:left="526" w:hanging="180"/>
              <w:rPr>
                <w:rFonts w:ascii="Arial" w:hAnsi="Arial" w:cs="Arial"/>
                <w:sz w:val="24"/>
                <w:szCs w:val="24"/>
              </w:rPr>
            </w:pPr>
            <w:r w:rsidRPr="00A82A6D">
              <w:rPr>
                <w:rFonts w:ascii="Arial" w:hAnsi="Arial" w:cs="Arial"/>
                <w:sz w:val="24"/>
                <w:szCs w:val="24"/>
              </w:rPr>
              <w:t>Report 19</w:t>
            </w:r>
          </w:p>
          <w:p w14:paraId="4DFE01BB" w14:textId="77777777" w:rsidR="00A82A6D" w:rsidRPr="00A82A6D" w:rsidRDefault="00A82A6D" w:rsidP="00A82A6D">
            <w:pPr>
              <w:pStyle w:val="ListParagraph"/>
              <w:numPr>
                <w:ilvl w:val="1"/>
                <w:numId w:val="11"/>
              </w:numPr>
              <w:ind w:left="526" w:hanging="180"/>
              <w:rPr>
                <w:rFonts w:ascii="Arial" w:hAnsi="Arial" w:cs="Arial"/>
                <w:sz w:val="24"/>
                <w:szCs w:val="24"/>
              </w:rPr>
            </w:pPr>
            <w:r w:rsidRPr="00A82A6D">
              <w:rPr>
                <w:rFonts w:ascii="Arial" w:hAnsi="Arial" w:cs="Arial"/>
                <w:sz w:val="24"/>
                <w:szCs w:val="24"/>
              </w:rPr>
              <w:t>Report 22</w:t>
            </w:r>
          </w:p>
          <w:p w14:paraId="249548C3" w14:textId="77777777" w:rsidR="00A82A6D" w:rsidRPr="00A82A6D" w:rsidRDefault="00A82A6D" w:rsidP="00A82A6D">
            <w:pPr>
              <w:spacing w:after="0" w:line="240" w:lineRule="auto"/>
              <w:rPr>
                <w:rFonts w:ascii="Arial" w:hAnsi="Arial" w:cs="Arial"/>
                <w:sz w:val="24"/>
                <w:szCs w:val="24"/>
              </w:rPr>
            </w:pPr>
          </w:p>
          <w:p w14:paraId="3B083D85" w14:textId="77777777" w:rsidR="00A82A6D" w:rsidRPr="00A82A6D" w:rsidRDefault="00A82A6D" w:rsidP="00A82A6D">
            <w:pPr>
              <w:pStyle w:val="ListParagraph"/>
              <w:numPr>
                <w:ilvl w:val="0"/>
                <w:numId w:val="11"/>
              </w:numPr>
              <w:rPr>
                <w:rFonts w:ascii="Arial" w:hAnsi="Arial" w:cs="Arial"/>
                <w:bCs/>
                <w:sz w:val="24"/>
                <w:szCs w:val="24"/>
              </w:rPr>
            </w:pPr>
            <w:r w:rsidRPr="00A82A6D">
              <w:rPr>
                <w:rFonts w:ascii="Arial" w:hAnsi="Arial" w:cs="Arial"/>
                <w:sz w:val="24"/>
                <w:szCs w:val="24"/>
              </w:rPr>
              <w:t>Eliminated the SCO copy of Report 13.</w:t>
            </w:r>
          </w:p>
          <w:p w14:paraId="0952DF78" w14:textId="674AC8DA" w:rsidR="002D3397" w:rsidRPr="00184FFB" w:rsidRDefault="00A82A6D" w:rsidP="00A82A6D">
            <w:pPr>
              <w:pStyle w:val="ListParagraph"/>
              <w:numPr>
                <w:ilvl w:val="0"/>
                <w:numId w:val="11"/>
              </w:numPr>
              <w:rPr>
                <w:rFonts w:ascii="Arial" w:hAnsi="Arial" w:cs="Arial"/>
                <w:bCs/>
                <w:sz w:val="24"/>
                <w:szCs w:val="24"/>
              </w:rPr>
            </w:pPr>
            <w:r w:rsidRPr="00A82A6D">
              <w:rPr>
                <w:rFonts w:ascii="Arial" w:hAnsi="Arial" w:cs="Arial"/>
                <w:sz w:val="24"/>
                <w:szCs w:val="24"/>
              </w:rPr>
              <w:t xml:space="preserve">Updated SAM references, department contacts, </w:t>
            </w:r>
            <w:proofErr w:type="gramStart"/>
            <w:r w:rsidRPr="00A82A6D">
              <w:rPr>
                <w:rFonts w:ascii="Arial" w:hAnsi="Arial" w:cs="Arial"/>
                <w:sz w:val="24"/>
                <w:szCs w:val="24"/>
              </w:rPr>
              <w:t>hyperlinks</w:t>
            </w:r>
            <w:proofErr w:type="gramEnd"/>
            <w:r w:rsidRPr="00A82A6D">
              <w:rPr>
                <w:rFonts w:ascii="Arial" w:hAnsi="Arial" w:cs="Arial"/>
                <w:sz w:val="24"/>
                <w:szCs w:val="24"/>
              </w:rPr>
              <w:t xml:space="preserve"> and other minor updates.</w:t>
            </w:r>
          </w:p>
        </w:tc>
        <w:tc>
          <w:tcPr>
            <w:tcW w:w="1260" w:type="dxa"/>
            <w:tcBorders>
              <w:top w:val="single" w:sz="4" w:space="0" w:color="auto"/>
              <w:left w:val="single" w:sz="4" w:space="0" w:color="auto"/>
              <w:bottom w:val="single" w:sz="4" w:space="0" w:color="auto"/>
              <w:right w:val="single" w:sz="4" w:space="0" w:color="auto"/>
            </w:tcBorders>
            <w:vAlign w:val="center"/>
          </w:tcPr>
          <w:p w14:paraId="4B53A435" w14:textId="56447636" w:rsidR="002D3397" w:rsidRPr="00184FFB" w:rsidRDefault="00A82A6D" w:rsidP="00CF7987">
            <w:pPr>
              <w:spacing w:before="40"/>
              <w:jc w:val="center"/>
              <w:rPr>
                <w:rFonts w:ascii="Arial" w:hAnsi="Arial" w:cs="Arial"/>
                <w:bCs/>
                <w:sz w:val="24"/>
                <w:szCs w:val="24"/>
              </w:rPr>
            </w:pPr>
            <w:hyperlink r:id="rId11" w:history="1">
              <w:r w:rsidRPr="00A82A6D">
                <w:rPr>
                  <w:rStyle w:val="Hyperlink"/>
                  <w:rFonts w:ascii="Arial" w:hAnsi="Arial" w:cs="Arial"/>
                  <w:bCs/>
                  <w:sz w:val="24"/>
                  <w:szCs w:val="24"/>
                </w:rPr>
                <w:t>7930</w:t>
              </w:r>
            </w:hyperlink>
          </w:p>
        </w:tc>
      </w:tr>
      <w:tr w:rsidR="005D2B5D" w:rsidRPr="00605EB5" w14:paraId="67444F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89A6693" w14:textId="2938203D" w:rsidR="005D2B5D" w:rsidRDefault="00F53537" w:rsidP="00CF7987">
            <w:pPr>
              <w:spacing w:before="40"/>
              <w:rPr>
                <w:rFonts w:ascii="Arial" w:hAnsi="Arial" w:cs="Arial"/>
                <w:b/>
                <w:bCs/>
                <w:sz w:val="24"/>
                <w:szCs w:val="24"/>
              </w:rPr>
            </w:pPr>
            <w:r>
              <w:rPr>
                <w:rFonts w:ascii="Arial" w:hAnsi="Arial" w:cs="Arial"/>
                <w:b/>
                <w:bCs/>
                <w:sz w:val="24"/>
                <w:szCs w:val="24"/>
              </w:rPr>
              <w:t xml:space="preserve"> Section 7940</w:t>
            </w:r>
          </w:p>
        </w:tc>
        <w:tc>
          <w:tcPr>
            <w:tcW w:w="5760" w:type="dxa"/>
            <w:tcBorders>
              <w:top w:val="single" w:sz="4" w:space="0" w:color="auto"/>
              <w:left w:val="single" w:sz="4" w:space="0" w:color="auto"/>
              <w:bottom w:val="single" w:sz="4" w:space="0" w:color="auto"/>
              <w:right w:val="single" w:sz="4" w:space="0" w:color="auto"/>
            </w:tcBorders>
          </w:tcPr>
          <w:p w14:paraId="365DEBA5" w14:textId="34B7F1E5" w:rsidR="005D2B5D" w:rsidRPr="00A82A6D" w:rsidRDefault="00F53537" w:rsidP="00A82A6D">
            <w:pPr>
              <w:spacing w:after="0" w:line="240" w:lineRule="auto"/>
              <w:rPr>
                <w:rFonts w:ascii="Arial" w:hAnsi="Arial" w:cs="Arial"/>
                <w:sz w:val="24"/>
                <w:szCs w:val="24"/>
              </w:rPr>
            </w:pPr>
            <w:r>
              <w:rPr>
                <w:rFonts w:ascii="Arial" w:hAnsi="Arial" w:cs="Arial"/>
                <w:sz w:val="24"/>
                <w:szCs w:val="24"/>
              </w:rPr>
              <w:t>Retitled with minor updates.</w:t>
            </w:r>
          </w:p>
        </w:tc>
        <w:tc>
          <w:tcPr>
            <w:tcW w:w="1260" w:type="dxa"/>
            <w:tcBorders>
              <w:top w:val="single" w:sz="4" w:space="0" w:color="auto"/>
              <w:left w:val="single" w:sz="4" w:space="0" w:color="auto"/>
              <w:bottom w:val="single" w:sz="4" w:space="0" w:color="auto"/>
              <w:right w:val="single" w:sz="4" w:space="0" w:color="auto"/>
            </w:tcBorders>
            <w:vAlign w:val="center"/>
          </w:tcPr>
          <w:p w14:paraId="4C25F567" w14:textId="745B8AEF" w:rsidR="005D2B5D" w:rsidRDefault="00F53537" w:rsidP="00CF7987">
            <w:pPr>
              <w:spacing w:before="40"/>
              <w:jc w:val="center"/>
              <w:rPr>
                <w:rFonts w:ascii="Arial" w:hAnsi="Arial" w:cs="Arial"/>
                <w:bCs/>
                <w:sz w:val="24"/>
                <w:szCs w:val="24"/>
              </w:rPr>
            </w:pPr>
            <w:hyperlink r:id="rId12" w:history="1">
              <w:r w:rsidRPr="00F53537">
                <w:rPr>
                  <w:rStyle w:val="Hyperlink"/>
                  <w:rFonts w:ascii="Arial" w:hAnsi="Arial" w:cs="Arial"/>
                  <w:bCs/>
                  <w:sz w:val="24"/>
                  <w:szCs w:val="24"/>
                </w:rPr>
                <w:t>7940</w:t>
              </w:r>
            </w:hyperlink>
          </w:p>
        </w:tc>
      </w:tr>
      <w:tr w:rsidR="00665139" w:rsidRPr="00605EB5" w14:paraId="55CF8B3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25ABA7F" w14:textId="65F195B8" w:rsidR="00665139" w:rsidRDefault="00665139" w:rsidP="00CF7987">
            <w:pPr>
              <w:spacing w:before="40"/>
              <w:rPr>
                <w:rFonts w:ascii="Arial" w:hAnsi="Arial" w:cs="Arial"/>
                <w:b/>
                <w:bCs/>
                <w:sz w:val="24"/>
                <w:szCs w:val="24"/>
              </w:rPr>
            </w:pPr>
            <w:r>
              <w:rPr>
                <w:rFonts w:ascii="Arial" w:hAnsi="Arial" w:cs="Arial"/>
                <w:b/>
                <w:bCs/>
                <w:sz w:val="24"/>
                <w:szCs w:val="24"/>
              </w:rPr>
              <w:t xml:space="preserve"> Section 7950</w:t>
            </w:r>
          </w:p>
        </w:tc>
        <w:tc>
          <w:tcPr>
            <w:tcW w:w="5760" w:type="dxa"/>
            <w:tcBorders>
              <w:top w:val="single" w:sz="4" w:space="0" w:color="auto"/>
              <w:left w:val="single" w:sz="4" w:space="0" w:color="auto"/>
              <w:bottom w:val="single" w:sz="4" w:space="0" w:color="auto"/>
              <w:right w:val="single" w:sz="4" w:space="0" w:color="auto"/>
            </w:tcBorders>
          </w:tcPr>
          <w:p w14:paraId="4DB17B78" w14:textId="7C5AEDB0" w:rsidR="00665139" w:rsidRPr="00665139" w:rsidRDefault="00665139" w:rsidP="00A82A6D">
            <w:pPr>
              <w:spacing w:after="0" w:line="240" w:lineRule="auto"/>
              <w:rPr>
                <w:rFonts w:ascii="Arial" w:hAnsi="Arial" w:cs="Arial"/>
                <w:sz w:val="24"/>
                <w:szCs w:val="24"/>
              </w:rPr>
            </w:pPr>
            <w:r w:rsidRPr="00665139">
              <w:rPr>
                <w:rFonts w:ascii="Arial" w:hAnsi="Arial" w:cs="Arial"/>
                <w:sz w:val="24"/>
                <w:szCs w:val="24"/>
              </w:rPr>
              <w:t>Retitled and updated content and hyperlinks.</w:t>
            </w:r>
          </w:p>
        </w:tc>
        <w:tc>
          <w:tcPr>
            <w:tcW w:w="1260" w:type="dxa"/>
            <w:tcBorders>
              <w:top w:val="single" w:sz="4" w:space="0" w:color="auto"/>
              <w:left w:val="single" w:sz="4" w:space="0" w:color="auto"/>
              <w:bottom w:val="single" w:sz="4" w:space="0" w:color="auto"/>
              <w:right w:val="single" w:sz="4" w:space="0" w:color="auto"/>
            </w:tcBorders>
            <w:vAlign w:val="center"/>
          </w:tcPr>
          <w:p w14:paraId="2CDA8290" w14:textId="0DB74D05" w:rsidR="00665139" w:rsidRDefault="00665139" w:rsidP="00CF7987">
            <w:pPr>
              <w:spacing w:before="40"/>
              <w:jc w:val="center"/>
              <w:rPr>
                <w:rFonts w:ascii="Arial" w:hAnsi="Arial" w:cs="Arial"/>
                <w:bCs/>
                <w:sz w:val="24"/>
                <w:szCs w:val="24"/>
              </w:rPr>
            </w:pPr>
            <w:hyperlink r:id="rId13" w:history="1">
              <w:r w:rsidRPr="00665139">
                <w:rPr>
                  <w:rStyle w:val="Hyperlink"/>
                  <w:rFonts w:ascii="Arial" w:hAnsi="Arial" w:cs="Arial"/>
                  <w:bCs/>
                  <w:sz w:val="24"/>
                  <w:szCs w:val="24"/>
                </w:rPr>
                <w:t>7950</w:t>
              </w:r>
            </w:hyperlink>
          </w:p>
        </w:tc>
      </w:tr>
      <w:tr w:rsidR="00665139" w:rsidRPr="00605EB5" w14:paraId="70235DB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8C17C0" w14:textId="1AA1CE32" w:rsidR="00665139" w:rsidRDefault="00D66CB6" w:rsidP="00CF7987">
            <w:pPr>
              <w:spacing w:before="40"/>
              <w:rPr>
                <w:rFonts w:ascii="Arial" w:hAnsi="Arial" w:cs="Arial"/>
                <w:b/>
                <w:bCs/>
                <w:sz w:val="24"/>
                <w:szCs w:val="24"/>
              </w:rPr>
            </w:pPr>
            <w:r>
              <w:rPr>
                <w:rFonts w:ascii="Arial" w:hAnsi="Arial" w:cs="Arial"/>
                <w:b/>
                <w:bCs/>
                <w:sz w:val="24"/>
                <w:szCs w:val="24"/>
              </w:rPr>
              <w:t xml:space="preserve"> Section 7951</w:t>
            </w:r>
          </w:p>
        </w:tc>
        <w:tc>
          <w:tcPr>
            <w:tcW w:w="5760" w:type="dxa"/>
            <w:tcBorders>
              <w:top w:val="single" w:sz="4" w:space="0" w:color="auto"/>
              <w:left w:val="single" w:sz="4" w:space="0" w:color="auto"/>
              <w:bottom w:val="single" w:sz="4" w:space="0" w:color="auto"/>
              <w:right w:val="single" w:sz="4" w:space="0" w:color="auto"/>
            </w:tcBorders>
          </w:tcPr>
          <w:p w14:paraId="037822C1" w14:textId="20C834C4" w:rsidR="00665139" w:rsidRPr="00665139" w:rsidRDefault="00D66CB6" w:rsidP="00A82A6D">
            <w:pPr>
              <w:spacing w:after="0" w:line="240" w:lineRule="auto"/>
              <w:rPr>
                <w:rFonts w:ascii="Arial" w:hAnsi="Arial" w:cs="Arial"/>
                <w:sz w:val="24"/>
                <w:szCs w:val="24"/>
              </w:rPr>
            </w:pPr>
            <w:r>
              <w:rPr>
                <w:rFonts w:ascii="Arial" w:hAnsi="Arial" w:cs="Arial"/>
                <w:sz w:val="24"/>
                <w:szCs w:val="24"/>
              </w:rPr>
              <w:t>Minor updates.</w:t>
            </w:r>
          </w:p>
        </w:tc>
        <w:tc>
          <w:tcPr>
            <w:tcW w:w="1260" w:type="dxa"/>
            <w:tcBorders>
              <w:top w:val="single" w:sz="4" w:space="0" w:color="auto"/>
              <w:left w:val="single" w:sz="4" w:space="0" w:color="auto"/>
              <w:bottom w:val="single" w:sz="4" w:space="0" w:color="auto"/>
              <w:right w:val="single" w:sz="4" w:space="0" w:color="auto"/>
            </w:tcBorders>
            <w:vAlign w:val="center"/>
          </w:tcPr>
          <w:p w14:paraId="32D9FF49" w14:textId="414B0817" w:rsidR="00665139" w:rsidRDefault="00D66CB6" w:rsidP="00CF7987">
            <w:pPr>
              <w:spacing w:before="40"/>
              <w:jc w:val="center"/>
              <w:rPr>
                <w:rFonts w:ascii="Arial" w:hAnsi="Arial" w:cs="Arial"/>
                <w:bCs/>
                <w:sz w:val="24"/>
                <w:szCs w:val="24"/>
              </w:rPr>
            </w:pPr>
            <w:hyperlink r:id="rId14" w:history="1">
              <w:r w:rsidRPr="00D66CB6">
                <w:rPr>
                  <w:rStyle w:val="Hyperlink"/>
                  <w:rFonts w:ascii="Arial" w:hAnsi="Arial" w:cs="Arial"/>
                  <w:bCs/>
                  <w:sz w:val="24"/>
                  <w:szCs w:val="24"/>
                </w:rPr>
                <w:t>7951</w:t>
              </w:r>
            </w:hyperlink>
          </w:p>
        </w:tc>
      </w:tr>
      <w:tr w:rsidR="00D66CB6" w:rsidRPr="00605EB5" w14:paraId="20CD0FD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9B9BFE1" w14:textId="7BBBDDAC" w:rsidR="00D66CB6" w:rsidRDefault="00D66CB6" w:rsidP="00CF7987">
            <w:pPr>
              <w:spacing w:before="40"/>
              <w:rPr>
                <w:rFonts w:ascii="Arial" w:hAnsi="Arial" w:cs="Arial"/>
                <w:b/>
                <w:bCs/>
                <w:sz w:val="24"/>
                <w:szCs w:val="24"/>
              </w:rPr>
            </w:pPr>
            <w:r>
              <w:rPr>
                <w:rFonts w:ascii="Arial" w:hAnsi="Arial" w:cs="Arial"/>
                <w:b/>
                <w:bCs/>
                <w:sz w:val="24"/>
                <w:szCs w:val="24"/>
              </w:rPr>
              <w:t>7951 Illustration</w:t>
            </w:r>
          </w:p>
        </w:tc>
        <w:tc>
          <w:tcPr>
            <w:tcW w:w="5760" w:type="dxa"/>
            <w:tcBorders>
              <w:top w:val="single" w:sz="4" w:space="0" w:color="auto"/>
              <w:left w:val="single" w:sz="4" w:space="0" w:color="auto"/>
              <w:bottom w:val="single" w:sz="4" w:space="0" w:color="auto"/>
              <w:right w:val="single" w:sz="4" w:space="0" w:color="auto"/>
            </w:tcBorders>
          </w:tcPr>
          <w:p w14:paraId="5602E0DF" w14:textId="3B9D1207" w:rsidR="00D66CB6" w:rsidRPr="00D66CB6" w:rsidRDefault="00D66CB6" w:rsidP="00A82A6D">
            <w:pPr>
              <w:spacing w:after="0" w:line="240" w:lineRule="auto"/>
              <w:rPr>
                <w:rFonts w:ascii="Arial" w:hAnsi="Arial" w:cs="Arial"/>
                <w:sz w:val="24"/>
                <w:szCs w:val="24"/>
              </w:rPr>
            </w:pPr>
            <w:r w:rsidRPr="00D66CB6">
              <w:rPr>
                <w:rFonts w:ascii="Arial" w:hAnsi="Arial" w:cs="Arial"/>
                <w:sz w:val="24"/>
                <w:szCs w:val="24"/>
              </w:rPr>
              <w:t xml:space="preserve">Removed requirement for SCO copy of Report 13. Added reference to SAM section 7975 for Report </w:t>
            </w:r>
            <w:proofErr w:type="gramStart"/>
            <w:r w:rsidRPr="00D66CB6">
              <w:rPr>
                <w:rFonts w:ascii="Arial" w:hAnsi="Arial" w:cs="Arial"/>
                <w:sz w:val="24"/>
                <w:szCs w:val="24"/>
              </w:rPr>
              <w:t>14  and</w:t>
            </w:r>
            <w:proofErr w:type="gramEnd"/>
            <w:r w:rsidRPr="00D66CB6">
              <w:rPr>
                <w:rFonts w:ascii="Arial" w:hAnsi="Arial" w:cs="Arial"/>
                <w:sz w:val="24"/>
                <w:szCs w:val="24"/>
              </w:rPr>
              <w:t xml:space="preserve"> other minor updates</w:t>
            </w:r>
          </w:p>
        </w:tc>
        <w:tc>
          <w:tcPr>
            <w:tcW w:w="1260" w:type="dxa"/>
            <w:tcBorders>
              <w:top w:val="single" w:sz="4" w:space="0" w:color="auto"/>
              <w:left w:val="single" w:sz="4" w:space="0" w:color="auto"/>
              <w:bottom w:val="single" w:sz="4" w:space="0" w:color="auto"/>
              <w:right w:val="single" w:sz="4" w:space="0" w:color="auto"/>
            </w:tcBorders>
            <w:vAlign w:val="center"/>
          </w:tcPr>
          <w:p w14:paraId="4779A573" w14:textId="0667109B" w:rsidR="00D66CB6" w:rsidRDefault="00D66CB6" w:rsidP="00CF7987">
            <w:pPr>
              <w:spacing w:before="40"/>
              <w:jc w:val="center"/>
              <w:rPr>
                <w:rFonts w:ascii="Arial" w:hAnsi="Arial" w:cs="Arial"/>
                <w:bCs/>
                <w:sz w:val="24"/>
                <w:szCs w:val="24"/>
              </w:rPr>
            </w:pPr>
            <w:hyperlink r:id="rId15" w:history="1">
              <w:r w:rsidRPr="00D66CB6">
                <w:rPr>
                  <w:rStyle w:val="Hyperlink"/>
                  <w:rFonts w:ascii="Arial" w:hAnsi="Arial" w:cs="Arial"/>
                  <w:bCs/>
                  <w:sz w:val="24"/>
                  <w:szCs w:val="24"/>
                </w:rPr>
                <w:t>7951ILL</w:t>
              </w:r>
            </w:hyperlink>
          </w:p>
        </w:tc>
      </w:tr>
      <w:tr w:rsidR="00D66CB6" w:rsidRPr="00605EB5" w14:paraId="5263957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BB18986" w14:textId="3F9E0F7D" w:rsidR="00D66CB6" w:rsidRDefault="00AC7D06" w:rsidP="00CF7987">
            <w:pPr>
              <w:spacing w:before="40"/>
              <w:rPr>
                <w:rFonts w:ascii="Arial" w:hAnsi="Arial" w:cs="Arial"/>
                <w:b/>
                <w:bCs/>
                <w:sz w:val="24"/>
                <w:szCs w:val="24"/>
              </w:rPr>
            </w:pPr>
            <w:r>
              <w:rPr>
                <w:rFonts w:ascii="Arial" w:hAnsi="Arial" w:cs="Arial"/>
                <w:b/>
                <w:bCs/>
                <w:sz w:val="24"/>
                <w:szCs w:val="24"/>
              </w:rPr>
              <w:t xml:space="preserve"> Section 7975</w:t>
            </w:r>
          </w:p>
        </w:tc>
        <w:tc>
          <w:tcPr>
            <w:tcW w:w="5760" w:type="dxa"/>
            <w:tcBorders>
              <w:top w:val="single" w:sz="4" w:space="0" w:color="auto"/>
              <w:left w:val="single" w:sz="4" w:space="0" w:color="auto"/>
              <w:bottom w:val="single" w:sz="4" w:space="0" w:color="auto"/>
              <w:right w:val="single" w:sz="4" w:space="0" w:color="auto"/>
            </w:tcBorders>
          </w:tcPr>
          <w:p w14:paraId="34F59540" w14:textId="7B3901FB" w:rsidR="00D66CB6" w:rsidRPr="00D66CB6" w:rsidRDefault="00AC7D06" w:rsidP="00A82A6D">
            <w:pPr>
              <w:spacing w:after="0" w:line="240" w:lineRule="auto"/>
              <w:rPr>
                <w:rFonts w:ascii="Arial" w:hAnsi="Arial" w:cs="Arial"/>
                <w:sz w:val="24"/>
                <w:szCs w:val="24"/>
              </w:rPr>
            </w:pPr>
            <w:r>
              <w:rPr>
                <w:rFonts w:ascii="Arial" w:hAnsi="Arial" w:cs="Arial"/>
                <w:sz w:val="24"/>
                <w:szCs w:val="24"/>
              </w:rPr>
              <w:t>Updated content for clarity.</w:t>
            </w:r>
          </w:p>
        </w:tc>
        <w:tc>
          <w:tcPr>
            <w:tcW w:w="1260" w:type="dxa"/>
            <w:tcBorders>
              <w:top w:val="single" w:sz="4" w:space="0" w:color="auto"/>
              <w:left w:val="single" w:sz="4" w:space="0" w:color="auto"/>
              <w:bottom w:val="single" w:sz="4" w:space="0" w:color="auto"/>
              <w:right w:val="single" w:sz="4" w:space="0" w:color="auto"/>
            </w:tcBorders>
            <w:vAlign w:val="center"/>
          </w:tcPr>
          <w:p w14:paraId="4C6B7B3C" w14:textId="3E998BB3" w:rsidR="00D66CB6" w:rsidRDefault="00AC7D06" w:rsidP="00CF7987">
            <w:pPr>
              <w:spacing w:before="40"/>
              <w:jc w:val="center"/>
              <w:rPr>
                <w:rFonts w:ascii="Arial" w:hAnsi="Arial" w:cs="Arial"/>
                <w:bCs/>
                <w:sz w:val="24"/>
                <w:szCs w:val="24"/>
              </w:rPr>
            </w:pPr>
            <w:hyperlink r:id="rId16" w:history="1">
              <w:r w:rsidRPr="00AC7D06">
                <w:rPr>
                  <w:rStyle w:val="Hyperlink"/>
                  <w:rFonts w:ascii="Arial" w:hAnsi="Arial" w:cs="Arial"/>
                  <w:bCs/>
                  <w:sz w:val="24"/>
                  <w:szCs w:val="24"/>
                </w:rPr>
                <w:t>7975</w:t>
              </w:r>
            </w:hyperlink>
          </w:p>
        </w:tc>
      </w:tr>
      <w:tr w:rsidR="00AC7D06" w:rsidRPr="00605EB5" w14:paraId="4B9FC90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4C36692" w14:textId="37B7A37A" w:rsidR="00AC7D06" w:rsidRDefault="00AC7D06" w:rsidP="00CF7987">
            <w:pPr>
              <w:spacing w:before="40"/>
              <w:rPr>
                <w:rFonts w:ascii="Arial" w:hAnsi="Arial" w:cs="Arial"/>
                <w:b/>
                <w:bCs/>
                <w:sz w:val="24"/>
                <w:szCs w:val="24"/>
              </w:rPr>
            </w:pPr>
            <w:r>
              <w:rPr>
                <w:rFonts w:ascii="Arial" w:hAnsi="Arial" w:cs="Arial"/>
                <w:b/>
                <w:bCs/>
                <w:sz w:val="24"/>
                <w:szCs w:val="24"/>
              </w:rPr>
              <w:t>7975 Illustration</w:t>
            </w:r>
          </w:p>
        </w:tc>
        <w:tc>
          <w:tcPr>
            <w:tcW w:w="5760" w:type="dxa"/>
            <w:tcBorders>
              <w:top w:val="single" w:sz="4" w:space="0" w:color="auto"/>
              <w:left w:val="single" w:sz="4" w:space="0" w:color="auto"/>
              <w:bottom w:val="single" w:sz="4" w:space="0" w:color="auto"/>
              <w:right w:val="single" w:sz="4" w:space="0" w:color="auto"/>
            </w:tcBorders>
          </w:tcPr>
          <w:p w14:paraId="5742AE81" w14:textId="12F99D0D" w:rsidR="00AC7D06" w:rsidRPr="00D66CB6" w:rsidRDefault="00AC7D06" w:rsidP="00A82A6D">
            <w:pPr>
              <w:spacing w:after="0" w:line="240" w:lineRule="auto"/>
              <w:rPr>
                <w:rFonts w:ascii="Arial" w:hAnsi="Arial" w:cs="Arial"/>
                <w:sz w:val="24"/>
                <w:szCs w:val="24"/>
              </w:rPr>
            </w:pPr>
            <w:r>
              <w:rPr>
                <w:rFonts w:ascii="Arial" w:hAnsi="Arial" w:cs="Arial"/>
                <w:sz w:val="24"/>
                <w:szCs w:val="24"/>
              </w:rPr>
              <w:t>Minor updates.</w:t>
            </w:r>
          </w:p>
        </w:tc>
        <w:tc>
          <w:tcPr>
            <w:tcW w:w="1260" w:type="dxa"/>
            <w:tcBorders>
              <w:top w:val="single" w:sz="4" w:space="0" w:color="auto"/>
              <w:left w:val="single" w:sz="4" w:space="0" w:color="auto"/>
              <w:bottom w:val="single" w:sz="4" w:space="0" w:color="auto"/>
              <w:right w:val="single" w:sz="4" w:space="0" w:color="auto"/>
            </w:tcBorders>
            <w:vAlign w:val="center"/>
          </w:tcPr>
          <w:p w14:paraId="342D5EEF" w14:textId="2CB46ADF" w:rsidR="00AC7D06" w:rsidRDefault="00AC7D06" w:rsidP="00CF7987">
            <w:pPr>
              <w:spacing w:before="40"/>
              <w:jc w:val="center"/>
              <w:rPr>
                <w:rFonts w:ascii="Arial" w:hAnsi="Arial" w:cs="Arial"/>
                <w:bCs/>
                <w:sz w:val="24"/>
                <w:szCs w:val="24"/>
              </w:rPr>
            </w:pPr>
            <w:hyperlink r:id="rId17" w:history="1">
              <w:r w:rsidRPr="00AC7D06">
                <w:rPr>
                  <w:rStyle w:val="Hyperlink"/>
                  <w:rFonts w:ascii="Arial" w:hAnsi="Arial" w:cs="Arial"/>
                  <w:bCs/>
                  <w:sz w:val="24"/>
                  <w:szCs w:val="24"/>
                </w:rPr>
                <w:t>7975ILL</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201F64"/>
    <w:multiLevelType w:val="hybridMultilevel"/>
    <w:tmpl w:val="6C52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8"/>
  </w:num>
  <w:num w:numId="6">
    <w:abstractNumId w:val="5"/>
  </w:num>
  <w:num w:numId="7">
    <w:abstractNumId w:val="4"/>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6BD9"/>
    <w:rsid w:val="00011FF9"/>
    <w:rsid w:val="000205B8"/>
    <w:rsid w:val="00020874"/>
    <w:rsid w:val="00030E71"/>
    <w:rsid w:val="0003578C"/>
    <w:rsid w:val="00060012"/>
    <w:rsid w:val="00080BF5"/>
    <w:rsid w:val="00082578"/>
    <w:rsid w:val="00087A57"/>
    <w:rsid w:val="000A2EB0"/>
    <w:rsid w:val="000C256D"/>
    <w:rsid w:val="000D51FB"/>
    <w:rsid w:val="000D5595"/>
    <w:rsid w:val="000E00CD"/>
    <w:rsid w:val="00105499"/>
    <w:rsid w:val="00112735"/>
    <w:rsid w:val="001651CB"/>
    <w:rsid w:val="0017093A"/>
    <w:rsid w:val="00172EEF"/>
    <w:rsid w:val="0017321D"/>
    <w:rsid w:val="00175A89"/>
    <w:rsid w:val="00184FFB"/>
    <w:rsid w:val="001853BC"/>
    <w:rsid w:val="00190E4B"/>
    <w:rsid w:val="00191AE9"/>
    <w:rsid w:val="001931E2"/>
    <w:rsid w:val="001948C2"/>
    <w:rsid w:val="00195CE2"/>
    <w:rsid w:val="001D15E1"/>
    <w:rsid w:val="001D3C7F"/>
    <w:rsid w:val="001D4F6B"/>
    <w:rsid w:val="001F7D9B"/>
    <w:rsid w:val="002075C6"/>
    <w:rsid w:val="002147B9"/>
    <w:rsid w:val="0024394F"/>
    <w:rsid w:val="00247000"/>
    <w:rsid w:val="00251B63"/>
    <w:rsid w:val="00251B68"/>
    <w:rsid w:val="00257A96"/>
    <w:rsid w:val="00265604"/>
    <w:rsid w:val="0027018B"/>
    <w:rsid w:val="00272265"/>
    <w:rsid w:val="00283498"/>
    <w:rsid w:val="0028602D"/>
    <w:rsid w:val="002B072F"/>
    <w:rsid w:val="002C7FBF"/>
    <w:rsid w:val="002D3397"/>
    <w:rsid w:val="002D53B2"/>
    <w:rsid w:val="002D746D"/>
    <w:rsid w:val="002E4420"/>
    <w:rsid w:val="0030071C"/>
    <w:rsid w:val="00300FE9"/>
    <w:rsid w:val="0032124E"/>
    <w:rsid w:val="003342CD"/>
    <w:rsid w:val="003442C6"/>
    <w:rsid w:val="00352C5E"/>
    <w:rsid w:val="00362A0D"/>
    <w:rsid w:val="0036639E"/>
    <w:rsid w:val="00370EF1"/>
    <w:rsid w:val="003735A9"/>
    <w:rsid w:val="00384BAF"/>
    <w:rsid w:val="00384FA5"/>
    <w:rsid w:val="00385C17"/>
    <w:rsid w:val="00386039"/>
    <w:rsid w:val="0039074B"/>
    <w:rsid w:val="00390953"/>
    <w:rsid w:val="00395A21"/>
    <w:rsid w:val="003B213B"/>
    <w:rsid w:val="003C0D7B"/>
    <w:rsid w:val="003D28B9"/>
    <w:rsid w:val="003D704A"/>
    <w:rsid w:val="003F1BC2"/>
    <w:rsid w:val="003F64F2"/>
    <w:rsid w:val="00412ED4"/>
    <w:rsid w:val="00420746"/>
    <w:rsid w:val="00426E64"/>
    <w:rsid w:val="00427594"/>
    <w:rsid w:val="00445ABB"/>
    <w:rsid w:val="00461BCE"/>
    <w:rsid w:val="0046645A"/>
    <w:rsid w:val="00484A1A"/>
    <w:rsid w:val="004931B6"/>
    <w:rsid w:val="004A18D3"/>
    <w:rsid w:val="004A2CFF"/>
    <w:rsid w:val="004B3099"/>
    <w:rsid w:val="004B6376"/>
    <w:rsid w:val="004D4001"/>
    <w:rsid w:val="004E1810"/>
    <w:rsid w:val="004E23BC"/>
    <w:rsid w:val="005105C0"/>
    <w:rsid w:val="005167C5"/>
    <w:rsid w:val="00520FF0"/>
    <w:rsid w:val="00527451"/>
    <w:rsid w:val="00563392"/>
    <w:rsid w:val="00570CD2"/>
    <w:rsid w:val="00574300"/>
    <w:rsid w:val="005802BD"/>
    <w:rsid w:val="00582634"/>
    <w:rsid w:val="005834D3"/>
    <w:rsid w:val="005A1D0C"/>
    <w:rsid w:val="005C010A"/>
    <w:rsid w:val="005C26E8"/>
    <w:rsid w:val="005C7B8B"/>
    <w:rsid w:val="005D2B5D"/>
    <w:rsid w:val="005D60BF"/>
    <w:rsid w:val="005E3A4C"/>
    <w:rsid w:val="005E3E5D"/>
    <w:rsid w:val="005E5199"/>
    <w:rsid w:val="005E7DC2"/>
    <w:rsid w:val="005E7F62"/>
    <w:rsid w:val="005F088B"/>
    <w:rsid w:val="005F193C"/>
    <w:rsid w:val="006000D7"/>
    <w:rsid w:val="006032EA"/>
    <w:rsid w:val="00605EB5"/>
    <w:rsid w:val="00612B03"/>
    <w:rsid w:val="0061340D"/>
    <w:rsid w:val="00621A1E"/>
    <w:rsid w:val="006279D7"/>
    <w:rsid w:val="006345F0"/>
    <w:rsid w:val="006408DB"/>
    <w:rsid w:val="00640CDF"/>
    <w:rsid w:val="00647264"/>
    <w:rsid w:val="006512C3"/>
    <w:rsid w:val="00654BE1"/>
    <w:rsid w:val="00660128"/>
    <w:rsid w:val="00663648"/>
    <w:rsid w:val="00665139"/>
    <w:rsid w:val="00681888"/>
    <w:rsid w:val="00682668"/>
    <w:rsid w:val="00682877"/>
    <w:rsid w:val="006961B9"/>
    <w:rsid w:val="006B0A6A"/>
    <w:rsid w:val="006B4D3C"/>
    <w:rsid w:val="006B79B7"/>
    <w:rsid w:val="006B7CBC"/>
    <w:rsid w:val="006C15A4"/>
    <w:rsid w:val="006C61D7"/>
    <w:rsid w:val="006D3352"/>
    <w:rsid w:val="006D7095"/>
    <w:rsid w:val="006F1214"/>
    <w:rsid w:val="00700DD3"/>
    <w:rsid w:val="007138D3"/>
    <w:rsid w:val="00715156"/>
    <w:rsid w:val="00722EF7"/>
    <w:rsid w:val="00733DE2"/>
    <w:rsid w:val="00736E24"/>
    <w:rsid w:val="00737243"/>
    <w:rsid w:val="00746590"/>
    <w:rsid w:val="00755F97"/>
    <w:rsid w:val="0076102B"/>
    <w:rsid w:val="00772651"/>
    <w:rsid w:val="00777C3F"/>
    <w:rsid w:val="00782E0F"/>
    <w:rsid w:val="0078749E"/>
    <w:rsid w:val="007B49BC"/>
    <w:rsid w:val="007C0DD5"/>
    <w:rsid w:val="007C4ED5"/>
    <w:rsid w:val="007D46FD"/>
    <w:rsid w:val="007E1334"/>
    <w:rsid w:val="007E4167"/>
    <w:rsid w:val="007F10F6"/>
    <w:rsid w:val="007F33B8"/>
    <w:rsid w:val="007F7D97"/>
    <w:rsid w:val="00800414"/>
    <w:rsid w:val="008008A0"/>
    <w:rsid w:val="00802BDA"/>
    <w:rsid w:val="008031E1"/>
    <w:rsid w:val="0081269B"/>
    <w:rsid w:val="00814DD1"/>
    <w:rsid w:val="00822899"/>
    <w:rsid w:val="00836176"/>
    <w:rsid w:val="0084321A"/>
    <w:rsid w:val="00844C93"/>
    <w:rsid w:val="008565D7"/>
    <w:rsid w:val="0087014E"/>
    <w:rsid w:val="00873407"/>
    <w:rsid w:val="0088146E"/>
    <w:rsid w:val="0088217F"/>
    <w:rsid w:val="00896CEF"/>
    <w:rsid w:val="00897225"/>
    <w:rsid w:val="008A08D1"/>
    <w:rsid w:val="008A0B5F"/>
    <w:rsid w:val="008A50FD"/>
    <w:rsid w:val="008D54FB"/>
    <w:rsid w:val="008E12D6"/>
    <w:rsid w:val="008E37A5"/>
    <w:rsid w:val="008F0B90"/>
    <w:rsid w:val="00902ACE"/>
    <w:rsid w:val="00914DAB"/>
    <w:rsid w:val="00915B53"/>
    <w:rsid w:val="009267A9"/>
    <w:rsid w:val="0092730D"/>
    <w:rsid w:val="009303FB"/>
    <w:rsid w:val="009370C7"/>
    <w:rsid w:val="00942361"/>
    <w:rsid w:val="00955198"/>
    <w:rsid w:val="00956CDC"/>
    <w:rsid w:val="009629D6"/>
    <w:rsid w:val="009629FA"/>
    <w:rsid w:val="00964853"/>
    <w:rsid w:val="00965189"/>
    <w:rsid w:val="00971F4D"/>
    <w:rsid w:val="00977D49"/>
    <w:rsid w:val="00993BE4"/>
    <w:rsid w:val="00995046"/>
    <w:rsid w:val="00997872"/>
    <w:rsid w:val="009B42D2"/>
    <w:rsid w:val="009C1C10"/>
    <w:rsid w:val="009C1EBE"/>
    <w:rsid w:val="009D1061"/>
    <w:rsid w:val="009E3F63"/>
    <w:rsid w:val="009F0CDA"/>
    <w:rsid w:val="009F113C"/>
    <w:rsid w:val="00A01F0E"/>
    <w:rsid w:val="00A163BA"/>
    <w:rsid w:val="00A26E00"/>
    <w:rsid w:val="00A31C47"/>
    <w:rsid w:val="00A32EB1"/>
    <w:rsid w:val="00A4287E"/>
    <w:rsid w:val="00A42FC1"/>
    <w:rsid w:val="00A82A6D"/>
    <w:rsid w:val="00A93122"/>
    <w:rsid w:val="00AB6AB2"/>
    <w:rsid w:val="00AB6B5F"/>
    <w:rsid w:val="00AC57CB"/>
    <w:rsid w:val="00AC7D06"/>
    <w:rsid w:val="00AD653A"/>
    <w:rsid w:val="00B038C5"/>
    <w:rsid w:val="00B21432"/>
    <w:rsid w:val="00B23AAD"/>
    <w:rsid w:val="00B24F7F"/>
    <w:rsid w:val="00B267E4"/>
    <w:rsid w:val="00B313BD"/>
    <w:rsid w:val="00B41492"/>
    <w:rsid w:val="00B44C82"/>
    <w:rsid w:val="00B527C6"/>
    <w:rsid w:val="00B702CF"/>
    <w:rsid w:val="00B82597"/>
    <w:rsid w:val="00B82C29"/>
    <w:rsid w:val="00B83D27"/>
    <w:rsid w:val="00B90A99"/>
    <w:rsid w:val="00B93D0E"/>
    <w:rsid w:val="00B965F9"/>
    <w:rsid w:val="00BA2B88"/>
    <w:rsid w:val="00BA2D21"/>
    <w:rsid w:val="00BA4980"/>
    <w:rsid w:val="00BB2FED"/>
    <w:rsid w:val="00BB7712"/>
    <w:rsid w:val="00BD46D7"/>
    <w:rsid w:val="00C00D3B"/>
    <w:rsid w:val="00C04C8D"/>
    <w:rsid w:val="00C12BA3"/>
    <w:rsid w:val="00C15871"/>
    <w:rsid w:val="00C16AA2"/>
    <w:rsid w:val="00C17834"/>
    <w:rsid w:val="00C50F15"/>
    <w:rsid w:val="00C66305"/>
    <w:rsid w:val="00C701DA"/>
    <w:rsid w:val="00C70E59"/>
    <w:rsid w:val="00C762AE"/>
    <w:rsid w:val="00C909AC"/>
    <w:rsid w:val="00CC067E"/>
    <w:rsid w:val="00CC4DC3"/>
    <w:rsid w:val="00CD0693"/>
    <w:rsid w:val="00CE1D11"/>
    <w:rsid w:val="00CE5F99"/>
    <w:rsid w:val="00CF4CD1"/>
    <w:rsid w:val="00CF7987"/>
    <w:rsid w:val="00CF7B25"/>
    <w:rsid w:val="00D0206A"/>
    <w:rsid w:val="00D17EF9"/>
    <w:rsid w:val="00D22B55"/>
    <w:rsid w:val="00D22FC8"/>
    <w:rsid w:val="00D309C7"/>
    <w:rsid w:val="00D31680"/>
    <w:rsid w:val="00D35BAB"/>
    <w:rsid w:val="00D41965"/>
    <w:rsid w:val="00D440B7"/>
    <w:rsid w:val="00D62BB1"/>
    <w:rsid w:val="00D66CB6"/>
    <w:rsid w:val="00D75188"/>
    <w:rsid w:val="00D77A93"/>
    <w:rsid w:val="00D85451"/>
    <w:rsid w:val="00D85F05"/>
    <w:rsid w:val="00D95B7C"/>
    <w:rsid w:val="00DA09A3"/>
    <w:rsid w:val="00DA3255"/>
    <w:rsid w:val="00DA3DD5"/>
    <w:rsid w:val="00DA73FF"/>
    <w:rsid w:val="00DB7636"/>
    <w:rsid w:val="00DC720A"/>
    <w:rsid w:val="00DD1288"/>
    <w:rsid w:val="00DE0647"/>
    <w:rsid w:val="00DE07B6"/>
    <w:rsid w:val="00E20F27"/>
    <w:rsid w:val="00E275F6"/>
    <w:rsid w:val="00E315C1"/>
    <w:rsid w:val="00E31A98"/>
    <w:rsid w:val="00E3637D"/>
    <w:rsid w:val="00E4172D"/>
    <w:rsid w:val="00E455D8"/>
    <w:rsid w:val="00E64B76"/>
    <w:rsid w:val="00E91BDB"/>
    <w:rsid w:val="00E966AA"/>
    <w:rsid w:val="00EA0103"/>
    <w:rsid w:val="00EA04E0"/>
    <w:rsid w:val="00EA1B79"/>
    <w:rsid w:val="00EA61D0"/>
    <w:rsid w:val="00EA726B"/>
    <w:rsid w:val="00EB0FCC"/>
    <w:rsid w:val="00EB360A"/>
    <w:rsid w:val="00EC3905"/>
    <w:rsid w:val="00ED5FBE"/>
    <w:rsid w:val="00ED7B76"/>
    <w:rsid w:val="00EE14D2"/>
    <w:rsid w:val="00EE506F"/>
    <w:rsid w:val="00EF2BF3"/>
    <w:rsid w:val="00F00CFF"/>
    <w:rsid w:val="00F1067C"/>
    <w:rsid w:val="00F26E33"/>
    <w:rsid w:val="00F32450"/>
    <w:rsid w:val="00F53537"/>
    <w:rsid w:val="00F6226F"/>
    <w:rsid w:val="00F63572"/>
    <w:rsid w:val="00F7493F"/>
    <w:rsid w:val="00F75EBF"/>
    <w:rsid w:val="00F901D7"/>
    <w:rsid w:val="00FA3C86"/>
    <w:rsid w:val="00FA58B5"/>
    <w:rsid w:val="00FB2656"/>
    <w:rsid w:val="00FC1E03"/>
    <w:rsid w:val="00FC5D8A"/>
    <w:rsid w:val="00FC621B"/>
    <w:rsid w:val="00FD3007"/>
    <w:rsid w:val="00FD4266"/>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media/Divisions/SAM/RevSumm/TC-FILES/7904TC-JUN2021.docx?la=en&amp;hash=98A9421149914759198AC842CFAA9F28002C2424" TargetMode="External"/><Relationship Id="rId13" Type="http://schemas.openxmlformats.org/officeDocument/2006/relationships/hyperlink" Target="https://www.dgs.ca.gov/-/media/Divisions/SAM/RevSumm/TC-FILES/7950TC-JUN2021.docx?la=en&amp;hash=030BA9A9A8B6785E5582860ACF1829BAEF451D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gs.ca.gov/-/media/Divisions/SAM/RevSumm/TC-FILES/7901TC-JUN2021.docx?la=en&amp;hash=1360BD009B1B8B5F780EADC75FB2A41213CDCB0C" TargetMode="External"/><Relationship Id="rId12" Type="http://schemas.openxmlformats.org/officeDocument/2006/relationships/hyperlink" Target="https://www.dgs.ca.gov/-/media/Divisions/SAM/RevSumm/TC-FILES/7940TC-JUN2021.docx?la=en&amp;hash=EEDDCB63A559C0E8BF181F0D4643760D94A3DABA" TargetMode="External"/><Relationship Id="rId17" Type="http://schemas.openxmlformats.org/officeDocument/2006/relationships/hyperlink" Target="https://www.dgs.ca.gov/-/media/Divisions/SAM/RevSumm/TC-FILES/7975-IllustrationTC-JUN2021.docx?la=en&amp;hash=CA4351208A1D62A2190EBA4599A386D154FF6A5D" TargetMode="External"/><Relationship Id="rId2" Type="http://schemas.openxmlformats.org/officeDocument/2006/relationships/styles" Target="styles.xml"/><Relationship Id="rId16" Type="http://schemas.openxmlformats.org/officeDocument/2006/relationships/hyperlink" Target="https://www.dgs.ca.gov/-/media/Divisions/SAM/RevSumm/TC-FILES/7975TC-JUN2021.docx?la=en&amp;hash=D04FB625238A34FE57DE26254C80C01479445ED3" TargetMode="External"/><Relationship Id="rId1" Type="http://schemas.openxmlformats.org/officeDocument/2006/relationships/numbering" Target="numbering.xml"/><Relationship Id="rId6" Type="http://schemas.openxmlformats.org/officeDocument/2006/relationships/hyperlink" Target="https://www.dgs.ca.gov/-/media/Divisions/SAM/RevSumm/TC-FILES/7900TC-JUN2021.docx?la=en&amp;hash=CEEAD6C6CCE15ECB6B136E9914583AB72CF3C005" TargetMode="External"/><Relationship Id="rId11" Type="http://schemas.openxmlformats.org/officeDocument/2006/relationships/hyperlink" Target="https://www.dgs.ca.gov/-/media/Divisions/SAM/RevSumm/TC-FILES/7930TC-JUN2021.docx?la=en&amp;hash=67C59FD4298BA9CC524E31A37C58185EBCB6C636" TargetMode="External"/><Relationship Id="rId5" Type="http://schemas.openxmlformats.org/officeDocument/2006/relationships/hyperlink" Target="https://www.dgs.ca.gov/resources/sam/toc/7900" TargetMode="External"/><Relationship Id="rId15" Type="http://schemas.openxmlformats.org/officeDocument/2006/relationships/hyperlink" Target="https://www.dgs.ca.gov/-/media/Divisions/SAM/RevSumm/TC-FILES/7951_IllustrationTC-JUN2021.docx?la=en&amp;hash=2227D13C0EB671EAB3E55F3C3F622C0AB8E64878" TargetMode="External"/><Relationship Id="rId10" Type="http://schemas.openxmlformats.org/officeDocument/2006/relationships/hyperlink" Target="https://www.dgs.ca.gov/-/media/Divisions/SAM/RevSumm/TC-FILES/7921TC-JUN2021.docx?la=en&amp;hash=6744B587E9783AC5C0E4AA8C3071D1CFC7EC10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gs.ca.gov/-/media/Divisions/SAM/RevSumm/TC-FILES/7905TC-JUN2021.docx?la=en&amp;hash=07B851190351306D82C52CD5212FAF704B2BCBD6" TargetMode="External"/><Relationship Id="rId14" Type="http://schemas.openxmlformats.org/officeDocument/2006/relationships/hyperlink" Target="https://www.dgs.ca.gov/-/media/Divisions/SAM/RevSumm/TC-FILES/7951TC-JUN2021.docx?la=en&amp;hash=70A0A96E5E67F00443549840A033160608CDAF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14</cp:revision>
  <dcterms:created xsi:type="dcterms:W3CDTF">2021-06-07T18:10:00Z</dcterms:created>
  <dcterms:modified xsi:type="dcterms:W3CDTF">2021-06-08T19:14:00Z</dcterms:modified>
</cp:coreProperties>
</file>