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FC0" w:rsidRDefault="00ED5FC0" w:rsidP="00ED5FC0">
      <w:pPr>
        <w:spacing w:before="93"/>
        <w:ind w:left="180"/>
        <w:rPr>
          <w:b/>
          <w:sz w:val="20"/>
        </w:rPr>
      </w:pPr>
      <w:r>
        <w:rPr>
          <w:b/>
          <w:color w:val="808080"/>
          <w:sz w:val="20"/>
        </w:rPr>
        <w:t>8452.1 Illustration 3 General and Federal PFA (combined)</w:t>
      </w:r>
    </w:p>
    <w:p w:rsidR="00ED5FC0" w:rsidRDefault="00ED5FC0" w:rsidP="00ED5FC0">
      <w:pPr>
        <w:pStyle w:val="BodyText"/>
        <w:rPr>
          <w:b/>
          <w:sz w:val="22"/>
        </w:rPr>
      </w:pPr>
    </w:p>
    <w:p w:rsidR="00ED5FC0" w:rsidRDefault="00ED5FC0" w:rsidP="00ED5FC0">
      <w:pPr>
        <w:tabs>
          <w:tab w:val="left" w:pos="5941"/>
        </w:tabs>
        <w:spacing w:before="140" w:line="228" w:lineRule="exact"/>
        <w:ind w:left="180"/>
        <w:rPr>
          <w:sz w:val="20"/>
        </w:rPr>
      </w:pPr>
      <w:r>
        <w:rPr>
          <w:sz w:val="20"/>
        </w:rPr>
        <w:t>Department</w:t>
      </w:r>
      <w:r>
        <w:rPr>
          <w:spacing w:val="-10"/>
          <w:sz w:val="20"/>
        </w:rPr>
        <w:t xml:space="preserve"> </w:t>
      </w:r>
      <w:r>
        <w:rPr>
          <w:sz w:val="20"/>
        </w:rPr>
        <w:t>of</w:t>
      </w:r>
      <w:r>
        <w:rPr>
          <w:spacing w:val="-8"/>
          <w:sz w:val="20"/>
        </w:rPr>
        <w:t xml:space="preserve"> </w:t>
      </w:r>
      <w:r>
        <w:rPr>
          <w:sz w:val="20"/>
        </w:rPr>
        <w:t>Finance</w:t>
      </w:r>
      <w:r>
        <w:rPr>
          <w:sz w:val="20"/>
        </w:rPr>
        <w:tab/>
        <w:t>State Controller’s</w:t>
      </w:r>
      <w:r>
        <w:rPr>
          <w:spacing w:val="-30"/>
          <w:sz w:val="20"/>
        </w:rPr>
        <w:t xml:space="preserve"> </w:t>
      </w:r>
      <w:r>
        <w:rPr>
          <w:sz w:val="20"/>
        </w:rPr>
        <w:t>Office</w:t>
      </w:r>
    </w:p>
    <w:p w:rsidR="00ED5FC0" w:rsidRDefault="00ED5FC0" w:rsidP="00ED5FC0">
      <w:pPr>
        <w:tabs>
          <w:tab w:val="left" w:pos="5941"/>
        </w:tabs>
        <w:spacing w:line="227" w:lineRule="exact"/>
        <w:ind w:left="180"/>
        <w:rPr>
          <w:sz w:val="20"/>
        </w:rPr>
      </w:pPr>
      <w:r>
        <w:rPr>
          <w:sz w:val="20"/>
        </w:rPr>
        <w:t>Fiscal System and Consulting Unit</w:t>
      </w:r>
      <w:r>
        <w:rPr>
          <w:sz w:val="20"/>
        </w:rPr>
        <w:tab/>
        <w:t>State</w:t>
      </w:r>
      <w:r>
        <w:rPr>
          <w:spacing w:val="-12"/>
          <w:sz w:val="20"/>
        </w:rPr>
        <w:t xml:space="preserve"> </w:t>
      </w:r>
      <w:r>
        <w:rPr>
          <w:sz w:val="20"/>
        </w:rPr>
        <w:t>Accounting</w:t>
      </w:r>
      <w:r>
        <w:rPr>
          <w:spacing w:val="-13"/>
          <w:sz w:val="20"/>
        </w:rPr>
        <w:t xml:space="preserve"> </w:t>
      </w:r>
      <w:r>
        <w:rPr>
          <w:sz w:val="20"/>
        </w:rPr>
        <w:t>and</w:t>
      </w:r>
      <w:r>
        <w:rPr>
          <w:spacing w:val="-14"/>
          <w:sz w:val="20"/>
        </w:rPr>
        <w:t xml:space="preserve"> </w:t>
      </w:r>
      <w:r>
        <w:rPr>
          <w:sz w:val="20"/>
        </w:rPr>
        <w:t>Reporting</w:t>
      </w:r>
      <w:r>
        <w:rPr>
          <w:spacing w:val="-11"/>
          <w:sz w:val="20"/>
        </w:rPr>
        <w:t xml:space="preserve"> </w:t>
      </w:r>
      <w:r>
        <w:rPr>
          <w:sz w:val="20"/>
        </w:rPr>
        <w:t>Division</w:t>
      </w:r>
    </w:p>
    <w:p w:rsidR="00ED5FC0" w:rsidRDefault="00ED5FC0" w:rsidP="00ED5FC0">
      <w:pPr>
        <w:tabs>
          <w:tab w:val="left" w:pos="5941"/>
        </w:tabs>
        <w:spacing w:line="229" w:lineRule="exact"/>
        <w:ind w:left="180"/>
        <w:rPr>
          <w:sz w:val="20"/>
        </w:rPr>
      </w:pPr>
      <w:r>
        <w:rPr>
          <w:sz w:val="20"/>
        </w:rPr>
        <w:t>915</w:t>
      </w:r>
      <w:r>
        <w:rPr>
          <w:spacing w:val="-6"/>
          <w:sz w:val="20"/>
        </w:rPr>
        <w:t xml:space="preserve"> </w:t>
      </w:r>
      <w:r>
        <w:rPr>
          <w:sz w:val="20"/>
        </w:rPr>
        <w:t>L</w:t>
      </w:r>
      <w:r>
        <w:rPr>
          <w:spacing w:val="-6"/>
          <w:sz w:val="20"/>
        </w:rPr>
        <w:t xml:space="preserve"> </w:t>
      </w:r>
      <w:r>
        <w:rPr>
          <w:sz w:val="20"/>
        </w:rPr>
        <w:t>Street, 7</w:t>
      </w:r>
      <w:r w:rsidRPr="00A97F88">
        <w:rPr>
          <w:sz w:val="20"/>
          <w:vertAlign w:val="superscript"/>
        </w:rPr>
        <w:t>th</w:t>
      </w:r>
      <w:r>
        <w:rPr>
          <w:sz w:val="20"/>
        </w:rPr>
        <w:t xml:space="preserve"> Floor</w:t>
      </w:r>
      <w:r>
        <w:rPr>
          <w:sz w:val="20"/>
        </w:rPr>
        <w:tab/>
        <w:t>3301 C Street, Suite</w:t>
      </w:r>
      <w:r>
        <w:rPr>
          <w:spacing w:val="-23"/>
          <w:sz w:val="20"/>
        </w:rPr>
        <w:t xml:space="preserve"> </w:t>
      </w:r>
      <w:r>
        <w:rPr>
          <w:sz w:val="20"/>
        </w:rPr>
        <w:t>760</w:t>
      </w:r>
    </w:p>
    <w:p w:rsidR="00ED5FC0" w:rsidRDefault="00ED5FC0" w:rsidP="00ED5FC0">
      <w:pPr>
        <w:tabs>
          <w:tab w:val="left" w:pos="4376"/>
          <w:tab w:val="left" w:pos="5941"/>
        </w:tabs>
        <w:spacing w:before="6" w:line="477" w:lineRule="auto"/>
        <w:ind w:left="180" w:right="2481"/>
        <w:rPr>
          <w:sz w:val="20"/>
        </w:rPr>
      </w:pPr>
      <w:r>
        <w:rPr>
          <w:sz w:val="20"/>
        </w:rPr>
        <w:t>Sacramento,</w:t>
      </w:r>
      <w:r>
        <w:rPr>
          <w:spacing w:val="-10"/>
          <w:sz w:val="20"/>
        </w:rPr>
        <w:t xml:space="preserve"> </w:t>
      </w:r>
      <w:r>
        <w:rPr>
          <w:sz w:val="20"/>
        </w:rPr>
        <w:t>CA</w:t>
      </w:r>
      <w:r>
        <w:rPr>
          <w:spacing w:val="-9"/>
          <w:sz w:val="20"/>
        </w:rPr>
        <w:t xml:space="preserve"> </w:t>
      </w:r>
      <w:r>
        <w:rPr>
          <w:sz w:val="20"/>
        </w:rPr>
        <w:t>95814</w:t>
      </w:r>
      <w:r>
        <w:rPr>
          <w:sz w:val="20"/>
        </w:rPr>
        <w:tab/>
      </w:r>
      <w:r>
        <w:rPr>
          <w:sz w:val="20"/>
        </w:rPr>
        <w:tab/>
        <w:t>Sacramento, CA</w:t>
      </w:r>
      <w:r>
        <w:rPr>
          <w:spacing w:val="-29"/>
          <w:sz w:val="20"/>
        </w:rPr>
        <w:t xml:space="preserve"> </w:t>
      </w:r>
      <w:r>
        <w:rPr>
          <w:sz w:val="20"/>
        </w:rPr>
        <w:t>95816 PLAN OF FINANCIAL</w:t>
      </w:r>
      <w:r>
        <w:rPr>
          <w:spacing w:val="-30"/>
          <w:sz w:val="20"/>
        </w:rPr>
        <w:t xml:space="preserve"> </w:t>
      </w:r>
      <w:r>
        <w:rPr>
          <w:sz w:val="20"/>
        </w:rPr>
        <w:t>ADJUSTMENT</w:t>
      </w:r>
      <w:r>
        <w:rPr>
          <w:spacing w:val="-7"/>
          <w:sz w:val="20"/>
        </w:rPr>
        <w:t xml:space="preserve"> </w:t>
      </w:r>
      <w:r>
        <w:rPr>
          <w:sz w:val="20"/>
        </w:rPr>
        <w:t>(No.</w:t>
      </w:r>
      <w:r>
        <w:rPr>
          <w:sz w:val="20"/>
          <w:u w:val="single"/>
        </w:rPr>
        <w:t xml:space="preserve"> </w:t>
      </w:r>
      <w:r>
        <w:rPr>
          <w:sz w:val="20"/>
          <w:u w:val="single"/>
        </w:rPr>
        <w:tab/>
      </w:r>
      <w:r>
        <w:rPr>
          <w:sz w:val="20"/>
        </w:rPr>
        <w:t>)</w:t>
      </w:r>
    </w:p>
    <w:p w:rsidR="00ED5FC0" w:rsidRDefault="00ED5FC0" w:rsidP="00ED5FC0">
      <w:pPr>
        <w:tabs>
          <w:tab w:val="left" w:pos="2155"/>
          <w:tab w:val="left" w:pos="8507"/>
        </w:tabs>
        <w:spacing w:before="11"/>
        <w:ind w:left="180" w:right="612"/>
        <w:rPr>
          <w:sz w:val="20"/>
        </w:rPr>
      </w:pPr>
      <w:r>
        <w:rPr>
          <w:spacing w:val="5"/>
          <w:sz w:val="20"/>
        </w:rPr>
        <w:t xml:space="preserve">We </w:t>
      </w:r>
      <w:r>
        <w:rPr>
          <w:sz w:val="20"/>
        </w:rPr>
        <w:t>request that the Department of Finance and the State Controller approve the following Plan of Financial Adjustment (PFA) under Government Code Sections 11251 and 16365 to begin July</w:t>
      </w:r>
      <w:r>
        <w:rPr>
          <w:spacing w:val="-37"/>
          <w:sz w:val="20"/>
        </w:rPr>
        <w:t xml:space="preserve"> </w:t>
      </w:r>
      <w:r>
        <w:rPr>
          <w:sz w:val="20"/>
        </w:rPr>
        <w:t>1,</w:t>
      </w:r>
      <w:r>
        <w:rPr>
          <w:spacing w:val="-5"/>
          <w:sz w:val="20"/>
        </w:rPr>
        <w:t xml:space="preserve"> </w:t>
      </w:r>
      <w:r>
        <w:rPr>
          <w:sz w:val="20"/>
        </w:rPr>
        <w:t>20</w:t>
      </w:r>
      <w:r>
        <w:rPr>
          <w:sz w:val="20"/>
          <w:u w:val="single"/>
        </w:rPr>
        <w:t xml:space="preserve"> </w:t>
      </w:r>
      <w:r>
        <w:rPr>
          <w:sz w:val="20"/>
          <w:u w:val="single"/>
        </w:rPr>
        <w:tab/>
      </w:r>
      <w:r>
        <w:rPr>
          <w:sz w:val="20"/>
        </w:rPr>
        <w:t>and to</w:t>
      </w:r>
      <w:r>
        <w:rPr>
          <w:spacing w:val="-16"/>
          <w:sz w:val="20"/>
        </w:rPr>
        <w:t xml:space="preserve"> </w:t>
      </w:r>
      <w:r>
        <w:rPr>
          <w:sz w:val="20"/>
        </w:rPr>
        <w:t>continue until</w:t>
      </w:r>
      <w:r>
        <w:rPr>
          <w:sz w:val="20"/>
          <w:u w:val="single"/>
        </w:rPr>
        <w:t xml:space="preserve"> </w:t>
      </w:r>
      <w:r>
        <w:rPr>
          <w:sz w:val="20"/>
          <w:u w:val="single"/>
        </w:rPr>
        <w:tab/>
      </w:r>
      <w:r>
        <w:rPr>
          <w:sz w:val="20"/>
        </w:rPr>
        <w:t>, unless amended or</w:t>
      </w:r>
      <w:r>
        <w:rPr>
          <w:spacing w:val="-11"/>
          <w:sz w:val="20"/>
        </w:rPr>
        <w:t xml:space="preserve"> </w:t>
      </w:r>
      <w:r>
        <w:rPr>
          <w:sz w:val="20"/>
        </w:rPr>
        <w:t>rescinded.</w:t>
      </w:r>
    </w:p>
    <w:p w:rsidR="00ED5FC0" w:rsidRDefault="00ED5FC0" w:rsidP="00ED5FC0">
      <w:pPr>
        <w:pStyle w:val="BodyText"/>
        <w:spacing w:before="10"/>
        <w:rPr>
          <w:sz w:val="11"/>
        </w:rPr>
      </w:pPr>
    </w:p>
    <w:p w:rsidR="00ED5FC0" w:rsidRDefault="00ED5FC0" w:rsidP="00ED5FC0">
      <w:pPr>
        <w:tabs>
          <w:tab w:val="left" w:pos="1219"/>
          <w:tab w:val="left" w:pos="1625"/>
          <w:tab w:val="left" w:pos="2246"/>
          <w:tab w:val="left" w:pos="5214"/>
          <w:tab w:val="left" w:pos="8536"/>
        </w:tabs>
        <w:spacing w:before="93"/>
        <w:ind w:left="281" w:right="1388"/>
        <w:rPr>
          <w:w w:val="95"/>
          <w:sz w:val="20"/>
        </w:rPr>
      </w:pPr>
      <w:r>
        <w:rPr>
          <w:spacing w:val="5"/>
          <w:sz w:val="20"/>
        </w:rPr>
        <w:t xml:space="preserve">We </w:t>
      </w:r>
      <w:r>
        <w:rPr>
          <w:sz w:val="20"/>
        </w:rPr>
        <w:t>are also requesting to establish a clearing program in Budget</w:t>
      </w:r>
      <w:r>
        <w:rPr>
          <w:spacing w:val="-41"/>
          <w:sz w:val="20"/>
        </w:rPr>
        <w:t xml:space="preserve"> </w:t>
      </w:r>
      <w:r>
        <w:rPr>
          <w:sz w:val="20"/>
        </w:rPr>
        <w:t>Act</w:t>
      </w:r>
      <w:r>
        <w:rPr>
          <w:spacing w:val="-5"/>
          <w:sz w:val="20"/>
        </w:rPr>
        <w:t xml:space="preserve"> </w:t>
      </w:r>
      <w:r>
        <w:rPr>
          <w:sz w:val="20"/>
        </w:rPr>
        <w:t>of</w:t>
      </w:r>
      <w:r>
        <w:rPr>
          <w:sz w:val="20"/>
          <w:u w:val="single"/>
        </w:rPr>
        <w:t xml:space="preserve"> </w:t>
      </w:r>
      <w:r>
        <w:rPr>
          <w:sz w:val="20"/>
          <w:u w:val="single"/>
        </w:rPr>
        <w:tab/>
      </w:r>
      <w:r>
        <w:rPr>
          <w:w w:val="95"/>
          <w:sz w:val="20"/>
        </w:rPr>
        <w:t xml:space="preserve">(Year) </w:t>
      </w:r>
    </w:p>
    <w:p w:rsidR="00ED5FC0" w:rsidRDefault="00ED5FC0" w:rsidP="00ED5FC0">
      <w:pPr>
        <w:tabs>
          <w:tab w:val="left" w:pos="1219"/>
          <w:tab w:val="left" w:pos="1625"/>
          <w:tab w:val="left" w:pos="2246"/>
          <w:tab w:val="left" w:pos="5214"/>
          <w:tab w:val="left" w:pos="8536"/>
        </w:tabs>
        <w:spacing w:before="93"/>
        <w:ind w:left="281" w:right="1388"/>
        <w:rPr>
          <w:i/>
          <w:sz w:val="20"/>
        </w:rPr>
      </w:pPr>
      <w:r>
        <w:rPr>
          <w:sz w:val="20"/>
        </w:rPr>
        <w:t>Item</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pacing w:val="-3"/>
          <w:sz w:val="20"/>
        </w:rPr>
        <w:t xml:space="preserve"> </w:t>
      </w:r>
      <w:r>
        <w:rPr>
          <w:sz w:val="20"/>
        </w:rPr>
        <w:t>effective</w:t>
      </w:r>
      <w:r>
        <w:rPr>
          <w:spacing w:val="-3"/>
          <w:sz w:val="20"/>
        </w:rPr>
        <w:t xml:space="preserve"> </w:t>
      </w:r>
      <w:r>
        <w:rPr>
          <w:sz w:val="20"/>
        </w:rPr>
        <w:t>on</w:t>
      </w:r>
      <w:r>
        <w:rPr>
          <w:sz w:val="20"/>
          <w:u w:val="single"/>
        </w:rPr>
        <w:t xml:space="preserve"> </w:t>
      </w:r>
      <w:r>
        <w:rPr>
          <w:sz w:val="20"/>
          <w:u w:val="single"/>
        </w:rPr>
        <w:tab/>
      </w:r>
      <w:r>
        <w:rPr>
          <w:sz w:val="20"/>
        </w:rPr>
        <w:t xml:space="preserve">(MM/DD/YYYY) </w:t>
      </w:r>
      <w:r>
        <w:rPr>
          <w:i/>
          <w:sz w:val="20"/>
        </w:rPr>
        <w:t>(Remove if not</w:t>
      </w:r>
      <w:r>
        <w:rPr>
          <w:i/>
          <w:spacing w:val="-12"/>
          <w:sz w:val="20"/>
        </w:rPr>
        <w:t xml:space="preserve"> </w:t>
      </w:r>
      <w:r>
        <w:rPr>
          <w:i/>
          <w:sz w:val="20"/>
        </w:rPr>
        <w:t>applicable)</w:t>
      </w:r>
    </w:p>
    <w:p w:rsidR="00ED5FC0" w:rsidRDefault="00ED5FC0" w:rsidP="00ED5FC0">
      <w:pPr>
        <w:pStyle w:val="BodyText"/>
        <w:rPr>
          <w:i/>
          <w:sz w:val="12"/>
        </w:rPr>
      </w:pPr>
    </w:p>
    <w:p w:rsidR="00ED5FC0" w:rsidRDefault="00ED5FC0" w:rsidP="00ED5FC0">
      <w:pPr>
        <w:pStyle w:val="ListParagraph"/>
        <w:numPr>
          <w:ilvl w:val="0"/>
          <w:numId w:val="1"/>
        </w:numPr>
        <w:tabs>
          <w:tab w:val="left" w:pos="541"/>
        </w:tabs>
        <w:spacing w:before="93"/>
        <w:contextualSpacing w:val="0"/>
        <w:jc w:val="left"/>
        <w:rPr>
          <w:sz w:val="20"/>
        </w:rPr>
      </w:pPr>
      <w:r>
        <w:rPr>
          <w:sz w:val="20"/>
        </w:rPr>
        <w:t>As used herein, the following terms have the meanings set forth</w:t>
      </w:r>
      <w:r>
        <w:rPr>
          <w:spacing w:val="-27"/>
          <w:sz w:val="20"/>
        </w:rPr>
        <w:t xml:space="preserve"> </w:t>
      </w:r>
      <w:r>
        <w:rPr>
          <w:sz w:val="20"/>
        </w:rPr>
        <w:t>below:</w:t>
      </w:r>
    </w:p>
    <w:p w:rsidR="00ED5FC0" w:rsidRDefault="00ED5FC0" w:rsidP="00ED5FC0">
      <w:pPr>
        <w:pStyle w:val="BodyText"/>
        <w:spacing w:before="10"/>
        <w:rPr>
          <w:sz w:val="19"/>
        </w:rPr>
      </w:pPr>
    </w:p>
    <w:p w:rsidR="00ED5FC0" w:rsidRDefault="00ED5FC0" w:rsidP="00ED5FC0">
      <w:pPr>
        <w:pStyle w:val="ListParagraph"/>
        <w:numPr>
          <w:ilvl w:val="1"/>
          <w:numId w:val="1"/>
        </w:numPr>
        <w:tabs>
          <w:tab w:val="left" w:pos="992"/>
          <w:tab w:val="left" w:pos="5813"/>
        </w:tabs>
        <w:contextualSpacing w:val="0"/>
        <w:rPr>
          <w:sz w:val="20"/>
        </w:rPr>
      </w:pPr>
      <w:r>
        <w:rPr>
          <w:sz w:val="20"/>
        </w:rPr>
        <w:t>“Agency” means the Department</w:t>
      </w:r>
      <w:r>
        <w:rPr>
          <w:spacing w:val="-20"/>
          <w:sz w:val="20"/>
        </w:rPr>
        <w:t xml:space="preserve"> </w:t>
      </w:r>
      <w:r>
        <w:rPr>
          <w:sz w:val="20"/>
        </w:rPr>
        <w:t xml:space="preserve">of </w:t>
      </w:r>
      <w:r>
        <w:rPr>
          <w:w w:val="99"/>
          <w:sz w:val="20"/>
          <w:u w:val="single"/>
        </w:rPr>
        <w:t xml:space="preserve"> </w:t>
      </w:r>
      <w:r>
        <w:rPr>
          <w:sz w:val="20"/>
          <w:u w:val="single"/>
        </w:rPr>
        <w:tab/>
      </w:r>
    </w:p>
    <w:p w:rsidR="00ED5FC0" w:rsidRDefault="00ED5FC0" w:rsidP="00ED5FC0">
      <w:pPr>
        <w:pStyle w:val="BodyText"/>
        <w:rPr>
          <w:sz w:val="12"/>
        </w:rPr>
      </w:pPr>
    </w:p>
    <w:p w:rsidR="00ED5FC0" w:rsidRDefault="00ED5FC0" w:rsidP="00ED5FC0">
      <w:pPr>
        <w:pStyle w:val="ListParagraph"/>
        <w:numPr>
          <w:ilvl w:val="1"/>
          <w:numId w:val="1"/>
        </w:numPr>
        <w:tabs>
          <w:tab w:val="left" w:pos="992"/>
          <w:tab w:val="left" w:pos="2225"/>
          <w:tab w:val="left" w:pos="2847"/>
          <w:tab w:val="left" w:pos="3471"/>
        </w:tabs>
        <w:spacing w:before="93"/>
        <w:ind w:right="708"/>
        <w:contextualSpacing w:val="0"/>
        <w:rPr>
          <w:sz w:val="20"/>
        </w:rPr>
      </w:pPr>
      <w:r>
        <w:rPr>
          <w:sz w:val="20"/>
        </w:rPr>
        <w:t>“Primary</w:t>
      </w:r>
      <w:r>
        <w:rPr>
          <w:spacing w:val="-9"/>
          <w:sz w:val="20"/>
        </w:rPr>
        <w:t xml:space="preserve"> </w:t>
      </w:r>
      <w:r>
        <w:rPr>
          <w:sz w:val="20"/>
        </w:rPr>
        <w:t>Appropriation”</w:t>
      </w:r>
      <w:r>
        <w:rPr>
          <w:spacing w:val="-5"/>
          <w:sz w:val="20"/>
        </w:rPr>
        <w:t xml:space="preserve"> </w:t>
      </w:r>
      <w:r>
        <w:rPr>
          <w:sz w:val="20"/>
        </w:rPr>
        <w:t>means</w:t>
      </w:r>
      <w:r>
        <w:rPr>
          <w:spacing w:val="-4"/>
          <w:sz w:val="20"/>
        </w:rPr>
        <w:t xml:space="preserve"> </w:t>
      </w:r>
      <w:r>
        <w:rPr>
          <w:sz w:val="20"/>
        </w:rPr>
        <w:t>the</w:t>
      </w:r>
      <w:r>
        <w:rPr>
          <w:spacing w:val="-3"/>
          <w:sz w:val="20"/>
        </w:rPr>
        <w:t xml:space="preserve"> </w:t>
      </w:r>
      <w:r>
        <w:rPr>
          <w:sz w:val="20"/>
        </w:rPr>
        <w:t>main</w:t>
      </w:r>
      <w:r>
        <w:rPr>
          <w:spacing w:val="-5"/>
          <w:sz w:val="20"/>
        </w:rPr>
        <w:t xml:space="preserve"> </w:t>
      </w:r>
      <w:r>
        <w:rPr>
          <w:sz w:val="20"/>
        </w:rPr>
        <w:t>Budget</w:t>
      </w:r>
      <w:r>
        <w:rPr>
          <w:spacing w:val="-3"/>
          <w:sz w:val="20"/>
        </w:rPr>
        <w:t xml:space="preserve"> </w:t>
      </w:r>
      <w:r>
        <w:rPr>
          <w:sz w:val="20"/>
        </w:rPr>
        <w:t>Act</w:t>
      </w:r>
      <w:r>
        <w:rPr>
          <w:spacing w:val="-3"/>
          <w:sz w:val="20"/>
        </w:rPr>
        <w:t xml:space="preserve"> </w:t>
      </w:r>
      <w:r>
        <w:rPr>
          <w:sz w:val="20"/>
        </w:rPr>
        <w:t>appropriation</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24"/>
          <w:sz w:val="20"/>
        </w:rPr>
        <w:t xml:space="preserve"> </w:t>
      </w:r>
      <w:r>
        <w:rPr>
          <w:sz w:val="20"/>
        </w:rPr>
        <w:t>Department (e.g.,</w:t>
      </w:r>
      <w:r>
        <w:rPr>
          <w:spacing w:val="-3"/>
          <w:sz w:val="20"/>
        </w:rPr>
        <w:t xml:space="preserve"> </w:t>
      </w:r>
      <w:r>
        <w:rPr>
          <w:sz w:val="20"/>
        </w:rPr>
        <w:t>Item</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rsidR="00ED5FC0" w:rsidRDefault="00ED5FC0" w:rsidP="00ED5FC0">
      <w:pPr>
        <w:pStyle w:val="BodyText"/>
        <w:rPr>
          <w:sz w:val="12"/>
        </w:rPr>
      </w:pPr>
    </w:p>
    <w:p w:rsidR="00ED5FC0" w:rsidRDefault="00ED5FC0" w:rsidP="00ED5FC0">
      <w:pPr>
        <w:pStyle w:val="ListParagraph"/>
        <w:numPr>
          <w:ilvl w:val="1"/>
          <w:numId w:val="1"/>
        </w:numPr>
        <w:tabs>
          <w:tab w:val="left" w:pos="991"/>
          <w:tab w:val="left" w:pos="992"/>
          <w:tab w:val="left" w:pos="1699"/>
          <w:tab w:val="left" w:pos="2100"/>
          <w:tab w:val="left" w:pos="5278"/>
          <w:tab w:val="left" w:pos="8475"/>
        </w:tabs>
        <w:spacing w:before="93"/>
        <w:ind w:right="954"/>
        <w:contextualSpacing w:val="0"/>
        <w:rPr>
          <w:sz w:val="20"/>
        </w:rPr>
      </w:pPr>
      <w:r>
        <w:rPr>
          <w:sz w:val="20"/>
        </w:rPr>
        <w:t>“Special</w:t>
      </w:r>
      <w:r>
        <w:rPr>
          <w:spacing w:val="-5"/>
          <w:sz w:val="20"/>
        </w:rPr>
        <w:t xml:space="preserve"> </w:t>
      </w:r>
      <w:r>
        <w:rPr>
          <w:sz w:val="20"/>
        </w:rPr>
        <w:t>Appropriation”</w:t>
      </w:r>
      <w:r>
        <w:rPr>
          <w:spacing w:val="-5"/>
          <w:sz w:val="20"/>
        </w:rPr>
        <w:t xml:space="preserve"> </w:t>
      </w:r>
      <w:r>
        <w:rPr>
          <w:sz w:val="20"/>
        </w:rPr>
        <w:t>means</w:t>
      </w:r>
      <w:r>
        <w:rPr>
          <w:spacing w:val="-5"/>
          <w:sz w:val="20"/>
        </w:rPr>
        <w:t xml:space="preserve"> </w:t>
      </w:r>
      <w:r>
        <w:rPr>
          <w:sz w:val="20"/>
        </w:rPr>
        <w:t>any</w:t>
      </w:r>
      <w:r>
        <w:rPr>
          <w:spacing w:val="-9"/>
          <w:sz w:val="20"/>
        </w:rPr>
        <w:t xml:space="preserve"> </w:t>
      </w:r>
      <w:r>
        <w:rPr>
          <w:sz w:val="20"/>
        </w:rPr>
        <w:t>appropriation</w:t>
      </w:r>
      <w:r>
        <w:rPr>
          <w:spacing w:val="-6"/>
          <w:sz w:val="20"/>
        </w:rPr>
        <w:t xml:space="preserve"> </w:t>
      </w:r>
      <w:r>
        <w:rPr>
          <w:sz w:val="20"/>
        </w:rPr>
        <w:t>other</w:t>
      </w:r>
      <w:r>
        <w:rPr>
          <w:spacing w:val="-3"/>
          <w:sz w:val="20"/>
        </w:rPr>
        <w:t xml:space="preserve"> </w:t>
      </w:r>
      <w:r>
        <w:rPr>
          <w:sz w:val="20"/>
        </w:rPr>
        <w:t>than</w:t>
      </w:r>
      <w:r>
        <w:rPr>
          <w:spacing w:val="-4"/>
          <w:sz w:val="20"/>
        </w:rPr>
        <w:t xml:space="preserve"> </w:t>
      </w:r>
      <w:r>
        <w:rPr>
          <w:sz w:val="20"/>
        </w:rPr>
        <w:t>the</w:t>
      </w:r>
      <w:r>
        <w:rPr>
          <w:spacing w:val="-4"/>
          <w:sz w:val="20"/>
        </w:rPr>
        <w:t xml:space="preserve"> </w:t>
      </w:r>
      <w:r>
        <w:rPr>
          <w:sz w:val="20"/>
        </w:rPr>
        <w:t>main</w:t>
      </w:r>
      <w:r>
        <w:rPr>
          <w:spacing w:val="-6"/>
          <w:sz w:val="20"/>
        </w:rPr>
        <w:t xml:space="preserve"> </w:t>
      </w:r>
      <w:r>
        <w:rPr>
          <w:sz w:val="20"/>
        </w:rPr>
        <w:t>support</w:t>
      </w:r>
      <w:r>
        <w:rPr>
          <w:spacing w:val="-4"/>
          <w:sz w:val="20"/>
        </w:rPr>
        <w:t xml:space="preserve"> </w:t>
      </w:r>
      <w:r>
        <w:rPr>
          <w:sz w:val="20"/>
        </w:rPr>
        <w:t>appropriation</w:t>
      </w:r>
      <w:r>
        <w:rPr>
          <w:spacing w:val="-6"/>
          <w:sz w:val="20"/>
        </w:rPr>
        <w:t xml:space="preserve"> </w:t>
      </w:r>
      <w:r>
        <w:rPr>
          <w:sz w:val="20"/>
        </w:rPr>
        <w:t>in</w:t>
      </w:r>
      <w:r>
        <w:rPr>
          <w:spacing w:val="-24"/>
          <w:sz w:val="20"/>
        </w:rPr>
        <w:t xml:space="preserve"> </w:t>
      </w:r>
      <w:r>
        <w:rPr>
          <w:sz w:val="20"/>
        </w:rPr>
        <w:t>the Budget Act or an appropriation from other legislation (if Budget Act Special Appropriation, state item</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if other legislation,</w:t>
      </w:r>
      <w:r>
        <w:rPr>
          <w:spacing w:val="-7"/>
          <w:sz w:val="20"/>
        </w:rPr>
        <w:t xml:space="preserve"> </w:t>
      </w:r>
      <w:r>
        <w:rPr>
          <w:sz w:val="20"/>
        </w:rPr>
        <w:t>state</w:t>
      </w:r>
      <w:r>
        <w:rPr>
          <w:spacing w:val="-3"/>
          <w:sz w:val="20"/>
        </w:rPr>
        <w:t xml:space="preserve"> </w:t>
      </w:r>
      <w:r>
        <w:rPr>
          <w:sz w:val="20"/>
        </w:rPr>
        <w:t>Chapter</w:t>
      </w:r>
      <w:r>
        <w:rPr>
          <w:sz w:val="20"/>
        </w:rPr>
        <w:tab/>
        <w:t>, Statues</w:t>
      </w:r>
      <w:r>
        <w:rPr>
          <w:spacing w:val="-11"/>
          <w:sz w:val="20"/>
        </w:rPr>
        <w:t xml:space="preserve"> </w:t>
      </w:r>
      <w:r>
        <w:rPr>
          <w:sz w:val="20"/>
        </w:rPr>
        <w:t>of</w:t>
      </w:r>
    </w:p>
    <w:p w:rsidR="00ED5FC0" w:rsidRDefault="00ED5FC0" w:rsidP="00ED5FC0">
      <w:pPr>
        <w:tabs>
          <w:tab w:val="left" w:pos="3768"/>
        </w:tabs>
        <w:spacing w:line="224" w:lineRule="exact"/>
        <w:ind w:left="991"/>
        <w:rPr>
          <w:sz w:val="20"/>
        </w:rPr>
      </w:pPr>
      <w:r>
        <w:rPr>
          <w:w w:val="99"/>
          <w:sz w:val="20"/>
          <w:u w:val="single"/>
        </w:rPr>
        <w:t xml:space="preserve"> </w:t>
      </w:r>
      <w:r>
        <w:rPr>
          <w:sz w:val="20"/>
          <w:u w:val="single"/>
        </w:rPr>
        <w:tab/>
      </w:r>
      <w:r>
        <w:rPr>
          <w:sz w:val="20"/>
        </w:rPr>
        <w:t>).</w:t>
      </w:r>
    </w:p>
    <w:p w:rsidR="00ED5FC0" w:rsidRDefault="00ED5FC0" w:rsidP="00ED5FC0">
      <w:pPr>
        <w:spacing w:before="1"/>
        <w:ind w:left="991"/>
        <w:rPr>
          <w:sz w:val="20"/>
        </w:rPr>
      </w:pPr>
      <w:r>
        <w:rPr>
          <w:sz w:val="20"/>
        </w:rPr>
        <w:t>Note: If the plan is to cover several appropriations, an attachment may be used.</w:t>
      </w:r>
    </w:p>
    <w:p w:rsidR="00ED5FC0" w:rsidRDefault="00ED5FC0" w:rsidP="00ED5FC0">
      <w:pPr>
        <w:pStyle w:val="BodyText"/>
        <w:spacing w:before="5"/>
        <w:rPr>
          <w:sz w:val="23"/>
        </w:rPr>
      </w:pPr>
    </w:p>
    <w:p w:rsidR="00ED5FC0" w:rsidRDefault="00ED5FC0" w:rsidP="00ED5FC0">
      <w:pPr>
        <w:pStyle w:val="ListParagraph"/>
        <w:numPr>
          <w:ilvl w:val="1"/>
          <w:numId w:val="1"/>
        </w:numPr>
        <w:tabs>
          <w:tab w:val="left" w:pos="992"/>
        </w:tabs>
        <w:ind w:right="832"/>
        <w:contextualSpacing w:val="0"/>
        <w:rPr>
          <w:sz w:val="20"/>
        </w:rPr>
      </w:pPr>
      <w:r>
        <w:rPr>
          <w:sz w:val="20"/>
        </w:rPr>
        <w:t>“Covered</w:t>
      </w:r>
      <w:r>
        <w:rPr>
          <w:spacing w:val="-3"/>
          <w:sz w:val="20"/>
        </w:rPr>
        <w:t xml:space="preserve"> </w:t>
      </w:r>
      <w:r>
        <w:rPr>
          <w:sz w:val="20"/>
        </w:rPr>
        <w:t>Expenditures”</w:t>
      </w:r>
      <w:r>
        <w:rPr>
          <w:spacing w:val="-4"/>
          <w:sz w:val="20"/>
        </w:rPr>
        <w:t xml:space="preserve"> </w:t>
      </w:r>
      <w:r>
        <w:rPr>
          <w:sz w:val="20"/>
        </w:rPr>
        <w:t>means</w:t>
      </w:r>
      <w:r>
        <w:rPr>
          <w:spacing w:val="-4"/>
          <w:sz w:val="20"/>
        </w:rPr>
        <w:t xml:space="preserve"> </w:t>
      </w:r>
      <w:r>
        <w:rPr>
          <w:sz w:val="20"/>
        </w:rPr>
        <w:t>the</w:t>
      </w:r>
      <w:r>
        <w:rPr>
          <w:spacing w:val="-3"/>
          <w:sz w:val="20"/>
        </w:rPr>
        <w:t xml:space="preserve"> </w:t>
      </w:r>
      <w:r>
        <w:rPr>
          <w:sz w:val="20"/>
        </w:rPr>
        <w:t>expenditure</w:t>
      </w:r>
      <w:r>
        <w:rPr>
          <w:spacing w:val="-3"/>
          <w:sz w:val="20"/>
        </w:rPr>
        <w:t xml:space="preserve"> </w:t>
      </w:r>
      <w:r>
        <w:rPr>
          <w:sz w:val="20"/>
        </w:rPr>
        <w:t>incurred</w:t>
      </w:r>
      <w:r>
        <w:rPr>
          <w:spacing w:val="-5"/>
          <w:sz w:val="20"/>
        </w:rPr>
        <w:t xml:space="preserve"> </w:t>
      </w:r>
      <w:r>
        <w:rPr>
          <w:sz w:val="20"/>
        </w:rPr>
        <w:t>by</w:t>
      </w:r>
      <w:r>
        <w:rPr>
          <w:spacing w:val="-8"/>
          <w:sz w:val="20"/>
        </w:rPr>
        <w:t xml:space="preserve"> </w:t>
      </w:r>
      <w:r>
        <w:rPr>
          <w:sz w:val="20"/>
        </w:rPr>
        <w:t>the</w:t>
      </w:r>
      <w:r>
        <w:rPr>
          <w:spacing w:val="-5"/>
          <w:sz w:val="20"/>
        </w:rPr>
        <w:t xml:space="preserve"> </w:t>
      </w:r>
      <w:r>
        <w:rPr>
          <w:sz w:val="20"/>
        </w:rPr>
        <w:t>Agency</w:t>
      </w:r>
      <w:r>
        <w:rPr>
          <w:spacing w:val="-8"/>
          <w:sz w:val="20"/>
        </w:rPr>
        <w:t xml:space="preserve"> </w:t>
      </w:r>
      <w:r>
        <w:rPr>
          <w:sz w:val="20"/>
        </w:rPr>
        <w:t>properly</w:t>
      </w:r>
      <w:r>
        <w:rPr>
          <w:spacing w:val="-8"/>
          <w:sz w:val="20"/>
        </w:rPr>
        <w:t xml:space="preserve"> </w:t>
      </w:r>
      <w:r>
        <w:rPr>
          <w:sz w:val="20"/>
        </w:rPr>
        <w:t>chargeable</w:t>
      </w:r>
      <w:r>
        <w:rPr>
          <w:spacing w:val="-5"/>
          <w:sz w:val="20"/>
        </w:rPr>
        <w:t xml:space="preserve"> </w:t>
      </w:r>
      <w:r>
        <w:rPr>
          <w:sz w:val="20"/>
        </w:rPr>
        <w:t>to</w:t>
      </w:r>
      <w:r>
        <w:rPr>
          <w:spacing w:val="-22"/>
          <w:sz w:val="20"/>
        </w:rPr>
        <w:t xml:space="preserve"> </w:t>
      </w:r>
      <w:r>
        <w:rPr>
          <w:sz w:val="20"/>
        </w:rPr>
        <w:t>the Primary Appropriation or Special</w:t>
      </w:r>
      <w:r>
        <w:rPr>
          <w:spacing w:val="-18"/>
          <w:sz w:val="20"/>
        </w:rPr>
        <w:t xml:space="preserve"> </w:t>
      </w:r>
      <w:r>
        <w:rPr>
          <w:sz w:val="20"/>
        </w:rPr>
        <w:t>Appropriations.</w:t>
      </w:r>
    </w:p>
    <w:p w:rsidR="00ED5FC0" w:rsidRDefault="00ED5FC0" w:rsidP="00ED5FC0">
      <w:pPr>
        <w:pStyle w:val="BodyText"/>
        <w:spacing w:before="1"/>
        <w:rPr>
          <w:sz w:val="20"/>
        </w:rPr>
      </w:pPr>
    </w:p>
    <w:p w:rsidR="00ED5FC0" w:rsidRDefault="00ED5FC0" w:rsidP="00ED5FC0">
      <w:pPr>
        <w:pStyle w:val="ListParagraph"/>
        <w:numPr>
          <w:ilvl w:val="1"/>
          <w:numId w:val="1"/>
        </w:numPr>
        <w:tabs>
          <w:tab w:val="left" w:pos="992"/>
        </w:tabs>
        <w:ind w:right="462"/>
        <w:contextualSpacing w:val="0"/>
        <w:rPr>
          <w:sz w:val="20"/>
        </w:rPr>
      </w:pPr>
      <w:r>
        <w:rPr>
          <w:sz w:val="20"/>
        </w:rPr>
        <w:t>“Federal</w:t>
      </w:r>
      <w:r>
        <w:rPr>
          <w:spacing w:val="-6"/>
          <w:sz w:val="20"/>
        </w:rPr>
        <w:t xml:space="preserve"> </w:t>
      </w:r>
      <w:r>
        <w:rPr>
          <w:sz w:val="20"/>
        </w:rPr>
        <w:t>Trust</w:t>
      </w:r>
      <w:r>
        <w:rPr>
          <w:spacing w:val="-5"/>
          <w:sz w:val="20"/>
        </w:rPr>
        <w:t xml:space="preserve"> </w:t>
      </w:r>
      <w:r>
        <w:rPr>
          <w:sz w:val="20"/>
        </w:rPr>
        <w:t>Fund</w:t>
      </w:r>
      <w:r>
        <w:rPr>
          <w:spacing w:val="-3"/>
          <w:sz w:val="20"/>
        </w:rPr>
        <w:t xml:space="preserve"> </w:t>
      </w:r>
      <w:r>
        <w:rPr>
          <w:sz w:val="20"/>
        </w:rPr>
        <w:t>Accounts”</w:t>
      </w:r>
      <w:r>
        <w:rPr>
          <w:spacing w:val="-4"/>
          <w:sz w:val="20"/>
        </w:rPr>
        <w:t xml:space="preserve"> </w:t>
      </w:r>
      <w:r>
        <w:rPr>
          <w:sz w:val="20"/>
        </w:rPr>
        <w:t>are</w:t>
      </w:r>
      <w:r>
        <w:rPr>
          <w:spacing w:val="-5"/>
          <w:sz w:val="20"/>
        </w:rPr>
        <w:t xml:space="preserve"> </w:t>
      </w:r>
      <w:r>
        <w:rPr>
          <w:sz w:val="20"/>
        </w:rPr>
        <w:t>specific</w:t>
      </w:r>
      <w:r>
        <w:rPr>
          <w:spacing w:val="-4"/>
          <w:sz w:val="20"/>
        </w:rPr>
        <w:t xml:space="preserve"> </w:t>
      </w:r>
      <w:r>
        <w:rPr>
          <w:sz w:val="20"/>
        </w:rPr>
        <w:t>accounts</w:t>
      </w:r>
      <w:r>
        <w:rPr>
          <w:spacing w:val="-4"/>
          <w:sz w:val="20"/>
        </w:rPr>
        <w:t xml:space="preserve"> </w:t>
      </w:r>
      <w:r>
        <w:rPr>
          <w:sz w:val="20"/>
        </w:rPr>
        <w:t>created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Federal</w:t>
      </w:r>
      <w:r>
        <w:rPr>
          <w:spacing w:val="-6"/>
          <w:sz w:val="20"/>
        </w:rPr>
        <w:t xml:space="preserve"> </w:t>
      </w:r>
      <w:r>
        <w:rPr>
          <w:sz w:val="20"/>
        </w:rPr>
        <w:t>Trust</w:t>
      </w:r>
      <w:r>
        <w:rPr>
          <w:spacing w:val="-5"/>
          <w:sz w:val="20"/>
        </w:rPr>
        <w:t xml:space="preserve"> </w:t>
      </w:r>
      <w:r>
        <w:rPr>
          <w:sz w:val="20"/>
        </w:rPr>
        <w:t>Fund</w:t>
      </w:r>
      <w:r>
        <w:rPr>
          <w:spacing w:val="-5"/>
          <w:sz w:val="20"/>
        </w:rPr>
        <w:t xml:space="preserve"> </w:t>
      </w:r>
      <w:r>
        <w:rPr>
          <w:sz w:val="20"/>
        </w:rPr>
        <w:t>to</w:t>
      </w:r>
      <w:r>
        <w:rPr>
          <w:spacing w:val="-5"/>
          <w:sz w:val="20"/>
        </w:rPr>
        <w:t xml:space="preserve"> </w:t>
      </w:r>
      <w:r>
        <w:rPr>
          <w:sz w:val="20"/>
        </w:rPr>
        <w:t>hold</w:t>
      </w:r>
      <w:r>
        <w:rPr>
          <w:spacing w:val="-20"/>
          <w:sz w:val="20"/>
        </w:rPr>
        <w:t xml:space="preserve"> </w:t>
      </w:r>
      <w:r>
        <w:rPr>
          <w:sz w:val="20"/>
        </w:rPr>
        <w:t>Federal funds as approved by the State Controller’s Office on Form AUD</w:t>
      </w:r>
      <w:r>
        <w:rPr>
          <w:spacing w:val="-27"/>
          <w:sz w:val="20"/>
        </w:rPr>
        <w:t xml:space="preserve"> </w:t>
      </w:r>
      <w:r>
        <w:rPr>
          <w:sz w:val="20"/>
        </w:rPr>
        <w:t>10A.</w:t>
      </w:r>
    </w:p>
    <w:p w:rsidR="00ED5FC0" w:rsidRDefault="00ED5FC0" w:rsidP="00ED5FC0">
      <w:pPr>
        <w:pStyle w:val="BodyText"/>
        <w:spacing w:before="1"/>
        <w:rPr>
          <w:sz w:val="20"/>
        </w:rPr>
      </w:pPr>
    </w:p>
    <w:p w:rsidR="00ED5FC0" w:rsidRDefault="00ED5FC0" w:rsidP="00ED5FC0">
      <w:pPr>
        <w:pStyle w:val="ListParagraph"/>
        <w:numPr>
          <w:ilvl w:val="0"/>
          <w:numId w:val="1"/>
        </w:numPr>
        <w:tabs>
          <w:tab w:val="left" w:pos="541"/>
        </w:tabs>
        <w:ind w:hanging="360"/>
        <w:contextualSpacing w:val="0"/>
        <w:jc w:val="left"/>
        <w:rPr>
          <w:sz w:val="20"/>
        </w:rPr>
      </w:pPr>
      <w:r>
        <w:rPr>
          <w:sz w:val="20"/>
        </w:rPr>
        <w:t>All covered expenditures may be paid, in the first instance, from the Primary</w:t>
      </w:r>
      <w:r>
        <w:rPr>
          <w:spacing w:val="-44"/>
          <w:sz w:val="20"/>
        </w:rPr>
        <w:t xml:space="preserve"> </w:t>
      </w:r>
      <w:r>
        <w:rPr>
          <w:sz w:val="20"/>
        </w:rPr>
        <w:t>Appropriation.</w:t>
      </w:r>
    </w:p>
    <w:p w:rsidR="00ED5FC0" w:rsidRDefault="00ED5FC0" w:rsidP="00ED5FC0">
      <w:pPr>
        <w:pStyle w:val="BodyText"/>
        <w:spacing w:before="1"/>
        <w:rPr>
          <w:sz w:val="20"/>
        </w:rPr>
      </w:pPr>
    </w:p>
    <w:p w:rsidR="00ED5FC0" w:rsidRDefault="00ED5FC0" w:rsidP="00ED5FC0">
      <w:pPr>
        <w:pStyle w:val="ListParagraph"/>
        <w:numPr>
          <w:ilvl w:val="0"/>
          <w:numId w:val="1"/>
        </w:numPr>
        <w:tabs>
          <w:tab w:val="left" w:pos="541"/>
        </w:tabs>
        <w:ind w:right="673" w:hanging="360"/>
        <w:contextualSpacing w:val="0"/>
        <w:jc w:val="left"/>
        <w:rPr>
          <w:sz w:val="20"/>
        </w:rPr>
      </w:pPr>
      <w:proofErr w:type="gramStart"/>
      <w:r>
        <w:rPr>
          <w:sz w:val="20"/>
        </w:rPr>
        <w:t>On</w:t>
      </w:r>
      <w:r>
        <w:rPr>
          <w:spacing w:val="-2"/>
          <w:sz w:val="20"/>
        </w:rPr>
        <w:t xml:space="preserve"> </w:t>
      </w:r>
      <w:r>
        <w:rPr>
          <w:sz w:val="20"/>
        </w:rPr>
        <w:t>the basis</w:t>
      </w:r>
      <w:r>
        <w:rPr>
          <w:spacing w:val="-1"/>
          <w:sz w:val="20"/>
        </w:rPr>
        <w:t xml:space="preserve"> </w:t>
      </w:r>
      <w:r>
        <w:rPr>
          <w:sz w:val="20"/>
        </w:rPr>
        <w:t>of</w:t>
      </w:r>
      <w:proofErr w:type="gramEnd"/>
      <w:r>
        <w:rPr>
          <w:sz w:val="20"/>
        </w:rPr>
        <w:t xml:space="preserve"> data</w:t>
      </w:r>
      <w:r>
        <w:rPr>
          <w:spacing w:val="-2"/>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records maintained</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Agency</w:t>
      </w:r>
      <w:r>
        <w:rPr>
          <w:spacing w:val="-5"/>
          <w:sz w:val="20"/>
        </w:rPr>
        <w:t xml:space="preserve"> </w:t>
      </w:r>
      <w:r>
        <w:rPr>
          <w:sz w:val="20"/>
        </w:rPr>
        <w:t>and in</w:t>
      </w:r>
      <w:r>
        <w:rPr>
          <w:spacing w:val="-2"/>
          <w:sz w:val="20"/>
        </w:rPr>
        <w:t xml:space="preserve"> </w:t>
      </w:r>
      <w:r>
        <w:rPr>
          <w:sz w:val="20"/>
        </w:rPr>
        <w:t>accordance with</w:t>
      </w:r>
      <w:r>
        <w:rPr>
          <w:spacing w:val="-2"/>
          <w:sz w:val="20"/>
        </w:rPr>
        <w:t xml:space="preserve"> </w:t>
      </w:r>
      <w:r>
        <w:rPr>
          <w:sz w:val="20"/>
        </w:rPr>
        <w:t>the</w:t>
      </w:r>
      <w:r>
        <w:rPr>
          <w:spacing w:val="-2"/>
          <w:sz w:val="20"/>
        </w:rPr>
        <w:t xml:space="preserve"> </w:t>
      </w:r>
      <w:r>
        <w:rPr>
          <w:sz w:val="20"/>
        </w:rPr>
        <w:t>plan</w:t>
      </w:r>
      <w:r>
        <w:rPr>
          <w:spacing w:val="-21"/>
          <w:sz w:val="20"/>
        </w:rPr>
        <w:t xml:space="preserve"> </w:t>
      </w:r>
      <w:r>
        <w:rPr>
          <w:sz w:val="20"/>
        </w:rPr>
        <w:t>of cost allocation employed by it, the Agency will determine and record the amounts expended from the Primary</w:t>
      </w:r>
      <w:r>
        <w:rPr>
          <w:spacing w:val="-15"/>
          <w:sz w:val="20"/>
        </w:rPr>
        <w:t xml:space="preserve"> </w:t>
      </w:r>
      <w:r>
        <w:rPr>
          <w:sz w:val="20"/>
        </w:rPr>
        <w:t>Appropriation.</w:t>
      </w:r>
    </w:p>
    <w:p w:rsidR="00ED5FC0" w:rsidRDefault="00ED5FC0" w:rsidP="00ED5FC0">
      <w:pPr>
        <w:pStyle w:val="BodyText"/>
        <w:spacing w:before="2"/>
        <w:rPr>
          <w:sz w:val="20"/>
        </w:rPr>
      </w:pPr>
    </w:p>
    <w:p w:rsidR="00ED5FC0" w:rsidRDefault="00ED5FC0" w:rsidP="00ED5FC0">
      <w:pPr>
        <w:pStyle w:val="ListParagraph"/>
        <w:numPr>
          <w:ilvl w:val="0"/>
          <w:numId w:val="1"/>
        </w:numPr>
        <w:tabs>
          <w:tab w:val="left" w:pos="541"/>
        </w:tabs>
        <w:ind w:right="668" w:hanging="360"/>
        <w:contextualSpacing w:val="0"/>
        <w:jc w:val="left"/>
        <w:rPr>
          <w:sz w:val="20"/>
        </w:rPr>
      </w:pPr>
      <w:r>
        <w:rPr>
          <w:sz w:val="20"/>
        </w:rPr>
        <w:t>Once a month, the Agency shall file a request with the State Controller to transfer from the Primary Appropriation</w:t>
      </w:r>
      <w:r>
        <w:rPr>
          <w:spacing w:val="-6"/>
          <w:sz w:val="20"/>
        </w:rPr>
        <w:t xml:space="preserve"> </w:t>
      </w:r>
      <w:r>
        <w:rPr>
          <w:sz w:val="20"/>
        </w:rPr>
        <w:t>as</w:t>
      </w:r>
      <w:r>
        <w:rPr>
          <w:spacing w:val="-5"/>
          <w:sz w:val="20"/>
        </w:rPr>
        <w:t xml:space="preserve"> </w:t>
      </w:r>
      <w:r>
        <w:rPr>
          <w:sz w:val="20"/>
        </w:rPr>
        <w:t>established</w:t>
      </w:r>
      <w:r>
        <w:rPr>
          <w:spacing w:val="-6"/>
          <w:sz w:val="20"/>
        </w:rPr>
        <w:t xml:space="preserve"> </w:t>
      </w:r>
      <w:r>
        <w:rPr>
          <w:sz w:val="20"/>
        </w:rPr>
        <w:t>under</w:t>
      </w:r>
      <w:r>
        <w:rPr>
          <w:spacing w:val="-5"/>
          <w:sz w:val="20"/>
        </w:rPr>
        <w:t xml:space="preserve"> </w:t>
      </w:r>
      <w:r>
        <w:rPr>
          <w:sz w:val="20"/>
        </w:rPr>
        <w:t>“1.</w:t>
      </w:r>
      <w:r>
        <w:rPr>
          <w:spacing w:val="-4"/>
          <w:sz w:val="20"/>
        </w:rPr>
        <w:t xml:space="preserve"> </w:t>
      </w:r>
      <w:r>
        <w:rPr>
          <w:sz w:val="20"/>
        </w:rPr>
        <w:t>b.,”</w:t>
      </w:r>
      <w:r>
        <w:rPr>
          <w:spacing w:val="-5"/>
          <w:sz w:val="20"/>
        </w:rPr>
        <w:t xml:space="preserve"> </w:t>
      </w:r>
      <w:r>
        <w:rPr>
          <w:sz w:val="20"/>
        </w:rPr>
        <w:t>above,</w:t>
      </w:r>
      <w:r>
        <w:rPr>
          <w:spacing w:val="-4"/>
          <w:sz w:val="20"/>
        </w:rPr>
        <w:t xml:space="preserve"> </w:t>
      </w:r>
      <w:r>
        <w:rPr>
          <w:sz w:val="20"/>
        </w:rPr>
        <w:t>an</w:t>
      </w:r>
      <w:r>
        <w:rPr>
          <w:spacing w:val="-6"/>
          <w:sz w:val="20"/>
        </w:rPr>
        <w:t xml:space="preserve"> </w:t>
      </w:r>
      <w:r>
        <w:rPr>
          <w:sz w:val="20"/>
        </w:rPr>
        <w:t>amount</w:t>
      </w:r>
      <w:r>
        <w:rPr>
          <w:spacing w:val="-6"/>
          <w:sz w:val="20"/>
        </w:rPr>
        <w:t xml:space="preserve"> </w:t>
      </w:r>
      <w:r>
        <w:rPr>
          <w:sz w:val="20"/>
        </w:rPr>
        <w:t>which</w:t>
      </w:r>
      <w:r>
        <w:rPr>
          <w:spacing w:val="-6"/>
          <w:sz w:val="20"/>
        </w:rPr>
        <w:t xml:space="preserve"> </w:t>
      </w:r>
      <w:r>
        <w:rPr>
          <w:sz w:val="20"/>
        </w:rPr>
        <w:t>equals</w:t>
      </w:r>
      <w:r>
        <w:rPr>
          <w:spacing w:val="-5"/>
          <w:sz w:val="20"/>
        </w:rPr>
        <w:t xml:space="preserve"> </w:t>
      </w:r>
      <w:r>
        <w:rPr>
          <w:sz w:val="20"/>
        </w:rPr>
        <w:t>expenditures</w:t>
      </w:r>
      <w:r>
        <w:rPr>
          <w:spacing w:val="-3"/>
          <w:sz w:val="20"/>
        </w:rPr>
        <w:t xml:space="preserve"> </w:t>
      </w:r>
      <w:r>
        <w:rPr>
          <w:sz w:val="20"/>
        </w:rPr>
        <w:t>determine</w:t>
      </w:r>
      <w:r w:rsidR="004D6191">
        <w:rPr>
          <w:sz w:val="20"/>
        </w:rPr>
        <w:t>d</w:t>
      </w:r>
      <w:r>
        <w:rPr>
          <w:spacing w:val="-29"/>
          <w:sz w:val="20"/>
        </w:rPr>
        <w:t xml:space="preserve"> </w:t>
      </w:r>
      <w:r>
        <w:rPr>
          <w:sz w:val="20"/>
        </w:rPr>
        <w:t>under “3,” above, which are chargeable to the Special Appropriations. Such a transfer may be made on an estimated basis, if needed, and then must be followed by an actual expenditure transfer for the</w:t>
      </w:r>
      <w:r>
        <w:rPr>
          <w:spacing w:val="-35"/>
          <w:sz w:val="20"/>
        </w:rPr>
        <w:t xml:space="preserve"> </w:t>
      </w:r>
      <w:r>
        <w:rPr>
          <w:sz w:val="20"/>
        </w:rPr>
        <w:t>month.</w:t>
      </w:r>
    </w:p>
    <w:p w:rsidR="00ED5FC0" w:rsidRDefault="00ED5FC0" w:rsidP="00ED5FC0">
      <w:pPr>
        <w:pStyle w:val="BodyText"/>
        <w:rPr>
          <w:sz w:val="22"/>
        </w:rPr>
      </w:pPr>
    </w:p>
    <w:p w:rsidR="00ED5FC0" w:rsidRDefault="00ED5FC0" w:rsidP="00ED5FC0">
      <w:pPr>
        <w:pStyle w:val="BodyText"/>
        <w:spacing w:before="9"/>
        <w:rPr>
          <w:sz w:val="17"/>
        </w:rPr>
      </w:pPr>
    </w:p>
    <w:p w:rsidR="00ED5FC0" w:rsidRDefault="00ED5FC0" w:rsidP="00ED5FC0">
      <w:pPr>
        <w:pStyle w:val="ListParagraph"/>
        <w:numPr>
          <w:ilvl w:val="1"/>
          <w:numId w:val="1"/>
        </w:numPr>
        <w:tabs>
          <w:tab w:val="left" w:pos="901"/>
        </w:tabs>
        <w:spacing w:before="1"/>
        <w:ind w:left="900" w:right="994"/>
        <w:contextualSpacing w:val="0"/>
        <w:rPr>
          <w:sz w:val="20"/>
        </w:rPr>
      </w:pPr>
      <w:r>
        <w:rPr>
          <w:sz w:val="20"/>
        </w:rPr>
        <w:t>As an advance as authorized by Government Code Section 16365(b), an amount the</w:t>
      </w:r>
      <w:r>
        <w:rPr>
          <w:spacing w:val="-41"/>
          <w:sz w:val="20"/>
        </w:rPr>
        <w:t xml:space="preserve"> </w:t>
      </w:r>
      <w:r>
        <w:rPr>
          <w:sz w:val="20"/>
        </w:rPr>
        <w:t>Department anticipates will be expended for the purpose of the Federal</w:t>
      </w:r>
      <w:r>
        <w:rPr>
          <w:spacing w:val="-19"/>
          <w:sz w:val="20"/>
        </w:rPr>
        <w:t xml:space="preserve"> </w:t>
      </w:r>
      <w:r>
        <w:rPr>
          <w:sz w:val="20"/>
        </w:rPr>
        <w:t>funds.</w:t>
      </w:r>
    </w:p>
    <w:p w:rsidR="00ED5FC0" w:rsidRDefault="00ED5FC0" w:rsidP="00ED5FC0">
      <w:pPr>
        <w:pStyle w:val="BodyText"/>
        <w:rPr>
          <w:sz w:val="12"/>
        </w:rPr>
      </w:pPr>
    </w:p>
    <w:p w:rsidR="00ED5FC0" w:rsidRDefault="00ED5FC0" w:rsidP="00ED5FC0">
      <w:pPr>
        <w:spacing w:before="93"/>
        <w:ind w:left="540"/>
        <w:rPr>
          <w:sz w:val="20"/>
        </w:rPr>
      </w:pPr>
      <w:r>
        <w:rPr>
          <w:sz w:val="20"/>
        </w:rPr>
        <w:t>or</w:t>
      </w:r>
    </w:p>
    <w:p w:rsidR="00ED5FC0" w:rsidRDefault="00ED5FC0" w:rsidP="00ED5FC0">
      <w:pPr>
        <w:pStyle w:val="BodyText"/>
        <w:spacing w:before="5"/>
        <w:rPr>
          <w:sz w:val="19"/>
        </w:rPr>
      </w:pPr>
    </w:p>
    <w:p w:rsidR="00ED5FC0" w:rsidRDefault="00ED5FC0" w:rsidP="00ED5FC0">
      <w:pPr>
        <w:ind w:left="1897" w:right="1717"/>
        <w:jc w:val="center"/>
        <w:rPr>
          <w:b/>
          <w:i/>
        </w:rPr>
      </w:pPr>
      <w:r>
        <w:rPr>
          <w:b/>
          <w:i/>
        </w:rPr>
        <w:t>(8452.1 Illustration 3, page 1)</w:t>
      </w:r>
      <w:r>
        <w:rPr>
          <w:b/>
          <w:i/>
        </w:rPr>
        <w:br w:type="page"/>
      </w:r>
    </w:p>
    <w:p w:rsidR="00ED5FC0" w:rsidRDefault="00ED5FC0" w:rsidP="00ED5FC0">
      <w:pPr>
        <w:pStyle w:val="ListParagraph"/>
        <w:numPr>
          <w:ilvl w:val="1"/>
          <w:numId w:val="1"/>
        </w:numPr>
        <w:tabs>
          <w:tab w:val="left" w:pos="901"/>
        </w:tabs>
        <w:spacing w:before="93"/>
        <w:ind w:left="900" w:right="1377"/>
        <w:contextualSpacing w:val="0"/>
        <w:rPr>
          <w:sz w:val="20"/>
        </w:rPr>
      </w:pPr>
      <w:r>
        <w:rPr>
          <w:sz w:val="20"/>
        </w:rPr>
        <w:lastRenderedPageBreak/>
        <w:t>To</w:t>
      </w:r>
      <w:r>
        <w:rPr>
          <w:spacing w:val="-4"/>
          <w:sz w:val="20"/>
        </w:rPr>
        <w:t xml:space="preserve"> </w:t>
      </w:r>
      <w:r>
        <w:rPr>
          <w:sz w:val="20"/>
        </w:rPr>
        <w:t>reimburse</w:t>
      </w:r>
      <w:r>
        <w:rPr>
          <w:spacing w:val="-4"/>
          <w:sz w:val="20"/>
        </w:rPr>
        <w:t xml:space="preserve"> </w:t>
      </w:r>
      <w:r>
        <w:rPr>
          <w:sz w:val="20"/>
        </w:rPr>
        <w:t>the</w:t>
      </w:r>
      <w:r>
        <w:rPr>
          <w:spacing w:val="-2"/>
          <w:sz w:val="20"/>
        </w:rPr>
        <w:t xml:space="preserve"> </w:t>
      </w:r>
      <w:r>
        <w:rPr>
          <w:sz w:val="20"/>
        </w:rPr>
        <w:t>Appropriation(s)</w:t>
      </w:r>
      <w:r>
        <w:rPr>
          <w:spacing w:val="-3"/>
          <w:sz w:val="20"/>
        </w:rPr>
        <w:t xml:space="preserve"> </w:t>
      </w:r>
      <w:r>
        <w:rPr>
          <w:sz w:val="20"/>
        </w:rPr>
        <w:t>for</w:t>
      </w:r>
      <w:r>
        <w:rPr>
          <w:spacing w:val="-4"/>
          <w:sz w:val="20"/>
        </w:rPr>
        <w:t xml:space="preserve"> </w:t>
      </w:r>
      <w:r>
        <w:rPr>
          <w:sz w:val="20"/>
        </w:rPr>
        <w:t>expenditures</w:t>
      </w:r>
      <w:r>
        <w:rPr>
          <w:spacing w:val="-2"/>
          <w:sz w:val="20"/>
        </w:rPr>
        <w:t xml:space="preserve"> </w:t>
      </w:r>
      <w:r>
        <w:rPr>
          <w:sz w:val="20"/>
        </w:rPr>
        <w:t>made</w:t>
      </w:r>
      <w:r>
        <w:rPr>
          <w:spacing w:val="-4"/>
          <w:sz w:val="20"/>
        </w:rPr>
        <w:t xml:space="preserve"> </w:t>
      </w:r>
      <w:r>
        <w:rPr>
          <w:sz w:val="20"/>
        </w:rPr>
        <w:t>on</w:t>
      </w:r>
      <w:r>
        <w:rPr>
          <w:spacing w:val="-4"/>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Federal</w:t>
      </w:r>
      <w:r>
        <w:rPr>
          <w:spacing w:val="-2"/>
          <w:sz w:val="20"/>
        </w:rPr>
        <w:t xml:space="preserve"> </w:t>
      </w:r>
      <w:r>
        <w:rPr>
          <w:sz w:val="20"/>
        </w:rPr>
        <w:t>Trust</w:t>
      </w:r>
      <w:r>
        <w:rPr>
          <w:spacing w:val="-21"/>
          <w:sz w:val="20"/>
        </w:rPr>
        <w:t xml:space="preserve"> </w:t>
      </w:r>
      <w:r>
        <w:rPr>
          <w:sz w:val="20"/>
        </w:rPr>
        <w:t>Fund Account(s).</w:t>
      </w:r>
    </w:p>
    <w:p w:rsidR="00ED5FC0" w:rsidRDefault="00ED5FC0" w:rsidP="00ED5FC0">
      <w:pPr>
        <w:pStyle w:val="BodyText"/>
        <w:rPr>
          <w:sz w:val="22"/>
        </w:rPr>
      </w:pPr>
    </w:p>
    <w:p w:rsidR="00ED5FC0" w:rsidRDefault="00ED5FC0" w:rsidP="00ED5FC0">
      <w:pPr>
        <w:pStyle w:val="BodyText"/>
        <w:spacing w:before="11"/>
        <w:rPr>
          <w:sz w:val="17"/>
        </w:rPr>
      </w:pPr>
    </w:p>
    <w:p w:rsidR="00ED5FC0" w:rsidRDefault="00ED5FC0" w:rsidP="00ED5FC0">
      <w:pPr>
        <w:pStyle w:val="ListParagraph"/>
        <w:numPr>
          <w:ilvl w:val="0"/>
          <w:numId w:val="1"/>
        </w:numPr>
        <w:tabs>
          <w:tab w:val="left" w:pos="541"/>
        </w:tabs>
        <w:ind w:right="475" w:hanging="360"/>
        <w:contextualSpacing w:val="0"/>
        <w:jc w:val="left"/>
        <w:rPr>
          <w:sz w:val="20"/>
        </w:rPr>
      </w:pPr>
      <w:r>
        <w:rPr>
          <w:sz w:val="20"/>
        </w:rPr>
        <w:t>At</w:t>
      </w:r>
      <w:r>
        <w:rPr>
          <w:spacing w:val="-2"/>
          <w:sz w:val="20"/>
        </w:rPr>
        <w:t xml:space="preserve"> </w:t>
      </w:r>
      <w:r>
        <w:rPr>
          <w:sz w:val="20"/>
        </w:rPr>
        <w:t>any</w:t>
      </w:r>
      <w:r>
        <w:rPr>
          <w:spacing w:val="-3"/>
          <w:sz w:val="20"/>
        </w:rPr>
        <w:t xml:space="preserve"> </w:t>
      </w:r>
      <w:r>
        <w:rPr>
          <w:sz w:val="20"/>
        </w:rPr>
        <w:t>time</w:t>
      </w:r>
      <w:r>
        <w:rPr>
          <w:spacing w:val="-2"/>
          <w:sz w:val="20"/>
        </w:rPr>
        <w:t xml:space="preserve"> </w:t>
      </w:r>
      <w:r>
        <w:rPr>
          <w:sz w:val="20"/>
        </w:rPr>
        <w:t>after</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of a</w:t>
      </w:r>
      <w:r>
        <w:rPr>
          <w:spacing w:val="-2"/>
          <w:sz w:val="20"/>
        </w:rPr>
        <w:t xml:space="preserve"> </w:t>
      </w:r>
      <w:r>
        <w:rPr>
          <w:sz w:val="20"/>
        </w:rPr>
        <w:t>period</w:t>
      </w:r>
      <w:r>
        <w:rPr>
          <w:spacing w:val="-2"/>
          <w:sz w:val="20"/>
        </w:rPr>
        <w:t xml:space="preserve"> </w:t>
      </w:r>
      <w:r>
        <w:rPr>
          <w:sz w:val="20"/>
        </w:rPr>
        <w:t>covered</w:t>
      </w:r>
      <w:r>
        <w:rPr>
          <w:spacing w:val="-2"/>
          <w:sz w:val="20"/>
        </w:rPr>
        <w:t xml:space="preserve"> </w:t>
      </w:r>
      <w:r>
        <w:rPr>
          <w:sz w:val="20"/>
        </w:rPr>
        <w:t>by</w:t>
      </w:r>
      <w:r>
        <w:rPr>
          <w:spacing w:val="-3"/>
          <w:sz w:val="20"/>
        </w:rPr>
        <w:t xml:space="preserve"> </w:t>
      </w:r>
      <w:r>
        <w:rPr>
          <w:sz w:val="20"/>
        </w:rPr>
        <w:t>previous</w:t>
      </w:r>
      <w:r>
        <w:rPr>
          <w:spacing w:val="-1"/>
          <w:sz w:val="20"/>
        </w:rPr>
        <w:t xml:space="preserve"> </w:t>
      </w:r>
      <w:r>
        <w:rPr>
          <w:sz w:val="20"/>
        </w:rPr>
        <w:t>requests</w:t>
      </w:r>
      <w:r>
        <w:rPr>
          <w:spacing w:val="-1"/>
          <w:sz w:val="20"/>
        </w:rPr>
        <w:t xml:space="preserve"> </w:t>
      </w:r>
      <w:r>
        <w:rPr>
          <w:sz w:val="20"/>
        </w:rPr>
        <w:t>for</w:t>
      </w:r>
      <w:r>
        <w:rPr>
          <w:spacing w:val="-2"/>
          <w:sz w:val="20"/>
        </w:rPr>
        <w:t xml:space="preserve"> </w:t>
      </w:r>
      <w:r>
        <w:rPr>
          <w:sz w:val="20"/>
        </w:rPr>
        <w:t>transfer</w:t>
      </w:r>
      <w:r>
        <w:rPr>
          <w:spacing w:val="-2"/>
          <w:sz w:val="20"/>
        </w:rPr>
        <w:t xml:space="preserve"> </w:t>
      </w:r>
      <w:r>
        <w:rPr>
          <w:sz w:val="20"/>
        </w:rPr>
        <w:t>of</w:t>
      </w:r>
      <w:r>
        <w:rPr>
          <w:spacing w:val="-1"/>
          <w:sz w:val="20"/>
        </w:rPr>
        <w:t xml:space="preserve"> </w:t>
      </w:r>
      <w:r>
        <w:rPr>
          <w:sz w:val="20"/>
        </w:rPr>
        <w:t>funds,</w:t>
      </w:r>
      <w:r>
        <w:rPr>
          <w:spacing w:val="-2"/>
          <w:sz w:val="20"/>
        </w:rPr>
        <w:t xml:space="preserve"> </w:t>
      </w:r>
      <w:r>
        <w:rPr>
          <w:sz w:val="20"/>
        </w:rPr>
        <w:t>the</w:t>
      </w:r>
      <w:r>
        <w:rPr>
          <w:spacing w:val="-1"/>
          <w:sz w:val="20"/>
        </w:rPr>
        <w:t xml:space="preserve"> </w:t>
      </w:r>
      <w:r>
        <w:rPr>
          <w:sz w:val="20"/>
        </w:rPr>
        <w:t>Agency</w:t>
      </w:r>
      <w:r>
        <w:rPr>
          <w:spacing w:val="-5"/>
          <w:sz w:val="20"/>
        </w:rPr>
        <w:t xml:space="preserve"> </w:t>
      </w:r>
      <w:r>
        <w:rPr>
          <w:sz w:val="20"/>
        </w:rPr>
        <w:t>may</w:t>
      </w:r>
      <w:r>
        <w:rPr>
          <w:spacing w:val="-30"/>
          <w:sz w:val="20"/>
        </w:rPr>
        <w:t xml:space="preserve"> </w:t>
      </w:r>
      <w:r>
        <w:rPr>
          <w:sz w:val="20"/>
        </w:rPr>
        <w:t xml:space="preserve">file with the State Controller requests for </w:t>
      </w:r>
      <w:r w:rsidR="004D6191">
        <w:rPr>
          <w:sz w:val="20"/>
        </w:rPr>
        <w:t>t</w:t>
      </w:r>
      <w:r>
        <w:rPr>
          <w:sz w:val="20"/>
        </w:rPr>
        <w:t>ransfer to make final adjustments after the close of such</w:t>
      </w:r>
      <w:r w:rsidR="004D6191">
        <w:rPr>
          <w:sz w:val="20"/>
        </w:rPr>
        <w:t xml:space="preserve"> </w:t>
      </w:r>
      <w:bookmarkStart w:id="0" w:name="_GoBack"/>
      <w:bookmarkEnd w:id="0"/>
      <w:r>
        <w:rPr>
          <w:spacing w:val="-44"/>
          <w:sz w:val="20"/>
        </w:rPr>
        <w:t xml:space="preserve"> </w:t>
      </w:r>
      <w:r>
        <w:rPr>
          <w:sz w:val="20"/>
        </w:rPr>
        <w:t>period.</w:t>
      </w:r>
    </w:p>
    <w:p w:rsidR="00ED5FC0" w:rsidRDefault="00ED5FC0" w:rsidP="00ED5FC0">
      <w:pPr>
        <w:pStyle w:val="BodyText"/>
        <w:spacing w:before="10"/>
        <w:rPr>
          <w:sz w:val="19"/>
        </w:rPr>
      </w:pPr>
    </w:p>
    <w:p w:rsidR="00ED5FC0" w:rsidRDefault="00ED5FC0" w:rsidP="00ED5FC0">
      <w:pPr>
        <w:pStyle w:val="ListParagraph"/>
        <w:numPr>
          <w:ilvl w:val="0"/>
          <w:numId w:val="1"/>
        </w:numPr>
        <w:tabs>
          <w:tab w:val="left" w:pos="541"/>
        </w:tabs>
        <w:spacing w:before="1"/>
        <w:ind w:right="820" w:hanging="360"/>
        <w:contextualSpacing w:val="0"/>
        <w:jc w:val="left"/>
        <w:rPr>
          <w:sz w:val="20"/>
        </w:rPr>
      </w:pPr>
      <w:r>
        <w:rPr>
          <w:sz w:val="20"/>
        </w:rPr>
        <w:t>Requests</w:t>
      </w:r>
      <w:r>
        <w:rPr>
          <w:spacing w:val="-2"/>
          <w:sz w:val="20"/>
        </w:rPr>
        <w:t xml:space="preserve"> </w:t>
      </w:r>
      <w:r>
        <w:rPr>
          <w:sz w:val="20"/>
        </w:rPr>
        <w:t>for</w:t>
      </w:r>
      <w:r>
        <w:rPr>
          <w:spacing w:val="-3"/>
          <w:sz w:val="20"/>
        </w:rPr>
        <w:t xml:space="preserve"> </w:t>
      </w:r>
      <w:r>
        <w:rPr>
          <w:sz w:val="20"/>
        </w:rPr>
        <w:t>transfer</w:t>
      </w:r>
      <w:r>
        <w:rPr>
          <w:spacing w:val="-3"/>
          <w:sz w:val="20"/>
        </w:rPr>
        <w:t xml:space="preserve"> </w:t>
      </w:r>
      <w:r>
        <w:rPr>
          <w:sz w:val="20"/>
        </w:rPr>
        <w:t>under</w:t>
      </w:r>
      <w:r>
        <w:rPr>
          <w:spacing w:val="-3"/>
          <w:sz w:val="20"/>
        </w:rPr>
        <w:t xml:space="preserve"> </w:t>
      </w:r>
      <w:r>
        <w:rPr>
          <w:sz w:val="20"/>
        </w:rPr>
        <w:t>this</w:t>
      </w:r>
      <w:r>
        <w:rPr>
          <w:spacing w:val="-2"/>
          <w:sz w:val="20"/>
        </w:rPr>
        <w:t xml:space="preserve"> </w:t>
      </w:r>
      <w:r>
        <w:rPr>
          <w:sz w:val="20"/>
        </w:rPr>
        <w:t>plan</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accompanied</w:t>
      </w:r>
      <w:r>
        <w:rPr>
          <w:spacing w:val="-3"/>
          <w:sz w:val="20"/>
        </w:rPr>
        <w:t xml:space="preserve"> </w:t>
      </w:r>
      <w:r>
        <w:rPr>
          <w:sz w:val="20"/>
        </w:rPr>
        <w:t>by</w:t>
      </w:r>
      <w:r>
        <w:rPr>
          <w:spacing w:val="-6"/>
          <w:sz w:val="20"/>
        </w:rPr>
        <w:t xml:space="preserve"> </w:t>
      </w:r>
      <w:r>
        <w:rPr>
          <w:sz w:val="20"/>
        </w:rPr>
        <w:t>such</w:t>
      </w:r>
      <w:r>
        <w:rPr>
          <w:spacing w:val="-3"/>
          <w:sz w:val="20"/>
        </w:rPr>
        <w:t xml:space="preserve"> </w:t>
      </w:r>
      <w:r>
        <w:rPr>
          <w:sz w:val="20"/>
        </w:rPr>
        <w:t>supporting</w:t>
      </w:r>
      <w:r>
        <w:rPr>
          <w:spacing w:val="-1"/>
          <w:sz w:val="20"/>
        </w:rPr>
        <w:t xml:space="preserve"> </w:t>
      </w:r>
      <w:r>
        <w:rPr>
          <w:sz w:val="20"/>
        </w:rPr>
        <w:t>detail</w:t>
      </w:r>
      <w:r>
        <w:rPr>
          <w:spacing w:val="-4"/>
          <w:sz w:val="20"/>
        </w:rPr>
        <w:t xml:space="preserve"> </w:t>
      </w:r>
      <w:r>
        <w:rPr>
          <w:sz w:val="20"/>
        </w:rPr>
        <w:t>as</w:t>
      </w:r>
      <w:r>
        <w:rPr>
          <w:spacing w:val="-2"/>
          <w:sz w:val="20"/>
        </w:rPr>
        <w:t xml:space="preserve"> </w:t>
      </w:r>
      <w:r>
        <w:rPr>
          <w:sz w:val="20"/>
        </w:rPr>
        <w:t>may</w:t>
      </w:r>
      <w:r>
        <w:rPr>
          <w:spacing w:val="-7"/>
          <w:sz w:val="20"/>
        </w:rPr>
        <w:t xml:space="preserve"> </w:t>
      </w:r>
      <w:r>
        <w:rPr>
          <w:sz w:val="20"/>
        </w:rPr>
        <w:t>be</w:t>
      </w:r>
      <w:r>
        <w:rPr>
          <w:spacing w:val="-26"/>
          <w:sz w:val="20"/>
        </w:rPr>
        <w:t xml:space="preserve"> </w:t>
      </w:r>
      <w:r>
        <w:rPr>
          <w:sz w:val="20"/>
        </w:rPr>
        <w:t>normally required by the Department of Finance and the State</w:t>
      </w:r>
      <w:r>
        <w:rPr>
          <w:spacing w:val="-24"/>
          <w:sz w:val="20"/>
        </w:rPr>
        <w:t xml:space="preserve"> </w:t>
      </w:r>
      <w:r>
        <w:rPr>
          <w:sz w:val="20"/>
        </w:rPr>
        <w:t>Controller.</w:t>
      </w:r>
    </w:p>
    <w:p w:rsidR="00ED5FC0" w:rsidRDefault="00ED5FC0" w:rsidP="00ED5FC0">
      <w:pPr>
        <w:pStyle w:val="BodyText"/>
        <w:spacing w:before="7"/>
        <w:rPr>
          <w:sz w:val="19"/>
        </w:rPr>
      </w:pPr>
    </w:p>
    <w:p w:rsidR="00ED5FC0" w:rsidRDefault="00ED5FC0" w:rsidP="00ED5FC0">
      <w:pPr>
        <w:ind w:left="540" w:right="343"/>
        <w:rPr>
          <w:sz w:val="20"/>
        </w:rPr>
      </w:pPr>
      <w:r>
        <w:rPr>
          <w:sz w:val="20"/>
        </w:rPr>
        <w:t>Requests for transfers under this plan will be addressed to the State Controller’s Office, State Accounting and Reporting Division, 3301 C Street, Suite 760, Sacramento, CA 95816, and be certified in the following language:</w:t>
      </w:r>
    </w:p>
    <w:p w:rsidR="00ED5FC0" w:rsidRDefault="00ED5FC0" w:rsidP="00ED5FC0">
      <w:pPr>
        <w:pStyle w:val="BodyText"/>
        <w:spacing w:before="2"/>
        <w:rPr>
          <w:sz w:val="20"/>
        </w:rPr>
      </w:pPr>
    </w:p>
    <w:p w:rsidR="00ED5FC0" w:rsidRDefault="00ED5FC0" w:rsidP="00ED5FC0">
      <w:pPr>
        <w:ind w:left="900" w:right="343"/>
        <w:rPr>
          <w:sz w:val="20"/>
        </w:rPr>
      </w:pPr>
      <w:r>
        <w:rPr>
          <w:sz w:val="20"/>
        </w:rPr>
        <w:t>I hereby certify under penalty of perjury that I am duly appointed, qualified, and acting officer of the herein named agency/department, board, commission, office or institution; that the within transfer is in all respects true, correct, and in accordance with all applicable provisions or restrictions in the Budget Act or other statute pertaining to the particular appropriation.</w:t>
      </w:r>
    </w:p>
    <w:p w:rsidR="00ED5FC0" w:rsidRDefault="00ED5FC0" w:rsidP="00ED5FC0">
      <w:pPr>
        <w:pStyle w:val="BodyText"/>
        <w:spacing w:before="11"/>
        <w:rPr>
          <w:sz w:val="11"/>
        </w:rPr>
      </w:pPr>
    </w:p>
    <w:p w:rsidR="00ED5FC0" w:rsidRDefault="00ED5FC0" w:rsidP="00ED5FC0">
      <w:pPr>
        <w:rPr>
          <w:sz w:val="11"/>
        </w:rPr>
        <w:sectPr w:rsidR="00ED5FC0" w:rsidSect="00ED5FC0">
          <w:headerReference w:type="default" r:id="rId8"/>
          <w:footerReference w:type="default" r:id="rId9"/>
          <w:type w:val="continuous"/>
          <w:pgSz w:w="12240" w:h="15840"/>
          <w:pgMar w:top="1000" w:right="620" w:bottom="960" w:left="1140" w:header="576" w:footer="779" w:gutter="0"/>
          <w:cols w:space="720"/>
          <w:docGrid w:linePitch="299"/>
        </w:sect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pStyle w:val="BodyText"/>
        <w:rPr>
          <w:sz w:val="22"/>
        </w:rPr>
      </w:pPr>
    </w:p>
    <w:p w:rsidR="00ED5FC0" w:rsidRDefault="00ED5FC0" w:rsidP="00ED5FC0">
      <w:pPr>
        <w:spacing w:before="133"/>
        <w:ind w:left="180"/>
        <w:rPr>
          <w:b/>
          <w:w w:val="95"/>
          <w:sz w:val="20"/>
        </w:rPr>
      </w:pPr>
    </w:p>
    <w:p w:rsidR="00ED5FC0" w:rsidRDefault="00ED5FC0" w:rsidP="00ED5FC0">
      <w:pPr>
        <w:spacing w:before="133"/>
        <w:ind w:left="180"/>
        <w:rPr>
          <w:b/>
          <w:w w:val="95"/>
          <w:sz w:val="20"/>
        </w:rPr>
      </w:pPr>
    </w:p>
    <w:p w:rsidR="00ED5FC0" w:rsidRDefault="00ED5FC0" w:rsidP="00ED5FC0">
      <w:pPr>
        <w:spacing w:before="133"/>
        <w:ind w:left="180"/>
        <w:rPr>
          <w:b/>
          <w:w w:val="95"/>
          <w:sz w:val="20"/>
        </w:rPr>
      </w:pPr>
    </w:p>
    <w:p w:rsidR="00ED5FC0" w:rsidRDefault="00ED5FC0" w:rsidP="00ED5FC0">
      <w:pPr>
        <w:spacing w:before="133"/>
        <w:ind w:left="180"/>
        <w:rPr>
          <w:b/>
          <w:sz w:val="20"/>
        </w:rPr>
      </w:pPr>
      <w:r>
        <w:rPr>
          <w:b/>
          <w:w w:val="95"/>
          <w:sz w:val="20"/>
        </w:rPr>
        <w:t>APPROVALS:</w:t>
      </w:r>
    </w:p>
    <w:p w:rsidR="00ED5FC0" w:rsidRDefault="00ED5FC0" w:rsidP="00ED5FC0">
      <w:pPr>
        <w:tabs>
          <w:tab w:val="left" w:pos="4156"/>
          <w:tab w:val="left" w:pos="4221"/>
          <w:tab w:val="left" w:pos="4255"/>
        </w:tabs>
        <w:spacing w:before="93" w:line="360" w:lineRule="auto"/>
        <w:ind w:left="180" w:right="1171"/>
      </w:pPr>
      <w:r>
        <w:br w:type="column"/>
      </w:r>
      <w:r>
        <w:t>Certified by Agency/Department</w:t>
      </w:r>
    </w:p>
    <w:p w:rsidR="00ED5FC0" w:rsidRDefault="00ED5FC0" w:rsidP="00ED5FC0">
      <w:pPr>
        <w:tabs>
          <w:tab w:val="left" w:pos="4156"/>
          <w:tab w:val="left" w:pos="4221"/>
          <w:tab w:val="left" w:pos="4255"/>
        </w:tabs>
        <w:spacing w:before="93" w:line="360" w:lineRule="auto"/>
        <w:ind w:left="180" w:right="1171"/>
        <w:rPr>
          <w:sz w:val="20"/>
          <w:u w:val="single"/>
        </w:rPr>
      </w:pPr>
      <w:r>
        <w:rPr>
          <w:sz w:val="20"/>
        </w:rPr>
        <w:t>Department</w:t>
      </w:r>
      <w:r>
        <w:rPr>
          <w:spacing w:val="-9"/>
          <w:sz w:val="20"/>
        </w:rPr>
        <w:t xml:space="preserve"> </w:t>
      </w:r>
      <w:proofErr w:type="gramStart"/>
      <w:r>
        <w:rPr>
          <w:sz w:val="20"/>
        </w:rPr>
        <w:t xml:space="preserve">of </w:t>
      </w:r>
      <w:r>
        <w:rPr>
          <w:w w:val="99"/>
          <w:sz w:val="20"/>
          <w:u w:val="single"/>
        </w:rPr>
        <w:t xml:space="preserve"> </w:t>
      </w:r>
      <w:r>
        <w:rPr>
          <w:sz w:val="20"/>
          <w:u w:val="single"/>
        </w:rPr>
        <w:tab/>
      </w:r>
      <w:proofErr w:type="gramEnd"/>
      <w:r>
        <w:rPr>
          <w:sz w:val="20"/>
        </w:rPr>
        <w:t xml:space="preserve"> Print</w:t>
      </w:r>
      <w:r>
        <w:rPr>
          <w:spacing w:val="-2"/>
          <w:sz w:val="20"/>
        </w:rPr>
        <w:t xml:space="preserve"> </w:t>
      </w:r>
      <w:r>
        <w:rPr>
          <w:sz w:val="20"/>
        </w:rPr>
        <w:t>Name</w:t>
      </w:r>
      <w:r>
        <w:rPr>
          <w:spacing w:val="-1"/>
          <w:sz w:val="20"/>
        </w:rPr>
        <w:t xml:space="preserve"> </w:t>
      </w:r>
      <w:r>
        <w:rPr>
          <w:w w:val="99"/>
          <w:sz w:val="20"/>
          <w:u w:val="single"/>
        </w:rPr>
        <w:t xml:space="preserve"> </w:t>
      </w:r>
      <w:r>
        <w:rPr>
          <w:sz w:val="20"/>
          <w:u w:val="single"/>
        </w:rPr>
        <w:tab/>
      </w:r>
      <w:r>
        <w:rPr>
          <w:sz w:val="20"/>
          <w:u w:val="single"/>
        </w:rPr>
        <w:tab/>
      </w:r>
      <w:r>
        <w:rPr>
          <w:sz w:val="20"/>
        </w:rPr>
        <w:t xml:space="preserve"> Signature</w:t>
      </w:r>
      <w:r>
        <w:rPr>
          <w:sz w:val="20"/>
          <w:u w:val="single"/>
        </w:rPr>
        <w:tab/>
      </w:r>
      <w:r>
        <w:rPr>
          <w:sz w:val="20"/>
          <w:u w:val="single"/>
        </w:rPr>
        <w:tab/>
      </w:r>
      <w:r>
        <w:rPr>
          <w:sz w:val="20"/>
        </w:rPr>
        <w:t xml:space="preserve"> Title</w:t>
      </w:r>
      <w:r>
        <w:rPr>
          <w:sz w:val="20"/>
          <w:u w:val="single"/>
        </w:rPr>
        <w:tab/>
      </w:r>
      <w:r>
        <w:rPr>
          <w:sz w:val="20"/>
          <w:u w:val="single"/>
        </w:rPr>
        <w:tab/>
      </w:r>
      <w:r>
        <w:rPr>
          <w:sz w:val="20"/>
          <w:u w:val="single"/>
        </w:rPr>
        <w:tab/>
      </w:r>
      <w:r>
        <w:rPr>
          <w:sz w:val="20"/>
        </w:rPr>
        <w:t xml:space="preserve"> Date</w:t>
      </w:r>
      <w:r>
        <w:rPr>
          <w:sz w:val="20"/>
          <w:u w:val="single"/>
        </w:rPr>
        <w:tab/>
      </w:r>
      <w:r>
        <w:rPr>
          <w:sz w:val="20"/>
          <w:u w:val="single"/>
        </w:rPr>
        <w:tab/>
      </w:r>
      <w:r>
        <w:rPr>
          <w:sz w:val="20"/>
          <w:u w:val="single"/>
        </w:rPr>
        <w:tab/>
      </w:r>
      <w:r>
        <w:rPr>
          <w:sz w:val="20"/>
        </w:rPr>
        <w:t xml:space="preserve"> Telephone</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p>
    <w:p w:rsidR="00ED5FC0" w:rsidRDefault="00ED5FC0" w:rsidP="00ED5FC0">
      <w:pPr>
        <w:tabs>
          <w:tab w:val="left" w:pos="4156"/>
          <w:tab w:val="left" w:pos="4221"/>
          <w:tab w:val="left" w:pos="4255"/>
        </w:tabs>
        <w:spacing w:before="93" w:line="360" w:lineRule="auto"/>
        <w:ind w:left="180" w:right="1171"/>
        <w:rPr>
          <w:sz w:val="20"/>
        </w:rPr>
      </w:pPr>
      <w:r>
        <w:rPr>
          <w:sz w:val="20"/>
          <w:u w:val="single"/>
        </w:rPr>
        <w:t>Email</w:t>
      </w:r>
      <w:r>
        <w:rPr>
          <w:sz w:val="20"/>
          <w:u w:val="single"/>
        </w:rPr>
        <w:tab/>
      </w:r>
      <w:r>
        <w:rPr>
          <w:sz w:val="20"/>
          <w:u w:val="single"/>
        </w:rPr>
        <w:tab/>
      </w:r>
      <w:r>
        <w:rPr>
          <w:sz w:val="20"/>
          <w:u w:val="single"/>
        </w:rPr>
        <w:tab/>
      </w:r>
    </w:p>
    <w:p w:rsidR="00ED5FC0" w:rsidRDefault="00ED5FC0" w:rsidP="00ED5FC0">
      <w:pPr>
        <w:spacing w:line="360" w:lineRule="auto"/>
        <w:rPr>
          <w:sz w:val="20"/>
        </w:rPr>
        <w:sectPr w:rsidR="00ED5FC0">
          <w:type w:val="continuous"/>
          <w:pgSz w:w="12240" w:h="15840"/>
          <w:pgMar w:top="980" w:right="620" w:bottom="1260" w:left="1140" w:header="720" w:footer="720" w:gutter="0"/>
          <w:cols w:num="2" w:space="720" w:equalWidth="0">
            <w:col w:w="1468" w:space="3575"/>
            <w:col w:w="5437"/>
          </w:cols>
        </w:sectPr>
      </w:pPr>
    </w:p>
    <w:p w:rsidR="00ED5FC0" w:rsidRDefault="00ED5FC0" w:rsidP="00ED5FC0">
      <w:pPr>
        <w:pStyle w:val="BodyText"/>
        <w:spacing w:before="2"/>
        <w:rPr>
          <w:sz w:val="12"/>
        </w:rPr>
      </w:pPr>
    </w:p>
    <w:p w:rsidR="00ED5FC0" w:rsidRDefault="00ED5FC0" w:rsidP="00ED5FC0">
      <w:pPr>
        <w:tabs>
          <w:tab w:val="left" w:pos="5221"/>
        </w:tabs>
        <w:spacing w:before="93"/>
        <w:ind w:left="180"/>
        <w:rPr>
          <w:sz w:val="20"/>
        </w:rPr>
      </w:pPr>
      <w:r>
        <w:rPr>
          <w:sz w:val="20"/>
        </w:rPr>
        <w:t>Approved by Department</w:t>
      </w:r>
      <w:r>
        <w:rPr>
          <w:spacing w:val="-22"/>
          <w:sz w:val="20"/>
        </w:rPr>
        <w:t xml:space="preserve"> </w:t>
      </w:r>
      <w:r>
        <w:rPr>
          <w:sz w:val="20"/>
        </w:rPr>
        <w:t>of</w:t>
      </w:r>
      <w:r>
        <w:rPr>
          <w:spacing w:val="1"/>
          <w:sz w:val="20"/>
        </w:rPr>
        <w:t xml:space="preserve"> </w:t>
      </w:r>
      <w:r>
        <w:rPr>
          <w:sz w:val="20"/>
        </w:rPr>
        <w:t>Finance</w:t>
      </w:r>
      <w:r>
        <w:rPr>
          <w:sz w:val="20"/>
        </w:rPr>
        <w:tab/>
        <w:t>Approved by State</w:t>
      </w:r>
      <w:r>
        <w:rPr>
          <w:spacing w:val="-13"/>
          <w:sz w:val="20"/>
        </w:rPr>
        <w:t xml:space="preserve"> </w:t>
      </w:r>
      <w:r>
        <w:rPr>
          <w:sz w:val="20"/>
        </w:rPr>
        <w:t>Controller</w:t>
      </w:r>
    </w:p>
    <w:p w:rsidR="00ED5FC0" w:rsidRDefault="00ED5FC0" w:rsidP="00ED5FC0">
      <w:pPr>
        <w:rPr>
          <w:sz w:val="20"/>
        </w:rPr>
        <w:sectPr w:rsidR="00ED5FC0">
          <w:type w:val="continuous"/>
          <w:pgSz w:w="12240" w:h="15840"/>
          <w:pgMar w:top="980" w:right="620" w:bottom="1260" w:left="1140" w:header="720" w:footer="720" w:gutter="0"/>
          <w:cols w:space="720"/>
        </w:sectPr>
      </w:pPr>
    </w:p>
    <w:p w:rsidR="00ED5FC0" w:rsidRDefault="00ED5FC0" w:rsidP="00ED5FC0">
      <w:pPr>
        <w:tabs>
          <w:tab w:val="left" w:pos="4053"/>
          <w:tab w:val="left" w:pos="4101"/>
          <w:tab w:val="left" w:pos="4137"/>
        </w:tabs>
        <w:spacing w:before="116" w:line="360" w:lineRule="auto"/>
        <w:ind w:left="180" w:right="38"/>
        <w:rPr>
          <w:sz w:val="20"/>
        </w:rPr>
      </w:pPr>
      <w:r>
        <w:rPr>
          <w:sz w:val="20"/>
        </w:rPr>
        <w:t>Print</w:t>
      </w:r>
      <w:r>
        <w:rPr>
          <w:spacing w:val="-3"/>
          <w:sz w:val="20"/>
        </w:rPr>
        <w:t xml:space="preserve"> </w:t>
      </w:r>
      <w:r>
        <w:rPr>
          <w:sz w:val="20"/>
        </w:rPr>
        <w:t>Name</w:t>
      </w:r>
      <w:r>
        <w:rPr>
          <w:w w:val="99"/>
          <w:sz w:val="20"/>
          <w:u w:val="single"/>
        </w:rPr>
        <w:t xml:space="preserve"> </w:t>
      </w:r>
      <w:r>
        <w:rPr>
          <w:sz w:val="20"/>
          <w:u w:val="single"/>
        </w:rPr>
        <w:tab/>
      </w:r>
      <w:r>
        <w:rPr>
          <w:sz w:val="20"/>
        </w:rPr>
        <w:t xml:space="preserve"> Signature</w:t>
      </w:r>
      <w:r>
        <w:rPr>
          <w:sz w:val="20"/>
          <w:u w:val="single"/>
        </w:rPr>
        <w:tab/>
      </w:r>
      <w:r>
        <w:rPr>
          <w:sz w:val="20"/>
          <w:u w:val="single"/>
        </w:rPr>
        <w:tab/>
      </w:r>
      <w:r>
        <w:rPr>
          <w:sz w:val="20"/>
          <w:u w:val="single"/>
        </w:rPr>
        <w:tab/>
      </w:r>
      <w:r>
        <w:rPr>
          <w:sz w:val="20"/>
        </w:rPr>
        <w:t xml:space="preserve"> Title</w:t>
      </w:r>
      <w:r>
        <w:rPr>
          <w:sz w:val="20"/>
          <w:u w:val="single"/>
        </w:rPr>
        <w:tab/>
      </w:r>
      <w:r>
        <w:rPr>
          <w:sz w:val="20"/>
          <w:u w:val="single"/>
        </w:rPr>
        <w:tab/>
      </w:r>
      <w:r>
        <w:rPr>
          <w:sz w:val="20"/>
        </w:rPr>
        <w:t xml:space="preserve"> Date</w:t>
      </w:r>
      <w:r>
        <w:rPr>
          <w:sz w:val="20"/>
          <w:u w:val="single"/>
        </w:rPr>
        <w:tab/>
      </w:r>
      <w:r>
        <w:rPr>
          <w:sz w:val="20"/>
          <w:u w:val="single"/>
        </w:rPr>
        <w:tab/>
      </w:r>
      <w:r>
        <w:rPr>
          <w:sz w:val="20"/>
          <w:u w:val="single"/>
        </w:rPr>
        <w:tab/>
      </w:r>
      <w:r>
        <w:rPr>
          <w:sz w:val="20"/>
        </w:rPr>
        <w:t xml:space="preserve"> Telephone</w:t>
      </w:r>
      <w:r>
        <w:rPr>
          <w:w w:val="99"/>
          <w:sz w:val="20"/>
          <w:u w:val="single"/>
        </w:rPr>
        <w:t xml:space="preserve"> </w:t>
      </w:r>
      <w:r>
        <w:rPr>
          <w:sz w:val="20"/>
          <w:u w:val="single"/>
        </w:rPr>
        <w:tab/>
      </w:r>
      <w:r>
        <w:rPr>
          <w:sz w:val="20"/>
          <w:u w:val="single"/>
        </w:rPr>
        <w:tab/>
      </w:r>
      <w:r>
        <w:rPr>
          <w:w w:val="17"/>
          <w:sz w:val="20"/>
          <w:u w:val="single"/>
        </w:rPr>
        <w:t xml:space="preserve"> </w:t>
      </w:r>
    </w:p>
    <w:p w:rsidR="00ED5FC0" w:rsidRDefault="00ED5FC0" w:rsidP="00ED5FC0">
      <w:pPr>
        <w:tabs>
          <w:tab w:val="left" w:pos="4166"/>
          <w:tab w:val="left" w:pos="4245"/>
        </w:tabs>
        <w:spacing w:before="116" w:line="360" w:lineRule="auto"/>
        <w:ind w:left="180" w:right="1171"/>
        <w:rPr>
          <w:sz w:val="20"/>
        </w:rPr>
        <w:sectPr w:rsidR="00ED5FC0">
          <w:type w:val="continuous"/>
          <w:pgSz w:w="12240" w:h="15840"/>
          <w:pgMar w:top="980" w:right="620" w:bottom="1260" w:left="1140" w:header="720" w:footer="720" w:gutter="0"/>
          <w:cols w:num="2" w:space="720" w:equalWidth="0">
            <w:col w:w="4178" w:space="865"/>
            <w:col w:w="5437"/>
          </w:cols>
        </w:sectPr>
      </w:pPr>
      <w:r>
        <w:rPr>
          <w:noProof/>
        </w:rPr>
        <mc:AlternateContent>
          <mc:Choice Requires="wps">
            <w:drawing>
              <wp:anchor distT="45720" distB="45720" distL="114300" distR="114300" simplePos="0" relativeHeight="251659264" behindDoc="0" locked="0" layoutInCell="1" allowOverlap="1">
                <wp:simplePos x="0" y="0"/>
                <wp:positionH relativeFrom="margin">
                  <wp:posOffset>2222500</wp:posOffset>
                </wp:positionH>
                <wp:positionV relativeFrom="paragraph">
                  <wp:posOffset>1479550</wp:posOffset>
                </wp:positionV>
                <wp:extent cx="2247900" cy="4972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97205"/>
                        </a:xfrm>
                        <a:prstGeom prst="rect">
                          <a:avLst/>
                        </a:prstGeom>
                        <a:solidFill>
                          <a:srgbClr val="FFFFFF"/>
                        </a:solidFill>
                        <a:ln w="9525">
                          <a:noFill/>
                          <a:miter lim="800000"/>
                          <a:headEnd/>
                          <a:tailEnd/>
                        </a:ln>
                      </wps:spPr>
                      <wps:txbx>
                        <w:txbxContent>
                          <w:p w:rsidR="00ED5FC0" w:rsidRPr="00EB2980" w:rsidRDefault="00ED5FC0" w:rsidP="00ED5FC0">
                            <w:pPr>
                              <w:rPr>
                                <w:rFonts w:ascii="Lucida Handwriting" w:hAnsi="Lucida Handwriting"/>
                              </w:rPr>
                            </w:pPr>
                            <w:r>
                              <w:rPr>
                                <w:b/>
                                <w:i/>
                              </w:rPr>
                              <w:t>(8452.1 Illustration 3,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116.5pt;width:177pt;height:3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yLHQIAABsEAAAOAAAAZHJzL2Uyb0RvYy54bWysU8Fu2zAMvQ/YPwi6L3aMZG2MOEWXLsOA&#10;rhvQ7gNoWY6FSaInKbG7rx8lp2mw3YbpIFAi+fT4SK1vRqPZUTqv0FZ8Pss5k1Zgo+y+4t+fdu+u&#10;OfMBbAMaraz4s/T8ZvP2zXroS1lgh7qRjhGI9eXQV7wLoS+zzItOGvAz7KUlZ4vOQKCj22eNg4HQ&#10;jc6KPH+fDeia3qGQ3tPt3eTkm4TftlKEr23rZWC64sQtpN2lvY57tllDuXfQd0qcaMA/sDCgLD16&#10;hrqDAOzg1F9QRgmHHtswE2gybFslZKqBqpnnf1Tz2EEvUy0kju/PMvn/Bysejt8cUw31jjMLhlr0&#10;JMfAPuDIiqjO0PuSgh57CgsjXcfIWKnv71H88MzitgO7l7fO4dBJaIjdPGZmF6kTjo8g9fAFG3oG&#10;DgET0Ng6EwFJDEbo1KXnc2ciFUGXRbG4WuXkEuRbrK6KfJmegPIlu3c+fJJoWDQq7qjzCR2O9z5E&#10;NlC+hCT2qFWzU1qng9vXW+3YEWhKdmmd0P1lmLZsqPhqWSwTssWYnwbIqEBTrJWp+HUeV0yHMqrx&#10;0TbJDqD0ZBMTbU/yREUmbcJYjxQYNauxeSahHE7TSr+LjA7dL84GmtSK+58HcJIz/dmS2Kv5YhFH&#10;Ox0WS9KGM3fpqS89YAVBVTxwNpnbkL5D5GvxlprSqqTXK5MTV5rAJOPpt8QRvzynqNc/vfkNAAD/&#10;/wMAUEsDBBQABgAIAAAAIQBzhzN83wAAAAsBAAAPAAAAZHJzL2Rvd25yZXYueG1sTI/BTsMwEETv&#10;SPyDtUhcELXTtA2EOBUggbi29AM2sZtExOsodpv071lO9DarGc2+Kbaz68XZjqHzpCFZKBCWam86&#10;ajQcvj8en0CEiGSw92Q1XGyAbXl7U2Bu/EQ7e97HRnAJhRw1tDEOuZShbq3DsPCDJfaOfnQY+Rwb&#10;aUacuNz1cqnURjrsiD+0ONj31tY/+5PTcPyaHtbPU/UZD9lutXnDLqv8Rev7u/n1BUS0c/wPwx8+&#10;o0PJTJU/kQmi15CuFW+JGpZpyoITmVqxqNhKkhRkWcjrDeUvAAAA//8DAFBLAQItABQABgAIAAAA&#10;IQC2gziS/gAAAOEBAAATAAAAAAAAAAAAAAAAAAAAAABbQ29udGVudF9UeXBlc10ueG1sUEsBAi0A&#10;FAAGAAgAAAAhADj9If/WAAAAlAEAAAsAAAAAAAAAAAAAAAAALwEAAF9yZWxzLy5yZWxzUEsBAi0A&#10;FAAGAAgAAAAhAETe3IsdAgAAGwQAAA4AAAAAAAAAAAAAAAAALgIAAGRycy9lMm9Eb2MueG1sUEsB&#10;Ai0AFAAGAAgAAAAhAHOHM3zfAAAACwEAAA8AAAAAAAAAAAAAAAAAdwQAAGRycy9kb3ducmV2Lnht&#10;bFBLBQYAAAAABAAEAPMAAACDBQAAAAA=&#10;" stroked="f">
                <v:textbox>
                  <w:txbxContent>
                    <w:p w:rsidR="00ED5FC0" w:rsidRPr="00EB2980" w:rsidRDefault="00ED5FC0" w:rsidP="00ED5FC0">
                      <w:pPr>
                        <w:rPr>
                          <w:rFonts w:ascii="Lucida Handwriting" w:hAnsi="Lucida Handwriting"/>
                        </w:rPr>
                      </w:pPr>
                      <w:r>
                        <w:rPr>
                          <w:b/>
                          <w:i/>
                        </w:rPr>
                        <w:t>(8452.1 Illustration 3, page 2)</w:t>
                      </w:r>
                    </w:p>
                  </w:txbxContent>
                </v:textbox>
                <w10:wrap type="square" anchorx="margin"/>
              </v:shape>
            </w:pict>
          </mc:Fallback>
        </mc:AlternateContent>
      </w:r>
      <w:r>
        <w:br w:type="column"/>
      </w:r>
      <w:r>
        <w:rPr>
          <w:sz w:val="20"/>
        </w:rPr>
        <w:t>Print</w:t>
      </w:r>
      <w:r>
        <w:rPr>
          <w:spacing w:val="-3"/>
          <w:sz w:val="20"/>
        </w:rPr>
        <w:t xml:space="preserve"> </w:t>
      </w:r>
      <w:r>
        <w:rPr>
          <w:sz w:val="20"/>
        </w:rPr>
        <w:t>Name</w:t>
      </w:r>
      <w:r>
        <w:rPr>
          <w:w w:val="99"/>
          <w:sz w:val="20"/>
          <w:u w:val="single"/>
        </w:rPr>
        <w:t xml:space="preserve"> </w:t>
      </w:r>
      <w:r>
        <w:rPr>
          <w:sz w:val="20"/>
          <w:u w:val="single"/>
        </w:rPr>
        <w:tab/>
      </w:r>
      <w:r>
        <w:rPr>
          <w:sz w:val="20"/>
        </w:rPr>
        <w:t xml:space="preserve"> Signature</w:t>
      </w:r>
      <w:r>
        <w:rPr>
          <w:sz w:val="20"/>
          <w:u w:val="single"/>
        </w:rPr>
        <w:tab/>
      </w:r>
      <w:r>
        <w:rPr>
          <w:sz w:val="20"/>
          <w:u w:val="single"/>
        </w:rPr>
        <w:tab/>
      </w:r>
      <w:r>
        <w:rPr>
          <w:sz w:val="20"/>
        </w:rPr>
        <w:t xml:space="preserve"> Title</w:t>
      </w:r>
      <w:r>
        <w:rPr>
          <w:sz w:val="20"/>
          <w:u w:val="single"/>
        </w:rPr>
        <w:tab/>
      </w:r>
      <w:r>
        <w:rPr>
          <w:sz w:val="20"/>
          <w:u w:val="single"/>
        </w:rPr>
        <w:tab/>
      </w:r>
      <w:r>
        <w:rPr>
          <w:sz w:val="20"/>
        </w:rPr>
        <w:t xml:space="preserve"> Date</w:t>
      </w:r>
      <w:r>
        <w:rPr>
          <w:sz w:val="20"/>
          <w:u w:val="single"/>
        </w:rPr>
        <w:tab/>
      </w:r>
      <w:r>
        <w:rPr>
          <w:sz w:val="20"/>
          <w:u w:val="single"/>
        </w:rPr>
        <w:tab/>
      </w:r>
      <w:r>
        <w:rPr>
          <w:sz w:val="20"/>
        </w:rPr>
        <w:t xml:space="preserve"> Telephone</w:t>
      </w:r>
      <w:r>
        <w:rPr>
          <w:spacing w:val="-9"/>
          <w:sz w:val="20"/>
        </w:rPr>
        <w:t xml:space="preserve"> </w:t>
      </w:r>
      <w:r>
        <w:rPr>
          <w:sz w:val="20"/>
        </w:rPr>
        <w:t>_</w:t>
      </w:r>
      <w:r>
        <w:rPr>
          <w:w w:val="99"/>
          <w:sz w:val="20"/>
          <w:u w:val="single"/>
        </w:rPr>
        <w:t xml:space="preserve"> </w:t>
      </w:r>
      <w:r>
        <w:rPr>
          <w:sz w:val="20"/>
          <w:u w:val="single"/>
        </w:rPr>
        <w:tab/>
      </w:r>
    </w:p>
    <w:p w:rsidR="00686667" w:rsidRPr="00230B8B" w:rsidRDefault="00686667" w:rsidP="00850681"/>
    <w:sectPr w:rsidR="00686667" w:rsidRPr="00230B8B" w:rsidSect="00B84B9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172" w:rsidRDefault="00937172">
      <w:r>
        <w:separator/>
      </w:r>
    </w:p>
  </w:endnote>
  <w:endnote w:type="continuationSeparator" w:id="0">
    <w:p w:rsidR="00937172" w:rsidRDefault="0093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FC0" w:rsidRDefault="00ED5F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172" w:rsidRDefault="00937172">
      <w:r>
        <w:separator/>
      </w:r>
    </w:p>
  </w:footnote>
  <w:footnote w:type="continuationSeparator" w:id="0">
    <w:p w:rsidR="00937172" w:rsidRDefault="0093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FC0" w:rsidRDefault="00ED5FC0" w:rsidP="002E5863">
    <w:pPr>
      <w:spacing w:before="12"/>
      <w:ind w:left="20"/>
      <w:jc w:val="center"/>
      <w:rPr>
        <w:b/>
        <w:sz w:val="24"/>
      </w:rPr>
    </w:pPr>
    <w:r>
      <w:rPr>
        <w:b/>
        <w:sz w:val="24"/>
      </w:rPr>
      <w:t>SAM - DISBURSEMENTS</w:t>
    </w:r>
  </w:p>
  <w:p w:rsidR="00ED5FC0" w:rsidRDefault="00ED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6547B"/>
    <w:multiLevelType w:val="hybridMultilevel"/>
    <w:tmpl w:val="924ACD08"/>
    <w:lvl w:ilvl="0" w:tplc="3BBAC272">
      <w:start w:val="1"/>
      <w:numFmt w:val="decimal"/>
      <w:lvlText w:val="%1."/>
      <w:lvlJc w:val="left"/>
      <w:pPr>
        <w:ind w:left="540" w:hanging="269"/>
        <w:jc w:val="right"/>
      </w:pPr>
      <w:rPr>
        <w:rFonts w:ascii="Arial" w:eastAsia="Arial" w:hAnsi="Arial" w:cs="Arial" w:hint="default"/>
        <w:w w:val="96"/>
        <w:sz w:val="20"/>
        <w:szCs w:val="20"/>
      </w:rPr>
    </w:lvl>
    <w:lvl w:ilvl="1" w:tplc="39F82C12">
      <w:start w:val="1"/>
      <w:numFmt w:val="lowerLetter"/>
      <w:lvlText w:val="%2."/>
      <w:lvlJc w:val="left"/>
      <w:pPr>
        <w:ind w:left="991" w:hanging="360"/>
      </w:pPr>
      <w:rPr>
        <w:rFonts w:ascii="Arial" w:eastAsia="Arial" w:hAnsi="Arial" w:cs="Arial" w:hint="default"/>
        <w:w w:val="96"/>
        <w:sz w:val="20"/>
        <w:szCs w:val="20"/>
      </w:rPr>
    </w:lvl>
    <w:lvl w:ilvl="2" w:tplc="21041C5E">
      <w:numFmt w:val="bullet"/>
      <w:lvlText w:val="•"/>
      <w:lvlJc w:val="left"/>
      <w:pPr>
        <w:ind w:left="1000" w:hanging="360"/>
      </w:pPr>
      <w:rPr>
        <w:rFonts w:hint="default"/>
      </w:rPr>
    </w:lvl>
    <w:lvl w:ilvl="3" w:tplc="9AD0B8B4">
      <w:numFmt w:val="bullet"/>
      <w:lvlText w:val="•"/>
      <w:lvlJc w:val="left"/>
      <w:pPr>
        <w:ind w:left="2185" w:hanging="360"/>
      </w:pPr>
      <w:rPr>
        <w:rFonts w:hint="default"/>
      </w:rPr>
    </w:lvl>
    <w:lvl w:ilvl="4" w:tplc="73C83938">
      <w:numFmt w:val="bullet"/>
      <w:lvlText w:val="•"/>
      <w:lvlJc w:val="left"/>
      <w:pPr>
        <w:ind w:left="3370" w:hanging="360"/>
      </w:pPr>
      <w:rPr>
        <w:rFonts w:hint="default"/>
      </w:rPr>
    </w:lvl>
    <w:lvl w:ilvl="5" w:tplc="8514E168">
      <w:numFmt w:val="bullet"/>
      <w:lvlText w:val="•"/>
      <w:lvlJc w:val="left"/>
      <w:pPr>
        <w:ind w:left="4555" w:hanging="360"/>
      </w:pPr>
      <w:rPr>
        <w:rFonts w:hint="default"/>
      </w:rPr>
    </w:lvl>
    <w:lvl w:ilvl="6" w:tplc="D436BCB8">
      <w:numFmt w:val="bullet"/>
      <w:lvlText w:val="•"/>
      <w:lvlJc w:val="left"/>
      <w:pPr>
        <w:ind w:left="5740" w:hanging="360"/>
      </w:pPr>
      <w:rPr>
        <w:rFonts w:hint="default"/>
      </w:rPr>
    </w:lvl>
    <w:lvl w:ilvl="7" w:tplc="777C5F76">
      <w:numFmt w:val="bullet"/>
      <w:lvlText w:val="•"/>
      <w:lvlJc w:val="left"/>
      <w:pPr>
        <w:ind w:left="6925" w:hanging="360"/>
      </w:pPr>
      <w:rPr>
        <w:rFonts w:hint="default"/>
      </w:rPr>
    </w:lvl>
    <w:lvl w:ilvl="8" w:tplc="C7D60FB8">
      <w:numFmt w:val="bullet"/>
      <w:lvlText w:val="•"/>
      <w:lvlJc w:val="left"/>
      <w:pPr>
        <w:ind w:left="81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C0"/>
    <w:rsid w:val="00013ED8"/>
    <w:rsid w:val="00016D3A"/>
    <w:rsid w:val="00027745"/>
    <w:rsid w:val="00033923"/>
    <w:rsid w:val="00036F60"/>
    <w:rsid w:val="00045550"/>
    <w:rsid w:val="00046B75"/>
    <w:rsid w:val="00052288"/>
    <w:rsid w:val="00060F31"/>
    <w:rsid w:val="00061E2B"/>
    <w:rsid w:val="00062A63"/>
    <w:rsid w:val="00067B2F"/>
    <w:rsid w:val="0007261D"/>
    <w:rsid w:val="00073CBD"/>
    <w:rsid w:val="00075781"/>
    <w:rsid w:val="000806C0"/>
    <w:rsid w:val="000812F4"/>
    <w:rsid w:val="00084631"/>
    <w:rsid w:val="0008755F"/>
    <w:rsid w:val="000902BA"/>
    <w:rsid w:val="00093DDC"/>
    <w:rsid w:val="00094BCF"/>
    <w:rsid w:val="000A0C34"/>
    <w:rsid w:val="000A34E1"/>
    <w:rsid w:val="000B21F0"/>
    <w:rsid w:val="000B77F4"/>
    <w:rsid w:val="000C40E0"/>
    <w:rsid w:val="000C41C9"/>
    <w:rsid w:val="000C43B6"/>
    <w:rsid w:val="000C442F"/>
    <w:rsid w:val="000C56B6"/>
    <w:rsid w:val="000E09B1"/>
    <w:rsid w:val="000E2E99"/>
    <w:rsid w:val="000E4E8E"/>
    <w:rsid w:val="000E5690"/>
    <w:rsid w:val="000F005E"/>
    <w:rsid w:val="000F01E9"/>
    <w:rsid w:val="000F17FD"/>
    <w:rsid w:val="000F18E3"/>
    <w:rsid w:val="000F1EAE"/>
    <w:rsid w:val="000F44FD"/>
    <w:rsid w:val="00106667"/>
    <w:rsid w:val="00114CD9"/>
    <w:rsid w:val="0011566A"/>
    <w:rsid w:val="00116C73"/>
    <w:rsid w:val="00116E58"/>
    <w:rsid w:val="0012292B"/>
    <w:rsid w:val="00123B46"/>
    <w:rsid w:val="00125FE1"/>
    <w:rsid w:val="00131C98"/>
    <w:rsid w:val="00133A18"/>
    <w:rsid w:val="001409F0"/>
    <w:rsid w:val="0014273D"/>
    <w:rsid w:val="001445C9"/>
    <w:rsid w:val="00146B59"/>
    <w:rsid w:val="001508EF"/>
    <w:rsid w:val="00152269"/>
    <w:rsid w:val="0015464F"/>
    <w:rsid w:val="0015559B"/>
    <w:rsid w:val="00162B9F"/>
    <w:rsid w:val="001652EF"/>
    <w:rsid w:val="001728EA"/>
    <w:rsid w:val="00172D1C"/>
    <w:rsid w:val="001730D8"/>
    <w:rsid w:val="00173DD9"/>
    <w:rsid w:val="00181F6E"/>
    <w:rsid w:val="0018386F"/>
    <w:rsid w:val="0019239C"/>
    <w:rsid w:val="001A0C06"/>
    <w:rsid w:val="001A33B2"/>
    <w:rsid w:val="001A6255"/>
    <w:rsid w:val="001A677C"/>
    <w:rsid w:val="001A7917"/>
    <w:rsid w:val="001B0F68"/>
    <w:rsid w:val="001B1928"/>
    <w:rsid w:val="001C590E"/>
    <w:rsid w:val="001E2B90"/>
    <w:rsid w:val="001E3AEF"/>
    <w:rsid w:val="001F098E"/>
    <w:rsid w:val="0020450C"/>
    <w:rsid w:val="00204AA8"/>
    <w:rsid w:val="002051FB"/>
    <w:rsid w:val="00206E25"/>
    <w:rsid w:val="00222400"/>
    <w:rsid w:val="002239E9"/>
    <w:rsid w:val="00225D61"/>
    <w:rsid w:val="00230B8B"/>
    <w:rsid w:val="002351C5"/>
    <w:rsid w:val="00235601"/>
    <w:rsid w:val="00245F2C"/>
    <w:rsid w:val="00250EB0"/>
    <w:rsid w:val="00251B4D"/>
    <w:rsid w:val="00253BC6"/>
    <w:rsid w:val="00256BEE"/>
    <w:rsid w:val="00257909"/>
    <w:rsid w:val="00262A6C"/>
    <w:rsid w:val="00266114"/>
    <w:rsid w:val="00267B66"/>
    <w:rsid w:val="00273300"/>
    <w:rsid w:val="002738B4"/>
    <w:rsid w:val="00285CA1"/>
    <w:rsid w:val="002911A2"/>
    <w:rsid w:val="002949CD"/>
    <w:rsid w:val="002A1C6A"/>
    <w:rsid w:val="002A38E2"/>
    <w:rsid w:val="002C14D6"/>
    <w:rsid w:val="002C54BC"/>
    <w:rsid w:val="002D504C"/>
    <w:rsid w:val="002D6BA1"/>
    <w:rsid w:val="002E16C6"/>
    <w:rsid w:val="002E1E0A"/>
    <w:rsid w:val="002E5911"/>
    <w:rsid w:val="002F3CEE"/>
    <w:rsid w:val="002F42D8"/>
    <w:rsid w:val="002F706B"/>
    <w:rsid w:val="00304E75"/>
    <w:rsid w:val="003078C0"/>
    <w:rsid w:val="003125BF"/>
    <w:rsid w:val="003141CC"/>
    <w:rsid w:val="00320F0F"/>
    <w:rsid w:val="00330695"/>
    <w:rsid w:val="00331C7D"/>
    <w:rsid w:val="00336299"/>
    <w:rsid w:val="00343804"/>
    <w:rsid w:val="00352F27"/>
    <w:rsid w:val="00364857"/>
    <w:rsid w:val="003749B9"/>
    <w:rsid w:val="00376F87"/>
    <w:rsid w:val="0038317C"/>
    <w:rsid w:val="003858AF"/>
    <w:rsid w:val="0038715F"/>
    <w:rsid w:val="00391AC1"/>
    <w:rsid w:val="0039265D"/>
    <w:rsid w:val="00395106"/>
    <w:rsid w:val="003A2922"/>
    <w:rsid w:val="003A4F3E"/>
    <w:rsid w:val="003B2D77"/>
    <w:rsid w:val="003B5828"/>
    <w:rsid w:val="003B7BEF"/>
    <w:rsid w:val="003D21C4"/>
    <w:rsid w:val="003D5048"/>
    <w:rsid w:val="003D5AEA"/>
    <w:rsid w:val="003F3193"/>
    <w:rsid w:val="003F3291"/>
    <w:rsid w:val="0040109B"/>
    <w:rsid w:val="0040187E"/>
    <w:rsid w:val="00412EE4"/>
    <w:rsid w:val="00420225"/>
    <w:rsid w:val="00420805"/>
    <w:rsid w:val="004221B8"/>
    <w:rsid w:val="00425526"/>
    <w:rsid w:val="00425E48"/>
    <w:rsid w:val="00427D26"/>
    <w:rsid w:val="00441D5E"/>
    <w:rsid w:val="00441FD6"/>
    <w:rsid w:val="00446575"/>
    <w:rsid w:val="00447BA1"/>
    <w:rsid w:val="00450D00"/>
    <w:rsid w:val="004523B7"/>
    <w:rsid w:val="0045297D"/>
    <w:rsid w:val="00452BD4"/>
    <w:rsid w:val="00455F8E"/>
    <w:rsid w:val="00456B5E"/>
    <w:rsid w:val="00460B31"/>
    <w:rsid w:val="00465361"/>
    <w:rsid w:val="004657FD"/>
    <w:rsid w:val="00467C96"/>
    <w:rsid w:val="0048707E"/>
    <w:rsid w:val="00495023"/>
    <w:rsid w:val="004966E0"/>
    <w:rsid w:val="00496AD6"/>
    <w:rsid w:val="004A18D2"/>
    <w:rsid w:val="004A2CDD"/>
    <w:rsid w:val="004B478C"/>
    <w:rsid w:val="004B5C90"/>
    <w:rsid w:val="004B6171"/>
    <w:rsid w:val="004C0592"/>
    <w:rsid w:val="004C141C"/>
    <w:rsid w:val="004C1E6E"/>
    <w:rsid w:val="004C2963"/>
    <w:rsid w:val="004D6191"/>
    <w:rsid w:val="004E11AC"/>
    <w:rsid w:val="004E20DB"/>
    <w:rsid w:val="004E2B77"/>
    <w:rsid w:val="004F096D"/>
    <w:rsid w:val="004F0E26"/>
    <w:rsid w:val="00502117"/>
    <w:rsid w:val="00505BE9"/>
    <w:rsid w:val="00513B9F"/>
    <w:rsid w:val="005159E4"/>
    <w:rsid w:val="005223B8"/>
    <w:rsid w:val="00527892"/>
    <w:rsid w:val="0053308F"/>
    <w:rsid w:val="00535B55"/>
    <w:rsid w:val="00543507"/>
    <w:rsid w:val="00545134"/>
    <w:rsid w:val="00547A92"/>
    <w:rsid w:val="00553702"/>
    <w:rsid w:val="005538B8"/>
    <w:rsid w:val="0055793D"/>
    <w:rsid w:val="00560403"/>
    <w:rsid w:val="0056570D"/>
    <w:rsid w:val="00566490"/>
    <w:rsid w:val="00567A9B"/>
    <w:rsid w:val="00570194"/>
    <w:rsid w:val="0057081B"/>
    <w:rsid w:val="00572A5D"/>
    <w:rsid w:val="005829E0"/>
    <w:rsid w:val="00591D5A"/>
    <w:rsid w:val="005A32F7"/>
    <w:rsid w:val="005A4056"/>
    <w:rsid w:val="005B415F"/>
    <w:rsid w:val="005C1158"/>
    <w:rsid w:val="005C3879"/>
    <w:rsid w:val="005C3B44"/>
    <w:rsid w:val="005D4FC5"/>
    <w:rsid w:val="005E4754"/>
    <w:rsid w:val="005E62EC"/>
    <w:rsid w:val="005E7CEC"/>
    <w:rsid w:val="005F199E"/>
    <w:rsid w:val="005F4252"/>
    <w:rsid w:val="005F629E"/>
    <w:rsid w:val="00605DF6"/>
    <w:rsid w:val="006077D0"/>
    <w:rsid w:val="00610168"/>
    <w:rsid w:val="00610622"/>
    <w:rsid w:val="00613254"/>
    <w:rsid w:val="00616165"/>
    <w:rsid w:val="00630F6B"/>
    <w:rsid w:val="00633D64"/>
    <w:rsid w:val="00636391"/>
    <w:rsid w:val="006459F3"/>
    <w:rsid w:val="00645DAB"/>
    <w:rsid w:val="00652DBE"/>
    <w:rsid w:val="00655B45"/>
    <w:rsid w:val="0065701C"/>
    <w:rsid w:val="006636F4"/>
    <w:rsid w:val="0067754C"/>
    <w:rsid w:val="00681977"/>
    <w:rsid w:val="006865A8"/>
    <w:rsid w:val="00686667"/>
    <w:rsid w:val="006956AB"/>
    <w:rsid w:val="006A48D7"/>
    <w:rsid w:val="006A6FBC"/>
    <w:rsid w:val="006B3AA6"/>
    <w:rsid w:val="006B3C54"/>
    <w:rsid w:val="006C299B"/>
    <w:rsid w:val="006C479F"/>
    <w:rsid w:val="006C483F"/>
    <w:rsid w:val="006C5B48"/>
    <w:rsid w:val="006D0F07"/>
    <w:rsid w:val="006D353F"/>
    <w:rsid w:val="006D42B7"/>
    <w:rsid w:val="006E0A27"/>
    <w:rsid w:val="006F0A8F"/>
    <w:rsid w:val="00701793"/>
    <w:rsid w:val="00702930"/>
    <w:rsid w:val="007048C8"/>
    <w:rsid w:val="0070666E"/>
    <w:rsid w:val="007069E4"/>
    <w:rsid w:val="0071088D"/>
    <w:rsid w:val="00714E06"/>
    <w:rsid w:val="00717DB3"/>
    <w:rsid w:val="00721F6A"/>
    <w:rsid w:val="00726783"/>
    <w:rsid w:val="00726A59"/>
    <w:rsid w:val="00726B6B"/>
    <w:rsid w:val="00727626"/>
    <w:rsid w:val="007472DF"/>
    <w:rsid w:val="007521DF"/>
    <w:rsid w:val="00764241"/>
    <w:rsid w:val="00772D27"/>
    <w:rsid w:val="00792574"/>
    <w:rsid w:val="007A3370"/>
    <w:rsid w:val="007B494A"/>
    <w:rsid w:val="007D37B4"/>
    <w:rsid w:val="007E0804"/>
    <w:rsid w:val="007E192C"/>
    <w:rsid w:val="007E29B1"/>
    <w:rsid w:val="007E49D4"/>
    <w:rsid w:val="007F0CC4"/>
    <w:rsid w:val="007F65BD"/>
    <w:rsid w:val="008037E4"/>
    <w:rsid w:val="008243DC"/>
    <w:rsid w:val="008412F7"/>
    <w:rsid w:val="00844570"/>
    <w:rsid w:val="00845D19"/>
    <w:rsid w:val="00850681"/>
    <w:rsid w:val="0085482A"/>
    <w:rsid w:val="00861682"/>
    <w:rsid w:val="00861CCD"/>
    <w:rsid w:val="00861FBB"/>
    <w:rsid w:val="0086292C"/>
    <w:rsid w:val="0086725D"/>
    <w:rsid w:val="00872002"/>
    <w:rsid w:val="008836EA"/>
    <w:rsid w:val="00884B7D"/>
    <w:rsid w:val="00890495"/>
    <w:rsid w:val="00894779"/>
    <w:rsid w:val="008A0482"/>
    <w:rsid w:val="008A449C"/>
    <w:rsid w:val="008A5556"/>
    <w:rsid w:val="008A58AB"/>
    <w:rsid w:val="008A61C9"/>
    <w:rsid w:val="008B1774"/>
    <w:rsid w:val="008B1B62"/>
    <w:rsid w:val="008B21DB"/>
    <w:rsid w:val="008B43BC"/>
    <w:rsid w:val="008C7DDC"/>
    <w:rsid w:val="008D4330"/>
    <w:rsid w:val="008E0893"/>
    <w:rsid w:val="008F290F"/>
    <w:rsid w:val="008F4941"/>
    <w:rsid w:val="008F542D"/>
    <w:rsid w:val="008F62EB"/>
    <w:rsid w:val="008F72FA"/>
    <w:rsid w:val="00902023"/>
    <w:rsid w:val="00904A13"/>
    <w:rsid w:val="00916D07"/>
    <w:rsid w:val="00917325"/>
    <w:rsid w:val="0092122B"/>
    <w:rsid w:val="0092279C"/>
    <w:rsid w:val="00934A63"/>
    <w:rsid w:val="00935026"/>
    <w:rsid w:val="00937172"/>
    <w:rsid w:val="00941AC5"/>
    <w:rsid w:val="009444A7"/>
    <w:rsid w:val="00956B10"/>
    <w:rsid w:val="00966173"/>
    <w:rsid w:val="00971778"/>
    <w:rsid w:val="00974473"/>
    <w:rsid w:val="00977D3C"/>
    <w:rsid w:val="0098397A"/>
    <w:rsid w:val="009951BB"/>
    <w:rsid w:val="009A03B5"/>
    <w:rsid w:val="009A1F5E"/>
    <w:rsid w:val="009C6B31"/>
    <w:rsid w:val="009C7444"/>
    <w:rsid w:val="009D1345"/>
    <w:rsid w:val="009D19B7"/>
    <w:rsid w:val="009D335D"/>
    <w:rsid w:val="009D6A6A"/>
    <w:rsid w:val="009E14E4"/>
    <w:rsid w:val="009E205F"/>
    <w:rsid w:val="009E73AC"/>
    <w:rsid w:val="009E79C2"/>
    <w:rsid w:val="009F2E8C"/>
    <w:rsid w:val="00A05830"/>
    <w:rsid w:val="00A100DD"/>
    <w:rsid w:val="00A13744"/>
    <w:rsid w:val="00A13BD3"/>
    <w:rsid w:val="00A220EE"/>
    <w:rsid w:val="00A24218"/>
    <w:rsid w:val="00A273CB"/>
    <w:rsid w:val="00A42C89"/>
    <w:rsid w:val="00A44CCF"/>
    <w:rsid w:val="00A45444"/>
    <w:rsid w:val="00A45D78"/>
    <w:rsid w:val="00A64CF4"/>
    <w:rsid w:val="00A652FC"/>
    <w:rsid w:val="00A75EFD"/>
    <w:rsid w:val="00A8090C"/>
    <w:rsid w:val="00A86233"/>
    <w:rsid w:val="00A921E3"/>
    <w:rsid w:val="00A93909"/>
    <w:rsid w:val="00A9468C"/>
    <w:rsid w:val="00A95C12"/>
    <w:rsid w:val="00A96E40"/>
    <w:rsid w:val="00AA2C0C"/>
    <w:rsid w:val="00AA2FE6"/>
    <w:rsid w:val="00AB0566"/>
    <w:rsid w:val="00AB1A36"/>
    <w:rsid w:val="00AC26E9"/>
    <w:rsid w:val="00AD7BD5"/>
    <w:rsid w:val="00AE67D1"/>
    <w:rsid w:val="00AF0A6A"/>
    <w:rsid w:val="00AF101A"/>
    <w:rsid w:val="00B01AFF"/>
    <w:rsid w:val="00B032BB"/>
    <w:rsid w:val="00B068BD"/>
    <w:rsid w:val="00B0696D"/>
    <w:rsid w:val="00B163D4"/>
    <w:rsid w:val="00B1741E"/>
    <w:rsid w:val="00B21C2C"/>
    <w:rsid w:val="00B2264D"/>
    <w:rsid w:val="00B30552"/>
    <w:rsid w:val="00B46FD4"/>
    <w:rsid w:val="00B471A2"/>
    <w:rsid w:val="00B60182"/>
    <w:rsid w:val="00B60985"/>
    <w:rsid w:val="00B64A64"/>
    <w:rsid w:val="00B70A08"/>
    <w:rsid w:val="00B8488B"/>
    <w:rsid w:val="00B84B93"/>
    <w:rsid w:val="00B9162E"/>
    <w:rsid w:val="00B927F6"/>
    <w:rsid w:val="00BA03BF"/>
    <w:rsid w:val="00BA39DA"/>
    <w:rsid w:val="00BA5227"/>
    <w:rsid w:val="00BA729E"/>
    <w:rsid w:val="00BB2DC4"/>
    <w:rsid w:val="00BB7761"/>
    <w:rsid w:val="00BC1FBC"/>
    <w:rsid w:val="00BD1C48"/>
    <w:rsid w:val="00BD4075"/>
    <w:rsid w:val="00BD57FA"/>
    <w:rsid w:val="00BE6945"/>
    <w:rsid w:val="00C01128"/>
    <w:rsid w:val="00C02D42"/>
    <w:rsid w:val="00C0702E"/>
    <w:rsid w:val="00C134C5"/>
    <w:rsid w:val="00C176EA"/>
    <w:rsid w:val="00C22F2A"/>
    <w:rsid w:val="00C27BDF"/>
    <w:rsid w:val="00C31E9B"/>
    <w:rsid w:val="00C40A68"/>
    <w:rsid w:val="00C4207F"/>
    <w:rsid w:val="00C4418B"/>
    <w:rsid w:val="00C4428C"/>
    <w:rsid w:val="00C57E3F"/>
    <w:rsid w:val="00C720E0"/>
    <w:rsid w:val="00C72665"/>
    <w:rsid w:val="00C72ABC"/>
    <w:rsid w:val="00C9432E"/>
    <w:rsid w:val="00CA0F35"/>
    <w:rsid w:val="00CA187F"/>
    <w:rsid w:val="00CA6A40"/>
    <w:rsid w:val="00CA780F"/>
    <w:rsid w:val="00CB29ED"/>
    <w:rsid w:val="00CD6490"/>
    <w:rsid w:val="00CD6B41"/>
    <w:rsid w:val="00CD7147"/>
    <w:rsid w:val="00CE278B"/>
    <w:rsid w:val="00CE346A"/>
    <w:rsid w:val="00CE3724"/>
    <w:rsid w:val="00CE7EC5"/>
    <w:rsid w:val="00CF0F99"/>
    <w:rsid w:val="00CF19C1"/>
    <w:rsid w:val="00CF19EE"/>
    <w:rsid w:val="00CF2DD4"/>
    <w:rsid w:val="00CF6AFB"/>
    <w:rsid w:val="00D01252"/>
    <w:rsid w:val="00D04969"/>
    <w:rsid w:val="00D073F2"/>
    <w:rsid w:val="00D07EEA"/>
    <w:rsid w:val="00D11091"/>
    <w:rsid w:val="00D14E04"/>
    <w:rsid w:val="00D14FDD"/>
    <w:rsid w:val="00D1565C"/>
    <w:rsid w:val="00D226E4"/>
    <w:rsid w:val="00D319C0"/>
    <w:rsid w:val="00D32302"/>
    <w:rsid w:val="00D55594"/>
    <w:rsid w:val="00D64192"/>
    <w:rsid w:val="00D707C4"/>
    <w:rsid w:val="00D720B8"/>
    <w:rsid w:val="00D7313F"/>
    <w:rsid w:val="00D7324B"/>
    <w:rsid w:val="00D814AD"/>
    <w:rsid w:val="00D81A33"/>
    <w:rsid w:val="00D85FD4"/>
    <w:rsid w:val="00D92362"/>
    <w:rsid w:val="00DB68A6"/>
    <w:rsid w:val="00DB72DA"/>
    <w:rsid w:val="00DC3652"/>
    <w:rsid w:val="00DE1F09"/>
    <w:rsid w:val="00DE759D"/>
    <w:rsid w:val="00DF30CB"/>
    <w:rsid w:val="00DF5689"/>
    <w:rsid w:val="00E001B2"/>
    <w:rsid w:val="00E012FC"/>
    <w:rsid w:val="00E02160"/>
    <w:rsid w:val="00E11BA8"/>
    <w:rsid w:val="00E20731"/>
    <w:rsid w:val="00E24381"/>
    <w:rsid w:val="00E3030D"/>
    <w:rsid w:val="00E3086A"/>
    <w:rsid w:val="00E327DA"/>
    <w:rsid w:val="00E37E55"/>
    <w:rsid w:val="00E42003"/>
    <w:rsid w:val="00E4432C"/>
    <w:rsid w:val="00E523F0"/>
    <w:rsid w:val="00E53070"/>
    <w:rsid w:val="00E547CE"/>
    <w:rsid w:val="00E62BE1"/>
    <w:rsid w:val="00E63240"/>
    <w:rsid w:val="00E71B2F"/>
    <w:rsid w:val="00E72B36"/>
    <w:rsid w:val="00E83E85"/>
    <w:rsid w:val="00E879D9"/>
    <w:rsid w:val="00E9214A"/>
    <w:rsid w:val="00E97BF0"/>
    <w:rsid w:val="00EA7A5E"/>
    <w:rsid w:val="00EA7CD7"/>
    <w:rsid w:val="00EB3574"/>
    <w:rsid w:val="00EB4B72"/>
    <w:rsid w:val="00EC15CD"/>
    <w:rsid w:val="00EC4C4A"/>
    <w:rsid w:val="00ED04D0"/>
    <w:rsid w:val="00ED575D"/>
    <w:rsid w:val="00ED5FC0"/>
    <w:rsid w:val="00ED7942"/>
    <w:rsid w:val="00EE70CB"/>
    <w:rsid w:val="00EF3343"/>
    <w:rsid w:val="00EF3DFC"/>
    <w:rsid w:val="00EF4922"/>
    <w:rsid w:val="00EF7543"/>
    <w:rsid w:val="00F02CFA"/>
    <w:rsid w:val="00F10874"/>
    <w:rsid w:val="00F13E1A"/>
    <w:rsid w:val="00F14899"/>
    <w:rsid w:val="00F23B66"/>
    <w:rsid w:val="00F250E2"/>
    <w:rsid w:val="00F274B5"/>
    <w:rsid w:val="00F304EA"/>
    <w:rsid w:val="00F40853"/>
    <w:rsid w:val="00F44EF1"/>
    <w:rsid w:val="00F46D1C"/>
    <w:rsid w:val="00F5298B"/>
    <w:rsid w:val="00F54EDB"/>
    <w:rsid w:val="00F57FF1"/>
    <w:rsid w:val="00F600EF"/>
    <w:rsid w:val="00F6678D"/>
    <w:rsid w:val="00F70398"/>
    <w:rsid w:val="00F74C4B"/>
    <w:rsid w:val="00F76B8A"/>
    <w:rsid w:val="00F76BE8"/>
    <w:rsid w:val="00F8639E"/>
    <w:rsid w:val="00F94A36"/>
    <w:rsid w:val="00F94D8B"/>
    <w:rsid w:val="00FA4A7D"/>
    <w:rsid w:val="00FA7CB2"/>
    <w:rsid w:val="00FB4577"/>
    <w:rsid w:val="00FB5D7D"/>
    <w:rsid w:val="00FC7367"/>
    <w:rsid w:val="00FD7011"/>
    <w:rsid w:val="00FE3128"/>
    <w:rsid w:val="00FF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1C72D"/>
  <w15:chartTrackingRefBased/>
  <w15:docId w15:val="{185BA61C-A51E-47C9-9F58-8BF4BE77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ED5FC0"/>
    <w:pPr>
      <w:widowControl w:val="0"/>
      <w:autoSpaceDE w:val="0"/>
      <w:autoSpaceDN w:val="0"/>
      <w:spacing w:after="0" w:line="240" w:lineRule="auto"/>
    </w:pPr>
    <w:rPr>
      <w:rFonts w:ascii="Arial" w:eastAsia="Arial" w:hAnsi="Arial" w:cs="Arial"/>
      <w:lang w:bidi="ar-SA"/>
    </w:rPr>
  </w:style>
  <w:style w:type="paragraph" w:styleId="Heading1">
    <w:name w:val="heading 1"/>
    <w:basedOn w:val="Normal"/>
    <w:next w:val="Normal"/>
    <w:link w:val="Heading1Char"/>
    <w:uiPriority w:val="9"/>
    <w:qFormat/>
    <w:rsid w:val="00181F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1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F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F6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1F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F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F6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6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F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B84B93"/>
    <w:pPr>
      <w:tabs>
        <w:tab w:val="left" w:pos="720"/>
        <w:tab w:val="center" w:pos="4320"/>
        <w:tab w:val="right" w:pos="8640"/>
      </w:tabs>
    </w:pPr>
    <w:rPr>
      <w:b/>
    </w:rPr>
  </w:style>
  <w:style w:type="paragraph" w:styleId="Footer">
    <w:name w:val="footer"/>
    <w:basedOn w:val="Normal"/>
    <w:link w:val="FooterChar"/>
    <w:autoRedefine/>
    <w:uiPriority w:val="99"/>
    <w:rsid w:val="00B84B93"/>
    <w:pPr>
      <w:tabs>
        <w:tab w:val="left" w:pos="720"/>
        <w:tab w:val="left" w:pos="4320"/>
        <w:tab w:val="left" w:pos="8640"/>
      </w:tabs>
    </w:pPr>
    <w:rPr>
      <w:sz w:val="18"/>
      <w:szCs w:val="18"/>
    </w:rPr>
  </w:style>
  <w:style w:type="character" w:customStyle="1" w:styleId="Heading2Char">
    <w:name w:val="Heading 2 Char"/>
    <w:basedOn w:val="DefaultParagraphFont"/>
    <w:link w:val="Heading2"/>
    <w:uiPriority w:val="9"/>
    <w:semiHidden/>
    <w:rsid w:val="00181F6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81F6E"/>
    <w:rPr>
      <w:i/>
      <w:iCs/>
    </w:rPr>
  </w:style>
  <w:style w:type="character" w:customStyle="1" w:styleId="Heading3Char">
    <w:name w:val="Heading 3 Char"/>
    <w:basedOn w:val="DefaultParagraphFont"/>
    <w:link w:val="Heading3"/>
    <w:uiPriority w:val="9"/>
    <w:rsid w:val="00181F6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81F6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81F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1F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1F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81F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81F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81F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6E"/>
    <w:rPr>
      <w:b/>
      <w:bCs/>
      <w:color w:val="4F81BD" w:themeColor="accent1"/>
      <w:sz w:val="18"/>
      <w:szCs w:val="18"/>
    </w:rPr>
  </w:style>
  <w:style w:type="paragraph" w:styleId="Title">
    <w:name w:val="Title"/>
    <w:basedOn w:val="Normal"/>
    <w:next w:val="Normal"/>
    <w:link w:val="TitleChar"/>
    <w:uiPriority w:val="10"/>
    <w:qFormat/>
    <w:rsid w:val="00181F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F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1F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1F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81F6E"/>
    <w:rPr>
      <w:b/>
      <w:bCs/>
    </w:rPr>
  </w:style>
  <w:style w:type="paragraph" w:styleId="NoSpacing">
    <w:name w:val="No Spacing"/>
    <w:uiPriority w:val="1"/>
    <w:qFormat/>
    <w:rsid w:val="00181F6E"/>
    <w:pPr>
      <w:spacing w:after="0" w:line="240" w:lineRule="auto"/>
    </w:pPr>
  </w:style>
  <w:style w:type="paragraph" w:styleId="ListParagraph">
    <w:name w:val="List Paragraph"/>
    <w:basedOn w:val="Normal"/>
    <w:uiPriority w:val="34"/>
    <w:qFormat/>
    <w:rsid w:val="00181F6E"/>
    <w:pPr>
      <w:ind w:left="720"/>
      <w:contextualSpacing/>
    </w:pPr>
  </w:style>
  <w:style w:type="paragraph" w:styleId="Quote">
    <w:name w:val="Quote"/>
    <w:basedOn w:val="Normal"/>
    <w:next w:val="Normal"/>
    <w:link w:val="QuoteChar"/>
    <w:uiPriority w:val="29"/>
    <w:qFormat/>
    <w:rsid w:val="00181F6E"/>
    <w:rPr>
      <w:i/>
      <w:iCs/>
      <w:color w:val="000000" w:themeColor="text1"/>
    </w:rPr>
  </w:style>
  <w:style w:type="character" w:customStyle="1" w:styleId="QuoteChar">
    <w:name w:val="Quote Char"/>
    <w:basedOn w:val="DefaultParagraphFont"/>
    <w:link w:val="Quote"/>
    <w:uiPriority w:val="29"/>
    <w:rsid w:val="00181F6E"/>
    <w:rPr>
      <w:i/>
      <w:iCs/>
      <w:color w:val="000000" w:themeColor="text1"/>
    </w:rPr>
  </w:style>
  <w:style w:type="paragraph" w:styleId="IntenseQuote">
    <w:name w:val="Intense Quote"/>
    <w:basedOn w:val="Normal"/>
    <w:next w:val="Normal"/>
    <w:link w:val="IntenseQuoteChar"/>
    <w:uiPriority w:val="30"/>
    <w:qFormat/>
    <w:rsid w:val="00181F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81F6E"/>
    <w:rPr>
      <w:b/>
      <w:bCs/>
      <w:i/>
      <w:iCs/>
      <w:color w:val="4F81BD" w:themeColor="accent1"/>
    </w:rPr>
  </w:style>
  <w:style w:type="character" w:styleId="SubtleEmphasis">
    <w:name w:val="Subtle Emphasis"/>
    <w:basedOn w:val="DefaultParagraphFont"/>
    <w:uiPriority w:val="19"/>
    <w:qFormat/>
    <w:rsid w:val="00181F6E"/>
    <w:rPr>
      <w:i/>
      <w:iCs/>
      <w:color w:val="808080" w:themeColor="text1" w:themeTint="7F"/>
    </w:rPr>
  </w:style>
  <w:style w:type="character" w:styleId="IntenseEmphasis">
    <w:name w:val="Intense Emphasis"/>
    <w:basedOn w:val="DefaultParagraphFont"/>
    <w:uiPriority w:val="21"/>
    <w:qFormat/>
    <w:rsid w:val="00181F6E"/>
    <w:rPr>
      <w:b/>
      <w:bCs/>
      <w:i/>
      <w:iCs/>
      <w:color w:val="4F81BD" w:themeColor="accent1"/>
    </w:rPr>
  </w:style>
  <w:style w:type="character" w:styleId="SubtleReference">
    <w:name w:val="Subtle Reference"/>
    <w:basedOn w:val="DefaultParagraphFont"/>
    <w:uiPriority w:val="31"/>
    <w:qFormat/>
    <w:rsid w:val="00181F6E"/>
    <w:rPr>
      <w:smallCaps/>
      <w:color w:val="C0504D" w:themeColor="accent2"/>
      <w:u w:val="single"/>
    </w:rPr>
  </w:style>
  <w:style w:type="character" w:styleId="IntenseReference">
    <w:name w:val="Intense Reference"/>
    <w:basedOn w:val="DefaultParagraphFont"/>
    <w:uiPriority w:val="32"/>
    <w:qFormat/>
    <w:rsid w:val="00181F6E"/>
    <w:rPr>
      <w:b/>
      <w:bCs/>
      <w:smallCaps/>
      <w:color w:val="C0504D" w:themeColor="accent2"/>
      <w:spacing w:val="5"/>
      <w:u w:val="single"/>
    </w:rPr>
  </w:style>
  <w:style w:type="character" w:styleId="BookTitle">
    <w:name w:val="Book Title"/>
    <w:basedOn w:val="DefaultParagraphFont"/>
    <w:uiPriority w:val="33"/>
    <w:qFormat/>
    <w:rsid w:val="00181F6E"/>
    <w:rPr>
      <w:b/>
      <w:bCs/>
      <w:smallCaps/>
      <w:spacing w:val="5"/>
    </w:rPr>
  </w:style>
  <w:style w:type="paragraph" w:styleId="TOCHeading">
    <w:name w:val="TOC Heading"/>
    <w:basedOn w:val="Heading1"/>
    <w:next w:val="Normal"/>
    <w:uiPriority w:val="39"/>
    <w:semiHidden/>
    <w:unhideWhenUsed/>
    <w:qFormat/>
    <w:rsid w:val="00181F6E"/>
    <w:pPr>
      <w:outlineLvl w:val="9"/>
    </w:pPr>
  </w:style>
  <w:style w:type="character" w:customStyle="1" w:styleId="HeaderChar">
    <w:name w:val="Header Char"/>
    <w:basedOn w:val="DefaultParagraphFont"/>
    <w:link w:val="Header"/>
    <w:uiPriority w:val="99"/>
    <w:rsid w:val="00B84B93"/>
    <w:rPr>
      <w:rFonts w:ascii="Arial" w:hAnsi="Arial" w:cs="Arial"/>
      <w:b/>
    </w:rPr>
  </w:style>
  <w:style w:type="paragraph" w:styleId="BalloonText">
    <w:name w:val="Balloon Text"/>
    <w:basedOn w:val="Normal"/>
    <w:link w:val="BalloonTextChar"/>
    <w:rsid w:val="00616165"/>
    <w:rPr>
      <w:rFonts w:ascii="Tahoma" w:hAnsi="Tahoma" w:cs="Tahoma"/>
      <w:sz w:val="16"/>
      <w:szCs w:val="16"/>
    </w:rPr>
  </w:style>
  <w:style w:type="character" w:customStyle="1" w:styleId="BalloonTextChar">
    <w:name w:val="Balloon Text Char"/>
    <w:basedOn w:val="DefaultParagraphFont"/>
    <w:link w:val="BalloonText"/>
    <w:rsid w:val="00616165"/>
    <w:rPr>
      <w:rFonts w:ascii="Tahoma" w:hAnsi="Tahoma" w:cs="Tahoma"/>
      <w:sz w:val="16"/>
      <w:szCs w:val="16"/>
    </w:rPr>
  </w:style>
  <w:style w:type="character" w:customStyle="1" w:styleId="FooterChar">
    <w:name w:val="Footer Char"/>
    <w:basedOn w:val="DefaultParagraphFont"/>
    <w:link w:val="Footer"/>
    <w:uiPriority w:val="99"/>
    <w:rsid w:val="00B84B93"/>
    <w:rPr>
      <w:rFonts w:ascii="Arial" w:hAnsi="Arial" w:cs="Arial"/>
      <w:sz w:val="18"/>
      <w:szCs w:val="18"/>
    </w:rPr>
  </w:style>
  <w:style w:type="paragraph" w:styleId="EnvelopeReturn">
    <w:name w:val="envelope return"/>
    <w:basedOn w:val="Normal"/>
    <w:rsid w:val="002F706B"/>
    <w:rPr>
      <w:rFonts w:asciiTheme="majorHAnsi" w:eastAsiaTheme="majorEastAsia" w:hAnsiTheme="majorHAnsi" w:cstheme="majorBidi"/>
      <w:sz w:val="20"/>
      <w:szCs w:val="20"/>
    </w:rPr>
  </w:style>
  <w:style w:type="paragraph" w:styleId="EnvelopeAddress">
    <w:name w:val="envelope address"/>
    <w:basedOn w:val="Normal"/>
    <w:rsid w:val="002F70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BodyText">
    <w:name w:val="Body Text"/>
    <w:basedOn w:val="Normal"/>
    <w:link w:val="BodyTextChar"/>
    <w:uiPriority w:val="1"/>
    <w:qFormat/>
    <w:rsid w:val="00ED5FC0"/>
    <w:rPr>
      <w:sz w:val="24"/>
      <w:szCs w:val="24"/>
    </w:rPr>
  </w:style>
  <w:style w:type="character" w:customStyle="1" w:styleId="BodyTextChar">
    <w:name w:val="Body Text Char"/>
    <w:basedOn w:val="DefaultParagraphFont"/>
    <w:link w:val="BodyText"/>
    <w:uiPriority w:val="1"/>
    <w:rsid w:val="00ED5FC0"/>
    <w:rPr>
      <w:rFonts w:ascii="Arial" w:eastAsia="Arial" w:hAnsi="Arial"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A241-0522-4B76-83BF-680D914E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Lorraine</dc:creator>
  <cp:keywords/>
  <dc:description/>
  <cp:lastModifiedBy>Porter, Dana@DGS</cp:lastModifiedBy>
  <cp:revision>3</cp:revision>
  <cp:lastPrinted>2004-11-15T20:06:00Z</cp:lastPrinted>
  <dcterms:created xsi:type="dcterms:W3CDTF">2020-12-08T19:56:00Z</dcterms:created>
  <dcterms:modified xsi:type="dcterms:W3CDTF">2021-03-05T16:58:00Z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