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24" w:rsidRPr="00820124" w:rsidRDefault="00820124" w:rsidP="00820124">
      <w:pPr>
        <w:tabs>
          <w:tab w:val="left" w:pos="12240"/>
        </w:tabs>
        <w:rPr>
          <w:rFonts w:cs="Arial"/>
          <w:b/>
          <w:szCs w:val="24"/>
          <w:lang w:bidi="ar-SA"/>
        </w:rPr>
      </w:pPr>
      <w:r w:rsidRPr="00820124">
        <w:rPr>
          <w:rFonts w:cs="Arial"/>
          <w:b/>
          <w:szCs w:val="24"/>
          <w:lang w:bidi="ar-SA"/>
        </w:rPr>
        <w:t>ILLUSTRATION 1</w:t>
      </w:r>
      <w:r w:rsidRPr="00820124">
        <w:rPr>
          <w:rFonts w:cs="Arial"/>
          <w:b/>
          <w:szCs w:val="24"/>
          <w:lang w:bidi="ar-SA"/>
        </w:rPr>
        <w:tab/>
        <w:t>7977</w:t>
      </w:r>
    </w:p>
    <w:p w:rsidR="00820124" w:rsidRDefault="00820124" w:rsidP="00820124">
      <w:pPr>
        <w:jc w:val="center"/>
        <w:rPr>
          <w:rFonts w:eastAsia="Arial" w:cs="Arial"/>
          <w:b/>
          <w:bCs/>
          <w:szCs w:val="24"/>
          <w:lang w:bidi="ar-SA"/>
        </w:rPr>
      </w:pPr>
    </w:p>
    <w:p w:rsidR="00820124" w:rsidRPr="00820124" w:rsidRDefault="00820124" w:rsidP="00820124">
      <w:pPr>
        <w:jc w:val="center"/>
        <w:rPr>
          <w:rFonts w:eastAsia="Arial" w:cs="Arial"/>
          <w:b/>
          <w:bCs/>
          <w:sz w:val="22"/>
          <w:lang w:bidi="ar-SA"/>
        </w:rPr>
      </w:pPr>
      <w:r w:rsidRPr="00820124">
        <w:rPr>
          <w:rFonts w:eastAsia="Arial" w:cs="Arial"/>
          <w:b/>
          <w:bCs/>
          <w:sz w:val="22"/>
          <w:lang w:bidi="ar-SA"/>
        </w:rPr>
        <w:t>Agency Name and Number</w:t>
      </w:r>
    </w:p>
    <w:p w:rsidR="00820124" w:rsidRPr="00820124" w:rsidRDefault="00820124" w:rsidP="00820124">
      <w:pPr>
        <w:jc w:val="center"/>
        <w:rPr>
          <w:rFonts w:eastAsia="Arial" w:cs="Arial"/>
          <w:b/>
          <w:bCs/>
          <w:sz w:val="22"/>
          <w:lang w:bidi="ar-SA"/>
        </w:rPr>
      </w:pPr>
      <w:r w:rsidRPr="00820124">
        <w:rPr>
          <w:rFonts w:eastAsia="Arial" w:cs="Arial"/>
          <w:b/>
          <w:bCs/>
          <w:sz w:val="22"/>
          <w:lang w:bidi="ar-SA"/>
        </w:rPr>
        <w:t>Statement of Changes in Capital Assets Group of Accounts – Report 18</w:t>
      </w:r>
    </w:p>
    <w:p w:rsidR="00820124" w:rsidRPr="00820124" w:rsidRDefault="00820124" w:rsidP="00820124">
      <w:pPr>
        <w:jc w:val="center"/>
        <w:rPr>
          <w:rFonts w:eastAsia="Arial" w:cs="Arial"/>
          <w:b/>
          <w:bCs/>
          <w:sz w:val="22"/>
          <w:lang w:bidi="ar-SA"/>
        </w:rPr>
      </w:pPr>
      <w:r w:rsidRPr="00820124">
        <w:rPr>
          <w:rFonts w:eastAsia="Arial" w:cs="Arial"/>
          <w:b/>
          <w:bCs/>
          <w:sz w:val="22"/>
          <w:lang w:bidi="ar-SA"/>
        </w:rPr>
        <w:t>Fund Name and Number</w:t>
      </w:r>
    </w:p>
    <w:p w:rsidR="00820124" w:rsidRPr="00820124" w:rsidRDefault="00820124" w:rsidP="00820124">
      <w:pPr>
        <w:spacing w:after="240"/>
        <w:jc w:val="center"/>
        <w:rPr>
          <w:rFonts w:eastAsia="Arial" w:cs="Arial"/>
          <w:b/>
          <w:bCs/>
          <w:sz w:val="22"/>
          <w:lang w:bidi="ar-SA"/>
        </w:rPr>
      </w:pPr>
      <w:r w:rsidRPr="00820124">
        <w:rPr>
          <w:rFonts w:eastAsia="Arial" w:cs="Arial"/>
          <w:b/>
          <w:bCs/>
          <w:sz w:val="22"/>
          <w:lang w:bidi="ar-SA"/>
        </w:rPr>
        <w:t>As of June 30, 20XX</w:t>
      </w:r>
    </w:p>
    <w:tbl>
      <w:tblPr>
        <w:tblStyle w:val="TableGridLight1"/>
        <w:tblW w:w="12960" w:type="dxa"/>
        <w:tblInd w:w="-95" w:type="dxa"/>
        <w:tblLayout w:type="fixed"/>
        <w:tblLook w:val="04A0" w:firstRow="1" w:lastRow="0" w:firstColumn="1" w:lastColumn="0" w:noHBand="0" w:noVBand="1"/>
        <w:tblCaption w:val="Statement of Changes in Capital Assets Group of Accounts - Report No. 18"/>
        <w:tblDescription w:val="A sample of Report No. 18, Statement of Changes in Capital Assets Group of Accounts."/>
      </w:tblPr>
      <w:tblGrid>
        <w:gridCol w:w="6547"/>
        <w:gridCol w:w="1733"/>
        <w:gridCol w:w="1440"/>
        <w:gridCol w:w="1440"/>
        <w:gridCol w:w="1800"/>
      </w:tblGrid>
      <w:tr w:rsidR="00B856AD" w:rsidRPr="00820124" w:rsidTr="00B856AD">
        <w:trPr>
          <w:tblHeader/>
        </w:trPr>
        <w:tc>
          <w:tcPr>
            <w:tcW w:w="6547" w:type="dxa"/>
          </w:tcPr>
          <w:p w:rsidR="00820124" w:rsidRPr="00820124" w:rsidRDefault="00820124" w:rsidP="00B145BD">
            <w:pPr>
              <w:widowControl/>
              <w:autoSpaceDE/>
              <w:autoSpaceDN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Capital Assets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center"/>
              <w:rPr>
                <w:rFonts w:eastAsia="Arial" w:cs="Arial"/>
                <w:b/>
                <w:bCs/>
                <w:sz w:val="22"/>
                <w:szCs w:val="22"/>
                <w:vertAlign w:val="superscript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Beginning Balance</w:t>
            </w:r>
            <w:r w:rsidRPr="00820124">
              <w:rPr>
                <w:rFonts w:eastAsia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Additions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Deductions</w:t>
            </w: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rPr>
                <w:rFonts w:eastAsia="Arial" w:cs="Arial"/>
                <w:b/>
                <w:bCs/>
                <w:sz w:val="22"/>
                <w:szCs w:val="22"/>
                <w:vertAlign w:val="superscript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Balance</w:t>
            </w:r>
            <w:r w:rsidRPr="00820124">
              <w:rPr>
                <w:rFonts w:eastAsia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820124" w:rsidRPr="00820124" w:rsidRDefault="00820124" w:rsidP="00B145BD">
            <w:pPr>
              <w:widowControl/>
              <w:autoSpaceDE/>
              <w:autoSpaceDN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June 30, 20XX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820124">
            <w:pPr>
              <w:widowControl/>
              <w:tabs>
                <w:tab w:val="left" w:pos="326"/>
              </w:tabs>
              <w:autoSpaceDE/>
              <w:autoSpaceDN/>
              <w:ind w:left="6" w:hanging="108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Tangible Assets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rPr>
                <w:rFonts w:eastAsia="Arial" w:cs="Arial"/>
                <w:sz w:val="22"/>
                <w:szCs w:val="22"/>
              </w:rPr>
            </w:pP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(2310) Land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1,000,000.00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1,000,000.00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b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(2321) Buildings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1,361,000.00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500,000.00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1,861,000.00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(2331) Improvements Other Than Buildings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535,000.</w:t>
            </w:r>
            <w:bookmarkStart w:id="0" w:name="_GoBack"/>
            <w:bookmarkEnd w:id="0"/>
            <w:r w:rsidRPr="00820124">
              <w:rPr>
                <w:rFonts w:eastAsia="Arial" w:cs="Arial"/>
                <w:sz w:val="22"/>
                <w:szCs w:val="22"/>
              </w:rPr>
              <w:t>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535,000.00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(2341) Equipment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275,600.00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100,000.00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50,000.00</w:t>
            </w: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325,600.00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(2350) Construction Work in Progress</w:t>
            </w:r>
            <w:r w:rsidRPr="00820124">
              <w:rPr>
                <w:rFonts w:eastAsia="Arial" w:cs="Arial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500,000.00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500,000.00</w:t>
            </w: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(2362) Infrastructure – Depreciable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hanging="108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Intangible Assets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(2411) Computer Software – Amortizable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125,000.00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125,000.00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(2412) Land Use Rights – Amortizable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100,000.00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100,000.00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(2413) Patents, Copyrights, and Trademarks – Amortizable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50,000.00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50,000.00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(2414) Other Intangible Assets – Amortizable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(2422) Land Use Rights – Non-Amortizable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(2423) Patents, Copyrights, and Trademarks – Non-Amortizable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(2424) Other Intangible Assets – Non-Amortizable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ind w:left="326" w:hanging="254"/>
              <w:rPr>
                <w:rFonts w:eastAsia="Arial" w:cs="Arial"/>
                <w:sz w:val="22"/>
                <w:szCs w:val="22"/>
                <w:vertAlign w:val="superscript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(2430) Internally Generated Intangible Assets in Progress</w:t>
            </w:r>
            <w:r w:rsidRPr="00820124">
              <w:rPr>
                <w:rFonts w:eastAsia="Arial" w:cs="Arial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867,602.00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sz w:val="22"/>
                <w:szCs w:val="22"/>
              </w:rPr>
            </w:pPr>
            <w:r w:rsidRPr="00820124">
              <w:rPr>
                <w:rFonts w:eastAsia="Arial" w:cs="Arial"/>
                <w:sz w:val="22"/>
                <w:szCs w:val="22"/>
              </w:rPr>
              <w:t>867,602.00</w:t>
            </w:r>
          </w:p>
        </w:tc>
      </w:tr>
      <w:tr w:rsidR="00B856AD" w:rsidRPr="00820124" w:rsidTr="00B856AD">
        <w:tc>
          <w:tcPr>
            <w:tcW w:w="6547" w:type="dxa"/>
          </w:tcPr>
          <w:p w:rsidR="00820124" w:rsidRPr="00820124" w:rsidRDefault="00820124" w:rsidP="00B145BD">
            <w:pPr>
              <w:widowControl/>
              <w:tabs>
                <w:tab w:val="left" w:pos="326"/>
              </w:tabs>
              <w:autoSpaceDE/>
              <w:autoSpaceDN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TOTAL CAPITAL ASSETS</w:t>
            </w:r>
          </w:p>
        </w:tc>
        <w:tc>
          <w:tcPr>
            <w:tcW w:w="1733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4,764,202.00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650,000.00</w:t>
            </w:r>
          </w:p>
        </w:tc>
        <w:tc>
          <w:tcPr>
            <w:tcW w:w="144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550,000.00</w:t>
            </w:r>
          </w:p>
        </w:tc>
        <w:tc>
          <w:tcPr>
            <w:tcW w:w="1800" w:type="dxa"/>
          </w:tcPr>
          <w:p w:rsidR="00820124" w:rsidRPr="00820124" w:rsidRDefault="00820124" w:rsidP="00B145BD">
            <w:pPr>
              <w:widowControl/>
              <w:autoSpaceDE/>
              <w:autoSpaceDN/>
              <w:jc w:val="righ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20124">
              <w:rPr>
                <w:rFonts w:eastAsia="Arial" w:cs="Arial"/>
                <w:b/>
                <w:bCs/>
                <w:sz w:val="22"/>
                <w:szCs w:val="22"/>
              </w:rPr>
              <w:t>4,864,202.00</w:t>
            </w:r>
          </w:p>
        </w:tc>
      </w:tr>
    </w:tbl>
    <w:p w:rsidR="00820124" w:rsidRPr="00820124" w:rsidRDefault="00820124" w:rsidP="00820124">
      <w:pPr>
        <w:widowControl/>
        <w:autoSpaceDE/>
        <w:autoSpaceDN/>
        <w:ind w:left="360"/>
        <w:contextualSpacing/>
        <w:rPr>
          <w:rFonts w:eastAsia="Arial" w:cs="Arial"/>
          <w:sz w:val="22"/>
          <w:lang w:bidi="ar-SA"/>
        </w:rPr>
      </w:pPr>
    </w:p>
    <w:p w:rsidR="00820124" w:rsidRPr="00820124" w:rsidRDefault="00820124" w:rsidP="00820124">
      <w:pPr>
        <w:widowControl/>
        <w:numPr>
          <w:ilvl w:val="0"/>
          <w:numId w:val="1"/>
        </w:numPr>
        <w:autoSpaceDE/>
        <w:autoSpaceDN/>
        <w:contextualSpacing/>
        <w:rPr>
          <w:rFonts w:eastAsia="Arial" w:cs="Arial"/>
          <w:sz w:val="22"/>
          <w:lang w:bidi="ar-SA"/>
        </w:rPr>
      </w:pPr>
      <w:r w:rsidRPr="00820124">
        <w:rPr>
          <w:rFonts w:eastAsia="Arial" w:cs="Arial"/>
          <w:sz w:val="22"/>
          <w:lang w:bidi="ar-SA"/>
        </w:rPr>
        <w:t>Asset beginning balances must agree with the prior year ending balances. Any differences must be documented and explained in Report 18 – Statement of Changes in Capital Assets Beginning Balance Differential Report.</w:t>
      </w:r>
    </w:p>
    <w:p w:rsidR="00820124" w:rsidRPr="00820124" w:rsidRDefault="00820124" w:rsidP="00820124">
      <w:pPr>
        <w:widowControl/>
        <w:numPr>
          <w:ilvl w:val="0"/>
          <w:numId w:val="1"/>
        </w:numPr>
        <w:autoSpaceDE/>
        <w:autoSpaceDN/>
        <w:contextualSpacing/>
        <w:rPr>
          <w:rFonts w:eastAsia="Arial" w:cs="Arial"/>
          <w:sz w:val="22"/>
          <w:lang w:bidi="ar-SA"/>
        </w:rPr>
      </w:pPr>
      <w:r w:rsidRPr="00820124">
        <w:rPr>
          <w:rFonts w:eastAsia="Arial" w:cs="Arial"/>
          <w:sz w:val="22"/>
          <w:lang w:bidi="ar-SA"/>
        </w:rPr>
        <w:t>The ending balances should equal the debit balances on Report 19 for each asset type.</w:t>
      </w:r>
    </w:p>
    <w:p w:rsidR="00686667" w:rsidRPr="00820124" w:rsidRDefault="00820124" w:rsidP="00850681">
      <w:pPr>
        <w:widowControl/>
        <w:numPr>
          <w:ilvl w:val="0"/>
          <w:numId w:val="1"/>
        </w:numPr>
        <w:autoSpaceDE/>
        <w:autoSpaceDN/>
        <w:contextualSpacing/>
        <w:rPr>
          <w:rFonts w:eastAsia="Arial" w:cs="Arial"/>
          <w:sz w:val="22"/>
          <w:lang w:bidi="ar-SA"/>
        </w:rPr>
      </w:pPr>
      <w:r w:rsidRPr="00820124">
        <w:rPr>
          <w:rFonts w:eastAsia="Arial" w:cs="Arial"/>
          <w:sz w:val="22"/>
          <w:lang w:bidi="ar-SA"/>
        </w:rPr>
        <w:t>GLAN 2350 and 2430 must be reported in Report 18 and Report 19</w:t>
      </w:r>
    </w:p>
    <w:sectPr w:rsidR="00686667" w:rsidRPr="00820124" w:rsidSect="00820124">
      <w:type w:val="continuous"/>
      <w:pgSz w:w="15840" w:h="12240" w:orient="landscape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49" w:rsidRDefault="00ED7D49">
      <w:r>
        <w:separator/>
      </w:r>
    </w:p>
  </w:endnote>
  <w:endnote w:type="continuationSeparator" w:id="0">
    <w:p w:rsidR="00ED7D49" w:rsidRDefault="00ED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49" w:rsidRDefault="00ED7D49">
      <w:r>
        <w:separator/>
      </w:r>
    </w:p>
  </w:footnote>
  <w:footnote w:type="continuationSeparator" w:id="0">
    <w:p w:rsidR="00ED7D49" w:rsidRDefault="00ED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C2BD3"/>
    <w:multiLevelType w:val="hybridMultilevel"/>
    <w:tmpl w:val="D1066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4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012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C57BB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856AD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6652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D7D49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2DCC18-A6C1-436D-828B-279AC55E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124"/>
    <w:pPr>
      <w:widowControl w:val="0"/>
      <w:autoSpaceDE w:val="0"/>
      <w:autoSpaceDN w:val="0"/>
      <w:spacing w:after="0" w:line="240" w:lineRule="auto"/>
    </w:pPr>
    <w:rPr>
      <w:rFonts w:ascii="Arial" w:eastAsia="Calibri" w:hAnsi="Arial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table" w:customStyle="1" w:styleId="TableGridLight1">
    <w:name w:val="Table Grid Light1"/>
    <w:basedOn w:val="TableNormal"/>
    <w:next w:val="TableGridLight"/>
    <w:uiPriority w:val="40"/>
    <w:rsid w:val="00820124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8201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AD32-81B3-423F-9AA4-13F5BD73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1316</Characters>
  <Application>Microsoft Office Word</Application>
  <DocSecurity>0</DocSecurity>
  <Lines>10</Lines>
  <Paragraphs>3</Paragraphs>
  <ScaleCrop>false</ScaleCrop>
  <Company>Department of Finance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Yang, Mailee</cp:lastModifiedBy>
  <cp:revision>3</cp:revision>
  <cp:lastPrinted>2004-11-15T20:06:00Z</cp:lastPrinted>
  <dcterms:created xsi:type="dcterms:W3CDTF">2020-11-02T17:45:00Z</dcterms:created>
  <dcterms:modified xsi:type="dcterms:W3CDTF">2020-11-02T18:01:00Z</dcterms:modified>
</cp:coreProperties>
</file>